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E2FB1">
      <w:pPr>
        <w:spacing w:line="540" w:lineRule="exact"/>
        <w:jc w:val="left"/>
        <w:rPr>
          <w:rFonts w:eastAsia="黑体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eastAsia="黑体"/>
          <w:b w:val="0"/>
          <w:bCs/>
          <w:color w:val="auto"/>
          <w:sz w:val="44"/>
          <w:szCs w:val="44"/>
          <w:highlight w:val="none"/>
        </w:rPr>
        <w:t>附件 1</w:t>
      </w:r>
    </w:p>
    <w:p w14:paraId="1CFE112C">
      <w:pPr>
        <w:spacing w:line="540" w:lineRule="exact"/>
        <w:jc w:val="center"/>
        <w:rPr>
          <w:rFonts w:eastAsia="黑体"/>
          <w:bCs/>
          <w:color w:val="auto"/>
          <w:sz w:val="44"/>
          <w:szCs w:val="44"/>
          <w:highlight w:val="none"/>
        </w:rPr>
      </w:pPr>
    </w:p>
    <w:p w14:paraId="0413B8B2">
      <w:pPr>
        <w:spacing w:line="540" w:lineRule="exact"/>
        <w:jc w:val="center"/>
        <w:rPr>
          <w:rFonts w:eastAsia="黑体"/>
          <w:bCs/>
          <w:color w:val="auto"/>
          <w:sz w:val="44"/>
          <w:szCs w:val="44"/>
          <w:highlight w:val="none"/>
        </w:rPr>
      </w:pPr>
    </w:p>
    <w:p w14:paraId="01EDB88C">
      <w:pPr>
        <w:spacing w:line="54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福建省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装配式建筑评价申请表</w:t>
      </w:r>
    </w:p>
    <w:p w14:paraId="7AD1FA8B">
      <w:pPr>
        <w:pStyle w:val="19"/>
        <w:keepNext w:val="0"/>
        <w:keepLines w:val="0"/>
        <w:widowControl w:val="0"/>
        <w:shd w:val="clear" w:color="auto" w:fill="auto"/>
        <w:bidi w:val="0"/>
        <w:spacing w:before="0" w:after="2220" w:line="240" w:lineRule="auto"/>
        <w:ind w:left="0" w:right="0" w:firstLine="0"/>
        <w:jc w:val="center"/>
        <w:rPr>
          <w:b/>
          <w:color w:val="auto"/>
          <w:highlight w:val="none"/>
        </w:rPr>
      </w:pPr>
      <w:r>
        <w:rPr>
          <w:b/>
          <w:bCs/>
          <w:color w:val="auto"/>
          <w:spacing w:val="0"/>
          <w:w w:val="100"/>
          <w:position w:val="0"/>
          <w:sz w:val="32"/>
          <w:szCs w:val="32"/>
          <w:highlight w:val="none"/>
        </w:rPr>
        <w:t>（</w:t>
      </w:r>
      <w:r>
        <w:rPr>
          <w:rFonts w:hint="eastAsia"/>
          <w:b/>
          <w:bCs/>
          <w:color w:val="auto"/>
          <w:spacing w:val="0"/>
          <w:w w:val="100"/>
          <w:position w:val="0"/>
          <w:sz w:val="32"/>
          <w:szCs w:val="32"/>
          <w:highlight w:val="none"/>
          <w:lang w:val="en-US" w:eastAsia="zh-CN"/>
        </w:rPr>
        <w:t>施工</w:t>
      </w:r>
      <w:r>
        <w:rPr>
          <w:b/>
          <w:bCs/>
          <w:color w:val="auto"/>
          <w:spacing w:val="0"/>
          <w:w w:val="100"/>
          <w:position w:val="0"/>
          <w:sz w:val="32"/>
          <w:szCs w:val="32"/>
          <w:highlight w:val="none"/>
        </w:rPr>
        <w:t>阶段评价）</w:t>
      </w:r>
    </w:p>
    <w:p w14:paraId="50DCFF2C">
      <w:pPr>
        <w:spacing w:line="420" w:lineRule="exact"/>
        <w:jc w:val="both"/>
        <w:rPr>
          <w:b/>
          <w:color w:val="auto"/>
          <w:highlight w:val="none"/>
        </w:rPr>
      </w:pPr>
    </w:p>
    <w:p w14:paraId="303E3962"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ascii="仿宋_GB2312"/>
          <w:b/>
          <w:color w:val="auto"/>
          <w:highlight w:val="none"/>
          <w:u w:val="thick"/>
        </w:rPr>
      </w:pPr>
      <w:r>
        <w:rPr>
          <w:rFonts w:hint="eastAsia"/>
          <w:b/>
          <w:color w:val="auto"/>
          <w:highlight w:val="none"/>
        </w:rPr>
        <w:t>报建编号</w:t>
      </w:r>
      <w:r>
        <w:rPr>
          <w:rFonts w:hint="eastAsia" w:ascii="仿宋_GB2312"/>
          <w:b/>
          <w:color w:val="auto"/>
          <w:highlight w:val="none"/>
          <w:u w:val="thick"/>
        </w:rPr>
        <w:t xml:space="preserve">  </w:t>
      </w:r>
      <w:r>
        <w:rPr>
          <w:rFonts w:ascii="仿宋_GB2312"/>
          <w:b/>
          <w:color w:val="auto"/>
          <w:highlight w:val="none"/>
          <w:u w:val="thick"/>
        </w:rPr>
        <w:t xml:space="preserve"> </w:t>
      </w:r>
      <w:r>
        <w:rPr>
          <w:rFonts w:hint="eastAsia" w:ascii="仿宋_GB2312"/>
          <w:b/>
          <w:color w:val="auto"/>
          <w:highlight w:val="none"/>
          <w:u w:val="thick"/>
          <w:lang w:val="en-US" w:eastAsia="zh-CN"/>
        </w:rPr>
        <w:t xml:space="preserve"> </w:t>
      </w:r>
      <w:r>
        <w:rPr>
          <w:rFonts w:ascii="仿宋_GB2312"/>
          <w:b/>
          <w:color w:val="auto"/>
          <w:highlight w:val="none"/>
          <w:u w:val="thick"/>
        </w:rPr>
        <w:t xml:space="preserve"> </w:t>
      </w:r>
      <w:r>
        <w:rPr>
          <w:rFonts w:hint="eastAsia" w:ascii="仿宋_GB2312"/>
          <w:b/>
          <w:color w:val="auto"/>
          <w:highlight w:val="none"/>
          <w:u w:val="thick"/>
        </w:rPr>
        <w:t>3502</w:t>
      </w:r>
      <w:r>
        <w:rPr>
          <w:rFonts w:hint="eastAsia" w:ascii="仿宋_GB2312"/>
          <w:b/>
          <w:color w:val="auto"/>
          <w:highlight w:val="none"/>
          <w:u w:val="thick"/>
          <w:lang w:val="en-US" w:eastAsia="zh-CN"/>
        </w:rPr>
        <w:t xml:space="preserve">06201911069  </w:t>
      </w:r>
      <w:r>
        <w:rPr>
          <w:rFonts w:ascii="仿宋_GB2312"/>
          <w:b/>
          <w:color w:val="auto"/>
          <w:highlight w:val="none"/>
          <w:u w:val="thick"/>
        </w:rPr>
        <w:t xml:space="preserve"> </w:t>
      </w:r>
      <w:r>
        <w:rPr>
          <w:rFonts w:ascii="仿宋" w:hAnsi="仿宋" w:eastAsia="仿宋" w:cs="仿宋"/>
          <w:bCs/>
          <w:color w:val="auto"/>
          <w:sz w:val="30"/>
          <w:szCs w:val="30"/>
          <w:highlight w:val="none"/>
          <w:u w:val="thick"/>
        </w:rPr>
        <w:t xml:space="preserve">  </w:t>
      </w:r>
      <w:r>
        <w:rPr>
          <w:rFonts w:hint="eastAsia" w:ascii="仿宋_GB2312"/>
          <w:b/>
          <w:color w:val="auto"/>
          <w:highlight w:val="none"/>
          <w:u w:val="thick"/>
        </w:rPr>
        <w:t xml:space="preserve">  </w:t>
      </w:r>
    </w:p>
    <w:p w14:paraId="39CDA03B"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color w:val="auto"/>
          <w:highlight w:val="none"/>
        </w:rPr>
      </w:pPr>
    </w:p>
    <w:p w14:paraId="5E377218">
      <w:pPr>
        <w:tabs>
          <w:tab w:val="left" w:pos="6580"/>
          <w:tab w:val="left" w:pos="6780"/>
        </w:tabs>
        <w:spacing w:line="360" w:lineRule="auto"/>
        <w:ind w:left="2885" w:leftChars="500" w:hanging="1285" w:hangingChars="400"/>
        <w:rPr>
          <w:b/>
          <w:color w:val="auto"/>
          <w:highlight w:val="none"/>
          <w:u w:val="single"/>
        </w:rPr>
      </w:pPr>
      <w:r>
        <w:rPr>
          <w:rFonts w:hint="eastAsia" w:hAnsi="宋体"/>
          <w:b/>
          <w:color w:val="auto"/>
          <w:highlight w:val="none"/>
        </w:rPr>
        <w:t>项目名称</w:t>
      </w:r>
      <w:r>
        <w:rPr>
          <w:rFonts w:hint="eastAsia" w:ascii="仿宋_GB2312"/>
          <w:b/>
          <w:color w:val="auto"/>
          <w:sz w:val="30"/>
          <w:szCs w:val="30"/>
          <w:highlight w:val="none"/>
          <w:u w:val="thick"/>
        </w:rPr>
        <w:t xml:space="preserve"> </w:t>
      </w:r>
      <w:r>
        <w:rPr>
          <w:rFonts w:hint="eastAsia" w:ascii="仿宋_GB2312"/>
          <w:b/>
          <w:color w:val="auto"/>
          <w:sz w:val="30"/>
          <w:szCs w:val="30"/>
          <w:highlight w:val="none"/>
          <w:u w:val="thick"/>
          <w:lang w:val="en-US" w:eastAsia="zh-CN"/>
        </w:rPr>
        <w:t xml:space="preserve">  </w:t>
      </w:r>
      <w:r>
        <w:rPr>
          <w:rFonts w:hint="eastAsia" w:ascii="仿宋_GB2312" w:eastAsia="仿宋"/>
          <w:b/>
          <w:color w:val="auto"/>
          <w:sz w:val="30"/>
          <w:szCs w:val="30"/>
          <w:highlight w:val="none"/>
          <w:u w:val="thick"/>
          <w:lang w:val="en-US" w:eastAsia="zh-CN"/>
        </w:rPr>
        <w:t>金圆大厦（2018G03地块）</w:t>
      </w:r>
      <w:r>
        <w:rPr>
          <w:rFonts w:hint="eastAsia" w:ascii="仿宋_GB2312"/>
          <w:b/>
          <w:color w:val="auto"/>
          <w:sz w:val="30"/>
          <w:szCs w:val="30"/>
          <w:highlight w:val="none"/>
          <w:u w:val="thick"/>
          <w:lang w:val="en-US" w:eastAsia="zh-CN"/>
        </w:rPr>
        <w:t xml:space="preserve">  </w:t>
      </w:r>
      <w:r>
        <w:rPr>
          <w:rFonts w:ascii="仿宋_GB2312"/>
          <w:b/>
          <w:color w:val="auto"/>
          <w:sz w:val="30"/>
          <w:szCs w:val="30"/>
          <w:highlight w:val="none"/>
          <w:u w:val="thick"/>
        </w:rPr>
        <w:t xml:space="preserve"> </w:t>
      </w:r>
    </w:p>
    <w:p w14:paraId="60DBF00C"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color w:val="auto"/>
          <w:highlight w:val="none"/>
        </w:rPr>
      </w:pPr>
    </w:p>
    <w:p w14:paraId="0E309059"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  <w:color w:val="auto"/>
          <w:highlight w:val="none"/>
        </w:rPr>
      </w:pPr>
      <w:r>
        <w:rPr>
          <w:rFonts w:hint="eastAsia" w:hAnsi="宋体"/>
          <w:b/>
          <w:color w:val="auto"/>
          <w:highlight w:val="none"/>
        </w:rPr>
        <w:t>申报单位</w:t>
      </w:r>
      <w:r>
        <w:rPr>
          <w:rFonts w:ascii="仿宋" w:hAnsi="仿宋" w:eastAsia="仿宋"/>
          <w:b/>
          <w:color w:val="auto"/>
          <w:sz w:val="24"/>
          <w:szCs w:val="24"/>
          <w:highlight w:val="none"/>
          <w:u w:val="thick"/>
        </w:rPr>
        <w:t xml:space="preserve"> </w:t>
      </w:r>
      <w:bookmarkStart w:id="0" w:name="_Hlk92986736"/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  <w:u w:val="thick"/>
          <w:lang w:val="en-US" w:eastAsia="zh-CN"/>
        </w:rPr>
        <w:t xml:space="preserve">  </w:t>
      </w:r>
      <w:r>
        <w:rPr>
          <w:rFonts w:hint="eastAsia" w:ascii="仿宋_GB2312" w:eastAsia="仿宋"/>
          <w:b/>
          <w:color w:val="auto"/>
          <w:sz w:val="30"/>
          <w:szCs w:val="30"/>
          <w:highlight w:val="none"/>
          <w:u w:val="thick"/>
          <w:lang w:val="en-US" w:eastAsia="zh-CN"/>
        </w:rPr>
        <w:t>厦门金圆投资集团有限公司</w:t>
      </w:r>
      <w:r>
        <w:rPr>
          <w:rFonts w:hint="eastAsia" w:ascii="仿宋_GB2312"/>
          <w:b/>
          <w:color w:val="auto"/>
          <w:sz w:val="30"/>
          <w:szCs w:val="30"/>
          <w:highlight w:val="none"/>
          <w:u w:val="thick"/>
          <w:lang w:val="en-US" w:eastAsia="zh-CN"/>
        </w:rPr>
        <w:t xml:space="preserve">  </w:t>
      </w:r>
      <w:r>
        <w:rPr>
          <w:rFonts w:hint="eastAsia" w:ascii="仿宋_GB2312" w:hAnsi="仿宋" w:cs="宋体"/>
          <w:b/>
          <w:color w:val="auto"/>
          <w:szCs w:val="32"/>
          <w:highlight w:val="none"/>
          <w:u w:val="thick"/>
        </w:rPr>
        <w:t xml:space="preserve"> </w:t>
      </w:r>
      <w:bookmarkEnd w:id="0"/>
      <w:r>
        <w:rPr>
          <w:rFonts w:hint="eastAsia" w:hAnsi="宋体"/>
          <w:b/>
          <w:color w:val="auto"/>
          <w:highlight w:val="none"/>
        </w:rPr>
        <w:t>（盖章）</w:t>
      </w:r>
    </w:p>
    <w:p w14:paraId="1375E801"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  <w:color w:val="auto"/>
          <w:highlight w:val="none"/>
        </w:rPr>
      </w:pPr>
    </w:p>
    <w:p w14:paraId="40FF7D68"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color w:val="auto"/>
          <w:highlight w:val="none"/>
          <w:u w:val="single"/>
        </w:rPr>
      </w:pPr>
      <w:r>
        <w:rPr>
          <w:rFonts w:hint="eastAsia" w:hAnsi="宋体"/>
          <w:b/>
          <w:color w:val="auto"/>
          <w:highlight w:val="none"/>
        </w:rPr>
        <w:t>主管部门</w:t>
      </w:r>
      <w:r>
        <w:rPr>
          <w:rFonts w:ascii="仿宋" w:hAnsi="仿宋" w:eastAsia="仿宋"/>
          <w:b/>
          <w:color w:val="auto"/>
          <w:sz w:val="24"/>
          <w:szCs w:val="24"/>
          <w:highlight w:val="none"/>
          <w:u w:val="thick"/>
        </w:rPr>
        <w:t xml:space="preserve">      </w:t>
      </w:r>
      <w:r>
        <w:rPr>
          <w:rFonts w:hint="eastAsia" w:ascii="仿宋" w:hAnsi="仿宋" w:eastAsia="仿宋"/>
          <w:b/>
          <w:color w:val="auto"/>
          <w:sz w:val="24"/>
          <w:szCs w:val="24"/>
          <w:highlight w:val="none"/>
          <w:u w:val="thick"/>
          <w:lang w:val="en-US" w:eastAsia="zh-CN"/>
        </w:rPr>
        <w:t xml:space="preserve"> </w:t>
      </w:r>
      <w:r>
        <w:rPr>
          <w:rFonts w:ascii="仿宋" w:hAnsi="仿宋" w:eastAsia="仿宋"/>
          <w:b/>
          <w:color w:val="auto"/>
          <w:sz w:val="24"/>
          <w:szCs w:val="24"/>
          <w:highlight w:val="none"/>
          <w:u w:val="thick"/>
        </w:rPr>
        <w:t xml:space="preserve"> </w:t>
      </w:r>
      <w:r>
        <w:rPr>
          <w:rFonts w:hint="eastAsia" w:ascii="仿宋_GB2312" w:eastAsia="仿宋"/>
          <w:b/>
          <w:color w:val="auto"/>
          <w:sz w:val="30"/>
          <w:szCs w:val="30"/>
          <w:highlight w:val="none"/>
          <w:u w:val="thick"/>
          <w:lang w:val="en-US" w:eastAsia="zh-CN"/>
        </w:rPr>
        <w:t>厦门市住房和建设局</w:t>
      </w:r>
      <w:r>
        <w:rPr>
          <w:rFonts w:hint="eastAsia" w:ascii="仿宋_GB2312" w:hAnsi="仿宋" w:cs="宋体"/>
          <w:b/>
          <w:color w:val="auto"/>
          <w:szCs w:val="32"/>
          <w:highlight w:val="none"/>
          <w:u w:val="thick"/>
        </w:rPr>
        <w:t xml:space="preserve"> </w:t>
      </w:r>
      <w:r>
        <w:rPr>
          <w:rFonts w:hint="eastAsia" w:ascii="仿宋_GB2312" w:hAnsi="仿宋" w:cs="宋体"/>
          <w:b/>
          <w:color w:val="auto"/>
          <w:szCs w:val="32"/>
          <w:highlight w:val="none"/>
          <w:u w:val="thick"/>
          <w:lang w:val="en-US" w:eastAsia="zh-CN"/>
        </w:rPr>
        <w:t xml:space="preserve"> </w:t>
      </w:r>
      <w:r>
        <w:rPr>
          <w:rFonts w:ascii="仿宋_GB2312" w:hAnsi="仿宋" w:cs="宋体"/>
          <w:b/>
          <w:color w:val="auto"/>
          <w:szCs w:val="32"/>
          <w:highlight w:val="none"/>
          <w:u w:val="thick"/>
        </w:rPr>
        <w:t xml:space="preserve">  </w:t>
      </w:r>
    </w:p>
    <w:p w14:paraId="399D15CA"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color w:val="auto"/>
          <w:highlight w:val="none"/>
        </w:rPr>
      </w:pPr>
    </w:p>
    <w:p w14:paraId="2D73A930"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  <w:color w:val="auto"/>
          <w:highlight w:val="none"/>
        </w:rPr>
      </w:pPr>
      <w:r>
        <w:rPr>
          <w:rFonts w:hint="eastAsia" w:hAnsi="宋体"/>
          <w:b/>
          <w:color w:val="auto"/>
          <w:highlight w:val="none"/>
        </w:rPr>
        <w:t>申报时间</w:t>
      </w:r>
      <w:r>
        <w:rPr>
          <w:rFonts w:eastAsia="Times New Roman"/>
          <w:b/>
          <w:color w:val="auto"/>
          <w:highlight w:val="none"/>
          <w:u w:val="single"/>
        </w:rPr>
        <w:t xml:space="preserve">  </w:t>
      </w:r>
      <w:r>
        <w:rPr>
          <w:rFonts w:hint="eastAsia" w:ascii="仿宋_GB2312" w:hAnsiTheme="minorEastAsia"/>
          <w:b/>
          <w:color w:val="auto"/>
          <w:highlight w:val="none"/>
          <w:u w:val="single"/>
        </w:rPr>
        <w:t>202</w:t>
      </w:r>
      <w:r>
        <w:rPr>
          <w:rFonts w:hint="eastAsia" w:ascii="仿宋_GB2312" w:hAnsiTheme="minorEastAsia"/>
          <w:b/>
          <w:color w:val="auto"/>
          <w:highlight w:val="none"/>
          <w:u w:val="single"/>
          <w:lang w:val="en-US" w:eastAsia="zh-CN"/>
        </w:rPr>
        <w:t>5</w:t>
      </w:r>
      <w:r>
        <w:rPr>
          <w:rFonts w:asciiTheme="minorEastAsia" w:hAnsiTheme="minorEastAsia" w:eastAsiaTheme="minorEastAsia"/>
          <w:b/>
          <w:color w:val="auto"/>
          <w:highlight w:val="none"/>
          <w:u w:val="single"/>
        </w:rPr>
        <w:t xml:space="preserve"> </w:t>
      </w:r>
      <w:r>
        <w:rPr>
          <w:rFonts w:eastAsia="Times New Roman"/>
          <w:b/>
          <w:color w:val="auto"/>
          <w:highlight w:val="none"/>
          <w:u w:val="single"/>
        </w:rPr>
        <w:t xml:space="preserve">  </w:t>
      </w:r>
      <w:r>
        <w:rPr>
          <w:rFonts w:hint="eastAsia" w:hAnsi="宋体"/>
          <w:b/>
          <w:color w:val="auto"/>
          <w:highlight w:val="none"/>
        </w:rPr>
        <w:t>年</w:t>
      </w:r>
      <w:r>
        <w:rPr>
          <w:rFonts w:eastAsia="Times New Roman"/>
          <w:b/>
          <w:color w:val="auto"/>
          <w:highlight w:val="none"/>
          <w:u w:val="single"/>
        </w:rPr>
        <w:t xml:space="preserve">   </w:t>
      </w:r>
      <w:r>
        <w:rPr>
          <w:rFonts w:hint="eastAsia" w:eastAsia="宋体"/>
          <w:b/>
          <w:color w:val="auto"/>
          <w:highlight w:val="none"/>
          <w:u w:val="single"/>
          <w:lang w:val="en-US" w:eastAsia="zh-CN"/>
        </w:rPr>
        <w:t>12</w:t>
      </w:r>
      <w:r>
        <w:rPr>
          <w:rFonts w:eastAsia="Times New Roman"/>
          <w:b/>
          <w:color w:val="auto"/>
          <w:highlight w:val="none"/>
          <w:u w:val="single"/>
        </w:rPr>
        <w:t xml:space="preserve">   </w:t>
      </w:r>
      <w:r>
        <w:rPr>
          <w:rFonts w:hint="eastAsia" w:hAnsi="宋体"/>
          <w:b/>
          <w:color w:val="auto"/>
          <w:highlight w:val="none"/>
        </w:rPr>
        <w:t>月</w:t>
      </w:r>
      <w:r>
        <w:rPr>
          <w:rFonts w:eastAsia="Times New Roman"/>
          <w:b/>
          <w:color w:val="auto"/>
          <w:highlight w:val="none"/>
          <w:u w:val="single"/>
        </w:rPr>
        <w:t xml:space="preserve">   </w:t>
      </w:r>
      <w:r>
        <w:rPr>
          <w:rFonts w:hint="eastAsia" w:eastAsia="宋体"/>
          <w:b/>
          <w:color w:val="auto"/>
          <w:highlight w:val="none"/>
          <w:u w:val="single"/>
          <w:lang w:val="en-US" w:eastAsia="zh-CN"/>
        </w:rPr>
        <w:t xml:space="preserve">15 </w:t>
      </w:r>
      <w:r>
        <w:rPr>
          <w:rFonts w:hint="eastAsia" w:ascii="仿宋_GB2312"/>
          <w:b/>
          <w:color w:val="auto"/>
          <w:highlight w:val="none"/>
          <w:u w:val="single"/>
        </w:rPr>
        <w:t xml:space="preserve"> </w:t>
      </w:r>
      <w:r>
        <w:rPr>
          <w:rFonts w:eastAsia="Times New Roman"/>
          <w:b/>
          <w:color w:val="auto"/>
          <w:highlight w:val="none"/>
          <w:u w:val="single"/>
        </w:rPr>
        <w:t xml:space="preserve">  </w:t>
      </w:r>
      <w:r>
        <w:rPr>
          <w:rFonts w:hint="eastAsia" w:hAnsi="宋体"/>
          <w:b/>
          <w:color w:val="auto"/>
          <w:highlight w:val="none"/>
        </w:rPr>
        <w:t>日</w:t>
      </w:r>
    </w:p>
    <w:p w14:paraId="04BC22C3"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  <w:color w:val="auto"/>
          <w:highlight w:val="none"/>
        </w:rPr>
      </w:pPr>
    </w:p>
    <w:p w14:paraId="7E111027">
      <w:pPr>
        <w:tabs>
          <w:tab w:val="left" w:pos="6580"/>
          <w:tab w:val="left" w:pos="6780"/>
        </w:tabs>
        <w:rPr>
          <w:rFonts w:eastAsia="Times New Roman"/>
          <w:b/>
          <w:color w:val="auto"/>
          <w:highlight w:val="none"/>
        </w:rPr>
      </w:pPr>
    </w:p>
    <w:p w14:paraId="2C97121B">
      <w:pPr>
        <w:tabs>
          <w:tab w:val="left" w:pos="6580"/>
          <w:tab w:val="left" w:pos="6780"/>
        </w:tabs>
        <w:rPr>
          <w:rFonts w:eastAsia="Times New Roman"/>
          <w:b/>
          <w:color w:val="auto"/>
          <w:highlight w:val="none"/>
        </w:rPr>
      </w:pPr>
    </w:p>
    <w:p w14:paraId="5BAE1A80">
      <w:pPr>
        <w:spacing w:line="440" w:lineRule="atLeast"/>
        <w:jc w:val="center"/>
        <w:rPr>
          <w:rFonts w:ascii="方正小标宋简体" w:eastAsia="方正小标宋简体"/>
          <w:bCs/>
          <w:color w:val="auto"/>
          <w:sz w:val="44"/>
          <w:highlight w:val="none"/>
        </w:rPr>
      </w:pPr>
      <w:r>
        <w:rPr>
          <w:rFonts w:eastAsia="Times New Roman"/>
          <w:bCs/>
          <w:color w:val="auto"/>
          <w:sz w:val="44"/>
          <w:highlight w:val="none"/>
        </w:rPr>
        <w:br w:type="page"/>
      </w:r>
      <w:r>
        <w:rPr>
          <w:rFonts w:hint="eastAsia" w:ascii="方正小标宋简体" w:hAnsi="黑体" w:eastAsia="方正小标宋简体"/>
          <w:bCs/>
          <w:color w:val="auto"/>
          <w:sz w:val="44"/>
          <w:highlight w:val="none"/>
        </w:rPr>
        <w:t>填写说明</w:t>
      </w:r>
    </w:p>
    <w:p w14:paraId="48988E89">
      <w:pPr>
        <w:spacing w:line="440" w:lineRule="atLeast"/>
        <w:jc w:val="center"/>
        <w:rPr>
          <w:rFonts w:eastAsia="黑体"/>
          <w:bCs/>
          <w:color w:val="auto"/>
          <w:sz w:val="44"/>
          <w:highlight w:val="none"/>
        </w:rPr>
      </w:pPr>
    </w:p>
    <w:p w14:paraId="26F538F2">
      <w:pPr>
        <w:spacing w:line="360" w:lineRule="auto"/>
        <w:ind w:firstLine="640" w:firstLineChars="200"/>
        <w:rPr>
          <w:color w:val="auto"/>
          <w:szCs w:val="32"/>
          <w:highlight w:val="none"/>
        </w:rPr>
      </w:pPr>
      <w:r>
        <w:rPr>
          <w:color w:val="auto"/>
          <w:szCs w:val="32"/>
          <w:highlight w:val="none"/>
        </w:rPr>
        <w:t>1</w:t>
      </w:r>
      <w:r>
        <w:rPr>
          <w:rFonts w:hint="eastAsia" w:hAnsi="仿宋_GB2312"/>
          <w:color w:val="auto"/>
          <w:szCs w:val="32"/>
          <w:highlight w:val="none"/>
        </w:rPr>
        <w:t>．申报表一律采用小四号仿宋字体填写，以</w:t>
      </w:r>
      <w:r>
        <w:rPr>
          <w:color w:val="auto"/>
          <w:szCs w:val="32"/>
          <w:highlight w:val="none"/>
        </w:rPr>
        <w:t>A4</w:t>
      </w:r>
      <w:r>
        <w:rPr>
          <w:rFonts w:hint="eastAsia" w:hAnsi="仿宋_GB2312"/>
          <w:color w:val="auto"/>
          <w:szCs w:val="32"/>
          <w:highlight w:val="none"/>
        </w:rPr>
        <w:t>纸打印，一式四份。</w:t>
      </w:r>
    </w:p>
    <w:p w14:paraId="6D0528E3">
      <w:pPr>
        <w:spacing w:line="360" w:lineRule="auto"/>
        <w:ind w:firstLine="640" w:firstLineChars="200"/>
        <w:rPr>
          <w:color w:val="auto"/>
          <w:szCs w:val="32"/>
          <w:highlight w:val="none"/>
        </w:rPr>
      </w:pPr>
      <w:r>
        <w:rPr>
          <w:color w:val="auto"/>
          <w:szCs w:val="32"/>
          <w:highlight w:val="none"/>
        </w:rPr>
        <w:t>2</w:t>
      </w:r>
      <w:r>
        <w:rPr>
          <w:rFonts w:hint="eastAsia" w:hAnsi="仿宋_GB2312"/>
          <w:color w:val="auto"/>
          <w:szCs w:val="32"/>
          <w:highlight w:val="none"/>
        </w:rPr>
        <w:t>．申报表封面的</w:t>
      </w:r>
      <w:r>
        <w:rPr>
          <w:color w:val="auto"/>
          <w:szCs w:val="32"/>
          <w:highlight w:val="none"/>
        </w:rPr>
        <w:t>“</w:t>
      </w:r>
      <w:r>
        <w:rPr>
          <w:rFonts w:hint="eastAsia" w:hAnsi="仿宋_GB2312"/>
          <w:color w:val="auto"/>
          <w:szCs w:val="32"/>
          <w:highlight w:val="none"/>
        </w:rPr>
        <w:t>项目名称</w:t>
      </w:r>
      <w:r>
        <w:rPr>
          <w:color w:val="auto"/>
          <w:szCs w:val="32"/>
          <w:highlight w:val="none"/>
        </w:rPr>
        <w:t>”</w:t>
      </w:r>
      <w:r>
        <w:rPr>
          <w:rFonts w:hint="eastAsia" w:hAnsi="仿宋_GB2312"/>
          <w:color w:val="auto"/>
          <w:szCs w:val="32"/>
          <w:highlight w:val="none"/>
        </w:rPr>
        <w:t>与施工许可证的</w:t>
      </w:r>
      <w:r>
        <w:rPr>
          <w:color w:val="auto"/>
          <w:szCs w:val="32"/>
          <w:highlight w:val="none"/>
        </w:rPr>
        <w:t>“</w:t>
      </w:r>
      <w:r>
        <w:rPr>
          <w:rFonts w:hint="eastAsia" w:hAnsi="仿宋_GB2312"/>
          <w:color w:val="auto"/>
          <w:szCs w:val="32"/>
          <w:highlight w:val="none"/>
        </w:rPr>
        <w:t>工程名称</w:t>
      </w:r>
      <w:r>
        <w:rPr>
          <w:color w:val="auto"/>
          <w:szCs w:val="32"/>
          <w:highlight w:val="none"/>
        </w:rPr>
        <w:t>”</w:t>
      </w:r>
      <w:r>
        <w:rPr>
          <w:rFonts w:hint="eastAsia" w:hAnsi="仿宋_GB2312"/>
          <w:color w:val="auto"/>
          <w:szCs w:val="32"/>
          <w:highlight w:val="none"/>
        </w:rPr>
        <w:t>应一致。</w:t>
      </w:r>
    </w:p>
    <w:p w14:paraId="58040B8D">
      <w:pPr>
        <w:spacing w:line="360" w:lineRule="auto"/>
        <w:ind w:firstLine="640" w:firstLineChars="200"/>
        <w:rPr>
          <w:color w:val="auto"/>
          <w:szCs w:val="32"/>
          <w:highlight w:val="none"/>
        </w:rPr>
      </w:pPr>
      <w:r>
        <w:rPr>
          <w:color w:val="auto"/>
          <w:szCs w:val="32"/>
          <w:highlight w:val="none"/>
        </w:rPr>
        <w:t>3</w:t>
      </w:r>
      <w:r>
        <w:rPr>
          <w:rFonts w:hint="eastAsia"/>
          <w:color w:val="auto"/>
          <w:szCs w:val="32"/>
          <w:highlight w:val="none"/>
        </w:rPr>
        <w:t>．</w:t>
      </w:r>
      <w:r>
        <w:rPr>
          <w:rFonts w:hint="eastAsia" w:hAnsi="仿宋_GB2312"/>
          <w:color w:val="auto"/>
          <w:szCs w:val="32"/>
          <w:highlight w:val="none"/>
        </w:rPr>
        <w:t>项目涉及的设计、施工、监理、部品部件生产单位暂未确定的填写</w:t>
      </w:r>
      <w:r>
        <w:rPr>
          <w:color w:val="auto"/>
          <w:szCs w:val="32"/>
          <w:highlight w:val="none"/>
        </w:rPr>
        <w:t>“</w:t>
      </w:r>
      <w:r>
        <w:rPr>
          <w:rFonts w:hint="eastAsia" w:hAnsi="仿宋_GB2312"/>
          <w:color w:val="auto"/>
          <w:szCs w:val="32"/>
          <w:highlight w:val="none"/>
        </w:rPr>
        <w:t>未确定</w:t>
      </w:r>
      <w:r>
        <w:rPr>
          <w:color w:val="auto"/>
          <w:szCs w:val="32"/>
          <w:highlight w:val="none"/>
        </w:rPr>
        <w:t>”</w:t>
      </w:r>
      <w:r>
        <w:rPr>
          <w:rFonts w:hint="eastAsia" w:hAnsi="仿宋_GB2312"/>
          <w:color w:val="auto"/>
          <w:szCs w:val="32"/>
          <w:highlight w:val="none"/>
        </w:rPr>
        <w:t>。</w:t>
      </w:r>
    </w:p>
    <w:p w14:paraId="664AF04C">
      <w:pPr>
        <w:spacing w:line="360" w:lineRule="auto"/>
        <w:ind w:firstLine="640" w:firstLineChars="200"/>
        <w:rPr>
          <w:color w:val="auto"/>
          <w:szCs w:val="32"/>
          <w:highlight w:val="none"/>
        </w:rPr>
      </w:pPr>
    </w:p>
    <w:p w14:paraId="3C332AA9">
      <w:pPr>
        <w:spacing w:line="360" w:lineRule="auto"/>
        <w:ind w:firstLine="640" w:firstLineChars="200"/>
        <w:rPr>
          <w:color w:val="auto"/>
          <w:szCs w:val="32"/>
          <w:highlight w:val="none"/>
        </w:rPr>
      </w:pPr>
    </w:p>
    <w:p w14:paraId="28D70ACB">
      <w:pPr>
        <w:spacing w:line="360" w:lineRule="auto"/>
        <w:ind w:firstLine="640" w:firstLineChars="200"/>
        <w:rPr>
          <w:color w:val="auto"/>
          <w:szCs w:val="32"/>
          <w:highlight w:val="none"/>
        </w:rPr>
      </w:pPr>
    </w:p>
    <w:p w14:paraId="5D04D5A2">
      <w:pPr>
        <w:spacing w:line="240" w:lineRule="atLeast"/>
        <w:rPr>
          <w:color w:val="auto"/>
          <w:sz w:val="30"/>
          <w:szCs w:val="22"/>
          <w:highlight w:val="none"/>
        </w:rPr>
      </w:pPr>
    </w:p>
    <w:p w14:paraId="109CDCF1">
      <w:pPr>
        <w:spacing w:line="240" w:lineRule="atLeast"/>
        <w:rPr>
          <w:color w:val="auto"/>
          <w:sz w:val="30"/>
          <w:highlight w:val="none"/>
        </w:rPr>
      </w:pPr>
    </w:p>
    <w:p w14:paraId="7A367C48">
      <w:pPr>
        <w:spacing w:line="240" w:lineRule="atLeast"/>
        <w:rPr>
          <w:color w:val="auto"/>
          <w:sz w:val="30"/>
          <w:highlight w:val="none"/>
        </w:rPr>
      </w:pPr>
    </w:p>
    <w:p w14:paraId="168BB8F5">
      <w:pPr>
        <w:spacing w:line="240" w:lineRule="atLeast"/>
        <w:rPr>
          <w:color w:val="auto"/>
          <w:sz w:val="30"/>
          <w:highlight w:val="none"/>
        </w:rPr>
      </w:pPr>
    </w:p>
    <w:p w14:paraId="73C4D4B3">
      <w:pPr>
        <w:spacing w:line="240" w:lineRule="atLeast"/>
        <w:rPr>
          <w:color w:val="auto"/>
          <w:sz w:val="30"/>
          <w:highlight w:val="none"/>
        </w:rPr>
      </w:pPr>
    </w:p>
    <w:p w14:paraId="5B018EC6">
      <w:pPr>
        <w:spacing w:line="240" w:lineRule="atLeast"/>
        <w:rPr>
          <w:color w:val="auto"/>
          <w:sz w:val="30"/>
          <w:highlight w:val="none"/>
        </w:rPr>
      </w:pPr>
    </w:p>
    <w:p w14:paraId="0E4424E9">
      <w:pPr>
        <w:spacing w:line="240" w:lineRule="atLeast"/>
        <w:rPr>
          <w:color w:val="auto"/>
          <w:sz w:val="30"/>
          <w:highlight w:val="none"/>
        </w:rPr>
      </w:pPr>
      <w:r>
        <w:rPr>
          <w:color w:val="auto"/>
          <w:sz w:val="30"/>
          <w:highlight w:val="none"/>
        </w:rPr>
        <w:br w:type="page"/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961"/>
        <w:gridCol w:w="247"/>
        <w:gridCol w:w="1329"/>
        <w:gridCol w:w="1"/>
        <w:gridCol w:w="1"/>
        <w:gridCol w:w="331"/>
        <w:gridCol w:w="540"/>
        <w:gridCol w:w="2"/>
        <w:gridCol w:w="696"/>
        <w:gridCol w:w="777"/>
        <w:gridCol w:w="7"/>
        <w:gridCol w:w="702"/>
        <w:gridCol w:w="750"/>
        <w:gridCol w:w="750"/>
        <w:gridCol w:w="763"/>
      </w:tblGrid>
      <w:tr w14:paraId="769A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9C93F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 xml:space="preserve">一、项目基本情况 </w:t>
            </w:r>
          </w:p>
        </w:tc>
      </w:tr>
      <w:tr w14:paraId="27E79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6474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建筑类型</w:t>
            </w:r>
          </w:p>
        </w:tc>
        <w:tc>
          <w:tcPr>
            <w:tcW w:w="3901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29875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 w:firstLine="480" w:firstLineChars="20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居住建筑  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公共建筑   □其他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（选项打☑，下同）</w:t>
            </w:r>
          </w:p>
        </w:tc>
      </w:tr>
      <w:tr w14:paraId="42C64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F4764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评价依据</w:t>
            </w:r>
          </w:p>
        </w:tc>
        <w:tc>
          <w:tcPr>
            <w:tcW w:w="3901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0BF31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☑《福建省装配式建筑评价标准》(DBJ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T13-426-2023)</w:t>
            </w:r>
          </w:p>
          <w:p w14:paraId="0CC2C0E2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《装配式建筑评价标准》(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G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B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T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51129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-20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)</w:t>
            </w:r>
          </w:p>
          <w:p w14:paraId="33A00B75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□其他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</w:t>
            </w:r>
          </w:p>
          <w:p w14:paraId="45E139A3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592E00EF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6C64C39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E329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B9CCC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申请评价阶段</w:t>
            </w:r>
          </w:p>
        </w:tc>
        <w:tc>
          <w:tcPr>
            <w:tcW w:w="3901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74051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 w:firstLine="1200" w:firstLineChars="5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设计阶段预评价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施工阶段评价</w:t>
            </w:r>
          </w:p>
        </w:tc>
      </w:tr>
      <w:tr w14:paraId="5F41B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E4A6C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901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60FC2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  <w:t>金圆大厦（2018G03地块）</w:t>
            </w:r>
          </w:p>
        </w:tc>
      </w:tr>
      <w:tr w14:paraId="1DB5B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A977A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3901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BE2B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福建省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厦门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湖里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金钟路与圆二路交叉口西南侧</w:t>
            </w:r>
          </w:p>
        </w:tc>
      </w:tr>
      <w:tr w14:paraId="551C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6EC97F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实施</w:t>
            </w:r>
            <w:bookmarkStart w:id="1" w:name="_GoBack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装配式建造</w:t>
            </w:r>
            <w:bookmarkEnd w:id="1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C164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装配式建筑栋号</w:t>
            </w:r>
          </w:p>
        </w:tc>
        <w:tc>
          <w:tcPr>
            <w:tcW w:w="78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FD09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结构类型</w:t>
            </w:r>
          </w:p>
        </w:tc>
        <w:tc>
          <w:tcPr>
            <w:tcW w:w="51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53E2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建筑面积</w:t>
            </w:r>
          </w:p>
          <w:p w14:paraId="75A9F8B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（m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8582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主体</w:t>
            </w:r>
          </w:p>
          <w:p w14:paraId="4B6E3AA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结构Q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subscript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得分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B829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vertAlign w:val="subscript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围护墙和内隔墙Q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subscript"/>
              </w:rPr>
              <w:t>2</w:t>
            </w:r>
          </w:p>
          <w:p w14:paraId="04A5789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得分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6EE7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vertAlign w:val="subscript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装修与设备管线Q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subscript"/>
              </w:rPr>
              <w:t>3</w:t>
            </w:r>
          </w:p>
          <w:p w14:paraId="22DAC81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得分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1489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技术</w:t>
            </w:r>
          </w:p>
          <w:p w14:paraId="3367750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创新Q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subscript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得分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D02D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单体</w:t>
            </w:r>
          </w:p>
          <w:p w14:paraId="1772FE3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建筑</w:t>
            </w:r>
          </w:p>
          <w:p w14:paraId="0132122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装配率（%）</w:t>
            </w:r>
          </w:p>
        </w:tc>
        <w:tc>
          <w:tcPr>
            <w:tcW w:w="4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AB27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评价</w:t>
            </w:r>
          </w:p>
          <w:p w14:paraId="63F99C3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等级</w:t>
            </w:r>
          </w:p>
        </w:tc>
      </w:tr>
      <w:tr w14:paraId="21E45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7F07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F9260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  <w:t>金圆大厦</w:t>
            </w:r>
          </w:p>
        </w:tc>
        <w:tc>
          <w:tcPr>
            <w:tcW w:w="780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5C009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240" w:right="0" w:hanging="240" w:hangingChars="10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装配式混凝土</w:t>
            </w:r>
          </w:p>
          <w:p w14:paraId="6551168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51DD72C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240" w:right="0" w:hanging="240" w:hangingChars="10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装配式钢结构</w:t>
            </w:r>
          </w:p>
          <w:p w14:paraId="2C7B39B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76BA51D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□ 装配式木结构</w:t>
            </w:r>
          </w:p>
          <w:p w14:paraId="0C8DC04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60E305B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装配式混合结构</w:t>
            </w:r>
          </w:p>
        </w:tc>
        <w:tc>
          <w:tcPr>
            <w:tcW w:w="51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80184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117836.42</w:t>
            </w: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FA5FF0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50.0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FA92A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1D2C4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54C472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9B9EB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91</w:t>
            </w:r>
          </w:p>
        </w:tc>
        <w:tc>
          <w:tcPr>
            <w:tcW w:w="4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A54FD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AAA级</w:t>
            </w:r>
          </w:p>
        </w:tc>
      </w:tr>
      <w:tr w14:paraId="5C2C7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33B5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1894B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80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398F1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D6B6E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5C58E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6BBF1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A30DB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EE390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7A26A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B0CC1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78CD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AF56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A4EB3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80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A79565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AB3CC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1B62A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9C9747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AD9B9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EC0F42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EDF7D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192672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F058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90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E4FA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63E4CE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80" w:type="pct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E670B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4B0FCB1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47B74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12B7F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D8BA40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C8D91B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D735A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20F43D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9BA4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5C15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建设单位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0E10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厦门金圆投资集团有限公司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8061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E3BE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/</w:t>
            </w:r>
          </w:p>
        </w:tc>
      </w:tr>
      <w:tr w14:paraId="6C1B0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F96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DE06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instrText xml:space="preserve"> HYPERLINK "https://cn.bing.com/maps?&amp;mepi=0~~Embedded~Address_Link&amp;ty=18&amp;q=%E5%8E%A6%E9%97%A8%E9%87%91%E5%9C%86%E6%8A%95%E8%B5%84%E9%9B%86%E5%9B%A2%E6%9C%89%E9%99%90%E5%85%AC%E5%8F%B8&amp;ss=ypid.YN4067x2617669821513815640&amp;ppois=24.474836349487305_118.19074249267578_%E5%8E%A6%E9%97%A8%E9%87%91%E5%9C%86%E6%8A%95%E8%B5%84%E9%9B%86%E5%9B%A2%E6%9C%89%E9%99%90%E5%85%AC%E5%8F%B8_YN4067x2617669821513815640~&amp;cp=n2c6rxtvg953&amp;v=2&amp;sV=1&amp;FORM=MPSRPL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福建省厦门市思明区展鸿路82号厦门国际金融中心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fldChar w:fldCharType="end"/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F752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5A19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361000</w:t>
            </w:r>
          </w:p>
        </w:tc>
      </w:tr>
      <w:tr w14:paraId="0661B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D9F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F83C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黄凌山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41E5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E1CE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68A8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39E3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13799745177</w:t>
            </w:r>
          </w:p>
        </w:tc>
      </w:tr>
      <w:tr w14:paraId="052F8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AA3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BEFA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黄凌山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DC33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859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7A36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A5A0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13799745177</w:t>
            </w:r>
          </w:p>
        </w:tc>
      </w:tr>
      <w:tr w14:paraId="6C0DD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EE2B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代建单位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FA20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厦门两岸金融中心建设开发有限公司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8C68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37F9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/</w:t>
            </w:r>
          </w:p>
        </w:tc>
      </w:tr>
      <w:tr w14:paraId="472C7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71B3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3826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厦门市湖里区五通西路979号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2E78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600A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361011</w:t>
            </w:r>
          </w:p>
        </w:tc>
      </w:tr>
      <w:tr w14:paraId="1022C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BCB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35D4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郭祺毅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BC63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FA79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9395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8C82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13799789916</w:t>
            </w:r>
          </w:p>
        </w:tc>
      </w:tr>
      <w:tr w14:paraId="312F8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1886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C107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肖成辉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B7A0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B01D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860C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2550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18859736636</w:t>
            </w:r>
          </w:p>
        </w:tc>
      </w:tr>
      <w:tr w14:paraId="1915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F7D1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设计单位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C564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中国中元国际工程有限公司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A9F0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D169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</w:tr>
      <w:tr w14:paraId="19BC9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3BE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94D8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北京市海淀区西三环北路5号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1E80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0882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100048</w:t>
            </w:r>
          </w:p>
        </w:tc>
      </w:tr>
      <w:tr w14:paraId="69262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8BFE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6C5D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陈自明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0C06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23D8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D1C2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2B2D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13366059856</w:t>
            </w:r>
          </w:p>
        </w:tc>
      </w:tr>
      <w:tr w14:paraId="12247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B2C7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4F27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陈自明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AFF2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7464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025E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B60B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13366059856</w:t>
            </w:r>
          </w:p>
        </w:tc>
      </w:tr>
      <w:tr w14:paraId="6FBB3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5B66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设计单位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56AF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中元（厦门）工程设计研究院有限公司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8674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E509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</w:tr>
      <w:tr w14:paraId="0CF1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4E0B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0D6F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厦门市思明区厦禾路668号海翼大厦B栋11层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834A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29BE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361001</w:t>
            </w:r>
          </w:p>
        </w:tc>
      </w:tr>
      <w:tr w14:paraId="47EF1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2823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E0F8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赖艳芳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5A25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481E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47A8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5435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15359241599</w:t>
            </w:r>
          </w:p>
        </w:tc>
      </w:tr>
      <w:tr w14:paraId="5859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48B5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A14D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赖艳芳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1C17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3972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68A2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A6BC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15359241599</w:t>
            </w:r>
          </w:p>
        </w:tc>
      </w:tr>
      <w:tr w14:paraId="4BD8D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7A45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深化设计单位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AA36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中国中元国际工程有限公司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508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2D67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</w:tr>
      <w:tr w14:paraId="735D3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84D5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BC50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北京市海淀区西三环北路5号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97AC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19BC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100048</w:t>
            </w:r>
          </w:p>
        </w:tc>
      </w:tr>
      <w:tr w14:paraId="1F526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D872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DB70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陈自明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ADB3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400C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A827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3B6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13366059856</w:t>
            </w:r>
          </w:p>
        </w:tc>
      </w:tr>
      <w:tr w14:paraId="055F2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653F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5F14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陈自明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8778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FFD8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982B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B0CA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13366059856</w:t>
            </w:r>
          </w:p>
        </w:tc>
      </w:tr>
      <w:tr w14:paraId="42F5E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5F1F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深化设计单位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6B9A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中元（厦门）工程设计研究院有限公司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A303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3802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</w:tr>
      <w:tr w14:paraId="754BD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E509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FBBE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厦门市思明区厦禾路668号海翼大厦B栋11层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7767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680A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361001</w:t>
            </w:r>
          </w:p>
        </w:tc>
      </w:tr>
      <w:tr w14:paraId="087B6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CFEB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F96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赖艳芳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4411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7013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B8DD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204F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15359241599</w:t>
            </w:r>
          </w:p>
        </w:tc>
      </w:tr>
      <w:tr w14:paraId="24305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5247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5A6B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赖艳芳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5877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EC9D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BA3B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87A7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15359241599</w:t>
            </w:r>
          </w:p>
        </w:tc>
      </w:tr>
      <w:tr w14:paraId="51A55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059A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施工单位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99C0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中国建筑一局（集团）有限公司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750A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7B29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</w:tr>
      <w:tr w14:paraId="6EA0C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AB46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494E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7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北京市丰台区西四环南路52号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0C72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697E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" w:bidi="ar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10071</w:t>
            </w:r>
          </w:p>
        </w:tc>
      </w:tr>
      <w:tr w14:paraId="0331C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3B6E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BF9F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常利军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5FED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E3FE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90CE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89A8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" w:bidi="ar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13799271225</w:t>
            </w:r>
          </w:p>
        </w:tc>
      </w:tr>
      <w:tr w14:paraId="65373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F3FB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7848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李津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05C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964D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83E9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4159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13559411253</w:t>
            </w:r>
          </w:p>
        </w:tc>
      </w:tr>
      <w:tr w14:paraId="553E0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50F7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监理单位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402EA">
            <w:pPr>
              <w:pStyle w:val="6"/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pacing w:before="0" w:beforeAutospacing="0" w:after="60" w:afterAutospacing="0" w:line="36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福建越众日盛建设咨询有限公司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846D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D0E8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</w:tr>
      <w:tr w14:paraId="4A62E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09E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1A30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1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福建省莆田市城厢区商务大楼21层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06D3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000F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351100</w:t>
            </w:r>
          </w:p>
        </w:tc>
      </w:tr>
      <w:tr w14:paraId="647AB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FA46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10A1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林文辉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022E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F0A1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9234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A397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13709346996</w:t>
            </w:r>
          </w:p>
        </w:tc>
      </w:tr>
      <w:tr w14:paraId="72EBC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9B01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38D8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"/>
                <w:woUserID w:val="1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林永航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8BDF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9A61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7C042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4BF6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1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13205073731</w:t>
            </w:r>
          </w:p>
        </w:tc>
      </w:tr>
      <w:tr w14:paraId="0C693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3189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部品部件生产单位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3D7A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浙江东南网架股份有限公司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FE60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2866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0571-82782183</w:t>
            </w:r>
          </w:p>
        </w:tc>
      </w:tr>
      <w:tr w14:paraId="3E01C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6305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9630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杭州市萧山区衙前镇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3773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1836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311209</w:t>
            </w:r>
          </w:p>
        </w:tc>
      </w:tr>
      <w:tr w14:paraId="730C4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C125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负责人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1370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何鹏程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7C87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BAF1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B8E7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B39C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15168214830</w:t>
            </w:r>
          </w:p>
        </w:tc>
      </w:tr>
      <w:tr w14:paraId="5CA4B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C0028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联系人</w:t>
            </w:r>
          </w:p>
        </w:tc>
        <w:tc>
          <w:tcPr>
            <w:tcW w:w="7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D5C1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10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王观军</w:t>
            </w:r>
          </w:p>
        </w:tc>
        <w:tc>
          <w:tcPr>
            <w:tcW w:w="51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0A47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E84D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1281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B212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10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15224019061</w:t>
            </w:r>
          </w:p>
        </w:tc>
      </w:tr>
      <w:tr w14:paraId="7BBB9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7D90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"/>
              </w:rPr>
              <w:t>部品部件生产单位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4C5D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福建金砖建设工程有限公司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7DD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传真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5DF0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</w:tr>
      <w:tr w14:paraId="31B86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9AF5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通讯地址</w:t>
            </w:r>
          </w:p>
        </w:tc>
        <w:tc>
          <w:tcPr>
            <w:tcW w:w="2157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895D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台商投资区角美镇角嵩路2号41号楼605室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C833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邮编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0BDF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363107</w:t>
            </w:r>
          </w:p>
        </w:tc>
      </w:tr>
      <w:tr w14:paraId="6F3F3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FEF3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负责人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D71C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郑建煌</w:t>
            </w:r>
          </w:p>
        </w:tc>
        <w:tc>
          <w:tcPr>
            <w:tcW w:w="51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8196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28DB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F138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99C4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</w:tr>
      <w:tr w14:paraId="71ED7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B766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联系人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FA79B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文兵</w:t>
            </w:r>
          </w:p>
        </w:tc>
        <w:tc>
          <w:tcPr>
            <w:tcW w:w="51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E7AF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电话</w:t>
            </w:r>
          </w:p>
        </w:tc>
        <w:tc>
          <w:tcPr>
            <w:tcW w:w="8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4ED7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/</w:t>
            </w:r>
          </w:p>
        </w:tc>
        <w:tc>
          <w:tcPr>
            <w:tcW w:w="4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5887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>手机</w:t>
            </w:r>
          </w:p>
        </w:tc>
        <w:tc>
          <w:tcPr>
            <w:tcW w:w="132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92AC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"/>
              </w:rPr>
              <w:t xml:space="preserve"> 13959297134 </w:t>
            </w:r>
          </w:p>
        </w:tc>
      </w:tr>
      <w:tr w14:paraId="20138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FA81B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/>
                <w:color w:val="auto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>、单位工程概况</w:t>
            </w:r>
          </w:p>
        </w:tc>
      </w:tr>
      <w:tr w14:paraId="76C6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131EA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255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本项目位于福建省厦门市湖里区金钟路与圆二路交叉口西南侧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。</w:t>
            </w:r>
          </w:p>
          <w:p w14:paraId="667246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本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总建筑面积117836.42㎡，地上建筑面积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2"/>
              </w:rPr>
              <w:t>91432.10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㎡，地下室建筑面积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2"/>
              </w:rPr>
              <w:t>26404.32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㎡。金圆大厦（2018G03地块）由1栋超高层、4层地下室组成，结构体系为钢管混凝土钢框架-钢筋混凝土核心筒。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  <w:woUserID w:val="1"/>
              </w:rPr>
              <w:t>本项目自愿实施装配建造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lang w:val="en-US" w:eastAsia="zh-CN"/>
              </w:rPr>
              <w:t>，装配式建筑面积合计117836.42㎡。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预制构件为竖向构件、钢筋桁架楼承板、钢构件、幕墙等，装配率</w:t>
            </w:r>
            <w:r>
              <w:rPr>
                <w:rFonts w:hint="eastAsia" w:ascii="Arial" w:hAnsi="Arial" w:eastAsia="仿宋" w:cs="Arial"/>
                <w:color w:val="auto"/>
                <w:sz w:val="24"/>
                <w:szCs w:val="24"/>
                <w:highlight w:val="none"/>
                <w:lang w:val="en-US" w:eastAsia="zh-CN"/>
              </w:rPr>
              <w:t>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91%。</w:t>
            </w:r>
          </w:p>
          <w:p w14:paraId="1AA8054C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255" w:firstLine="480" w:firstLineChars="200"/>
              <w:rPr>
                <w:rFonts w:hint="default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重要设计参数：主体结构设计工作年限为50年，建筑结构的安全等级为一级，建筑抗震设防类别为乙类，地震作用采用的抗震设防烈度为7度。设计基本地震加速度为0.15g。设计地震分组：第三组，场地类别</w:t>
            </w:r>
            <w:r>
              <w:rPr>
                <w:rFonts w:hint="eastAsia" w:ascii="微软雅黑" w:hAnsi="微软雅黑" w:eastAsia="微软雅黑" w:cs="微软雅黑"/>
                <w:color w:val="auto"/>
                <w:highlight w:val="none"/>
                <w:lang w:val="en-US" w:eastAsia="zh-CN"/>
              </w:rPr>
              <w:t>Ⅲ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类，场地特征周期0.65sec；50年一遇的基本风压为0.80kN/m2，地面粗糙度为A类。地基基础设计等级为甲级，基础形式：旋挖灌注桩基础。</w:t>
            </w:r>
          </w:p>
          <w:p w14:paraId="1E2EAF85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255" w:firstLine="480" w:firstLineChars="200"/>
              <w:rPr>
                <w:rFonts w:hint="default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结构抗震等级：框架柱抗震等级：一级（局部特一级），剪力墙抗震等级：特一级，框架梁抗震等级：二级。</w:t>
            </w:r>
          </w:p>
          <w:p w14:paraId="743519B4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 w:firstLine="480" w:firstLineChars="200"/>
              <w:jc w:val="both"/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 w:bidi="zh-CN"/>
              </w:rPr>
              <w:t>本工程主体施工图设计文件已通过审图机构审查。审查机构：福建省建科院施工图审查有限公司，合格书编号3502061904010101-TX-001、3502061904010101-TX-002。</w:t>
            </w:r>
          </w:p>
        </w:tc>
      </w:tr>
      <w:tr w14:paraId="2F1FB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1F0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>、评价内容简介</w:t>
            </w:r>
          </w:p>
        </w:tc>
      </w:tr>
      <w:tr w14:paraId="026DC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F79E1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1．主体结构应用情况</w:t>
            </w:r>
          </w:p>
          <w:p w14:paraId="27FD9E91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2" w:firstLineChars="20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1.1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竖向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构件中预制部品部件的应用比例应计算：</w:t>
            </w:r>
          </w:p>
          <w:p w14:paraId="4E155608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主体结构采用钢管混凝土钢框架-钢筋混凝土核心筒混合结构，即满足：框架柱全部采用钢柱或钢管混凝土柱、框架梁全部采用钢梁；另混凝土核心筒施工应用滑模施工工艺。故主体结构竖向构件计算得分可取15分。</w:t>
            </w:r>
          </w:p>
          <w:p w14:paraId="46FE47BB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2" w:firstLineChars="20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水平构件中预制部品部件的应用比例应计算：</w:t>
            </w:r>
          </w:p>
          <w:p w14:paraId="62776D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水平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预制构件为钢筋桁架楼承板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钢构件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</w:p>
          <w:p w14:paraId="0A295E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水平预制构件应用比例及主体结构水平构件评价项得分如下：</w:t>
            </w:r>
          </w:p>
          <w:tbl>
            <w:tblPr>
              <w:tblStyle w:val="7"/>
              <w:tblW w:w="4996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86"/>
              <w:gridCol w:w="1242"/>
              <w:gridCol w:w="1359"/>
              <w:gridCol w:w="1183"/>
              <w:gridCol w:w="1100"/>
              <w:gridCol w:w="999"/>
              <w:gridCol w:w="1330"/>
            </w:tblGrid>
            <w:tr w14:paraId="1F60439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5000" w:type="pct"/>
                  <w:gridSpan w:val="7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E38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Style w:val="18"/>
                      <w:rFonts w:hint="eastAsia" w:ascii="仿宋" w:hAnsi="仿宋" w:eastAsia="仿宋" w:cs="仿宋"/>
                      <w:color w:val="auto"/>
                      <w:sz w:val="24"/>
                      <w:szCs w:val="24"/>
                      <w:lang w:val="en-US" w:eastAsia="zh-CN" w:bidi="ar"/>
                    </w:rPr>
                    <w:t>预制水平构件应用比例计算</w:t>
                  </w:r>
                </w:p>
              </w:tc>
            </w:tr>
            <w:tr w14:paraId="1867BED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654" w:type="pct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B136A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楼层号</w:t>
                  </w:r>
                </w:p>
              </w:tc>
              <w:tc>
                <w:tcPr>
                  <w:tcW w:w="1567" w:type="pct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E8C7D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预制构件水平投影面积（A1c）</w:t>
                  </w:r>
                </w:p>
              </w:tc>
              <w:tc>
                <w:tcPr>
                  <w:tcW w:w="2777" w:type="pct"/>
                  <w:gridSpan w:val="4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590E9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各楼层外轮廓面积之和（A1）</w:t>
                  </w:r>
                </w:p>
              </w:tc>
            </w:tr>
            <w:tr w14:paraId="67D37D2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654" w:type="pct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4138F5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567" w:type="pct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06FB8B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2777" w:type="pct"/>
                  <w:gridSpan w:val="4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4D2F91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</w:tr>
            <w:tr w14:paraId="1F8F387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0" w:hRule="atLeast"/>
              </w:trPr>
              <w:tc>
                <w:tcPr>
                  <w:tcW w:w="654" w:type="pct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0DA0ED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74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E45C6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钢筋桁架楼承板水平投影面积(㎡)</w:t>
                  </w:r>
                </w:p>
              </w:tc>
              <w:tc>
                <w:tcPr>
                  <w:tcW w:w="81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4FCF8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合计(㎡)</w:t>
                  </w:r>
                </w:p>
              </w:tc>
              <w:tc>
                <w:tcPr>
                  <w:tcW w:w="71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27535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建筑外轮廓面积(㎡)</w:t>
                  </w:r>
                </w:p>
              </w:tc>
              <w:tc>
                <w:tcPr>
                  <w:tcW w:w="663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2678B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电梯井等建筑洞口面积(㎡)</w:t>
                  </w:r>
                </w:p>
              </w:tc>
              <w:tc>
                <w:tcPr>
                  <w:tcW w:w="60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7B46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竖向构件水平投影面积(㎡)</w:t>
                  </w:r>
                </w:p>
              </w:tc>
              <w:tc>
                <w:tcPr>
                  <w:tcW w:w="7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7E152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合计(㎡)</w:t>
                  </w:r>
                </w:p>
              </w:tc>
            </w:tr>
            <w:tr w14:paraId="5C85971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2832C7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7D2C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2381.65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772E9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2381.65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5B25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4028.01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787C6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1455.84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2A3AB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90EA8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2494.84 </w:t>
                  </w:r>
                </w:p>
              </w:tc>
            </w:tr>
            <w:tr w14:paraId="2DC12B6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919244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4BEB0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3553.28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21DAF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3553.28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F08A0D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4259.75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FC506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444.12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74321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0596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3738.30 </w:t>
                  </w:r>
                </w:p>
              </w:tc>
            </w:tr>
            <w:tr w14:paraId="0D82AC9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EF27C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A3974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3190.97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C68CC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3190.97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85B73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3621.13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8B3B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169.76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A7B0E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38244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3374.04 </w:t>
                  </w:r>
                </w:p>
              </w:tc>
            </w:tr>
            <w:tr w14:paraId="4F19E1B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E23D06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D0222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2163.14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993F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2163.14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4E22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3035.09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E50F3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611.64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EC455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C51C0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2346.12 </w:t>
                  </w:r>
                </w:p>
              </w:tc>
            </w:tr>
            <w:tr w14:paraId="6AFC588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344149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351B9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1454.12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83CB4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1454.12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4B02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2550.47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3D6F7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836.04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11A23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994D4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1637.10 </w:t>
                  </w:r>
                </w:p>
              </w:tc>
            </w:tr>
            <w:tr w14:paraId="0B803D5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1C321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3F0D3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2125.61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C922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2125.61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CA691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2550.47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E4A4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164.54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43394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93092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2308.60 </w:t>
                  </w:r>
                </w:p>
              </w:tc>
            </w:tr>
            <w:tr w14:paraId="7AEF931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93330C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6A859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1415.35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7AF8D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1415.35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CD190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1816.06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FBA3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140.07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6334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FB5D4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1598.66 </w:t>
                  </w:r>
                </w:p>
              </w:tc>
            </w:tr>
            <w:tr w14:paraId="282FBBC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9300B4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5FD306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1523.83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4C94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1523.83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59D6D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1918.41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CFA26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133.84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E6F98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74.13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65F32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1710.44 </w:t>
                  </w:r>
                </w:p>
              </w:tc>
            </w:tr>
            <w:tr w14:paraId="75E95C4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6619BF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10、12~17层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F644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1523.87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CF800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10667.09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A89C2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1918.45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C2BAD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138.05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393A3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65B01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11921.49 </w:t>
                  </w:r>
                </w:p>
              </w:tc>
            </w:tr>
            <w:tr w14:paraId="1B69ED5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4F23C6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641B3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1433.16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58FC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1433.16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4BF55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1918.45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7B002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228.76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6E171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CC021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1612.36 </w:t>
                  </w:r>
                </w:p>
              </w:tc>
            </w:tr>
            <w:tr w14:paraId="2C33CB3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580923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D2B1B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1531.67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66AAE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1531.67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19DAC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1918.41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9EDDE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137.64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EA4F7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72.32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B1D64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1708.45 </w:t>
                  </w:r>
                </w:p>
              </w:tc>
            </w:tr>
            <w:tr w14:paraId="35B8577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502469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19层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FD2C4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1481.51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73DC9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1481.51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1FDAE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1868.03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FC7A0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94.52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BDB7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72.32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857B5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1701.19 </w:t>
                  </w:r>
                </w:p>
              </w:tc>
            </w:tr>
            <w:tr w14:paraId="6779997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05C67E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65F85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1595.78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62E94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1595.78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FCBC9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1918.42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9703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90.66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C452A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55.26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B7576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1772.50 </w:t>
                  </w:r>
                </w:p>
              </w:tc>
            </w:tr>
            <w:tr w14:paraId="226E26F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260225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47CB8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1501.65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DCB7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1501.65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CE5BC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1918.42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956E0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184.79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BDA4D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58.46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84F54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1675.17 </w:t>
                  </w:r>
                </w:p>
              </w:tc>
            </w:tr>
            <w:tr w14:paraId="267D8AC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9E38B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22~23层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3688B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1594.68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40810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3189.36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066A1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1918.42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FD94E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91.76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5DB39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58.46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B7B85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3536.40 </w:t>
                  </w:r>
                </w:p>
              </w:tc>
            </w:tr>
            <w:tr w14:paraId="57BFEDE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7B632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24~27层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07D1B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1597.79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B19B7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6391.16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80946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1918.42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84A9A0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91.85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D1D8E0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56.42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A027E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7080.60 </w:t>
                  </w:r>
                </w:p>
              </w:tc>
            </w:tr>
            <w:tr w14:paraId="15C0185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97159A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28层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37CEF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1545.10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29B82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1545.10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162E5D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1867.97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C146C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66.01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896A1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56.48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B23BFF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1745.48 </w:t>
                  </w:r>
                </w:p>
              </w:tc>
            </w:tr>
            <w:tr w14:paraId="7CE8435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94BDD4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29层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292C4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1599.13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A21B2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1599.13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3AFAB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1B3F9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64.21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F6FA4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51.93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C3B6B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1802.23 </w:t>
                  </w:r>
                </w:p>
              </w:tc>
            </w:tr>
            <w:tr w14:paraId="5A6FB56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F0BC91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30层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B8846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1509.79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A3279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1509.79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BC5DE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6B1FE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159.03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FD09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52.61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E590F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1706.73 </w:t>
                  </w:r>
                </w:p>
              </w:tc>
            </w:tr>
            <w:tr w14:paraId="3F925D9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AE20E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31~32层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3D872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1602.27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CEDA4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3204.54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86058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C5E7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66.66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5BFF6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52.61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7494B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3598.20 </w:t>
                  </w:r>
                </w:p>
              </w:tc>
            </w:tr>
            <w:tr w14:paraId="4DF55B2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F98C4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33~36、40~42层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FFB28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1610.05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74024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11270.35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478E4C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94DD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65.79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83421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47.35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D214C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12636.61 </w:t>
                  </w:r>
                </w:p>
              </w:tc>
            </w:tr>
            <w:tr w14:paraId="7625F05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012471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37层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68B30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1610.37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E6808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1610.37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FF62A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069E8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65.42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5B75F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47.45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48053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1805.50 </w:t>
                  </w:r>
                </w:p>
              </w:tc>
            </w:tr>
            <w:tr w14:paraId="2BE56F1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FA92A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38层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08D1C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1609.83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5B4DE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1609.83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84EB0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1D3C6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67.45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A257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44.97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AB9B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1805.95 </w:t>
                  </w:r>
                </w:p>
              </w:tc>
            </w:tr>
            <w:tr w14:paraId="11DC0F6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D288E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39层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27665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1609.87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94F35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1609.87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11EDE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2DC6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67.41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F51D7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37.63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25B23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1813.33 </w:t>
                  </w:r>
                </w:p>
              </w:tc>
            </w:tr>
            <w:tr w14:paraId="43BE565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2FB02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43层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1785B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1610.01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C9D75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1610.01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FA36B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52916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66.67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D0511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47.34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CEFE0D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1804.36 </w:t>
                  </w:r>
                </w:p>
              </w:tc>
            </w:tr>
            <w:tr w14:paraId="6B56219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8A7DDD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44层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0AE2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1614.33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81977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1614.33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7940D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1919.44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CD1CA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64.35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66FE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52.08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9887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1803.01 </w:t>
                  </w:r>
                </w:p>
              </w:tc>
            </w:tr>
            <w:tr w14:paraId="5DA5984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841B22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45层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3450D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122.67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BB2A2F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122.67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8CF9E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450.79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DDF24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90.18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0F06D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52.03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6FB26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308.58 </w:t>
                  </w:r>
                </w:p>
              </w:tc>
            </w:tr>
            <w:tr w14:paraId="6831C5B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824945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设备夹层一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4B544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C64B9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E4B54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336.00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5CA3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43.73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7839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52.03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FC0E1B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240.24 </w:t>
                  </w:r>
                </w:p>
              </w:tc>
            </w:tr>
            <w:tr w14:paraId="5E723E8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6B1D2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设备夹层二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E855B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1DA5E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BBF16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336.00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C5EC1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37.56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1E6E3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51.47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39E30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246.97 </w:t>
                  </w:r>
                </w:p>
              </w:tc>
            </w:tr>
            <w:tr w14:paraId="52FF02B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AD8FD8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屋面桁架层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23C1B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556.26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2A4DF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556.26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5188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1755.38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CE267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1199.12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B7885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42716F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556.26 </w:t>
                  </w:r>
                </w:p>
              </w:tc>
            </w:tr>
            <w:tr w14:paraId="0E6393D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D4DEA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屋面核心筒层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6C74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454.31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7FC6D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454.31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DE2F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777.82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6162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35.32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37607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52.08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EF970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690.42 </w:t>
                  </w:r>
                </w:p>
              </w:tc>
            </w:tr>
            <w:tr w14:paraId="66F2DF4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08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C8A286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停机坪层</w:t>
                  </w:r>
                </w:p>
              </w:tc>
              <w:tc>
                <w:tcPr>
                  <w:tcW w:w="12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E0137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114.72 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8FAD4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114.72 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7F449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416.16 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C8BCC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EA9A3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30.09 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5B0A8F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386.07 </w:t>
                  </w:r>
                </w:p>
              </w:tc>
            </w:tr>
            <w:tr w14:paraId="30A85C8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654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19524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74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3BDEE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13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4566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74030.61 </w:t>
                  </w:r>
                </w:p>
              </w:tc>
              <w:tc>
                <w:tcPr>
                  <w:tcW w:w="1185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2AA4E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110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DC98A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99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B4A9C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13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1105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83166.20 </w:t>
                  </w:r>
                </w:p>
              </w:tc>
            </w:tr>
            <w:tr w14:paraId="39A22CA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402" w:type="pct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7BA06C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水平预制构件应用比例</w:t>
                  </w:r>
                </w:p>
              </w:tc>
              <w:tc>
                <w:tcPr>
                  <w:tcW w:w="3597" w:type="pct"/>
                  <w:gridSpan w:val="5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E3CE25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89.02%</w:t>
                  </w:r>
                </w:p>
              </w:tc>
            </w:tr>
            <w:tr w14:paraId="6C86258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402" w:type="pct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2BD5B0D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结论：水平预制构件应用比例Q1c=A1c/A1=</w:t>
                  </w:r>
                </w:p>
              </w:tc>
              <w:tc>
                <w:tcPr>
                  <w:tcW w:w="819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DFB448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8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4"/>
                      <w:szCs w:val="24"/>
                      <w:u w:val="none"/>
                      <w:lang w:val="en-US" w:eastAsia="zh-CN"/>
                    </w:rPr>
                    <w:t>9.0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  <w:t>%</w:t>
                  </w:r>
                </w:p>
              </w:tc>
              <w:tc>
                <w:tcPr>
                  <w:tcW w:w="1978" w:type="pct"/>
                  <w:gridSpan w:val="3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E46F05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&gt;70%，根据插值法，此项得分：</w:t>
                  </w:r>
                </w:p>
              </w:tc>
              <w:tc>
                <w:tcPr>
                  <w:tcW w:w="799" w:type="pct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D54653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default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sz w:val="24"/>
                      <w:szCs w:val="24"/>
                      <w:u w:val="none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39.0</w:t>
                  </w:r>
                </w:p>
              </w:tc>
            </w:tr>
          </w:tbl>
          <w:p w14:paraId="3E41F5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水平预制构件应用比例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89.0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%＞</w:t>
            </w:r>
            <w:r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0%，主体结构水平构件评价项得分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39.0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分；</w:t>
            </w:r>
          </w:p>
          <w:p w14:paraId="6EA203FD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2" w:firstLineChars="20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设计标准化、模数化得分计算：</w:t>
            </w:r>
          </w:p>
          <w:p w14:paraId="6BF1589D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</w:rPr>
              <w:t>轴线尺寸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  <w:lang w:val="en-US" w:eastAsia="zh-CN"/>
              </w:rPr>
              <w:t>存在不符合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</w:rPr>
              <w:t>1M基本模数整倍数；楼梯间开间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  <w:lang w:val="en-US" w:eastAsia="zh-CN"/>
              </w:rPr>
              <w:t>进深轴线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</w:rPr>
              <w:t>尺寸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  <w:lang w:val="en-US" w:eastAsia="zh-CN"/>
              </w:rPr>
              <w:t>存在不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</w:rPr>
              <w:t>符合扩大模数2M、3M整倍数；层高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  <w:lang w:val="en-US" w:eastAsia="zh-CN"/>
              </w:rPr>
              <w:t>均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</w:rPr>
              <w:t>符合1M基本模数整倍数。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根据《福建省装配式建筑评价标准》(DBJ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T13-426-2023)规定，此项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-4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分。</w:t>
            </w:r>
          </w:p>
          <w:p w14:paraId="34E23FDA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2" w:firstLineChars="20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部品部件通用化计算：</w:t>
            </w:r>
          </w:p>
          <w:p w14:paraId="4E1C5448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  <w:lang w:val="en-US" w:eastAsia="zh-CN"/>
              </w:rPr>
              <w:t>无部品部件通用化</w:t>
            </w:r>
            <w:r>
              <w:rPr>
                <w:rFonts w:hint="eastAsia" w:ascii="FangSong_GB2312"/>
                <w:color w:val="auto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根据《福建省装配式建筑评价标准》(DBJ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T13-426-2023)规定，此项得分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分。</w:t>
            </w:r>
          </w:p>
          <w:p w14:paraId="49C9A5E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 w:firstLine="482" w:firstLineChars="200"/>
              <w:rPr>
                <w:rFonts w:hint="eastAsia" w:ascii="等线" w:hAnsi="等线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5、</w:t>
            </w:r>
            <w:r>
              <w:rPr>
                <w:rFonts w:hint="eastAsia" w:ascii="FangSong_GB2312"/>
                <w:b/>
                <w:bCs/>
                <w:color w:val="auto"/>
                <w:sz w:val="24"/>
                <w:szCs w:val="24"/>
                <w:highlight w:val="none"/>
              </w:rPr>
              <w:t>各评价单元主体结构得分（最髙50分）汇总表</w:t>
            </w:r>
            <w:r>
              <w:rPr>
                <w:rFonts w:hint="eastAsia" w:ascii="等线" w:hAnsi="等线"/>
                <w:b/>
                <w:bCs/>
                <w:color w:val="auto"/>
                <w:sz w:val="24"/>
                <w:szCs w:val="24"/>
                <w:highlight w:val="none"/>
              </w:rPr>
              <w:t>：</w:t>
            </w:r>
          </w:p>
          <w:tbl>
            <w:tblPr>
              <w:tblStyle w:val="7"/>
              <w:tblW w:w="4995" w:type="pct"/>
              <w:jc w:val="center"/>
              <w:shd w:val="clear" w:color="auto" w:fill="auto"/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548"/>
              <w:gridCol w:w="631"/>
              <w:gridCol w:w="860"/>
              <w:gridCol w:w="885"/>
              <w:gridCol w:w="706"/>
              <w:gridCol w:w="752"/>
              <w:gridCol w:w="1036"/>
              <w:gridCol w:w="633"/>
              <w:gridCol w:w="888"/>
              <w:gridCol w:w="809"/>
              <w:gridCol w:w="550"/>
            </w:tblGrid>
            <w:tr w14:paraId="07C77D48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1211" w:hRule="exact"/>
                <w:jc w:val="center"/>
              </w:trPr>
              <w:tc>
                <w:tcPr>
                  <w:tcW w:w="710" w:type="pct"/>
                  <w:gridSpan w:val="2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361D50D1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评价项</w:t>
                  </w:r>
                </w:p>
              </w:tc>
              <w:tc>
                <w:tcPr>
                  <w:tcW w:w="518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554DD4B0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  <w:t>柱、支撑、承重墙等竖向构件</w:t>
                  </w:r>
                </w:p>
              </w:tc>
              <w:tc>
                <w:tcPr>
                  <w:tcW w:w="533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419E9CD0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梁、板、楼梯、阳台、空调板等水平构件</w:t>
                  </w:r>
                </w:p>
              </w:tc>
              <w:tc>
                <w:tcPr>
                  <w:tcW w:w="425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65DF211D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工厂组合成型钢筋制品</w:t>
                  </w:r>
                </w:p>
              </w:tc>
              <w:tc>
                <w:tcPr>
                  <w:tcW w:w="1458" w:type="pct"/>
                  <w:gridSpan w:val="3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B6AB3F2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设计标准化、模数化</w:t>
                  </w:r>
                </w:p>
              </w:tc>
              <w:tc>
                <w:tcPr>
                  <w:tcW w:w="1022" w:type="pct"/>
                  <w:gridSpan w:val="2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D4377EE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部品部件通用化</w:t>
                  </w:r>
                </w:p>
              </w:tc>
              <w:tc>
                <w:tcPr>
                  <w:tcW w:w="331" w:type="pc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27C66F7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最低分值</w:t>
                  </w:r>
                </w:p>
              </w:tc>
            </w:tr>
            <w:tr w14:paraId="3F86A2A3">
              <w:tblPrEx>
                <w:shd w:val="clear" w:color="auto" w:fill="auto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1912" w:hRule="exact"/>
                <w:jc w:val="center"/>
              </w:trPr>
              <w:tc>
                <w:tcPr>
                  <w:tcW w:w="710" w:type="pct"/>
                  <w:gridSpan w:val="2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ABCBED4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评价要求</w:t>
                  </w:r>
                </w:p>
              </w:tc>
              <w:tc>
                <w:tcPr>
                  <w:tcW w:w="518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3C3E2D24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35%≤比例≤80%</w:t>
                  </w:r>
                </w:p>
              </w:tc>
              <w:tc>
                <w:tcPr>
                  <w:tcW w:w="533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573983E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70%≤比例≤90%</w:t>
                  </w:r>
                </w:p>
              </w:tc>
              <w:tc>
                <w:tcPr>
                  <w:tcW w:w="425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7EA31CC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比例≥60%</w:t>
                  </w:r>
                </w:p>
              </w:tc>
              <w:tc>
                <w:tcPr>
                  <w:tcW w:w="453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B3A9895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存在不符合1M基本模数整倍数的轴线尺寸</w:t>
                  </w:r>
                </w:p>
              </w:tc>
              <w:tc>
                <w:tcPr>
                  <w:tcW w:w="624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252A0B8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存在不符合扩大模数2M、3M整倍数的楼梯间开间及进深的轴线尺寸</w:t>
                  </w:r>
                </w:p>
              </w:tc>
              <w:tc>
                <w:tcPr>
                  <w:tcW w:w="381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3893758C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存在不符合1M基本模数整倍数的层高</w:t>
                  </w:r>
                </w:p>
              </w:tc>
              <w:tc>
                <w:tcPr>
                  <w:tcW w:w="535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5D3C7FCF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100≤轮廓尺寸相同的预制混凝土梁、板类构件个数≤200</w:t>
                  </w:r>
                </w:p>
              </w:tc>
              <w:tc>
                <w:tcPr>
                  <w:tcW w:w="487" w:type="pct"/>
                  <w:tcBorders>
                    <w:top w:val="single" w:color="auto" w:sz="4" w:space="0"/>
                    <w:lef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D4584B3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60≤轮廓尺寸相同的预制混凝土楼梯类构件个数≤120</w:t>
                  </w:r>
                </w:p>
              </w:tc>
              <w:tc>
                <w:tcPr>
                  <w:tcW w:w="331" w:type="pc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1F5E0BAF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30</w:t>
                  </w:r>
                </w:p>
              </w:tc>
            </w:tr>
            <w:tr w14:paraId="3914EB25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48" w:hRule="exact"/>
                <w:jc w:val="center"/>
              </w:trPr>
              <w:tc>
                <w:tcPr>
                  <w:tcW w:w="710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60AF3E87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评价分值</w:t>
                  </w:r>
                </w:p>
              </w:tc>
              <w:tc>
                <w:tcPr>
                  <w:tcW w:w="518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FA1DCE5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2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0〜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30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  <w:t>*</w:t>
                  </w:r>
                </w:p>
              </w:tc>
              <w:tc>
                <w:tcPr>
                  <w:tcW w:w="533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A890DD5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20〜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  <w:t>40*</w:t>
                  </w:r>
                </w:p>
              </w:tc>
              <w:tc>
                <w:tcPr>
                  <w:tcW w:w="425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52097B98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453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680D616E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  <w:t>-2</w:t>
                  </w:r>
                </w:p>
              </w:tc>
              <w:tc>
                <w:tcPr>
                  <w:tcW w:w="62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57D26854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  <w:t>-2</w:t>
                  </w:r>
                </w:p>
              </w:tc>
              <w:tc>
                <w:tcPr>
                  <w:tcW w:w="38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266C92E3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  <w:t>-2</w:t>
                  </w:r>
                </w:p>
              </w:tc>
              <w:tc>
                <w:tcPr>
                  <w:tcW w:w="535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4F8C5CA4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1〜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  <w:t>2*</w:t>
                  </w:r>
                </w:p>
              </w:tc>
              <w:tc>
                <w:tcPr>
                  <w:tcW w:w="48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677571D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1〜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en-US"/>
                    </w:rPr>
                    <w:t>2*</w:t>
                  </w:r>
                </w:p>
              </w:tc>
              <w:tc>
                <w:tcPr>
                  <w:tcW w:w="33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2DB3ED50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3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0</w:t>
                  </w:r>
                </w:p>
              </w:tc>
            </w:tr>
            <w:tr w14:paraId="6D5D1D73">
              <w:tblPrEx>
                <w:shd w:val="clear" w:color="auto" w:fill="auto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888" w:hRule="exact"/>
                <w:jc w:val="center"/>
              </w:trPr>
              <w:tc>
                <w:tcPr>
                  <w:tcW w:w="330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2F4DE4BC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金圆大厦（2018G03地块）</w:t>
                  </w:r>
                </w:p>
              </w:tc>
              <w:tc>
                <w:tcPr>
                  <w:tcW w:w="37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5BE04C24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比例/个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数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548D44AD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leftChars="0" w:right="0" w:rightChars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533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4E8A178B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89.0%</w:t>
                  </w:r>
                </w:p>
              </w:tc>
              <w:tc>
                <w:tcPr>
                  <w:tcW w:w="425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6027F0EC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453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3C97B563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存在</w:t>
                  </w:r>
                </w:p>
              </w:tc>
              <w:tc>
                <w:tcPr>
                  <w:tcW w:w="62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1511021C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存在</w:t>
                  </w:r>
                </w:p>
              </w:tc>
              <w:tc>
                <w:tcPr>
                  <w:tcW w:w="38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624A573F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不存在</w:t>
                  </w:r>
                </w:p>
              </w:tc>
              <w:tc>
                <w:tcPr>
                  <w:tcW w:w="535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E0D35D6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48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838C9D2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331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52F49864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default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50.0</w:t>
                  </w:r>
                </w:p>
              </w:tc>
            </w:tr>
            <w:tr w14:paraId="7A40A2A9">
              <w:tblPrEx>
                <w:shd w:val="clear" w:color="auto" w:fill="auto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775" w:hRule="exact"/>
                <w:jc w:val="center"/>
              </w:trPr>
              <w:tc>
                <w:tcPr>
                  <w:tcW w:w="330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299B268B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</w:p>
              </w:tc>
              <w:tc>
                <w:tcPr>
                  <w:tcW w:w="379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78B0546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  <w:t>得分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61D28FFF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leftChars="0" w:right="0" w:rightChars="0"/>
                    <w:jc w:val="center"/>
                    <w:rPr>
                      <w:rFonts w:hint="default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33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1E45AC1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default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39.0</w:t>
                  </w:r>
                </w:p>
              </w:tc>
              <w:tc>
                <w:tcPr>
                  <w:tcW w:w="425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11A5D4D8">
                  <w:pPr>
                    <w:keepNext w:val="0"/>
                    <w:keepLines w:val="0"/>
                    <w:suppressLineNumbers w:val="0"/>
                    <w:bidi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453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221C2CEB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-2</w:t>
                  </w:r>
                </w:p>
              </w:tc>
              <w:tc>
                <w:tcPr>
                  <w:tcW w:w="624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513DA744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-2</w:t>
                  </w:r>
                </w:p>
              </w:tc>
              <w:tc>
                <w:tcPr>
                  <w:tcW w:w="381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111F9270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0</w:t>
                  </w:r>
                </w:p>
              </w:tc>
              <w:tc>
                <w:tcPr>
                  <w:tcW w:w="535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1C91AB64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487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7AD1853F">
                  <w:pPr>
                    <w:keepNext w:val="0"/>
                    <w:keepLines w:val="0"/>
                    <w:suppressLineNumbers w:val="0"/>
                    <w:bidi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  <w:lang w:val="en-US" w:eastAsia="zh-CN"/>
                    </w:rPr>
                    <w:t>/</w:t>
                  </w:r>
                </w:p>
              </w:tc>
              <w:tc>
                <w:tcPr>
                  <w:tcW w:w="33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noWrap w:val="0"/>
                  <w:vAlign w:val="center"/>
                </w:tcPr>
                <w:p w14:paraId="0BB782A5">
                  <w:pPr>
                    <w:pStyle w:val="17"/>
                    <w:keepNext w:val="0"/>
                    <w:keepLines w:val="0"/>
                    <w:suppressLineNumbers w:val="0"/>
                    <w:bidi w:val="0"/>
                    <w:spacing w:before="0" w:beforeAutospacing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  <w:highlight w:val="none"/>
                    </w:rPr>
                  </w:pPr>
                </w:p>
              </w:tc>
            </w:tr>
          </w:tbl>
          <w:p w14:paraId="0821CD87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根据《福建省装配式建筑评价标准》(DBJ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T13-426-2023)规定，满足主体结构部分的分值不低于30分的要求。</w:t>
            </w:r>
          </w:p>
        </w:tc>
      </w:tr>
      <w:tr w14:paraId="222CD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851CF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420" w:lineRule="auto"/>
              <w:ind w:left="0" w:right="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围护墙和内隔墙应用情况</w:t>
            </w:r>
          </w:p>
          <w:p w14:paraId="37D64E9F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围护墙采用幕墙，满足非承重围护墙非砌筑，其应用比例不低于80.0%，得10分；3~45层围护墙采用单元式幕墙，满足围护墙采用墙体、保温、隔热、装饰一体化，其应用比例不低于80.0%，得10。</w:t>
            </w:r>
          </w:p>
          <w:p w14:paraId="096094AD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非承重围护墙非砌筑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应用比例计算如下表：</w:t>
            </w:r>
          </w:p>
          <w:tbl>
            <w:tblPr>
              <w:tblStyle w:val="7"/>
              <w:tblW w:w="0" w:type="auto"/>
              <w:tblInd w:w="-6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0"/>
              <w:gridCol w:w="240"/>
              <w:gridCol w:w="791"/>
              <w:gridCol w:w="846"/>
              <w:gridCol w:w="886"/>
              <w:gridCol w:w="928"/>
              <w:gridCol w:w="927"/>
              <w:gridCol w:w="886"/>
              <w:gridCol w:w="927"/>
              <w:gridCol w:w="885"/>
            </w:tblGrid>
            <w:tr w14:paraId="7F59ABC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8266" w:type="dxa"/>
                  <w:gridSpan w:val="10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E7EEB6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围护墙非砌筑应用比例计算</w:t>
                  </w:r>
                </w:p>
              </w:tc>
            </w:tr>
            <w:tr w14:paraId="6549162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29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B6AE6B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楼层号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0488D1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层数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nil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2177CD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单层围护墙高度（m）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nil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35A6D0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单层非砌筑长度（m）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6AC5C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单层砌筑长度（m）</w:t>
                  </w:r>
                </w:p>
              </w:tc>
              <w:tc>
                <w:tcPr>
                  <w:tcW w:w="92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CC1FC9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单层非砌筑墙面积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(㎡)</w:t>
                  </w:r>
                </w:p>
              </w:tc>
              <w:tc>
                <w:tcPr>
                  <w:tcW w:w="9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1B670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非砌筑墙总面积A2a</w:t>
                  </w:r>
                </w:p>
                <w:p w14:paraId="7D4CF06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(㎡)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FA8B3B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单层围护墙总长度（m）</w:t>
                  </w:r>
                </w:p>
              </w:tc>
              <w:tc>
                <w:tcPr>
                  <w:tcW w:w="9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CB54E4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单层围护墙总面积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(㎡)</w:t>
                  </w:r>
                </w:p>
              </w:tc>
              <w:tc>
                <w:tcPr>
                  <w:tcW w:w="8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A19FB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围护墙总面积Aw1</w:t>
                  </w:r>
                </w:p>
                <w:p w14:paraId="0FE9246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auto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(㎡)</w:t>
                  </w:r>
                </w:p>
              </w:tc>
            </w:tr>
            <w:tr w14:paraId="3458CCD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EFEDD6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5523D43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75AD3A2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6.00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66ECD3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231.72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159DA84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107.26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5435E5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1390.32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B59C78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1390.32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082FA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338.98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9F66B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2033.88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DE274B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2033.88 </w:t>
                  </w:r>
                </w:p>
              </w:tc>
            </w:tr>
            <w:tr w14:paraId="6ABF20F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AD7B85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2ED8464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4B9B5F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6.00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0FFFD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255.68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C3EB8E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C01BB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F12BD1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B7BA3C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255.68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00EC8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98FFD9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</w:tr>
            <w:tr w14:paraId="6324E33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F501D4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4141553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439EC6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6.00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E444BF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255.68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B04E20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43DC90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27D0DF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392E09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255.68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4BCC96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39FABB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</w:tr>
            <w:tr w14:paraId="1A2FF6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10EC57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68EA413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60655B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4.70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FC34F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165.66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29C2CA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43.05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91EB4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778.60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D3A867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778.60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12D8A4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208.71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CFD9E1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980.94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076E55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980.94 </w:t>
                  </w:r>
                </w:p>
              </w:tc>
            </w:tr>
            <w:tr w14:paraId="796C470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D0CB41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4EB07E7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FFE1B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1B9298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207.17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AD97B6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54C91B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870.11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7A133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870.11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F301F3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207.17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FAFF80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870.11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0E8DB3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870.11 </w:t>
                  </w:r>
                </w:p>
              </w:tc>
            </w:tr>
            <w:tr w14:paraId="27FFD16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85374D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2F80C21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0ACA3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4.80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B53E40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207.17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5601F0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06EA85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994.42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0649E4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994.42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60B0F2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207.17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97F52C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994.42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E52510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994.42 </w:t>
                  </w:r>
                </w:p>
              </w:tc>
            </w:tr>
            <w:tr w14:paraId="7A23F76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180431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5B3AA0D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ED78D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4.30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3147B2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93.12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2B4AB8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100.80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620755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400.42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271F3D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400.42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23F3E7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193.92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7FBAC3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833.86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FD62B5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833.86 </w:t>
                  </w:r>
                </w:p>
              </w:tc>
            </w:tr>
            <w:tr w14:paraId="7D3DC65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FC4C2F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3222222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F63A23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5.50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254FC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170.06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0A1BDF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7D98F0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935.33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5BE871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935.33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C560D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170.06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46ABD8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935.33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61B519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935.33 </w:t>
                  </w:r>
                </w:p>
              </w:tc>
            </w:tr>
            <w:tr w14:paraId="2887791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967259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C811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AF319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4.10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2C3922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3F311A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C8BD8C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720.49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556BD9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720.49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DFFE6C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266835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720.49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CC7B08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720.49 </w:t>
                  </w:r>
                </w:p>
              </w:tc>
            </w:tr>
            <w:tr w14:paraId="290AB51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150D30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10~17层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420E13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77EA2B7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3D28CF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EF2899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ECFF01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738.07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5BC5CB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5904.53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3D82B6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2A07D0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738.07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BC5740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5904.53 </w:t>
                  </w:r>
                </w:p>
              </w:tc>
            </w:tr>
            <w:tr w14:paraId="16BEFFB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D5EC14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9B85D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1D9578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4.30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3878F4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2F65B3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3F1BB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755.64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30C0E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755.64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3F3EC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C1ED3A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755.64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C3CAD5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755.64 </w:t>
                  </w:r>
                </w:p>
              </w:tc>
            </w:tr>
            <w:tr w14:paraId="1B8BD6D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607065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19层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CB6352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11449BA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5.40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BE66F1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174.39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721227E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10DCEC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941.71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ED60BC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941.71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F3811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174.39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718425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941.71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9A3DAD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941.71 </w:t>
                  </w:r>
                </w:p>
              </w:tc>
            </w:tr>
            <w:tr w14:paraId="240AA95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330A5F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20~27层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14489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B9CEAC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7C7488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176.33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6B94A5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D27D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740.59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685F22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5924.69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046F94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4142C9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740.59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7F604F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5924.69 </w:t>
                  </w:r>
                </w:p>
              </w:tc>
            </w:tr>
            <w:tr w14:paraId="2E84F81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0E5B9D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28层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AD2AB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19A11DD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5.40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FF9BE6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174.36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2442FC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99970C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941.54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710103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941.54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3BB17E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174.36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6C3A4C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941.54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E1A748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941.54 </w:t>
                  </w:r>
                </w:p>
              </w:tc>
            </w:tr>
            <w:tr w14:paraId="6EB21DB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982061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29~36层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3CE67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1C2C371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C94B5A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6B9A41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7CF3A8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740.80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BCB76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5926.37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6F29C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108E36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740.80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BF8338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5926.37 </w:t>
                  </w:r>
                </w:p>
              </w:tc>
            </w:tr>
            <w:tr w14:paraId="1E2BA6D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CDB2C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37层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1DA152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CCDD5C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5.40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F697D4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DE3CBE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1C27BF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952.45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E0919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952.45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7DF85F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67EC1D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952.45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3167A6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952.45 </w:t>
                  </w:r>
                </w:p>
              </w:tc>
            </w:tr>
            <w:tr w14:paraId="1C3C4DA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C750C9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38~43层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57DB4B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B8FFA9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4DC4B5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B1AAE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BA25FF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740.80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7778BB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4444.78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3CB96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A1BEA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740.80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C83A07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4444.78 </w:t>
                  </w:r>
                </w:p>
              </w:tc>
            </w:tr>
            <w:tr w14:paraId="07B4465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21BFA0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44层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60D4CF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C7E07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4.30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01282C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166.99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478A7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932D04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718.06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3D00A1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718.06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52A393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166.99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0B972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718.06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BE5507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718.06 </w:t>
                  </w:r>
                </w:p>
              </w:tc>
            </w:tr>
            <w:tr w14:paraId="7F3EB5B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840F23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45层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4380BC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7F094D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AEF488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39EB01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844A9C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9395BD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CD051F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DD1393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308.28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D21F2C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308.28 </w:t>
                  </w:r>
                </w:p>
              </w:tc>
            </w:tr>
            <w:tr w14:paraId="2F8EC1A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23BEDD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设备夹层一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FE0D33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6C615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D4E96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DFE205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981BB5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0B6B1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8418CB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C19C2F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308.28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D92BDD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308.28 </w:t>
                  </w:r>
                </w:p>
              </w:tc>
            </w:tr>
            <w:tr w14:paraId="7BB1208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00310B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设备夹层二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757991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1B99FC2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3.60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21E103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6A2AA1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19F62B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7448CD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735614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6069E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264.24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34B97D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264.24 </w:t>
                  </w:r>
                </w:p>
              </w:tc>
            </w:tr>
            <w:tr w14:paraId="7CB031E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C1068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屋面层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C9FB2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649497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6.50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3438A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D04008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61.50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C06517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39B5C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790074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61.50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FBC6F2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399.75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7F67BF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399.75 </w:t>
                  </w:r>
                </w:p>
              </w:tc>
            </w:tr>
            <w:tr w14:paraId="029CBE4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85D01D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DB683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4E605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6C529A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BE1296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4C2FA0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AAD3DE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35667.61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451295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1FBD0B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7707E0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38227.49 </w:t>
                  </w:r>
                </w:p>
              </w:tc>
            </w:tr>
            <w:tr w14:paraId="6689A26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7" w:hRule="atLeast"/>
              </w:trPr>
              <w:tc>
                <w:tcPr>
                  <w:tcW w:w="1981" w:type="dxa"/>
                  <w:gridSpan w:val="3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E6C440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围护墙非砌筑应用比例：Q2a=A2a/Aw1</w:t>
                  </w:r>
                </w:p>
              </w:tc>
              <w:tc>
                <w:tcPr>
                  <w:tcW w:w="6285" w:type="dxa"/>
                  <w:gridSpan w:val="7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2861C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93.3%</w:t>
                  </w:r>
                </w:p>
              </w:tc>
            </w:tr>
            <w:tr w14:paraId="4A9F06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981" w:type="dxa"/>
                  <w:gridSpan w:val="3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017AD4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应用比例≥80%，此项得10分。</w:t>
                  </w:r>
                </w:p>
              </w:tc>
              <w:tc>
                <w:tcPr>
                  <w:tcW w:w="6285" w:type="dxa"/>
                  <w:gridSpan w:val="7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180263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</w:t>
                  </w:r>
                </w:p>
              </w:tc>
            </w:tr>
          </w:tbl>
          <w:p w14:paraId="55F0082B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围护墙采用墙体、保温、隔热、装饰一体化应用比例及评价分值详见下表：</w:t>
            </w:r>
          </w:p>
          <w:tbl>
            <w:tblPr>
              <w:tblStyle w:val="7"/>
              <w:tblW w:w="0" w:type="auto"/>
              <w:tblInd w:w="-6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0"/>
              <w:gridCol w:w="240"/>
              <w:gridCol w:w="791"/>
              <w:gridCol w:w="846"/>
              <w:gridCol w:w="886"/>
              <w:gridCol w:w="928"/>
              <w:gridCol w:w="927"/>
              <w:gridCol w:w="886"/>
              <w:gridCol w:w="927"/>
              <w:gridCol w:w="885"/>
            </w:tblGrid>
            <w:tr w14:paraId="5A37EBF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8266" w:type="dxa"/>
                  <w:gridSpan w:val="10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DC815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围护墙非砌筑应用比例计算</w:t>
                  </w:r>
                </w:p>
              </w:tc>
            </w:tr>
            <w:tr w14:paraId="6299DCE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29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E23AD2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楼层号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C58550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层数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nil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56C92F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单层围护墙高度（m）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nil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95106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单层围护墙一体化长度（m）</w:t>
                  </w:r>
                </w:p>
              </w:tc>
              <w:tc>
                <w:tcPr>
                  <w:tcW w:w="886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7388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单层围护墙非一体化长度（m）</w:t>
                  </w:r>
                </w:p>
              </w:tc>
              <w:tc>
                <w:tcPr>
                  <w:tcW w:w="92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90E523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单层围护墙一体化墙面总面积（m2）</w:t>
                  </w:r>
                </w:p>
              </w:tc>
              <w:tc>
                <w:tcPr>
                  <w:tcW w:w="9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733B70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围护墙一体化墙面总面积A2b（m2）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B7E23C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单层围护墙总长度（m）</w:t>
                  </w:r>
                </w:p>
              </w:tc>
              <w:tc>
                <w:tcPr>
                  <w:tcW w:w="9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826737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单层围护墙墙面总面积（m2）</w:t>
                  </w:r>
                </w:p>
              </w:tc>
              <w:tc>
                <w:tcPr>
                  <w:tcW w:w="8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918F2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围护墙墙面总面积Aw1（m2）</w:t>
                  </w:r>
                </w:p>
              </w:tc>
            </w:tr>
            <w:tr w14:paraId="6D55545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2AAFAD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0EA3F4A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0F44CB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6.00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7D9B08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BE2C97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338.98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B34A4C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E50D0B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77132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338.98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CC929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2033.88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5F90F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2033.88 </w:t>
                  </w:r>
                </w:p>
              </w:tc>
            </w:tr>
            <w:tr w14:paraId="4231545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C75619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0F76F3A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162C4D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6.00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8183B9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F9045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255.68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3F0F40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1AACD1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B23CCB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255.68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8E8CC2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098A69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</w:tr>
            <w:tr w14:paraId="7F4C27E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8C094D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7F125E3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AAFABE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6.00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1E515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255.68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EC80C8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EA39BD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16CBB9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650141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255.68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6BDF69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1F81F2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1534.08 </w:t>
                  </w:r>
                </w:p>
              </w:tc>
            </w:tr>
            <w:tr w14:paraId="42EC431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8ACAEF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5C9103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A81334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4.70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ACC95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165.66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7DD0A0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43.05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7FD0F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778.60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A0016B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778.60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549A32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208.71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84ED4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980.94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931193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980.94 </w:t>
                  </w:r>
                </w:p>
              </w:tc>
            </w:tr>
            <w:tr w14:paraId="7D5402D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7301FB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76F50BE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E22300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DEB122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207.17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117D6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D3F43A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870.11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A617F2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870.11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1F5C6C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207.17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D92F5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870.11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84E756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870.11 </w:t>
                  </w:r>
                </w:p>
              </w:tc>
            </w:tr>
            <w:tr w14:paraId="769D035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C8A45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4A6CC3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C2F22E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4.80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87389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207.17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F92F19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E39665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994.42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7E581C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994.42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FE4C14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207.17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0A0A3D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994.42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88C6F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994.42 </w:t>
                  </w:r>
                </w:p>
              </w:tc>
            </w:tr>
            <w:tr w14:paraId="66331F1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277680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3E51F6D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207E55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4.30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79140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93.12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CBD72F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100.80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0F80E8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400.42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31AD4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400.42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B6F82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193.92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CF2297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833.86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103462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833.86 </w:t>
                  </w:r>
                </w:p>
              </w:tc>
            </w:tr>
            <w:tr w14:paraId="646BD19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CA01A7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nil"/>
                  </w:tcBorders>
                  <w:shd w:val="clear" w:color="auto" w:fill="auto"/>
                  <w:vAlign w:val="center"/>
                </w:tcPr>
                <w:p w14:paraId="435532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ADDFF1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5.50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3F5E6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170.06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B4567E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3DE222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935.33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21BCC4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935.33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6DD371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170.06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979D77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935.33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BA500A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935.33 </w:t>
                  </w:r>
                </w:p>
              </w:tc>
            </w:tr>
            <w:tr w14:paraId="6485F6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nil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46C626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9层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7CFEC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05EF8C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4.10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D4316B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12B9D21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6B966D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720.49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41BF0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720.49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82F460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4D156B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720.49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D54F04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720.49 </w:t>
                  </w:r>
                </w:p>
              </w:tc>
            </w:tr>
            <w:tr w14:paraId="57B8CEE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3B42FC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10~17层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C9080E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00E147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0AF34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95FB51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8AF1D8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738.07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4F387F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5904.53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E79ED3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A9D90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738.07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BB15C5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5904.53 </w:t>
                  </w:r>
                </w:p>
              </w:tc>
            </w:tr>
            <w:tr w14:paraId="36488AA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2B9F67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94874D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4BE964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4.30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153281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1CCC14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F8B660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755.64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A3CF33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755.64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182F10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175.73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856B10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755.64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E276E9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755.64 </w:t>
                  </w:r>
                </w:p>
              </w:tc>
            </w:tr>
            <w:tr w14:paraId="44F0C36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C8D523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19层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BD0E3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87CDAB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5.40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1249A0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174.39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08DFF3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D1D3A7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941.71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37D03C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941.71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D0BC61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174.39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48C534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941.71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E07742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941.71 </w:t>
                  </w:r>
                </w:p>
              </w:tc>
            </w:tr>
            <w:tr w14:paraId="661B6D4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99D432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20~27层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93D2B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CFC7CD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684315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176.33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E7A09B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E943AA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740.59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BBD513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5924.69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8D4144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176.33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1792CD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740.59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673441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5924.69 </w:t>
                  </w:r>
                </w:p>
              </w:tc>
            </w:tr>
            <w:tr w14:paraId="5FEC25B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7DDD1B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28层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0CD9F0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8D0850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5.40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B661B7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174.36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69A0AF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6FCFE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941.54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BCD850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941.54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13B27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174.36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342010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941.54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C339E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941.54 </w:t>
                  </w:r>
                </w:p>
              </w:tc>
            </w:tr>
            <w:tr w14:paraId="2C11C7D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580438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29~36层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6A132C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18397A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C19A45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95F378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491F4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740.80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EB35EC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5926.37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8E9C9B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58FA15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740.80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A1624C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5926.37 </w:t>
                  </w:r>
                </w:p>
              </w:tc>
            </w:tr>
            <w:tr w14:paraId="2D282AF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8DFBDC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37层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B22F98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7BA6E64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5.40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327AF9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73201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364D97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952.45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7600DD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952.45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0B0A65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FE85B5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952.45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6364DB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952.45 </w:t>
                  </w:r>
                </w:p>
              </w:tc>
            </w:tr>
            <w:tr w14:paraId="41EA463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3B0594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38~43层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64F427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36F85A8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9DE1BE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613511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A3EF0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740.80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5878A6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4444.78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1EB00A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176.38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D56E0D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740.80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8044ED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4444.78 </w:t>
                  </w:r>
                </w:p>
              </w:tc>
            </w:tr>
            <w:tr w14:paraId="6E5D581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35075B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44层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B1A279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23158A5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4.30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7A60B4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166.99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17C1F32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52146B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718.06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91F62B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718.06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8E24F6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166.99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589EEC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718.06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8DE1AF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718.06 </w:t>
                  </w:r>
                </w:p>
              </w:tc>
            </w:tr>
            <w:tr w14:paraId="6D95759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7DA5E8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45层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33255D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1EFBC5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E26F24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05969CD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996AD5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096AD1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D18AA9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BEAACD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308.28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C6CF7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308.28 </w:t>
                  </w:r>
                </w:p>
              </w:tc>
            </w:tr>
            <w:tr w14:paraId="48AC863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062DD2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设备夹层一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0425B7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CD0A16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4.20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4BD24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D95CD7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FE00E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F617CC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78EAF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E02644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308.28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8ED78C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308.28 </w:t>
                  </w:r>
                </w:p>
              </w:tc>
            </w:tr>
            <w:tr w14:paraId="4DFAE81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E027CF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设备夹层二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D8E8DB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41E1AF9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3.60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3291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628462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99142D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2AB29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13F17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73.40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A94EE4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264.24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201883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264.24 </w:t>
                  </w:r>
                </w:p>
              </w:tc>
            </w:tr>
            <w:tr w14:paraId="3E296E5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95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BC8529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屋面层</w:t>
                  </w:r>
                </w:p>
              </w:tc>
              <w:tc>
                <w:tcPr>
                  <w:tcW w:w="24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C1DED4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791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56743B4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6.50 </w:t>
                  </w:r>
                </w:p>
              </w:tc>
              <w:tc>
                <w:tcPr>
                  <w:tcW w:w="84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E3B024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noWrap/>
                  <w:vAlign w:val="center"/>
                </w:tcPr>
                <w:p w14:paraId="7AA579F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61.50 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8B3FB7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0A297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AB5113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61.50 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21FADC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399.75 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E18A72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399.75 </w:t>
                  </w:r>
                </w:p>
              </w:tc>
            </w:tr>
            <w:tr w14:paraId="60293E4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0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D9056B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6E82B7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6309AD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CFA04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C8C829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92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94EBC9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1F816F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32743.21 </w:t>
                  </w:r>
                </w:p>
              </w:tc>
              <w:tc>
                <w:tcPr>
                  <w:tcW w:w="886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F73202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FD275A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A3B37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38227.49 </w:t>
                  </w:r>
                </w:p>
              </w:tc>
            </w:tr>
            <w:tr w14:paraId="0715DEA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27" w:hRule="atLeast"/>
              </w:trPr>
              <w:tc>
                <w:tcPr>
                  <w:tcW w:w="1981" w:type="dxa"/>
                  <w:gridSpan w:val="3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81808D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围护墙非砌筑应用比例：Q2b=A2b/Aw1</w:t>
                  </w:r>
                </w:p>
              </w:tc>
              <w:tc>
                <w:tcPr>
                  <w:tcW w:w="6285" w:type="dxa"/>
                  <w:gridSpan w:val="7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572B7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85.7%</w:t>
                  </w:r>
                </w:p>
              </w:tc>
            </w:tr>
            <w:tr w14:paraId="1E14BEF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981" w:type="dxa"/>
                  <w:gridSpan w:val="3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9FDBC4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应用比例≥80%，此项得10分。</w:t>
                  </w:r>
                </w:p>
              </w:tc>
              <w:tc>
                <w:tcPr>
                  <w:tcW w:w="6285" w:type="dxa"/>
                  <w:gridSpan w:val="7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7AF48B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</w:t>
                  </w:r>
                </w:p>
              </w:tc>
            </w:tr>
          </w:tbl>
          <w:p w14:paraId="63B04CE6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未采用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内隔墙非砌筑得分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  <w:p w14:paraId="066B687F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根据《福建省装配式建筑评价标准》(DBJ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T13-426-2023)规定，满足围护墙和内隔墙部分的分值不低于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0分的要求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 w14:paraId="15537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C3607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3．装修和设备管线应用情况</w:t>
            </w:r>
          </w:p>
          <w:p w14:paraId="3B98A444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办公及配套、物业管理用房、会议室及前厅、数据机房等楼面、地面采用干式工法楼面、地面，其应用比例不低于70.0%，得6分；暖通风管及空调水管管线、给排水管线（除功能房间内竖管）及喷淋管线、电气配电及照明管线（不含开关插座）等采用管线分离，其应用比例不低于70.0%，得8分。</w:t>
            </w:r>
          </w:p>
          <w:p w14:paraId="6A2C2B18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44FFFE60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00F0D69D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611647CB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09937469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干式工法楼面、地面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应用比例计算如下表：</w:t>
            </w:r>
          </w:p>
          <w:tbl>
            <w:tblPr>
              <w:tblStyle w:val="7"/>
              <w:tblW w:w="8208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9"/>
              <w:gridCol w:w="741"/>
              <w:gridCol w:w="861"/>
              <w:gridCol w:w="882"/>
              <w:gridCol w:w="763"/>
              <w:gridCol w:w="897"/>
              <w:gridCol w:w="727"/>
              <w:gridCol w:w="727"/>
              <w:gridCol w:w="750"/>
              <w:gridCol w:w="861"/>
            </w:tblGrid>
            <w:tr w14:paraId="6E0E9B9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rHeight w:val="270" w:hRule="atLeast"/>
              </w:trPr>
              <w:tc>
                <w:tcPr>
                  <w:tcW w:w="8208" w:type="dxa"/>
                  <w:gridSpan w:val="10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7ECEE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干式工法楼面、地面应用比例计算</w:t>
                  </w:r>
                </w:p>
              </w:tc>
            </w:tr>
            <w:tr w14:paraId="7DBF973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A1EA4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楼层号</w:t>
                  </w:r>
                </w:p>
              </w:tc>
              <w:tc>
                <w:tcPr>
                  <w:tcW w:w="74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7B79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层数</w:t>
                  </w:r>
                </w:p>
              </w:tc>
              <w:tc>
                <w:tcPr>
                  <w:tcW w:w="1743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3A1E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干式工法楼面、地面面积之和（A3a）</w:t>
                  </w:r>
                </w:p>
              </w:tc>
              <w:tc>
                <w:tcPr>
                  <w:tcW w:w="4725" w:type="dxa"/>
                  <w:gridSpan w:val="6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A3D2E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各楼层外轮廓面积之和（A1）</w:t>
                  </w:r>
                </w:p>
              </w:tc>
            </w:tr>
            <w:tr w14:paraId="3D28D59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DCBF883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74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93ACB2A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743" w:type="dxa"/>
                  <w:gridSpan w:val="2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E46C0E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4725" w:type="dxa"/>
                  <w:gridSpan w:val="6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2E99B1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</w:tr>
            <w:tr w14:paraId="7FEDCB6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99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6B4D836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741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715A5D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55671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干式工法楼面、地面面积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AD28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6A83F9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建筑外轮廓面积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5371B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电梯井道、采光井等建筑洞口面积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8DEA6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竖向构件水平投影面积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EC437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厨房卫生间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F7608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楼梯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0D382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</w:tr>
            <w:tr w14:paraId="698C988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F96D0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AF3A84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DECE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6BD1C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2E076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3755.98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D57C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1455.84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F798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45EE6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44.34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C00A5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137.88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DE73D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2040.59 </w:t>
                  </w:r>
                </w:p>
              </w:tc>
            </w:tr>
            <w:tr w14:paraId="13F088F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B494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8E1AE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81D2A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25AB9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A3B42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3670.95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016C4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363.12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4A034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668D94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44.34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C172E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127.75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A4F6B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3058.41 </w:t>
                  </w:r>
                </w:p>
              </w:tc>
            </w:tr>
            <w:tr w14:paraId="7A8EA08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BAE44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A802A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5536E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681B7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5846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3621.13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D0D34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169.93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4E8442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E7A5AE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592.67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8044D5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23.43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915AF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2757.77 </w:t>
                  </w:r>
                </w:p>
              </w:tc>
            </w:tr>
            <w:tr w14:paraId="6690A49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BB4DA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6B67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61E728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1822.39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085DE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1822.39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15265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2550.47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04006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155.26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C4CBD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12B5C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61.11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0B7AB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29.22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FCD1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2227.55 </w:t>
                  </w:r>
                </w:p>
              </w:tc>
            </w:tr>
            <w:tr w14:paraId="3400839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EC653C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DFB1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E1158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1050.37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B7B69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1050.37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AC90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2550.47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B406B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838.80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8A38B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6EADE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51.74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3FE99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15.35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318233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1567.25 </w:t>
                  </w:r>
                </w:p>
              </w:tc>
            </w:tr>
            <w:tr w14:paraId="719AF10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1547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C73B1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94E9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485.95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896E4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485.95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66E58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1800.95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98C19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164.54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4BB99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9B8CE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28.00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475B5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15.90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EBA84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1515.18 </w:t>
                  </w:r>
                </w:p>
              </w:tc>
            </w:tr>
            <w:tr w14:paraId="684C1F4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B2331F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ABE6D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C3D6F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36EB9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76CFE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1816.06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224B8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140.07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DBBBE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7EFDE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EE3421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12.15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470D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1586.51 </w:t>
                  </w:r>
                </w:p>
              </w:tc>
            </w:tr>
            <w:tr w14:paraId="222EAEA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3A14EB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5C62A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6A2B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1402.55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D259C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1402.55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85046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1918.41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11B0F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133.84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D04D04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74.13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7D64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28.00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998D0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12.14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0022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1670.30 </w:t>
                  </w:r>
                </w:p>
              </w:tc>
            </w:tr>
            <w:tr w14:paraId="5EF0619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8099D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10、12~17层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1F9C5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55590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1507.49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EA434C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10552.43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D12B6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1918.45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82A6D3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138.05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42DD7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40E7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226E6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14.27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6C8A4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11471.60 </w:t>
                  </w:r>
                </w:p>
              </w:tc>
            </w:tr>
            <w:tr w14:paraId="165F4D9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D1748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8C397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5F9EAB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1416.78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7FDAD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1416.78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F4AB0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1918.45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4962C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228.76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44060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77.33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2FCC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F66F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14.27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145F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1548.09 </w:t>
                  </w:r>
                </w:p>
              </w:tc>
            </w:tr>
            <w:tr w14:paraId="7516B14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1C7A13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A5DBD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1EE0D4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1515.29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167562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1515.29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1C1AF9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1918.41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4DF8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137.64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9A2F0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72.32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C49CD4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65.81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7F130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B3B6B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1628.07 </w:t>
                  </w:r>
                </w:p>
              </w:tc>
            </w:tr>
            <w:tr w14:paraId="1E22BF9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3EA8D5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19层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C8191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7F556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233.19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6B2B0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233.19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570B6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1868.03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71531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94.52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E0FFF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72.32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9E9798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2A7ED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12.15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DDCB9B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1689.04 </w:t>
                  </w:r>
                </w:p>
              </w:tc>
            </w:tr>
            <w:tr w14:paraId="5BAE391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042711D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8AAC5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86A7D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1579.40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B13DF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1579.40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687E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1918.42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D259F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90.66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05483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55.26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ADC74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73.26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D892E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12.14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45AFF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1687.10 </w:t>
                  </w:r>
                </w:p>
              </w:tc>
            </w:tr>
            <w:tr w14:paraId="2411CF4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84C575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1727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B4C788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1485.27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7353A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1485.27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27B862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1918.42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BBB66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184.79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28AC2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58.46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6766F3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73.26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C2CDC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384D2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1587.34 </w:t>
                  </w:r>
                </w:p>
              </w:tc>
            </w:tr>
            <w:tr w14:paraId="4FD6B25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5CBA1F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22~23层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F842E0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9200E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1578.30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83D7E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3156.60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93349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1918.42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0E4BF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91.76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BFC0B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58.46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C63628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73.26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F10DC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5DBC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3360.74 </w:t>
                  </w:r>
                </w:p>
              </w:tc>
            </w:tr>
            <w:tr w14:paraId="658F24A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9C3180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24~27层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0F1F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858548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1581.41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71669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6325.64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0411A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1918.42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D507F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91.85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7B452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56.42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93AF1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72.52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45CD19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257ED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6732.24 </w:t>
                  </w:r>
                </w:p>
              </w:tc>
            </w:tr>
            <w:tr w14:paraId="09D7880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1CBAE2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28层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E4F66B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2950D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38C5A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02BCD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1867.97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72587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66.01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53601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56.48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F0C2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AE4FC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12.14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A8525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1733.34 </w:t>
                  </w:r>
                </w:p>
              </w:tc>
            </w:tr>
            <w:tr w14:paraId="21F0908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448EF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29层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EE8FC0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C59A6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1582.75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93651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1582.75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1637F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8764D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64.21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27868B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51.93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15731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38.46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4CEE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12.14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BEBAE5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1751.63 </w:t>
                  </w:r>
                </w:p>
              </w:tc>
            </w:tr>
            <w:tr w14:paraId="2C4F9AE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6A16045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30层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80953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61D264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1586.26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6E481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1586.26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5319D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BE9C82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66.18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6524D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52.61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85F067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38.46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48E698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01DDD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1746.55 </w:t>
                  </w:r>
                </w:p>
              </w:tc>
            </w:tr>
            <w:tr w14:paraId="7F53E85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127338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31~32层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85E710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C4A8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1639.08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7090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3278.16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7DED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1971.56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C1AD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66.66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579D5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52.61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0C419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38.46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72253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9A1545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3598.52 </w:t>
                  </w:r>
                </w:p>
              </w:tc>
            </w:tr>
            <w:tr w14:paraId="1E4F92F8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77E771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33~36、40~42层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870A7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BABD56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1593.67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5A7A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11155.69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36588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4E84B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65.79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389B40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47.35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633C4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38.46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E4952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377B92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12265.40 </w:t>
                  </w:r>
                </w:p>
              </w:tc>
            </w:tr>
            <w:tr w14:paraId="04F894C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2EE383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37层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0AC693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0C10C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56C9E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C5DAB6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62E76B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65.42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7E82E9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47.45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A85AD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DC95A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12.15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FAE250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1793.35 </w:t>
                  </w:r>
                </w:p>
              </w:tc>
            </w:tr>
            <w:tr w14:paraId="4B21165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7B9319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38层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4DB794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0C7BA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1593.45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C1AE93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1593.45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E124BE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0A0BA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67.45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4B6FF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44.97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9A25C4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38.46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3724B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12.14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DA100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1755.35 </w:t>
                  </w:r>
                </w:p>
              </w:tc>
            </w:tr>
            <w:tr w14:paraId="74EB1DF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BC8DDD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39层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5C513C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41F08E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1593.49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C369B1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1593.49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D5581B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F040A5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67.41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08DD2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37.63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A0B6C9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38.46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F082DB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DEB3A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1760.30 </w:t>
                  </w:r>
                </w:p>
              </w:tc>
            </w:tr>
            <w:tr w14:paraId="5D74E1D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26AFEF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43层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5373A4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79E84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1593.63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4B62C4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1593.63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AA5A66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1918.37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C314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66.67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A8AD80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47.34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23FCAE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38.46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72D2A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870C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1751.33 </w:t>
                  </w:r>
                </w:p>
              </w:tc>
            </w:tr>
            <w:tr w14:paraId="2960A45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604E74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44层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E926A9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BBE27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1597.95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F1155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1597.95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CC9AB1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1919.44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21EEBB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64.35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707ECC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52.08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86223F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45.25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BB60FD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14.57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6C1BF5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1743.19 </w:t>
                  </w:r>
                </w:p>
              </w:tc>
            </w:tr>
            <w:tr w14:paraId="30BBBD1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C2F4E6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45层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2AB5D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74FCBF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1ED70A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4B107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450.79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96DDC3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90.18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7091A7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52.03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1E955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3BDB9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16.56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16385F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292.02 </w:t>
                  </w:r>
                </w:p>
              </w:tc>
            </w:tr>
            <w:tr w14:paraId="63632A1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46B8A99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设备夹层一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BE0DC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20A11E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1FF3E0F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FB85CE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336.00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41BD6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43.73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771F232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52.03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0DA6D3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BF6A97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13.06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C6A9EB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227.18 </w:t>
                  </w:r>
                </w:p>
              </w:tc>
            </w:tr>
            <w:tr w14:paraId="79CF6D2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22D053A1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设备夹层二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AA6B12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981A2A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5FCDE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5A0832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336.00 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945078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37.56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A4A92D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51.47 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DD36FC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0.00 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9601DF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10.78 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0507C8E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236.19 </w:t>
                  </w:r>
                </w:p>
              </w:tc>
            </w:tr>
            <w:tr w14:paraId="6B2CF12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99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7C4CD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74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7ABF29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46872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8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4A000E0E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55007.24 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75908B9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02CFC3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187C728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7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2236ED9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340075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-</w:t>
                  </w:r>
                </w:p>
              </w:tc>
              <w:tc>
                <w:tcPr>
                  <w:tcW w:w="8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51B80C2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76782.13 </w:t>
                  </w:r>
                </w:p>
              </w:tc>
            </w:tr>
            <w:tr w14:paraId="44EB489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74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5DEB687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干式工法楼面、地面应用比例</w:t>
                  </w:r>
                </w:p>
              </w:tc>
              <w:tc>
                <w:tcPr>
                  <w:tcW w:w="6468" w:type="dxa"/>
                  <w:gridSpan w:val="8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15803EF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71.64%</w:t>
                  </w:r>
                </w:p>
              </w:tc>
            </w:tr>
            <w:tr w14:paraId="70E78E0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8208" w:type="dxa"/>
                  <w:gridSpan w:val="10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 w14:paraId="74402EF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both"/>
                    <w:textAlignment w:val="center"/>
                    <w:rPr>
                      <w:rFonts w:hint="eastAsia" w:ascii="仿宋" w:hAnsi="仿宋" w:eastAsia="仿宋" w:cs="仿宋"/>
                      <w:b/>
                      <w:bCs/>
                      <w:i w:val="0"/>
                      <w:iCs w:val="0"/>
                      <w:color w:val="FF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结论：干式工法楼面、地面应用比例Q3a=A3a/A1=</w:t>
                  </w:r>
                  <w:r>
                    <w:rPr>
                      <w:rStyle w:val="21"/>
                      <w:rFonts w:hint="eastAsia" w:ascii="仿宋" w:hAnsi="仿宋" w:eastAsia="仿宋" w:cs="仿宋"/>
                      <w:sz w:val="24"/>
                      <w:szCs w:val="24"/>
                      <w:lang w:val="en-US" w:eastAsia="zh-CN" w:bidi="ar"/>
                    </w:rPr>
                    <w:t>&gt;70%，.此项得分</w:t>
                  </w:r>
                  <w:r>
                    <w:rPr>
                      <w:rStyle w:val="21"/>
                      <w:rFonts w:hint="eastAsia" w:ascii="仿宋" w:hAnsi="仿宋" w:eastAsia="仿宋" w:cs="仿宋"/>
                      <w:color w:val="auto"/>
                      <w:sz w:val="24"/>
                      <w:szCs w:val="24"/>
                      <w:lang w:val="en-US" w:eastAsia="zh-CN" w:bidi="ar"/>
                    </w:rPr>
                    <w:t>：</w:t>
                  </w:r>
                  <w:r>
                    <w:rPr>
                      <w:rStyle w:val="22"/>
                      <w:rFonts w:hint="eastAsia" w:ascii="仿宋" w:hAnsi="仿宋" w:eastAsia="仿宋" w:cs="仿宋"/>
                      <w:color w:val="auto"/>
                      <w:sz w:val="24"/>
                      <w:szCs w:val="24"/>
                      <w:lang w:val="en-US" w:eastAsia="zh-CN" w:bidi="ar"/>
                    </w:rPr>
                    <w:t>6</w:t>
                  </w:r>
                </w:p>
              </w:tc>
            </w:tr>
          </w:tbl>
          <w:p w14:paraId="34E2A3F8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管线分离应用比例计算如下表：</w:t>
            </w:r>
          </w:p>
          <w:tbl>
            <w:tblPr>
              <w:tblStyle w:val="7"/>
              <w:tblW w:w="4934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48"/>
              <w:gridCol w:w="997"/>
              <w:gridCol w:w="910"/>
              <w:gridCol w:w="910"/>
              <w:gridCol w:w="910"/>
              <w:gridCol w:w="910"/>
              <w:gridCol w:w="916"/>
              <w:gridCol w:w="997"/>
              <w:gridCol w:w="998"/>
            </w:tblGrid>
            <w:tr w14:paraId="0B160EF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  <w:jc w:val="center"/>
              </w:trPr>
              <w:tc>
                <w:tcPr>
                  <w:tcW w:w="5000" w:type="pct"/>
                  <w:gridSpan w:val="9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4926AF7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管线分离应用比例计算</w:t>
                  </w:r>
                </w:p>
              </w:tc>
            </w:tr>
            <w:tr w14:paraId="036DA0F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396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0A2500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楼层号</w:t>
                  </w:r>
                </w:p>
              </w:tc>
              <w:tc>
                <w:tcPr>
                  <w:tcW w:w="608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D63EC48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电气管线长度（m）</w:t>
                  </w:r>
                </w:p>
              </w:tc>
              <w:tc>
                <w:tcPr>
                  <w:tcW w:w="55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349E02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给排水管线长度（m）</w:t>
                  </w:r>
                </w:p>
              </w:tc>
              <w:tc>
                <w:tcPr>
                  <w:tcW w:w="55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C68C8F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暖通管线长度（m）</w:t>
                  </w:r>
                </w:p>
              </w:tc>
              <w:tc>
                <w:tcPr>
                  <w:tcW w:w="55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A36452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电气分离管线长度（m）</w:t>
                  </w:r>
                </w:p>
              </w:tc>
              <w:tc>
                <w:tcPr>
                  <w:tcW w:w="55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85327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给排水分离管线长度（m）</w:t>
                  </w:r>
                </w:p>
              </w:tc>
              <w:tc>
                <w:tcPr>
                  <w:tcW w:w="555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579CA43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暖通分离管线长度（m）</w:t>
                  </w:r>
                </w:p>
              </w:tc>
              <w:tc>
                <w:tcPr>
                  <w:tcW w:w="608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5C3857A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管线总长度L（m）</w:t>
                  </w:r>
                </w:p>
              </w:tc>
              <w:tc>
                <w:tcPr>
                  <w:tcW w:w="608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C8814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电气管线分离总长度L3d（m）</w:t>
                  </w:r>
                </w:p>
              </w:tc>
            </w:tr>
            <w:tr w14:paraId="030B4D5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396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6B8EEC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全楼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1C0E35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101106.81 </w:t>
                  </w:r>
                </w:p>
              </w:tc>
              <w:tc>
                <w:tcPr>
                  <w:tcW w:w="55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5CCB44C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53262.52 </w:t>
                  </w:r>
                </w:p>
              </w:tc>
              <w:tc>
                <w:tcPr>
                  <w:tcW w:w="55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EE1C3A4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33263.28 </w:t>
                  </w:r>
                </w:p>
              </w:tc>
              <w:tc>
                <w:tcPr>
                  <w:tcW w:w="55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CE83F3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57213.64 </w:t>
                  </w:r>
                </w:p>
              </w:tc>
              <w:tc>
                <w:tcPr>
                  <w:tcW w:w="55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D25FEA0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49907.22 </w:t>
                  </w:r>
                </w:p>
              </w:tc>
              <w:tc>
                <w:tcPr>
                  <w:tcW w:w="555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609E91CA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33263.28 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7FC0143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187632.61 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0D01B7A2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140384.14 </w:t>
                  </w:r>
                </w:p>
              </w:tc>
            </w:tr>
            <w:tr w14:paraId="6EAC5C3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3783" w:type="pct"/>
                  <w:gridSpan w:val="7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9C4DD0E">
                  <w:pPr>
                    <w:keepNext w:val="0"/>
                    <w:keepLines w:val="0"/>
                    <w:suppressLineNumbers w:val="0"/>
                    <w:spacing w:before="0" w:beforeAutospacing="0" w:after="0" w:afterAutospacing="0"/>
                    <w:ind w:left="0" w:right="0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320F3E86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187632.61 </w:t>
                  </w:r>
                </w:p>
              </w:tc>
              <w:tc>
                <w:tcPr>
                  <w:tcW w:w="608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2E99BCE5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righ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140384.14 </w:t>
                  </w:r>
                </w:p>
              </w:tc>
            </w:tr>
            <w:tr w14:paraId="6C2385F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5000" w:type="pct"/>
                  <w:gridSpan w:val="9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98FFC5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管线分离比例：Q3d = L3d/L×100%=74.82%</w:t>
                  </w:r>
                </w:p>
              </w:tc>
            </w:tr>
            <w:tr w14:paraId="670F3CA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5" w:hRule="atLeast"/>
                <w:jc w:val="center"/>
              </w:trPr>
              <w:tc>
                <w:tcPr>
                  <w:tcW w:w="5000" w:type="pct"/>
                  <w:gridSpan w:val="9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 w14:paraId="443E5FBD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应用比例＞70%，此项得8分。</w:t>
                  </w:r>
                </w:p>
              </w:tc>
            </w:tr>
          </w:tbl>
          <w:p w14:paraId="065C4CFE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未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采用全装修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集成厨房、集成卫生间等装修和设备管线技术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  <w:p w14:paraId="62CE7932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根据《福建省装配式建筑评价标准》(DBJ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T13-426-2023)规定，装修和设备管线部分的分值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无最低分值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要求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 w14:paraId="6174E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7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6C8DC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4．技术创新应用情况</w:t>
            </w:r>
          </w:p>
          <w:p w14:paraId="486B4380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4.1、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装配式建筑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在设计阶段及施工阶段均采用BIM技术。</w:t>
            </w:r>
          </w:p>
          <w:p w14:paraId="6F14DA6A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在设计阶段提供（含BIM模型物料清单）：建模精度达到LOD3.0的全专业BIM模型，得1分；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非装配式混凝土结构提供包含详细节点设计的BIM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模型及碰撞检测报告，得2分；</w:t>
            </w:r>
          </w:p>
          <w:p w14:paraId="2881EB90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在施工阶段提供：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提供与装配式主体结构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评分项相关的预制构件深化设计BIM模型（建模精度达到LOD4.0），得2分；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围护墙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BIM模型（建模精度达到LOD4.0），得1分；</w:t>
            </w:r>
          </w:p>
          <w:p w14:paraId="49CE8001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4.2、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装配式建筑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采用可追溯管理系统（详建设单位承诺函），得分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分；</w:t>
            </w:r>
          </w:p>
          <w:p w14:paraId="129FC030">
            <w:pPr>
              <w:keepNext w:val="0"/>
              <w:keepLines w:val="0"/>
              <w:suppressLineNumbers w:val="0"/>
              <w:spacing w:before="0" w:beforeAutospacing="0" w:after="0" w:afterAutospacing="0" w:line="420" w:lineRule="auto"/>
              <w:ind w:left="0" w:right="0" w:firstLine="48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根据《福建省装配式建筑评价标准》(DBJ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T13-426-2023)规定可得分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满足技术创新部分的分值不低于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分的要求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 w14:paraId="263C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CEC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>、项目主要参加人员（包括建设、代建、工程总承包、设计、主要构件生产、施工、监理、咨询单位技术负责人）</w:t>
            </w:r>
          </w:p>
        </w:tc>
      </w:tr>
      <w:tr w14:paraId="6C7CF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0B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 名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F37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 务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782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 称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B6D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承担主要工作</w:t>
            </w:r>
          </w:p>
        </w:tc>
      </w:tr>
      <w:tr w14:paraId="17D29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8B8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黄凌山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592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6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BFE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/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23DE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6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建设单位项目负责人</w:t>
            </w:r>
          </w:p>
        </w:tc>
      </w:tr>
      <w:tr w14:paraId="2F5EB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89C5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eastAsia="zh"/>
                <w:woUserID w:val="2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郭祺毅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BAE8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8EA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eastAsia="zh"/>
                <w:woUserID w:val="2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/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713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代建单位项目负责人</w:t>
            </w:r>
          </w:p>
        </w:tc>
      </w:tr>
      <w:tr w14:paraId="0D95C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D9C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eastAsia="zh"/>
                <w:woUserID w:val="2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涂斌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6F2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0E3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eastAsia="zh"/>
                <w:woUserID w:val="2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教授级高级工程师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B18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设计单位项目负责人</w:t>
            </w:r>
          </w:p>
        </w:tc>
      </w:tr>
      <w:tr w14:paraId="34DEC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608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eastAsia="zh"/>
                <w:woUserID w:val="2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赖艳芳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EA4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专业负责人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63E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eastAsia="zh"/>
                <w:woUserID w:val="2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教授级高级工程师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6AD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设计单位结构专业负责人</w:t>
            </w:r>
          </w:p>
        </w:tc>
      </w:tr>
      <w:tr w14:paraId="1E3E2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F64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常利军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857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项目经理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EB7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高级工程师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5EA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施工单位项目经理</w:t>
            </w:r>
          </w:p>
        </w:tc>
      </w:tr>
      <w:tr w14:paraId="75F0D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BDF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陈蕃鸿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532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项目技术负责人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D8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7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高级工程师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FCE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施工单位技术负责人</w:t>
            </w:r>
          </w:p>
        </w:tc>
      </w:tr>
      <w:tr w14:paraId="10DBA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BDC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林文辉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72CA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F99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1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高级工程师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C2FF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监理单位项目负责人</w:t>
            </w:r>
          </w:p>
        </w:tc>
      </w:tr>
      <w:tr w14:paraId="0ABF9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3CF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何鹏程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282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006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1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高级工程师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DB2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构件生产单位项目负责人</w:t>
            </w:r>
          </w:p>
        </w:tc>
      </w:tr>
      <w:tr w14:paraId="22D97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171F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文斌</w:t>
            </w:r>
          </w:p>
        </w:tc>
        <w:tc>
          <w:tcPr>
            <w:tcW w:w="112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FF3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项目负责人</w:t>
            </w:r>
          </w:p>
        </w:tc>
        <w:tc>
          <w:tcPr>
            <w:tcW w:w="118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8F5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  <w:lang w:val="en-US" w:eastAsia="zh"/>
                <w:woUserID w:val="1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/</w:t>
            </w:r>
          </w:p>
        </w:tc>
        <w:tc>
          <w:tcPr>
            <w:tcW w:w="173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D9A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构件生产单位项目负责人</w:t>
            </w:r>
          </w:p>
        </w:tc>
      </w:tr>
      <w:tr w14:paraId="78589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FCFB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>、项目综合效益分析</w:t>
            </w:r>
          </w:p>
        </w:tc>
      </w:tr>
      <w:tr w14:paraId="14331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7C0B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本项目位于福建省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厦门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湖里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结构体系为钢管混凝土钢框架-钢筋混凝土核心筒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  <w:p w14:paraId="31DF6920"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 w:firstLine="480" w:firstLineChars="200"/>
              <w:rPr>
                <w:rFonts w:hint="default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装配式方案采用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钢筋桁架楼承板、幕墙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等较成熟的体系及技术手段，设计阶段及施工阶段均采用BIM技术。</w:t>
            </w:r>
          </w:p>
        </w:tc>
      </w:tr>
      <w:tr w14:paraId="29B95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EEF6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六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>、申报单位意见</w:t>
            </w:r>
          </w:p>
        </w:tc>
      </w:tr>
      <w:tr w14:paraId="382A2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F07D6">
            <w:pPr>
              <w:pStyle w:val="20"/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right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（1）本项目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自愿</w:t>
            </w:r>
            <w:r>
              <w:rPr>
                <w:rFonts w:hint="eastAsia"/>
                <w:color w:val="auto"/>
                <w:highlight w:val="none"/>
              </w:rPr>
              <w:t>实施装配建造。</w:t>
            </w:r>
          </w:p>
          <w:p w14:paraId="59AF031C">
            <w:pPr>
              <w:pStyle w:val="20"/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right="0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/>
                <w:color w:val="auto"/>
                <w:highlight w:val="none"/>
              </w:rPr>
              <w:t>（2）本项目装配式建筑设计阶段预评价相关资料完整，其主体结构、围护墙和内隔墙、技术创新部分的分值均不低于最低分值要求，评价单元装配率不低于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91</w:t>
            </w:r>
            <w:r>
              <w:rPr>
                <w:rFonts w:hint="eastAsia"/>
                <w:color w:val="auto"/>
                <w:highlight w:val="none"/>
              </w:rPr>
              <w:t>%，符合《福建省装配式建筑评价标准》(DBJ/T13-426-2023)的相关规定，自评本项目设计阶段预评价为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AAA级</w:t>
            </w:r>
            <w:r>
              <w:rPr>
                <w:rFonts w:hint="eastAsia"/>
                <w:color w:val="auto"/>
                <w:highlight w:val="none"/>
              </w:rPr>
              <w:t>装配式建筑。</w:t>
            </w:r>
          </w:p>
          <w:p w14:paraId="51C569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28722C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6734C2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485B7B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64E0D6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6840" w:firstLineChars="285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  <w:t>（盖章）</w:t>
            </w:r>
          </w:p>
          <w:p w14:paraId="5D6A47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02B874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5A8744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6573DD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7569D33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  <w:t xml:space="preserve">                                               202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  <w:t xml:space="preserve"> 年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 w:bidi="ar"/>
              </w:rPr>
              <w:t>12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  <w:t xml:space="preserve"> 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 w:bidi="ar"/>
              </w:rPr>
              <w:t xml:space="preserve">  15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  <w:t>日</w:t>
            </w:r>
          </w:p>
          <w:p w14:paraId="0F70D85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  <w:p w14:paraId="2BDCD2D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bidi="ar"/>
              </w:rPr>
            </w:pPr>
          </w:p>
        </w:tc>
      </w:tr>
      <w:tr w14:paraId="670A0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BF4C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七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>、专家组意见</w:t>
            </w:r>
          </w:p>
        </w:tc>
      </w:tr>
      <w:tr w14:paraId="4D16D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7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72DDCA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9B4E41A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267EF4B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0A04F68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76A1C31A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61401E3D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63053F6C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9BFF6AE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2B0D8AA2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45F1C77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6CC56CA8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F881449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DA74E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结论：</w:t>
            </w:r>
          </w:p>
          <w:p w14:paraId="369C326A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0FC1F19D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2488E6DD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CD54425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25C8C72B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0E19009E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738068B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C1C93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签字：</w:t>
            </w:r>
          </w:p>
          <w:p w14:paraId="593281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5C657A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413F00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  <w:p w14:paraId="0777BF38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                                       年      月      日</w:t>
            </w:r>
          </w:p>
          <w:p w14:paraId="60EFF74A">
            <w:pPr>
              <w:keepNext w:val="0"/>
              <w:keepLines w:val="0"/>
              <w:suppressLineNumbers w:val="0"/>
              <w:wordWrap/>
              <w:spacing w:before="0" w:beforeAutospacing="0" w:after="0" w:afterAutospacing="0" w:line="560" w:lineRule="exact"/>
              <w:ind w:left="0" w:right="36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689A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9E99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default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八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评价管理机构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4"/>
                <w:szCs w:val="24"/>
                <w:highlight w:val="none"/>
              </w:rPr>
              <w:t>意见</w:t>
            </w:r>
          </w:p>
        </w:tc>
      </w:tr>
      <w:tr w14:paraId="5E0C8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7" w:hRule="atLeast"/>
          <w:jc w:val="center"/>
        </w:trPr>
        <w:tc>
          <w:tcPr>
            <w:tcW w:w="5000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0910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AD362A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A69D71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61432F09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5670C94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7B0260B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510DB76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52AE586E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2F79265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B36968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754079DC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0C74CBE0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8C7FE4A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74E6CF13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4DD8CD17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1C313714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7F5F474B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04D828F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61B2A55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575F75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7200" w:firstLineChars="300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（盖章）</w:t>
            </w:r>
          </w:p>
          <w:p w14:paraId="70C06CF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626617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13DE1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68FB33CB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                                            年      月      日</w:t>
            </w:r>
          </w:p>
          <w:p w14:paraId="29B09F48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right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163CA4C">
      <w:pPr>
        <w:rPr>
          <w:rFonts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C0958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90818D">
                          <w:pPr>
                            <w:pStyle w:val="4"/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390818D">
                    <w:pPr>
                      <w:pStyle w:val="4"/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A1D700"/>
    <w:multiLevelType w:val="singleLevel"/>
    <w:tmpl w:val="68A1D70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0OTUzNjM2YWI5NTg1NmQzZTI1OGQ1MmE4MjIxMjAifQ=="/>
  </w:docVars>
  <w:rsids>
    <w:rsidRoot w:val="00172A27"/>
    <w:rsid w:val="00013776"/>
    <w:rsid w:val="00031144"/>
    <w:rsid w:val="0003201D"/>
    <w:rsid w:val="0003716B"/>
    <w:rsid w:val="0004524B"/>
    <w:rsid w:val="00045790"/>
    <w:rsid w:val="00045FD7"/>
    <w:rsid w:val="000464DE"/>
    <w:rsid w:val="00053689"/>
    <w:rsid w:val="00053762"/>
    <w:rsid w:val="00057869"/>
    <w:rsid w:val="00061964"/>
    <w:rsid w:val="0009296C"/>
    <w:rsid w:val="0009384E"/>
    <w:rsid w:val="000B2D8A"/>
    <w:rsid w:val="000D274A"/>
    <w:rsid w:val="000D42D2"/>
    <w:rsid w:val="000E18D4"/>
    <w:rsid w:val="000E6B99"/>
    <w:rsid w:val="000F4A06"/>
    <w:rsid w:val="000F4F01"/>
    <w:rsid w:val="000F6939"/>
    <w:rsid w:val="000F7824"/>
    <w:rsid w:val="00102A3D"/>
    <w:rsid w:val="00121F7A"/>
    <w:rsid w:val="0015705E"/>
    <w:rsid w:val="00165108"/>
    <w:rsid w:val="00165C8A"/>
    <w:rsid w:val="001819EB"/>
    <w:rsid w:val="00186243"/>
    <w:rsid w:val="001924A5"/>
    <w:rsid w:val="001946BE"/>
    <w:rsid w:val="001B32C8"/>
    <w:rsid w:val="001C40C5"/>
    <w:rsid w:val="001D4F41"/>
    <w:rsid w:val="001D7566"/>
    <w:rsid w:val="001F5ACD"/>
    <w:rsid w:val="0020119D"/>
    <w:rsid w:val="00202417"/>
    <w:rsid w:val="0020678E"/>
    <w:rsid w:val="00244DF5"/>
    <w:rsid w:val="00246219"/>
    <w:rsid w:val="002557FA"/>
    <w:rsid w:val="00295DEC"/>
    <w:rsid w:val="002A12D1"/>
    <w:rsid w:val="002A2177"/>
    <w:rsid w:val="002B4051"/>
    <w:rsid w:val="002C7442"/>
    <w:rsid w:val="002D11EA"/>
    <w:rsid w:val="002D5E4D"/>
    <w:rsid w:val="002D6F50"/>
    <w:rsid w:val="002E3C8B"/>
    <w:rsid w:val="002E47A3"/>
    <w:rsid w:val="00304C3E"/>
    <w:rsid w:val="00325801"/>
    <w:rsid w:val="00333194"/>
    <w:rsid w:val="0033682C"/>
    <w:rsid w:val="00347E21"/>
    <w:rsid w:val="00353935"/>
    <w:rsid w:val="00356073"/>
    <w:rsid w:val="0037049A"/>
    <w:rsid w:val="003961DF"/>
    <w:rsid w:val="003B18E7"/>
    <w:rsid w:val="003C0E90"/>
    <w:rsid w:val="003C671A"/>
    <w:rsid w:val="0040003F"/>
    <w:rsid w:val="00404EEE"/>
    <w:rsid w:val="00467D2D"/>
    <w:rsid w:val="00480461"/>
    <w:rsid w:val="004954C8"/>
    <w:rsid w:val="00495B1C"/>
    <w:rsid w:val="00497338"/>
    <w:rsid w:val="004A3851"/>
    <w:rsid w:val="004C1CF5"/>
    <w:rsid w:val="004D6985"/>
    <w:rsid w:val="004E0829"/>
    <w:rsid w:val="004E7334"/>
    <w:rsid w:val="004F7A90"/>
    <w:rsid w:val="00506A93"/>
    <w:rsid w:val="00542E3A"/>
    <w:rsid w:val="00554297"/>
    <w:rsid w:val="005838BF"/>
    <w:rsid w:val="00587798"/>
    <w:rsid w:val="0059037B"/>
    <w:rsid w:val="005E1E6B"/>
    <w:rsid w:val="005F5ABA"/>
    <w:rsid w:val="005F5C79"/>
    <w:rsid w:val="00602EA2"/>
    <w:rsid w:val="00603BA7"/>
    <w:rsid w:val="006050CB"/>
    <w:rsid w:val="00610FD0"/>
    <w:rsid w:val="00611D9A"/>
    <w:rsid w:val="00616240"/>
    <w:rsid w:val="00642C4F"/>
    <w:rsid w:val="00657F05"/>
    <w:rsid w:val="00693A4D"/>
    <w:rsid w:val="006971F2"/>
    <w:rsid w:val="006A25EE"/>
    <w:rsid w:val="006A7462"/>
    <w:rsid w:val="006C4E96"/>
    <w:rsid w:val="006C6769"/>
    <w:rsid w:val="006E541A"/>
    <w:rsid w:val="006E6AE9"/>
    <w:rsid w:val="006E7BC7"/>
    <w:rsid w:val="006F03DB"/>
    <w:rsid w:val="00711078"/>
    <w:rsid w:val="00712A5C"/>
    <w:rsid w:val="007472E5"/>
    <w:rsid w:val="007567B6"/>
    <w:rsid w:val="0076142D"/>
    <w:rsid w:val="0077307A"/>
    <w:rsid w:val="007820D0"/>
    <w:rsid w:val="007874DB"/>
    <w:rsid w:val="007B661E"/>
    <w:rsid w:val="007D4D5F"/>
    <w:rsid w:val="007D5A76"/>
    <w:rsid w:val="007E05D2"/>
    <w:rsid w:val="007E2640"/>
    <w:rsid w:val="007E5293"/>
    <w:rsid w:val="007F1460"/>
    <w:rsid w:val="008069E7"/>
    <w:rsid w:val="0082250A"/>
    <w:rsid w:val="008614B0"/>
    <w:rsid w:val="0087052C"/>
    <w:rsid w:val="00872B9C"/>
    <w:rsid w:val="00877653"/>
    <w:rsid w:val="008974DB"/>
    <w:rsid w:val="008C21A1"/>
    <w:rsid w:val="008C635E"/>
    <w:rsid w:val="00900A95"/>
    <w:rsid w:val="00914EFB"/>
    <w:rsid w:val="00980368"/>
    <w:rsid w:val="00980D4E"/>
    <w:rsid w:val="00985D02"/>
    <w:rsid w:val="009979F6"/>
    <w:rsid w:val="009B5F6A"/>
    <w:rsid w:val="009C0350"/>
    <w:rsid w:val="009C22AB"/>
    <w:rsid w:val="009D62D0"/>
    <w:rsid w:val="009E0058"/>
    <w:rsid w:val="009E2C0E"/>
    <w:rsid w:val="009F6814"/>
    <w:rsid w:val="009F7AAA"/>
    <w:rsid w:val="00A2012F"/>
    <w:rsid w:val="00A31C51"/>
    <w:rsid w:val="00A3317C"/>
    <w:rsid w:val="00A5133B"/>
    <w:rsid w:val="00A52B9D"/>
    <w:rsid w:val="00A55451"/>
    <w:rsid w:val="00A5716A"/>
    <w:rsid w:val="00A64621"/>
    <w:rsid w:val="00A71A23"/>
    <w:rsid w:val="00A72624"/>
    <w:rsid w:val="00A75A7D"/>
    <w:rsid w:val="00A766C0"/>
    <w:rsid w:val="00A81FC9"/>
    <w:rsid w:val="00A85C0F"/>
    <w:rsid w:val="00A87B35"/>
    <w:rsid w:val="00AA70AD"/>
    <w:rsid w:val="00AB4006"/>
    <w:rsid w:val="00AB5FFF"/>
    <w:rsid w:val="00AE103F"/>
    <w:rsid w:val="00AF1D8B"/>
    <w:rsid w:val="00AF764A"/>
    <w:rsid w:val="00B024E3"/>
    <w:rsid w:val="00B43EEF"/>
    <w:rsid w:val="00B73543"/>
    <w:rsid w:val="00B87B1A"/>
    <w:rsid w:val="00BA0FD7"/>
    <w:rsid w:val="00BB130E"/>
    <w:rsid w:val="00BF4355"/>
    <w:rsid w:val="00BF699B"/>
    <w:rsid w:val="00C110BF"/>
    <w:rsid w:val="00C34B5E"/>
    <w:rsid w:val="00C729F2"/>
    <w:rsid w:val="00CD24E6"/>
    <w:rsid w:val="00CE400A"/>
    <w:rsid w:val="00CF00C9"/>
    <w:rsid w:val="00CF6549"/>
    <w:rsid w:val="00D00A34"/>
    <w:rsid w:val="00D01ADA"/>
    <w:rsid w:val="00D03DD1"/>
    <w:rsid w:val="00D10E21"/>
    <w:rsid w:val="00D33FC0"/>
    <w:rsid w:val="00D42675"/>
    <w:rsid w:val="00D51373"/>
    <w:rsid w:val="00D55D9E"/>
    <w:rsid w:val="00D6715C"/>
    <w:rsid w:val="00D82DA4"/>
    <w:rsid w:val="00D9240D"/>
    <w:rsid w:val="00D96C38"/>
    <w:rsid w:val="00DA33F6"/>
    <w:rsid w:val="00DA78DB"/>
    <w:rsid w:val="00DE3E2C"/>
    <w:rsid w:val="00E21977"/>
    <w:rsid w:val="00E40038"/>
    <w:rsid w:val="00E403C8"/>
    <w:rsid w:val="00E4289E"/>
    <w:rsid w:val="00E43CBC"/>
    <w:rsid w:val="00E44DA4"/>
    <w:rsid w:val="00EB337F"/>
    <w:rsid w:val="00EC1A0B"/>
    <w:rsid w:val="00EC2A0B"/>
    <w:rsid w:val="00ED1293"/>
    <w:rsid w:val="00EE2D07"/>
    <w:rsid w:val="00EF240D"/>
    <w:rsid w:val="00F00DD1"/>
    <w:rsid w:val="00F07632"/>
    <w:rsid w:val="00F17289"/>
    <w:rsid w:val="00F21010"/>
    <w:rsid w:val="00F33C9A"/>
    <w:rsid w:val="00F52138"/>
    <w:rsid w:val="00F556FD"/>
    <w:rsid w:val="00F55756"/>
    <w:rsid w:val="00F63978"/>
    <w:rsid w:val="00F73386"/>
    <w:rsid w:val="00F77E24"/>
    <w:rsid w:val="00F83C36"/>
    <w:rsid w:val="00FB2389"/>
    <w:rsid w:val="00FC1C8D"/>
    <w:rsid w:val="00FD0D87"/>
    <w:rsid w:val="00FE69D3"/>
    <w:rsid w:val="00FF0C72"/>
    <w:rsid w:val="00FF34AB"/>
    <w:rsid w:val="01072AC7"/>
    <w:rsid w:val="013C690E"/>
    <w:rsid w:val="01726D70"/>
    <w:rsid w:val="01FB2011"/>
    <w:rsid w:val="0212593B"/>
    <w:rsid w:val="039373FC"/>
    <w:rsid w:val="03993C05"/>
    <w:rsid w:val="03EC57A6"/>
    <w:rsid w:val="04CB2673"/>
    <w:rsid w:val="04FA4922"/>
    <w:rsid w:val="06712DA4"/>
    <w:rsid w:val="0700208C"/>
    <w:rsid w:val="07180243"/>
    <w:rsid w:val="07947887"/>
    <w:rsid w:val="08346591"/>
    <w:rsid w:val="0A03446D"/>
    <w:rsid w:val="0A571B96"/>
    <w:rsid w:val="0A787078"/>
    <w:rsid w:val="0B272D2B"/>
    <w:rsid w:val="0C27367A"/>
    <w:rsid w:val="0C2A0662"/>
    <w:rsid w:val="0D5C7E22"/>
    <w:rsid w:val="0D681AC0"/>
    <w:rsid w:val="0D8441AC"/>
    <w:rsid w:val="0D975B9D"/>
    <w:rsid w:val="0E2D5254"/>
    <w:rsid w:val="0E3D548D"/>
    <w:rsid w:val="0E81081C"/>
    <w:rsid w:val="0EE37030"/>
    <w:rsid w:val="0F2606E1"/>
    <w:rsid w:val="0F3268D7"/>
    <w:rsid w:val="0FD11314"/>
    <w:rsid w:val="11136A20"/>
    <w:rsid w:val="113A6897"/>
    <w:rsid w:val="11594C16"/>
    <w:rsid w:val="1183141F"/>
    <w:rsid w:val="12464824"/>
    <w:rsid w:val="12F01B9C"/>
    <w:rsid w:val="133845F0"/>
    <w:rsid w:val="13A12DDD"/>
    <w:rsid w:val="13C34699"/>
    <w:rsid w:val="141A2FE8"/>
    <w:rsid w:val="145B0E4C"/>
    <w:rsid w:val="14DA23C7"/>
    <w:rsid w:val="14E76551"/>
    <w:rsid w:val="14EA7C69"/>
    <w:rsid w:val="154916F8"/>
    <w:rsid w:val="15506712"/>
    <w:rsid w:val="15961026"/>
    <w:rsid w:val="15A61459"/>
    <w:rsid w:val="174B1B0B"/>
    <w:rsid w:val="1775450F"/>
    <w:rsid w:val="17B82AC9"/>
    <w:rsid w:val="185450EB"/>
    <w:rsid w:val="19E3527B"/>
    <w:rsid w:val="1A0C2EC9"/>
    <w:rsid w:val="1A44650F"/>
    <w:rsid w:val="1A973146"/>
    <w:rsid w:val="1BB52029"/>
    <w:rsid w:val="1BCF2AF3"/>
    <w:rsid w:val="1BD829BD"/>
    <w:rsid w:val="1BEA5578"/>
    <w:rsid w:val="1C175DC6"/>
    <w:rsid w:val="1C2753DD"/>
    <w:rsid w:val="1C2D08BF"/>
    <w:rsid w:val="1C345791"/>
    <w:rsid w:val="1C38339E"/>
    <w:rsid w:val="1C7D1E86"/>
    <w:rsid w:val="1CCE5874"/>
    <w:rsid w:val="1DFA1ED4"/>
    <w:rsid w:val="1E061960"/>
    <w:rsid w:val="1E374500"/>
    <w:rsid w:val="1F5B4E5A"/>
    <w:rsid w:val="20274E88"/>
    <w:rsid w:val="20C444FE"/>
    <w:rsid w:val="212F0544"/>
    <w:rsid w:val="21307F57"/>
    <w:rsid w:val="218F3513"/>
    <w:rsid w:val="223425D2"/>
    <w:rsid w:val="22384453"/>
    <w:rsid w:val="23846768"/>
    <w:rsid w:val="23A739C5"/>
    <w:rsid w:val="23CD19BD"/>
    <w:rsid w:val="23DD0401"/>
    <w:rsid w:val="250A0152"/>
    <w:rsid w:val="25164C6B"/>
    <w:rsid w:val="25A34F45"/>
    <w:rsid w:val="2668011B"/>
    <w:rsid w:val="26861CA2"/>
    <w:rsid w:val="26CF017F"/>
    <w:rsid w:val="26DB7B33"/>
    <w:rsid w:val="26FE3B9A"/>
    <w:rsid w:val="270D79C4"/>
    <w:rsid w:val="281B584F"/>
    <w:rsid w:val="28466A4F"/>
    <w:rsid w:val="288C6B57"/>
    <w:rsid w:val="288F4734"/>
    <w:rsid w:val="2937080E"/>
    <w:rsid w:val="29C616E9"/>
    <w:rsid w:val="29D125AB"/>
    <w:rsid w:val="2A0E5C43"/>
    <w:rsid w:val="2A932E61"/>
    <w:rsid w:val="2C2024D9"/>
    <w:rsid w:val="2C4A33B3"/>
    <w:rsid w:val="2C743DD9"/>
    <w:rsid w:val="2CAB3C21"/>
    <w:rsid w:val="2D37317A"/>
    <w:rsid w:val="2D3E0EFE"/>
    <w:rsid w:val="2DA91024"/>
    <w:rsid w:val="2ECB7F07"/>
    <w:rsid w:val="2ED822F6"/>
    <w:rsid w:val="2EDA7C57"/>
    <w:rsid w:val="2F6B2196"/>
    <w:rsid w:val="2FB813E8"/>
    <w:rsid w:val="306F7732"/>
    <w:rsid w:val="316118F5"/>
    <w:rsid w:val="31BA340F"/>
    <w:rsid w:val="32163622"/>
    <w:rsid w:val="32224478"/>
    <w:rsid w:val="323959A5"/>
    <w:rsid w:val="330A581C"/>
    <w:rsid w:val="35133EEA"/>
    <w:rsid w:val="35A22C15"/>
    <w:rsid w:val="36D433EC"/>
    <w:rsid w:val="37323E0E"/>
    <w:rsid w:val="37A30698"/>
    <w:rsid w:val="38207E14"/>
    <w:rsid w:val="38474665"/>
    <w:rsid w:val="38A04AB1"/>
    <w:rsid w:val="398B312C"/>
    <w:rsid w:val="398E6914"/>
    <w:rsid w:val="3A635448"/>
    <w:rsid w:val="3AB64A60"/>
    <w:rsid w:val="3AB80809"/>
    <w:rsid w:val="3B7D5B01"/>
    <w:rsid w:val="3C675042"/>
    <w:rsid w:val="3C6A3BC2"/>
    <w:rsid w:val="3D254AA6"/>
    <w:rsid w:val="3D271C45"/>
    <w:rsid w:val="3F737482"/>
    <w:rsid w:val="405F2603"/>
    <w:rsid w:val="407D4FB3"/>
    <w:rsid w:val="41410F0F"/>
    <w:rsid w:val="41641E74"/>
    <w:rsid w:val="41C9353A"/>
    <w:rsid w:val="41E968C0"/>
    <w:rsid w:val="42577377"/>
    <w:rsid w:val="42A91A92"/>
    <w:rsid w:val="43313DD4"/>
    <w:rsid w:val="43460EDD"/>
    <w:rsid w:val="46427C73"/>
    <w:rsid w:val="47AB01E1"/>
    <w:rsid w:val="47E21196"/>
    <w:rsid w:val="47F579D0"/>
    <w:rsid w:val="4A310F4B"/>
    <w:rsid w:val="4B17773A"/>
    <w:rsid w:val="4BA92BA5"/>
    <w:rsid w:val="4C53235C"/>
    <w:rsid w:val="4C9138CF"/>
    <w:rsid w:val="4D5835AC"/>
    <w:rsid w:val="4E494032"/>
    <w:rsid w:val="4ED91263"/>
    <w:rsid w:val="4F4B7238"/>
    <w:rsid w:val="4F77313B"/>
    <w:rsid w:val="4FA50603"/>
    <w:rsid w:val="503F06F6"/>
    <w:rsid w:val="50CE1339"/>
    <w:rsid w:val="510229B0"/>
    <w:rsid w:val="510A120A"/>
    <w:rsid w:val="513147AD"/>
    <w:rsid w:val="52941563"/>
    <w:rsid w:val="52F547E3"/>
    <w:rsid w:val="536574A1"/>
    <w:rsid w:val="537B568B"/>
    <w:rsid w:val="542B2417"/>
    <w:rsid w:val="5445560D"/>
    <w:rsid w:val="545D754D"/>
    <w:rsid w:val="54A478E0"/>
    <w:rsid w:val="54BC6CBF"/>
    <w:rsid w:val="55083FE2"/>
    <w:rsid w:val="559A23C6"/>
    <w:rsid w:val="559BBA4E"/>
    <w:rsid w:val="560329BF"/>
    <w:rsid w:val="56116B96"/>
    <w:rsid w:val="58DC1C8C"/>
    <w:rsid w:val="58DE119A"/>
    <w:rsid w:val="58E53196"/>
    <w:rsid w:val="59A67AED"/>
    <w:rsid w:val="5AEB3E5A"/>
    <w:rsid w:val="5B167AE2"/>
    <w:rsid w:val="5B3C46B5"/>
    <w:rsid w:val="5BBF59D3"/>
    <w:rsid w:val="5BC60DEC"/>
    <w:rsid w:val="5CA81625"/>
    <w:rsid w:val="5DF7162E"/>
    <w:rsid w:val="5E8636CA"/>
    <w:rsid w:val="5ED80D4E"/>
    <w:rsid w:val="5F0507CB"/>
    <w:rsid w:val="5F4F2C53"/>
    <w:rsid w:val="5F7E3CD8"/>
    <w:rsid w:val="5FBA1B9B"/>
    <w:rsid w:val="5FC479D7"/>
    <w:rsid w:val="5FE92A80"/>
    <w:rsid w:val="60AD2864"/>
    <w:rsid w:val="62BF0E25"/>
    <w:rsid w:val="630F0A94"/>
    <w:rsid w:val="63101FB9"/>
    <w:rsid w:val="631532CE"/>
    <w:rsid w:val="631F4A78"/>
    <w:rsid w:val="63493264"/>
    <w:rsid w:val="638E5EBC"/>
    <w:rsid w:val="644240E4"/>
    <w:rsid w:val="64623590"/>
    <w:rsid w:val="647177CD"/>
    <w:rsid w:val="647548B5"/>
    <w:rsid w:val="647F3E89"/>
    <w:rsid w:val="64AE3453"/>
    <w:rsid w:val="64C0696B"/>
    <w:rsid w:val="65842EE1"/>
    <w:rsid w:val="65D35C16"/>
    <w:rsid w:val="65FF47FF"/>
    <w:rsid w:val="660109D5"/>
    <w:rsid w:val="66026C7F"/>
    <w:rsid w:val="666164A5"/>
    <w:rsid w:val="66660BB2"/>
    <w:rsid w:val="67C43430"/>
    <w:rsid w:val="67E97973"/>
    <w:rsid w:val="68456F93"/>
    <w:rsid w:val="685F5D19"/>
    <w:rsid w:val="689B6AD0"/>
    <w:rsid w:val="68BD4F80"/>
    <w:rsid w:val="69034E54"/>
    <w:rsid w:val="69A4502E"/>
    <w:rsid w:val="69AE707D"/>
    <w:rsid w:val="69CA066F"/>
    <w:rsid w:val="6A266D45"/>
    <w:rsid w:val="6AB53258"/>
    <w:rsid w:val="6B3D7EAD"/>
    <w:rsid w:val="6B750D95"/>
    <w:rsid w:val="6B7D3FDF"/>
    <w:rsid w:val="6C487E09"/>
    <w:rsid w:val="6DAB6C1E"/>
    <w:rsid w:val="6DEF76DE"/>
    <w:rsid w:val="6DF37084"/>
    <w:rsid w:val="6E5A59FF"/>
    <w:rsid w:val="6F120007"/>
    <w:rsid w:val="70111406"/>
    <w:rsid w:val="705E3501"/>
    <w:rsid w:val="70635937"/>
    <w:rsid w:val="70D23C17"/>
    <w:rsid w:val="7156A39B"/>
    <w:rsid w:val="71EF3067"/>
    <w:rsid w:val="72957AF8"/>
    <w:rsid w:val="72CE4F0A"/>
    <w:rsid w:val="73495F81"/>
    <w:rsid w:val="73624AE5"/>
    <w:rsid w:val="73DF8155"/>
    <w:rsid w:val="73FF4C03"/>
    <w:rsid w:val="746622AE"/>
    <w:rsid w:val="76306F62"/>
    <w:rsid w:val="76461152"/>
    <w:rsid w:val="76961F55"/>
    <w:rsid w:val="77387FCF"/>
    <w:rsid w:val="776070F6"/>
    <w:rsid w:val="77D56A28"/>
    <w:rsid w:val="789359EF"/>
    <w:rsid w:val="7914682B"/>
    <w:rsid w:val="793926D0"/>
    <w:rsid w:val="793B3DA7"/>
    <w:rsid w:val="79535837"/>
    <w:rsid w:val="79784844"/>
    <w:rsid w:val="7BB66E70"/>
    <w:rsid w:val="7BEC5BAA"/>
    <w:rsid w:val="7C2C4DC6"/>
    <w:rsid w:val="7CFFF5AE"/>
    <w:rsid w:val="7D4F30A5"/>
    <w:rsid w:val="7DF85598"/>
    <w:rsid w:val="7DF8604F"/>
    <w:rsid w:val="7E151AF0"/>
    <w:rsid w:val="7E8871A8"/>
    <w:rsid w:val="7EB2416F"/>
    <w:rsid w:val="7EB536D1"/>
    <w:rsid w:val="7EC73AF5"/>
    <w:rsid w:val="7F111216"/>
    <w:rsid w:val="7FCA0496"/>
    <w:rsid w:val="7FCC787F"/>
    <w:rsid w:val="7FCFE9FE"/>
    <w:rsid w:val="7FFD69A7"/>
    <w:rsid w:val="7FFDAC3C"/>
    <w:rsid w:val="7FFF3C0D"/>
    <w:rsid w:val="8E7B0FC6"/>
    <w:rsid w:val="92BF762F"/>
    <w:rsid w:val="B2F9D319"/>
    <w:rsid w:val="B4D90C24"/>
    <w:rsid w:val="BBBE7FEA"/>
    <w:rsid w:val="BBEFA713"/>
    <w:rsid w:val="D8BFDD26"/>
    <w:rsid w:val="DB7F3D29"/>
    <w:rsid w:val="DFDF60C1"/>
    <w:rsid w:val="DFFC4611"/>
    <w:rsid w:val="E6B708FB"/>
    <w:rsid w:val="EC43B170"/>
    <w:rsid w:val="EDC39836"/>
    <w:rsid w:val="EEAF04F9"/>
    <w:rsid w:val="F0FF91D6"/>
    <w:rsid w:val="F5EF0268"/>
    <w:rsid w:val="F75457A0"/>
    <w:rsid w:val="F8F8F712"/>
    <w:rsid w:val="F91EDA55"/>
    <w:rsid w:val="FDF40793"/>
    <w:rsid w:val="FFBF43B1"/>
    <w:rsid w:val="FFEE7AF6"/>
    <w:rsid w:val="FFF1E0FD"/>
    <w:rsid w:val="FFFF17A1"/>
    <w:rsid w:val="FFFF3078"/>
    <w:rsid w:val="FF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unhideWhenUsed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theme="minorBidi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脚 字符"/>
    <w:link w:val="4"/>
    <w:qFormat/>
    <w:locked/>
    <w:uiPriority w:val="0"/>
    <w:rPr>
      <w:rFonts w:ascii="Calibri" w:hAnsi="Calibri" w:eastAsia="宋体"/>
      <w:sz w:val="18"/>
      <w:szCs w:val="18"/>
    </w:rPr>
  </w:style>
  <w:style w:type="character" w:customStyle="1" w:styleId="12">
    <w:name w:val="页脚 字符1"/>
    <w:basedOn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正文文本 字符"/>
    <w:link w:val="3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character" w:customStyle="1" w:styleId="15">
    <w:name w:val="正文文本 字符1"/>
    <w:basedOn w:val="8"/>
    <w:semiHidden/>
    <w:qFormat/>
    <w:uiPriority w:val="99"/>
    <w:rPr>
      <w:rFonts w:ascii="Times New Roman" w:hAnsi="Times New Roman" w:eastAsia="仿宋_GB2312" w:cs="Times New Roman"/>
      <w:sz w:val="32"/>
      <w:szCs w:val="20"/>
    </w:rPr>
  </w:style>
  <w:style w:type="character" w:customStyle="1" w:styleId="16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7">
    <w:name w:val="正文（正式）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character" w:customStyle="1" w:styleId="18">
    <w:name w:val="font2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9">
    <w:name w:val="Body text|2"/>
    <w:basedOn w:val="1"/>
    <w:qFormat/>
    <w:uiPriority w:val="0"/>
    <w:pPr>
      <w:widowControl w:val="0"/>
      <w:shd w:val="clear" w:color="auto" w:fill="auto"/>
      <w:spacing w:after="340" w:line="331" w:lineRule="auto"/>
      <w:ind w:firstLine="32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0">
    <w:name w:val="正文段落"/>
    <w:basedOn w:val="1"/>
    <w:qFormat/>
    <w:uiPriority w:val="0"/>
    <w:pPr>
      <w:tabs>
        <w:tab w:val="left" w:pos="6580"/>
        <w:tab w:val="left" w:pos="6780"/>
      </w:tabs>
      <w:spacing w:line="480" w:lineRule="exact"/>
      <w:ind w:left="0" w:leftChars="0" w:firstLine="640" w:firstLineChars="200"/>
      <w:jc w:val="left"/>
    </w:pPr>
    <w:rPr>
      <w:rFonts w:hint="eastAsia" w:ascii="仿宋" w:hAnsi="仿宋" w:eastAsia="仿宋" w:cs="仿宋"/>
      <w:sz w:val="24"/>
      <w:szCs w:val="24"/>
    </w:rPr>
  </w:style>
  <w:style w:type="character" w:customStyle="1" w:styleId="21">
    <w:name w:val="font1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31"/>
    <w:basedOn w:val="8"/>
    <w:qFormat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17</Pages>
  <Words>221</Words>
  <Characters>247</Characters>
  <Lines>1</Lines>
  <Paragraphs>1</Paragraphs>
  <TotalTime>83</TotalTime>
  <ScaleCrop>false</ScaleCrop>
  <LinksUpToDate>false</LinksUpToDate>
  <CharactersWithSpaces>316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2021-03-03T15:27:00Z</dcterms:created>
  <dc:creator>zhong zhiming</dc:creator>
  <cp:lastModifiedBy>driuy</cp:lastModifiedBy>
  <dcterms:modified xsi:type="dcterms:W3CDTF">2025-12-24T02:22:01Z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F73B237C88FB47589056438539B9D904_13</vt:lpwstr>
  </property>
  <property fmtid="{D5CDD505-2E9C-101B-9397-08002B2CF9AE}" pid="4" name="KSOTemplateDocerSaveRecord">
    <vt:lpwstr>eyJoZGlkIjoiNWU3ODZiM2ExNzhlNzAzNGM3ZDJlYjViOWQyOTI3ZGIiLCJ1c2VySWQiOiI0MTY0NTQ5OTAifQ==</vt:lpwstr>
  </property>
</Properties>
</file>