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60E86">
      <w:pPr>
        <w:spacing w:before="50" w:after="50"/>
        <w:jc w:val="left"/>
        <w:rPr>
          <w:rFonts w:ascii="宋体" w:hAnsi="宋体" w:eastAsia="宋体" w:cs="宋体"/>
          <w:b/>
          <w:bCs/>
          <w:kern w:val="0"/>
          <w:sz w:val="48"/>
          <w:szCs w:val="48"/>
        </w:rPr>
      </w:pPr>
      <w:r>
        <w:rPr>
          <w:rFonts w:ascii="宋体" w:hAnsi="宋体" w:eastAsia="宋体" w:cs="宋体"/>
          <w:b/>
          <w:bCs/>
          <w:kern w:val="0"/>
          <w:sz w:val="48"/>
          <w:szCs w:val="48"/>
        </w:rPr>
        <w:drawing>
          <wp:inline distT="0" distB="0" distL="0" distR="0">
            <wp:extent cx="2159635" cy="1038225"/>
            <wp:effectExtent l="19050" t="0" r="0" b="0"/>
            <wp:docPr id="1" name="图片 1" descr="C:\Users\user\AppData\Local\Temp\ksohtml22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AppData\Local\Temp\ksohtml228\wps1.png"/>
                    <pic:cNvPicPr>
                      <a:picLocks noChangeAspect="1" noChangeArrowheads="1"/>
                    </pic:cNvPicPr>
                  </pic:nvPicPr>
                  <pic:blipFill>
                    <a:blip r:embed="rId9" cstate="print"/>
                    <a:srcRect/>
                    <a:stretch>
                      <a:fillRect/>
                    </a:stretch>
                  </pic:blipFill>
                  <pic:spPr>
                    <a:xfrm>
                      <a:off x="0" y="0"/>
                      <a:ext cx="2160000" cy="1038554"/>
                    </a:xfrm>
                    <a:prstGeom prst="rect">
                      <a:avLst/>
                    </a:prstGeom>
                    <a:noFill/>
                    <a:ln w="9525">
                      <a:noFill/>
                      <a:miter lim="800000"/>
                      <a:headEnd/>
                      <a:tailEnd/>
                    </a:ln>
                  </pic:spPr>
                </pic:pic>
              </a:graphicData>
            </a:graphic>
          </wp:inline>
        </w:drawing>
      </w:r>
    </w:p>
    <w:p w14:paraId="439F5EAB">
      <w:pPr>
        <w:jc w:val="center"/>
        <w:rPr>
          <w:rFonts w:cs="宋体" w:asciiTheme="minorEastAsia" w:hAnsiTheme="minorEastAsia"/>
          <w:b/>
          <w:bCs/>
          <w:kern w:val="0"/>
          <w:sz w:val="72"/>
          <w:szCs w:val="53"/>
        </w:rPr>
      </w:pPr>
      <w:r>
        <w:rPr>
          <w:rFonts w:cs="宋体" w:asciiTheme="minorEastAsia" w:hAnsiTheme="minorEastAsia"/>
          <w:b/>
          <w:bCs/>
          <w:kern w:val="0"/>
          <w:sz w:val="72"/>
          <w:szCs w:val="53"/>
        </w:rPr>
        <w:t>福建省政府采购</w:t>
      </w:r>
    </w:p>
    <w:p w14:paraId="70602EF6">
      <w:pPr>
        <w:jc w:val="center"/>
        <w:rPr>
          <w:rFonts w:cs="宋体" w:asciiTheme="minorEastAsia" w:hAnsiTheme="minorEastAsia"/>
          <w:b/>
          <w:bCs/>
          <w:kern w:val="0"/>
          <w:sz w:val="72"/>
          <w:szCs w:val="53"/>
        </w:rPr>
      </w:pPr>
      <w:r>
        <w:rPr>
          <w:rFonts w:cs="宋体" w:asciiTheme="minorEastAsia" w:hAnsiTheme="minorEastAsia"/>
          <w:b/>
          <w:bCs/>
          <w:kern w:val="0"/>
          <w:sz w:val="72"/>
          <w:szCs w:val="53"/>
        </w:rPr>
        <w:t>货物和服务项目</w:t>
      </w:r>
    </w:p>
    <w:p w14:paraId="67AD47A5">
      <w:pPr>
        <w:jc w:val="center"/>
        <w:rPr>
          <w:rFonts w:cs="宋体" w:asciiTheme="minorEastAsia" w:hAnsiTheme="minorEastAsia"/>
          <w:b/>
          <w:bCs/>
          <w:kern w:val="0"/>
          <w:sz w:val="72"/>
          <w:szCs w:val="53"/>
        </w:rPr>
      </w:pPr>
      <w:r>
        <w:rPr>
          <w:rFonts w:cs="宋体" w:asciiTheme="minorEastAsia" w:hAnsiTheme="minorEastAsia"/>
          <w:b/>
          <w:bCs/>
          <w:kern w:val="0"/>
          <w:sz w:val="72"/>
          <w:szCs w:val="53"/>
        </w:rPr>
        <w:t>公开招标文件</w:t>
      </w:r>
    </w:p>
    <w:p w14:paraId="46578407">
      <w:pPr>
        <w:spacing w:line="360" w:lineRule="auto"/>
        <w:jc w:val="center"/>
        <w:rPr>
          <w:rFonts w:cs="宋体" w:asciiTheme="minorEastAsia" w:hAnsiTheme="minorEastAsia"/>
          <w:b/>
          <w:bCs/>
          <w:kern w:val="0"/>
          <w:sz w:val="32"/>
          <w:szCs w:val="32"/>
        </w:rPr>
      </w:pPr>
    </w:p>
    <w:p w14:paraId="1047EE7C">
      <w:pPr>
        <w:spacing w:line="360" w:lineRule="auto"/>
        <w:jc w:val="center"/>
        <w:rPr>
          <w:rFonts w:cs="宋体" w:asciiTheme="minorEastAsia" w:hAnsiTheme="minorEastAsia"/>
          <w:b/>
          <w:bCs/>
          <w:kern w:val="0"/>
          <w:sz w:val="32"/>
          <w:szCs w:val="32"/>
        </w:rPr>
      </w:pPr>
      <w:r>
        <w:rPr>
          <w:rFonts w:cs="宋体" w:asciiTheme="minorEastAsia" w:hAnsiTheme="minorEastAsia"/>
          <w:b/>
          <w:bCs/>
          <w:kern w:val="0"/>
          <w:sz w:val="32"/>
          <w:szCs w:val="32"/>
        </w:rPr>
        <w:t>项目名称：</w:t>
      </w:r>
      <w:r>
        <w:rPr>
          <w:rFonts w:hint="eastAsia" w:cs="宋体" w:asciiTheme="minorEastAsia" w:hAnsiTheme="minorEastAsia"/>
          <w:b/>
          <w:bCs/>
          <w:kern w:val="0"/>
          <w:sz w:val="32"/>
          <w:szCs w:val="32"/>
        </w:rPr>
        <w:t>夜景照明集中控制平台运维服务</w:t>
      </w:r>
    </w:p>
    <w:p w14:paraId="29D83539">
      <w:pPr>
        <w:spacing w:line="360" w:lineRule="auto"/>
        <w:jc w:val="center"/>
        <w:rPr>
          <w:rFonts w:cs="宋体" w:asciiTheme="minorEastAsia" w:hAnsiTheme="minorEastAsia"/>
          <w:b/>
          <w:bCs/>
          <w:kern w:val="0"/>
          <w:sz w:val="32"/>
          <w:szCs w:val="32"/>
        </w:rPr>
      </w:pPr>
      <w:r>
        <w:rPr>
          <w:rFonts w:cs="宋体" w:asciiTheme="minorEastAsia" w:hAnsiTheme="minorEastAsia"/>
          <w:b/>
          <w:bCs/>
          <w:kern w:val="0"/>
          <w:sz w:val="32"/>
          <w:szCs w:val="32"/>
        </w:rPr>
        <w:t>备案编号：</w:t>
      </w:r>
    </w:p>
    <w:p w14:paraId="53B7D46F">
      <w:pPr>
        <w:spacing w:line="360" w:lineRule="auto"/>
        <w:jc w:val="center"/>
        <w:rPr>
          <w:rFonts w:cs="宋体" w:asciiTheme="minorEastAsia" w:hAnsiTheme="minorEastAsia"/>
          <w:b/>
          <w:bCs/>
          <w:kern w:val="0"/>
          <w:sz w:val="32"/>
          <w:szCs w:val="32"/>
        </w:rPr>
      </w:pPr>
      <w:r>
        <w:rPr>
          <w:rFonts w:cs="宋体" w:asciiTheme="minorEastAsia" w:hAnsiTheme="minorEastAsia"/>
          <w:b/>
          <w:bCs/>
          <w:kern w:val="0"/>
          <w:sz w:val="32"/>
          <w:szCs w:val="32"/>
        </w:rPr>
        <w:t>项目编号：</w:t>
      </w:r>
    </w:p>
    <w:p w14:paraId="74205FC3">
      <w:pPr>
        <w:spacing w:line="360" w:lineRule="auto"/>
        <w:jc w:val="center"/>
        <w:rPr>
          <w:rFonts w:cs="宋体" w:asciiTheme="minorEastAsia" w:hAnsiTheme="minorEastAsia"/>
          <w:b/>
          <w:bCs/>
          <w:kern w:val="0"/>
          <w:sz w:val="32"/>
          <w:szCs w:val="32"/>
        </w:rPr>
      </w:pPr>
    </w:p>
    <w:p w14:paraId="11D96414">
      <w:pPr>
        <w:spacing w:line="360" w:lineRule="auto"/>
        <w:jc w:val="center"/>
        <w:rPr>
          <w:rFonts w:cs="宋体" w:asciiTheme="minorEastAsia" w:hAnsiTheme="minorEastAsia"/>
          <w:b/>
          <w:bCs/>
          <w:kern w:val="0"/>
          <w:sz w:val="32"/>
          <w:szCs w:val="32"/>
        </w:rPr>
      </w:pPr>
    </w:p>
    <w:p w14:paraId="4819FF1E">
      <w:pPr>
        <w:spacing w:line="360" w:lineRule="auto"/>
        <w:jc w:val="center"/>
        <w:rPr>
          <w:rFonts w:cs="宋体" w:asciiTheme="minorEastAsia" w:hAnsiTheme="minorEastAsia"/>
          <w:b/>
          <w:bCs/>
          <w:kern w:val="0"/>
          <w:sz w:val="32"/>
          <w:szCs w:val="32"/>
        </w:rPr>
      </w:pPr>
      <w:r>
        <w:rPr>
          <w:rFonts w:cs="宋体" w:asciiTheme="minorEastAsia" w:hAnsiTheme="minorEastAsia"/>
          <w:b/>
          <w:bCs/>
          <w:kern w:val="0"/>
          <w:sz w:val="32"/>
          <w:szCs w:val="32"/>
        </w:rPr>
        <w:t>采购人：</w:t>
      </w:r>
      <w:r>
        <w:rPr>
          <w:rFonts w:hint="eastAsia" w:cs="宋体" w:asciiTheme="minorEastAsia" w:hAnsiTheme="minorEastAsia"/>
          <w:b/>
          <w:bCs/>
          <w:kern w:val="0"/>
          <w:sz w:val="32"/>
          <w:szCs w:val="32"/>
        </w:rPr>
        <w:t>厦门市住房和建设局</w:t>
      </w:r>
    </w:p>
    <w:p w14:paraId="6357F3E3">
      <w:pPr>
        <w:spacing w:line="360" w:lineRule="auto"/>
        <w:jc w:val="center"/>
        <w:rPr>
          <w:rFonts w:cs="宋体" w:asciiTheme="minorEastAsia" w:hAnsiTheme="minorEastAsia"/>
          <w:b/>
          <w:bCs/>
          <w:kern w:val="0"/>
          <w:sz w:val="32"/>
          <w:szCs w:val="32"/>
        </w:rPr>
      </w:pPr>
      <w:r>
        <w:rPr>
          <w:rFonts w:cs="宋体" w:asciiTheme="minorEastAsia" w:hAnsiTheme="minorEastAsia"/>
          <w:b/>
          <w:bCs/>
          <w:kern w:val="0"/>
          <w:sz w:val="32"/>
          <w:szCs w:val="32"/>
        </w:rPr>
        <w:t>代理机构：厦门市公物采购招投标有限公司</w:t>
      </w:r>
    </w:p>
    <w:p w14:paraId="7AFCC327">
      <w:pPr>
        <w:spacing w:line="360" w:lineRule="auto"/>
        <w:jc w:val="center"/>
        <w:rPr>
          <w:rFonts w:cs="宋体" w:asciiTheme="minorEastAsia" w:hAnsiTheme="minorEastAsia"/>
          <w:b/>
          <w:bCs/>
          <w:kern w:val="0"/>
          <w:sz w:val="32"/>
          <w:szCs w:val="32"/>
        </w:rPr>
      </w:pPr>
      <w:r>
        <w:rPr>
          <w:rFonts w:cs="宋体" w:asciiTheme="minorEastAsia" w:hAnsiTheme="minorEastAsia"/>
          <w:b/>
          <w:bCs/>
          <w:kern w:val="0"/>
          <w:sz w:val="32"/>
          <w:szCs w:val="32"/>
        </w:rPr>
        <w:t> </w:t>
      </w:r>
    </w:p>
    <w:p w14:paraId="0CA5771D">
      <w:pPr>
        <w:spacing w:line="360" w:lineRule="auto"/>
        <w:jc w:val="center"/>
        <w:rPr>
          <w:rFonts w:cs="宋体" w:asciiTheme="minorEastAsia" w:hAnsiTheme="minorEastAsia"/>
          <w:b/>
          <w:bCs/>
          <w:kern w:val="0"/>
          <w:sz w:val="32"/>
          <w:szCs w:val="32"/>
        </w:rPr>
      </w:pPr>
      <w:r>
        <w:rPr>
          <w:rFonts w:hint="eastAsia" w:cs="宋体" w:asciiTheme="minorEastAsia" w:hAnsiTheme="minorEastAsia"/>
          <w:b/>
          <w:bCs/>
          <w:kern w:val="0"/>
          <w:sz w:val="32"/>
          <w:szCs w:val="32"/>
        </w:rPr>
        <w:t>编制时间：</w:t>
      </w:r>
      <w:r>
        <w:rPr>
          <w:rFonts w:cs="宋体" w:asciiTheme="minorEastAsia" w:hAnsiTheme="minorEastAsia"/>
          <w:b/>
          <w:bCs/>
          <w:kern w:val="0"/>
          <w:sz w:val="32"/>
          <w:szCs w:val="32"/>
        </w:rPr>
        <w:t>202</w:t>
      </w:r>
      <w:r>
        <w:rPr>
          <w:rFonts w:hint="eastAsia" w:cs="宋体" w:asciiTheme="minorEastAsia" w:hAnsiTheme="minorEastAsia"/>
          <w:b/>
          <w:bCs/>
          <w:kern w:val="0"/>
          <w:sz w:val="32"/>
          <w:szCs w:val="32"/>
        </w:rPr>
        <w:t>5</w:t>
      </w:r>
      <w:r>
        <w:rPr>
          <w:rFonts w:cs="宋体" w:asciiTheme="minorEastAsia" w:hAnsiTheme="minorEastAsia"/>
          <w:b/>
          <w:bCs/>
          <w:kern w:val="0"/>
          <w:sz w:val="32"/>
          <w:szCs w:val="32"/>
        </w:rPr>
        <w:t>年</w:t>
      </w:r>
      <w:r>
        <w:rPr>
          <w:rFonts w:hint="eastAsia" w:cs="宋体" w:asciiTheme="minorEastAsia" w:hAnsiTheme="minorEastAsia"/>
          <w:b/>
          <w:bCs/>
          <w:kern w:val="0"/>
          <w:sz w:val="32"/>
          <w:szCs w:val="32"/>
        </w:rPr>
        <w:t>5</w:t>
      </w:r>
      <w:r>
        <w:rPr>
          <w:rFonts w:cs="宋体" w:asciiTheme="minorEastAsia" w:hAnsiTheme="minorEastAsia"/>
          <w:b/>
          <w:bCs/>
          <w:kern w:val="0"/>
          <w:sz w:val="32"/>
          <w:szCs w:val="32"/>
        </w:rPr>
        <w:t>月</w:t>
      </w:r>
    </w:p>
    <w:p w14:paraId="7882C767">
      <w:pPr>
        <w:sectPr>
          <w:footerReference r:id="rId3" w:type="default"/>
          <w:pgSz w:w="11906" w:h="16838"/>
          <w:pgMar w:top="1418" w:right="1418" w:bottom="1418" w:left="1418" w:header="851" w:footer="992" w:gutter="0"/>
          <w:cols w:space="425" w:num="1"/>
          <w:docGrid w:type="lines" w:linePitch="312" w:charSpace="0"/>
        </w:sectPr>
      </w:pPr>
    </w:p>
    <w:sdt>
      <w:sdtPr>
        <w:rPr>
          <w:rFonts w:asciiTheme="minorHAnsi" w:hAnsiTheme="minorHAnsi" w:eastAsiaTheme="minorEastAsia" w:cstheme="minorBidi"/>
          <w:b w:val="0"/>
          <w:bCs w:val="0"/>
          <w:color w:val="auto"/>
          <w:kern w:val="2"/>
          <w:sz w:val="21"/>
          <w:szCs w:val="22"/>
          <w:lang w:val="zh-CN"/>
        </w:rPr>
        <w:id w:val="431192922"/>
        <w:docPartObj>
          <w:docPartGallery w:val="Table of Contents"/>
          <w:docPartUnique/>
        </w:docPartObj>
      </w:sdtPr>
      <w:sdtEndPr>
        <w:rPr>
          <w:rFonts w:asciiTheme="minorEastAsia" w:hAnsiTheme="minorEastAsia" w:eastAsiaTheme="minorEastAsia" w:cstheme="minorBidi"/>
          <w:b w:val="0"/>
          <w:bCs w:val="0"/>
          <w:color w:val="auto"/>
          <w:kern w:val="2"/>
          <w:sz w:val="24"/>
          <w:szCs w:val="24"/>
          <w:lang w:val="en-US"/>
        </w:rPr>
      </w:sdtEndPr>
      <w:sdtContent>
        <w:p w14:paraId="3A375C24">
          <w:pPr>
            <w:pStyle w:val="47"/>
            <w:widowControl w:val="0"/>
            <w:spacing w:before="156" w:beforeLines="50" w:after="156" w:afterLines="50" w:line="240" w:lineRule="auto"/>
            <w:jc w:val="center"/>
            <w:rPr>
              <w:color w:val="auto"/>
              <w:sz w:val="32"/>
            </w:rPr>
          </w:pPr>
          <w:r>
            <w:rPr>
              <w:color w:val="auto"/>
              <w:sz w:val="32"/>
              <w:lang w:val="zh-CN"/>
            </w:rPr>
            <w:t>目</w:t>
          </w:r>
          <w:r>
            <w:rPr>
              <w:rFonts w:hint="eastAsia"/>
              <w:color w:val="auto"/>
              <w:sz w:val="32"/>
              <w:lang w:val="zh-CN"/>
            </w:rPr>
            <w:t xml:space="preserve">  </w:t>
          </w:r>
          <w:r>
            <w:rPr>
              <w:color w:val="auto"/>
              <w:sz w:val="32"/>
              <w:lang w:val="zh-CN"/>
            </w:rPr>
            <w:t>录</w:t>
          </w:r>
        </w:p>
        <w:p w14:paraId="2B0FC0C0">
          <w:pPr>
            <w:pStyle w:val="13"/>
            <w:tabs>
              <w:tab w:val="right" w:leader="dot" w:pos="9070"/>
            </w:tabs>
          </w:pPr>
          <w:r>
            <w:rPr>
              <w:rFonts w:asciiTheme="minorEastAsia" w:hAnsiTheme="minorEastAsia"/>
              <w:sz w:val="24"/>
              <w:szCs w:val="24"/>
            </w:rPr>
            <w:fldChar w:fldCharType="begin"/>
          </w:r>
          <w:r>
            <w:rPr>
              <w:rFonts w:asciiTheme="minorEastAsia" w:hAnsiTheme="minorEastAsia"/>
              <w:sz w:val="24"/>
              <w:szCs w:val="24"/>
            </w:rPr>
            <w:instrText xml:space="preserve"> TOC \o "1-3" \h \z \u </w:instrText>
          </w:r>
          <w:r>
            <w:rPr>
              <w:rFonts w:asciiTheme="minorEastAsia" w:hAnsiTheme="minorEastAsia"/>
              <w:sz w:val="24"/>
              <w:szCs w:val="24"/>
            </w:rPr>
            <w:fldChar w:fldCharType="separate"/>
          </w:r>
          <w:r>
            <w:fldChar w:fldCharType="begin"/>
          </w:r>
          <w:r>
            <w:instrText xml:space="preserve"> HYPERLINK \l "_Toc24342" </w:instrText>
          </w:r>
          <w:r>
            <w:fldChar w:fldCharType="separate"/>
          </w:r>
          <w:r>
            <w:rPr>
              <w:rFonts w:ascii="黑体" w:hAnsi="黑体" w:eastAsia="黑体" w:cs="Times New Roman"/>
              <w:kern w:val="0"/>
              <w:szCs w:val="44"/>
            </w:rPr>
            <w:t>第一章</w:t>
          </w:r>
          <w:r>
            <w:rPr>
              <w:rFonts w:hint="eastAsia" w:ascii="黑体" w:hAnsi="黑体" w:eastAsia="黑体" w:cs="Times New Roman"/>
              <w:kern w:val="0"/>
              <w:szCs w:val="44"/>
            </w:rPr>
            <w:t xml:space="preserve">  </w:t>
          </w:r>
          <w:r>
            <w:rPr>
              <w:rFonts w:ascii="黑体" w:hAnsi="黑体" w:eastAsia="黑体" w:cs="Times New Roman"/>
              <w:kern w:val="0"/>
              <w:szCs w:val="44"/>
            </w:rPr>
            <w:t>投标邀请</w:t>
          </w:r>
          <w:r>
            <w:tab/>
          </w:r>
          <w:r>
            <w:fldChar w:fldCharType="begin"/>
          </w:r>
          <w:r>
            <w:instrText xml:space="preserve"> PAGEREF _Toc24342 \h </w:instrText>
          </w:r>
          <w:r>
            <w:fldChar w:fldCharType="separate"/>
          </w:r>
          <w:r>
            <w:t>3</w:t>
          </w:r>
          <w:r>
            <w:fldChar w:fldCharType="end"/>
          </w:r>
          <w:r>
            <w:fldChar w:fldCharType="end"/>
          </w:r>
        </w:p>
        <w:p w14:paraId="289B70F7">
          <w:pPr>
            <w:pStyle w:val="13"/>
            <w:tabs>
              <w:tab w:val="right" w:leader="dot" w:pos="9070"/>
            </w:tabs>
          </w:pPr>
          <w:r>
            <w:fldChar w:fldCharType="begin"/>
          </w:r>
          <w:r>
            <w:instrText xml:space="preserve"> HYPERLINK \l "_Toc28714" </w:instrText>
          </w:r>
          <w:r>
            <w:fldChar w:fldCharType="separate"/>
          </w:r>
          <w:r>
            <w:rPr>
              <w:rFonts w:ascii="黑体" w:hAnsi="黑体" w:eastAsia="黑体" w:cs="Times New Roman"/>
              <w:kern w:val="0"/>
              <w:szCs w:val="44"/>
            </w:rPr>
            <w:t>第二章</w:t>
          </w:r>
          <w:r>
            <w:rPr>
              <w:rFonts w:hint="eastAsia" w:ascii="黑体" w:hAnsi="黑体" w:eastAsia="黑体" w:cs="Times New Roman"/>
              <w:kern w:val="0"/>
              <w:szCs w:val="44"/>
            </w:rPr>
            <w:t xml:space="preserve">  </w:t>
          </w:r>
          <w:r>
            <w:rPr>
              <w:rFonts w:ascii="黑体" w:hAnsi="黑体" w:eastAsia="黑体" w:cs="Times New Roman"/>
              <w:kern w:val="0"/>
              <w:szCs w:val="44"/>
            </w:rPr>
            <w:t>投标人须知前附表</w:t>
          </w:r>
          <w:r>
            <w:tab/>
          </w:r>
          <w:r>
            <w:fldChar w:fldCharType="begin"/>
          </w:r>
          <w:r>
            <w:instrText xml:space="preserve"> PAGEREF _Toc28714 \h </w:instrText>
          </w:r>
          <w:r>
            <w:fldChar w:fldCharType="separate"/>
          </w:r>
          <w:r>
            <w:t>8</w:t>
          </w:r>
          <w:r>
            <w:fldChar w:fldCharType="end"/>
          </w:r>
          <w:r>
            <w:fldChar w:fldCharType="end"/>
          </w:r>
        </w:p>
        <w:p w14:paraId="40B7A03F">
          <w:pPr>
            <w:pStyle w:val="14"/>
            <w:tabs>
              <w:tab w:val="right" w:leader="dot" w:pos="9070"/>
            </w:tabs>
          </w:pPr>
          <w:r>
            <w:fldChar w:fldCharType="begin"/>
          </w:r>
          <w:r>
            <w:instrText xml:space="preserve"> HYPERLINK \l "_Toc25347" </w:instrText>
          </w:r>
          <w:r>
            <w:fldChar w:fldCharType="separate"/>
          </w:r>
          <w:r>
            <w:rPr>
              <w:rFonts w:ascii="黑体" w:hAnsi="黑体" w:eastAsia="黑体" w:cs="Times New Roman"/>
              <w:kern w:val="0"/>
            </w:rPr>
            <w:t>一、投标人须知前附表1</w:t>
          </w:r>
          <w:r>
            <w:tab/>
          </w:r>
          <w:r>
            <w:fldChar w:fldCharType="begin"/>
          </w:r>
          <w:r>
            <w:instrText xml:space="preserve"> PAGEREF _Toc25347 \h </w:instrText>
          </w:r>
          <w:r>
            <w:fldChar w:fldCharType="separate"/>
          </w:r>
          <w:r>
            <w:t>8</w:t>
          </w:r>
          <w:r>
            <w:fldChar w:fldCharType="end"/>
          </w:r>
          <w:r>
            <w:fldChar w:fldCharType="end"/>
          </w:r>
        </w:p>
        <w:p w14:paraId="1D7C0A0B">
          <w:pPr>
            <w:pStyle w:val="14"/>
            <w:tabs>
              <w:tab w:val="right" w:leader="dot" w:pos="9070"/>
            </w:tabs>
          </w:pPr>
          <w:r>
            <w:fldChar w:fldCharType="begin"/>
          </w:r>
          <w:r>
            <w:instrText xml:space="preserve"> HYPERLINK \l "_Toc3947" </w:instrText>
          </w:r>
          <w:r>
            <w:fldChar w:fldCharType="separate"/>
          </w:r>
          <w:r>
            <w:rPr>
              <w:rFonts w:ascii="黑体" w:hAnsi="黑体" w:eastAsia="黑体" w:cs="Times New Roman"/>
              <w:kern w:val="0"/>
            </w:rPr>
            <w:t>二、投标人须知前附表2</w:t>
          </w:r>
          <w:r>
            <w:tab/>
          </w:r>
          <w:r>
            <w:fldChar w:fldCharType="begin"/>
          </w:r>
          <w:r>
            <w:instrText xml:space="preserve"> PAGEREF _Toc3947 \h </w:instrText>
          </w:r>
          <w:r>
            <w:fldChar w:fldCharType="separate"/>
          </w:r>
          <w:r>
            <w:t>10</w:t>
          </w:r>
          <w:r>
            <w:fldChar w:fldCharType="end"/>
          </w:r>
          <w:r>
            <w:fldChar w:fldCharType="end"/>
          </w:r>
        </w:p>
        <w:p w14:paraId="37CCE6A6">
          <w:pPr>
            <w:pStyle w:val="13"/>
            <w:tabs>
              <w:tab w:val="right" w:leader="dot" w:pos="9070"/>
            </w:tabs>
          </w:pPr>
          <w:r>
            <w:fldChar w:fldCharType="begin"/>
          </w:r>
          <w:r>
            <w:instrText xml:space="preserve"> HYPERLINK \l "_Toc21962" </w:instrText>
          </w:r>
          <w:r>
            <w:fldChar w:fldCharType="separate"/>
          </w:r>
          <w:r>
            <w:rPr>
              <w:rFonts w:ascii="黑体" w:hAnsi="黑体" w:eastAsia="黑体" w:cs="Times New Roman"/>
              <w:kern w:val="0"/>
              <w:szCs w:val="44"/>
            </w:rPr>
            <w:t>第三章</w:t>
          </w:r>
          <w:r>
            <w:rPr>
              <w:rFonts w:hint="eastAsia" w:ascii="黑体" w:hAnsi="黑体" w:eastAsia="黑体" w:cs="Times New Roman"/>
              <w:kern w:val="0"/>
              <w:szCs w:val="44"/>
            </w:rPr>
            <w:t xml:space="preserve">  </w:t>
          </w:r>
          <w:r>
            <w:rPr>
              <w:rFonts w:ascii="黑体" w:hAnsi="黑体" w:eastAsia="黑体" w:cs="Times New Roman"/>
              <w:kern w:val="0"/>
              <w:szCs w:val="44"/>
            </w:rPr>
            <w:t>投标人须知</w:t>
          </w:r>
          <w:r>
            <w:tab/>
          </w:r>
          <w:r>
            <w:fldChar w:fldCharType="begin"/>
          </w:r>
          <w:r>
            <w:instrText xml:space="preserve"> PAGEREF _Toc21962 \h </w:instrText>
          </w:r>
          <w:r>
            <w:fldChar w:fldCharType="separate"/>
          </w:r>
          <w:r>
            <w:t>13</w:t>
          </w:r>
          <w:r>
            <w:fldChar w:fldCharType="end"/>
          </w:r>
          <w:r>
            <w:fldChar w:fldCharType="end"/>
          </w:r>
        </w:p>
        <w:p w14:paraId="553EA0A9">
          <w:pPr>
            <w:pStyle w:val="14"/>
            <w:tabs>
              <w:tab w:val="right" w:leader="dot" w:pos="9070"/>
            </w:tabs>
          </w:pPr>
          <w:r>
            <w:fldChar w:fldCharType="begin"/>
          </w:r>
          <w:r>
            <w:instrText xml:space="preserve"> HYPERLINK \l "_Toc20639" </w:instrText>
          </w:r>
          <w:r>
            <w:fldChar w:fldCharType="separate"/>
          </w:r>
          <w:r>
            <w:rPr>
              <w:rFonts w:ascii="黑体" w:hAnsi="黑体" w:eastAsia="黑体" w:cs="Times New Roman"/>
              <w:kern w:val="0"/>
            </w:rPr>
            <w:t>一、总则</w:t>
          </w:r>
          <w:r>
            <w:tab/>
          </w:r>
          <w:r>
            <w:fldChar w:fldCharType="begin"/>
          </w:r>
          <w:r>
            <w:instrText xml:space="preserve"> PAGEREF _Toc20639 \h </w:instrText>
          </w:r>
          <w:r>
            <w:fldChar w:fldCharType="separate"/>
          </w:r>
          <w:r>
            <w:t>13</w:t>
          </w:r>
          <w:r>
            <w:fldChar w:fldCharType="end"/>
          </w:r>
          <w:r>
            <w:fldChar w:fldCharType="end"/>
          </w:r>
        </w:p>
        <w:p w14:paraId="6FFFF8F8">
          <w:pPr>
            <w:pStyle w:val="14"/>
            <w:tabs>
              <w:tab w:val="right" w:leader="dot" w:pos="9070"/>
            </w:tabs>
          </w:pPr>
          <w:r>
            <w:fldChar w:fldCharType="begin"/>
          </w:r>
          <w:r>
            <w:instrText xml:space="preserve"> HYPERLINK \l "_Toc9270" </w:instrText>
          </w:r>
          <w:r>
            <w:fldChar w:fldCharType="separate"/>
          </w:r>
          <w:r>
            <w:rPr>
              <w:rFonts w:ascii="黑体" w:hAnsi="黑体" w:eastAsia="黑体" w:cs="Times New Roman"/>
              <w:kern w:val="0"/>
            </w:rPr>
            <w:t>二、投标人</w:t>
          </w:r>
          <w:r>
            <w:tab/>
          </w:r>
          <w:r>
            <w:fldChar w:fldCharType="begin"/>
          </w:r>
          <w:r>
            <w:instrText xml:space="preserve"> PAGEREF _Toc9270 \h </w:instrText>
          </w:r>
          <w:r>
            <w:fldChar w:fldCharType="separate"/>
          </w:r>
          <w:r>
            <w:t>13</w:t>
          </w:r>
          <w:r>
            <w:fldChar w:fldCharType="end"/>
          </w:r>
          <w:r>
            <w:fldChar w:fldCharType="end"/>
          </w:r>
        </w:p>
        <w:p w14:paraId="4DF8C58E">
          <w:pPr>
            <w:pStyle w:val="14"/>
            <w:tabs>
              <w:tab w:val="right" w:leader="dot" w:pos="9070"/>
            </w:tabs>
          </w:pPr>
          <w:r>
            <w:fldChar w:fldCharType="begin"/>
          </w:r>
          <w:r>
            <w:instrText xml:space="preserve"> HYPERLINK \l "_Toc4954" </w:instrText>
          </w:r>
          <w:r>
            <w:fldChar w:fldCharType="separate"/>
          </w:r>
          <w:r>
            <w:rPr>
              <w:rFonts w:ascii="黑体" w:hAnsi="黑体" w:eastAsia="黑体" w:cs="Times New Roman"/>
              <w:kern w:val="0"/>
            </w:rPr>
            <w:t>三、招标</w:t>
          </w:r>
          <w:r>
            <w:tab/>
          </w:r>
          <w:r>
            <w:fldChar w:fldCharType="begin"/>
          </w:r>
          <w:r>
            <w:instrText xml:space="preserve"> PAGEREF _Toc4954 \h </w:instrText>
          </w:r>
          <w:r>
            <w:fldChar w:fldCharType="separate"/>
          </w:r>
          <w:r>
            <w:t>14</w:t>
          </w:r>
          <w:r>
            <w:fldChar w:fldCharType="end"/>
          </w:r>
          <w:r>
            <w:fldChar w:fldCharType="end"/>
          </w:r>
        </w:p>
        <w:p w14:paraId="5DFD73D0">
          <w:pPr>
            <w:pStyle w:val="14"/>
            <w:tabs>
              <w:tab w:val="right" w:leader="dot" w:pos="9070"/>
            </w:tabs>
          </w:pPr>
          <w:r>
            <w:fldChar w:fldCharType="begin"/>
          </w:r>
          <w:r>
            <w:instrText xml:space="preserve"> HYPERLINK \l "_Toc9636" </w:instrText>
          </w:r>
          <w:r>
            <w:fldChar w:fldCharType="separate"/>
          </w:r>
          <w:r>
            <w:rPr>
              <w:rFonts w:ascii="黑体" w:hAnsi="黑体" w:eastAsia="黑体" w:cs="Times New Roman"/>
              <w:kern w:val="0"/>
            </w:rPr>
            <w:t>四、投标</w:t>
          </w:r>
          <w:r>
            <w:tab/>
          </w:r>
          <w:r>
            <w:fldChar w:fldCharType="begin"/>
          </w:r>
          <w:r>
            <w:instrText xml:space="preserve"> PAGEREF _Toc9636 \h </w:instrText>
          </w:r>
          <w:r>
            <w:fldChar w:fldCharType="separate"/>
          </w:r>
          <w:r>
            <w:t>16</w:t>
          </w:r>
          <w:r>
            <w:fldChar w:fldCharType="end"/>
          </w:r>
          <w:r>
            <w:fldChar w:fldCharType="end"/>
          </w:r>
        </w:p>
        <w:p w14:paraId="2A0BE51D">
          <w:pPr>
            <w:pStyle w:val="14"/>
            <w:tabs>
              <w:tab w:val="right" w:leader="dot" w:pos="9070"/>
            </w:tabs>
          </w:pPr>
          <w:r>
            <w:fldChar w:fldCharType="begin"/>
          </w:r>
          <w:r>
            <w:instrText xml:space="preserve"> HYPERLINK \l "_Toc14165" </w:instrText>
          </w:r>
          <w:r>
            <w:fldChar w:fldCharType="separate"/>
          </w:r>
          <w:r>
            <w:rPr>
              <w:rFonts w:ascii="黑体" w:hAnsi="黑体" w:eastAsia="黑体" w:cs="Times New Roman"/>
              <w:kern w:val="0"/>
            </w:rPr>
            <w:t>五、开标</w:t>
          </w:r>
          <w:r>
            <w:tab/>
          </w:r>
          <w:r>
            <w:fldChar w:fldCharType="begin"/>
          </w:r>
          <w:r>
            <w:instrText xml:space="preserve"> PAGEREF _Toc14165 \h </w:instrText>
          </w:r>
          <w:r>
            <w:fldChar w:fldCharType="separate"/>
          </w:r>
          <w:r>
            <w:t>21</w:t>
          </w:r>
          <w:r>
            <w:fldChar w:fldCharType="end"/>
          </w:r>
          <w:r>
            <w:fldChar w:fldCharType="end"/>
          </w:r>
        </w:p>
        <w:p w14:paraId="025FFCF7">
          <w:pPr>
            <w:pStyle w:val="14"/>
            <w:tabs>
              <w:tab w:val="right" w:leader="dot" w:pos="9070"/>
            </w:tabs>
          </w:pPr>
          <w:r>
            <w:fldChar w:fldCharType="begin"/>
          </w:r>
          <w:r>
            <w:instrText xml:space="preserve"> HYPERLINK \l "_Toc12681" </w:instrText>
          </w:r>
          <w:r>
            <w:fldChar w:fldCharType="separate"/>
          </w:r>
          <w:r>
            <w:rPr>
              <w:rFonts w:ascii="黑体" w:hAnsi="黑体" w:eastAsia="黑体" w:cs="Times New Roman"/>
              <w:kern w:val="0"/>
            </w:rPr>
            <w:t>六、中标与政府采购合同</w:t>
          </w:r>
          <w:r>
            <w:tab/>
          </w:r>
          <w:r>
            <w:fldChar w:fldCharType="begin"/>
          </w:r>
          <w:r>
            <w:instrText xml:space="preserve"> PAGEREF _Toc12681 \h </w:instrText>
          </w:r>
          <w:r>
            <w:fldChar w:fldCharType="separate"/>
          </w:r>
          <w:r>
            <w:t>22</w:t>
          </w:r>
          <w:r>
            <w:fldChar w:fldCharType="end"/>
          </w:r>
          <w:r>
            <w:fldChar w:fldCharType="end"/>
          </w:r>
        </w:p>
        <w:p w14:paraId="31ABEDF5">
          <w:pPr>
            <w:pStyle w:val="14"/>
            <w:tabs>
              <w:tab w:val="right" w:leader="dot" w:pos="9070"/>
            </w:tabs>
          </w:pPr>
          <w:r>
            <w:fldChar w:fldCharType="begin"/>
          </w:r>
          <w:r>
            <w:instrText xml:space="preserve"> HYPERLINK \l "_Toc23110" </w:instrText>
          </w:r>
          <w:r>
            <w:fldChar w:fldCharType="separate"/>
          </w:r>
          <w:r>
            <w:rPr>
              <w:rFonts w:ascii="黑体" w:hAnsi="黑体" w:eastAsia="黑体" w:cs="Times New Roman"/>
              <w:kern w:val="0"/>
            </w:rPr>
            <w:t>七、询问、质疑与投诉</w:t>
          </w:r>
          <w:r>
            <w:tab/>
          </w:r>
          <w:r>
            <w:fldChar w:fldCharType="begin"/>
          </w:r>
          <w:r>
            <w:instrText xml:space="preserve"> PAGEREF _Toc23110 \h </w:instrText>
          </w:r>
          <w:r>
            <w:fldChar w:fldCharType="separate"/>
          </w:r>
          <w:r>
            <w:t>23</w:t>
          </w:r>
          <w:r>
            <w:fldChar w:fldCharType="end"/>
          </w:r>
          <w:r>
            <w:fldChar w:fldCharType="end"/>
          </w:r>
        </w:p>
        <w:p w14:paraId="549DD081">
          <w:pPr>
            <w:pStyle w:val="14"/>
            <w:tabs>
              <w:tab w:val="right" w:leader="dot" w:pos="9070"/>
            </w:tabs>
          </w:pPr>
          <w:r>
            <w:fldChar w:fldCharType="begin"/>
          </w:r>
          <w:r>
            <w:instrText xml:space="preserve"> HYPERLINK \l "_Toc27250" </w:instrText>
          </w:r>
          <w:r>
            <w:fldChar w:fldCharType="separate"/>
          </w:r>
          <w:r>
            <w:rPr>
              <w:rFonts w:ascii="黑体" w:hAnsi="黑体" w:eastAsia="黑体" w:cs="Times New Roman"/>
              <w:kern w:val="0"/>
            </w:rPr>
            <w:t>八、政府采购政策</w:t>
          </w:r>
          <w:r>
            <w:tab/>
          </w:r>
          <w:r>
            <w:fldChar w:fldCharType="begin"/>
          </w:r>
          <w:r>
            <w:instrText xml:space="preserve"> PAGEREF _Toc27250 \h </w:instrText>
          </w:r>
          <w:r>
            <w:fldChar w:fldCharType="separate"/>
          </w:r>
          <w:r>
            <w:t>25</w:t>
          </w:r>
          <w:r>
            <w:fldChar w:fldCharType="end"/>
          </w:r>
          <w:r>
            <w:fldChar w:fldCharType="end"/>
          </w:r>
        </w:p>
        <w:p w14:paraId="61FC0A24">
          <w:pPr>
            <w:pStyle w:val="14"/>
            <w:tabs>
              <w:tab w:val="right" w:leader="dot" w:pos="9070"/>
            </w:tabs>
          </w:pPr>
          <w:r>
            <w:fldChar w:fldCharType="begin"/>
          </w:r>
          <w:r>
            <w:instrText xml:space="preserve"> HYPERLINK \l "_Toc26996" </w:instrText>
          </w:r>
          <w:r>
            <w:fldChar w:fldCharType="separate"/>
          </w:r>
          <w:r>
            <w:rPr>
              <w:rFonts w:ascii="黑体" w:hAnsi="黑体" w:eastAsia="黑体" w:cs="Times New Roman"/>
              <w:kern w:val="0"/>
            </w:rPr>
            <w:t>九、本项目的有关信息</w:t>
          </w:r>
          <w:r>
            <w:tab/>
          </w:r>
          <w:r>
            <w:fldChar w:fldCharType="begin"/>
          </w:r>
          <w:r>
            <w:instrText xml:space="preserve"> PAGEREF _Toc26996 \h </w:instrText>
          </w:r>
          <w:r>
            <w:fldChar w:fldCharType="separate"/>
          </w:r>
          <w:r>
            <w:t>27</w:t>
          </w:r>
          <w:r>
            <w:fldChar w:fldCharType="end"/>
          </w:r>
          <w:r>
            <w:fldChar w:fldCharType="end"/>
          </w:r>
        </w:p>
        <w:p w14:paraId="3B8BF6D5">
          <w:pPr>
            <w:pStyle w:val="14"/>
            <w:tabs>
              <w:tab w:val="right" w:leader="dot" w:pos="9070"/>
            </w:tabs>
          </w:pPr>
          <w:r>
            <w:fldChar w:fldCharType="begin"/>
          </w:r>
          <w:r>
            <w:instrText xml:space="preserve"> HYPERLINK \l "_Toc12752" </w:instrText>
          </w:r>
          <w:r>
            <w:fldChar w:fldCharType="separate"/>
          </w:r>
          <w:r>
            <w:rPr>
              <w:rFonts w:ascii="黑体" w:hAnsi="黑体" w:eastAsia="黑体" w:cs="Times New Roman"/>
              <w:kern w:val="0"/>
            </w:rPr>
            <w:t>十、其他事项</w:t>
          </w:r>
          <w:r>
            <w:tab/>
          </w:r>
          <w:r>
            <w:fldChar w:fldCharType="begin"/>
          </w:r>
          <w:r>
            <w:instrText xml:space="preserve"> PAGEREF _Toc12752 \h </w:instrText>
          </w:r>
          <w:r>
            <w:fldChar w:fldCharType="separate"/>
          </w:r>
          <w:r>
            <w:t>28</w:t>
          </w:r>
          <w:r>
            <w:fldChar w:fldCharType="end"/>
          </w:r>
          <w:r>
            <w:fldChar w:fldCharType="end"/>
          </w:r>
        </w:p>
        <w:p w14:paraId="2197F3E3">
          <w:pPr>
            <w:pStyle w:val="13"/>
            <w:tabs>
              <w:tab w:val="right" w:leader="dot" w:pos="9070"/>
            </w:tabs>
          </w:pPr>
          <w:r>
            <w:fldChar w:fldCharType="begin"/>
          </w:r>
          <w:r>
            <w:instrText xml:space="preserve"> HYPERLINK \l "_Toc19651" </w:instrText>
          </w:r>
          <w:r>
            <w:fldChar w:fldCharType="separate"/>
          </w:r>
          <w:r>
            <w:rPr>
              <w:rFonts w:ascii="黑体" w:hAnsi="黑体" w:eastAsia="黑体" w:cs="Times New Roman"/>
              <w:kern w:val="0"/>
              <w:szCs w:val="44"/>
            </w:rPr>
            <w:t>第四章</w:t>
          </w:r>
          <w:r>
            <w:rPr>
              <w:rFonts w:hint="eastAsia" w:ascii="黑体" w:hAnsi="黑体" w:eastAsia="黑体" w:cs="Times New Roman"/>
              <w:kern w:val="0"/>
              <w:szCs w:val="44"/>
            </w:rPr>
            <w:t xml:space="preserve">  </w:t>
          </w:r>
          <w:r>
            <w:rPr>
              <w:rFonts w:ascii="黑体" w:hAnsi="黑体" w:eastAsia="黑体" w:cs="Times New Roman"/>
              <w:kern w:val="0"/>
              <w:szCs w:val="44"/>
            </w:rPr>
            <w:t>资格审查与评标</w:t>
          </w:r>
          <w:r>
            <w:tab/>
          </w:r>
          <w:r>
            <w:fldChar w:fldCharType="begin"/>
          </w:r>
          <w:r>
            <w:instrText xml:space="preserve"> PAGEREF _Toc19651 \h </w:instrText>
          </w:r>
          <w:r>
            <w:fldChar w:fldCharType="separate"/>
          </w:r>
          <w:r>
            <w:t>29</w:t>
          </w:r>
          <w:r>
            <w:fldChar w:fldCharType="end"/>
          </w:r>
          <w:r>
            <w:fldChar w:fldCharType="end"/>
          </w:r>
        </w:p>
        <w:p w14:paraId="2A11DD5C">
          <w:pPr>
            <w:pStyle w:val="14"/>
            <w:tabs>
              <w:tab w:val="right" w:leader="dot" w:pos="9070"/>
            </w:tabs>
          </w:pPr>
          <w:r>
            <w:fldChar w:fldCharType="begin"/>
          </w:r>
          <w:r>
            <w:instrText xml:space="preserve"> HYPERLINK \l "_Toc4935" </w:instrText>
          </w:r>
          <w:r>
            <w:fldChar w:fldCharType="separate"/>
          </w:r>
          <w:r>
            <w:rPr>
              <w:rFonts w:ascii="黑体" w:hAnsi="黑体" w:eastAsia="黑体" w:cs="Times New Roman"/>
              <w:kern w:val="0"/>
            </w:rPr>
            <w:t>一、资格审查</w:t>
          </w:r>
          <w:r>
            <w:tab/>
          </w:r>
          <w:r>
            <w:fldChar w:fldCharType="begin"/>
          </w:r>
          <w:r>
            <w:instrText xml:space="preserve"> PAGEREF _Toc4935 \h </w:instrText>
          </w:r>
          <w:r>
            <w:fldChar w:fldCharType="separate"/>
          </w:r>
          <w:r>
            <w:t>29</w:t>
          </w:r>
          <w:r>
            <w:fldChar w:fldCharType="end"/>
          </w:r>
          <w:r>
            <w:fldChar w:fldCharType="end"/>
          </w:r>
        </w:p>
        <w:p w14:paraId="6CEE73D1">
          <w:pPr>
            <w:pStyle w:val="14"/>
            <w:tabs>
              <w:tab w:val="right" w:leader="dot" w:pos="9070"/>
            </w:tabs>
          </w:pPr>
          <w:r>
            <w:fldChar w:fldCharType="begin"/>
          </w:r>
          <w:r>
            <w:instrText xml:space="preserve"> HYPERLINK \l "_Toc24401" </w:instrText>
          </w:r>
          <w:r>
            <w:fldChar w:fldCharType="separate"/>
          </w:r>
          <w:r>
            <w:rPr>
              <w:rFonts w:ascii="黑体" w:hAnsi="黑体" w:eastAsia="黑体" w:cs="Times New Roman"/>
              <w:kern w:val="0"/>
            </w:rPr>
            <w:t>二、评标</w:t>
          </w:r>
          <w:r>
            <w:tab/>
          </w:r>
          <w:r>
            <w:fldChar w:fldCharType="begin"/>
          </w:r>
          <w:r>
            <w:instrText xml:space="preserve"> PAGEREF _Toc24401 \h </w:instrText>
          </w:r>
          <w:r>
            <w:fldChar w:fldCharType="separate"/>
          </w:r>
          <w:r>
            <w:t>33</w:t>
          </w:r>
          <w:r>
            <w:fldChar w:fldCharType="end"/>
          </w:r>
          <w:r>
            <w:fldChar w:fldCharType="end"/>
          </w:r>
        </w:p>
        <w:p w14:paraId="29674C5B">
          <w:pPr>
            <w:pStyle w:val="13"/>
            <w:tabs>
              <w:tab w:val="right" w:leader="dot" w:pos="9070"/>
            </w:tabs>
          </w:pPr>
          <w:r>
            <w:fldChar w:fldCharType="begin"/>
          </w:r>
          <w:r>
            <w:instrText xml:space="preserve"> HYPERLINK \l "_Toc11104" </w:instrText>
          </w:r>
          <w:r>
            <w:fldChar w:fldCharType="separate"/>
          </w:r>
          <w:r>
            <w:rPr>
              <w:rFonts w:ascii="黑体" w:hAnsi="黑体" w:eastAsia="黑体" w:cs="Times New Roman"/>
              <w:kern w:val="0"/>
              <w:szCs w:val="44"/>
            </w:rPr>
            <w:t>第五章</w:t>
          </w:r>
          <w:r>
            <w:rPr>
              <w:rFonts w:hint="eastAsia" w:ascii="黑体" w:hAnsi="黑体" w:eastAsia="黑体" w:cs="Times New Roman"/>
              <w:kern w:val="0"/>
              <w:szCs w:val="44"/>
            </w:rPr>
            <w:t xml:space="preserve">  </w:t>
          </w:r>
          <w:r>
            <w:rPr>
              <w:rFonts w:ascii="黑体" w:hAnsi="黑体" w:eastAsia="黑体" w:cs="Times New Roman"/>
              <w:kern w:val="0"/>
              <w:szCs w:val="44"/>
            </w:rPr>
            <w:t>招标内容及要求</w:t>
          </w:r>
          <w:r>
            <w:tab/>
          </w:r>
          <w:r>
            <w:fldChar w:fldCharType="begin"/>
          </w:r>
          <w:r>
            <w:instrText xml:space="preserve"> PAGEREF _Toc11104 \h </w:instrText>
          </w:r>
          <w:r>
            <w:fldChar w:fldCharType="separate"/>
          </w:r>
          <w:r>
            <w:t>48</w:t>
          </w:r>
          <w:r>
            <w:fldChar w:fldCharType="end"/>
          </w:r>
          <w:r>
            <w:fldChar w:fldCharType="end"/>
          </w:r>
        </w:p>
        <w:p w14:paraId="2E7FDE64">
          <w:pPr>
            <w:pStyle w:val="14"/>
            <w:tabs>
              <w:tab w:val="right" w:leader="dot" w:pos="9070"/>
            </w:tabs>
          </w:pPr>
          <w:r>
            <w:fldChar w:fldCharType="begin"/>
          </w:r>
          <w:r>
            <w:instrText xml:space="preserve"> HYPERLINK \l "_Toc18912" </w:instrText>
          </w:r>
          <w:r>
            <w:fldChar w:fldCharType="separate"/>
          </w:r>
          <w:r>
            <w:rPr>
              <w:rFonts w:ascii="黑体" w:hAnsi="黑体" w:eastAsia="黑体" w:cs="Times New Roman"/>
              <w:kern w:val="0"/>
            </w:rPr>
            <w:t>一、项目概况（采购标的）</w:t>
          </w:r>
          <w:r>
            <w:tab/>
          </w:r>
          <w:r>
            <w:fldChar w:fldCharType="begin"/>
          </w:r>
          <w:r>
            <w:instrText xml:space="preserve"> PAGEREF _Toc18912 \h </w:instrText>
          </w:r>
          <w:r>
            <w:fldChar w:fldCharType="separate"/>
          </w:r>
          <w:r>
            <w:t>48</w:t>
          </w:r>
          <w:r>
            <w:fldChar w:fldCharType="end"/>
          </w:r>
          <w:r>
            <w:fldChar w:fldCharType="end"/>
          </w:r>
        </w:p>
        <w:p w14:paraId="23A172B0">
          <w:pPr>
            <w:pStyle w:val="14"/>
            <w:tabs>
              <w:tab w:val="right" w:leader="dot" w:pos="9070"/>
            </w:tabs>
          </w:pPr>
          <w:r>
            <w:fldChar w:fldCharType="begin"/>
          </w:r>
          <w:r>
            <w:instrText xml:space="preserve"> HYPERLINK \l "_Toc27845" </w:instrText>
          </w:r>
          <w:r>
            <w:fldChar w:fldCharType="separate"/>
          </w:r>
          <w:r>
            <w:rPr>
              <w:rFonts w:ascii="黑体" w:hAnsi="黑体" w:eastAsia="黑体" w:cs="Times New Roman"/>
              <w:bCs/>
              <w:kern w:val="0"/>
              <w:szCs w:val="32"/>
            </w:rPr>
            <w:t>二、技术和服务要求</w:t>
          </w:r>
          <w:r>
            <w:tab/>
          </w:r>
          <w:r>
            <w:fldChar w:fldCharType="begin"/>
          </w:r>
          <w:r>
            <w:instrText xml:space="preserve"> PAGEREF _Toc27845 \h </w:instrText>
          </w:r>
          <w:r>
            <w:fldChar w:fldCharType="separate"/>
          </w:r>
          <w:r>
            <w:t>48</w:t>
          </w:r>
          <w:r>
            <w:fldChar w:fldCharType="end"/>
          </w:r>
          <w:r>
            <w:fldChar w:fldCharType="end"/>
          </w:r>
        </w:p>
        <w:p w14:paraId="1EDDB4D7">
          <w:pPr>
            <w:pStyle w:val="14"/>
            <w:tabs>
              <w:tab w:val="right" w:leader="dot" w:pos="9070"/>
            </w:tabs>
          </w:pPr>
          <w:r>
            <w:fldChar w:fldCharType="begin"/>
          </w:r>
          <w:r>
            <w:instrText xml:space="preserve"> HYPERLINK \l "_Toc13724" </w:instrText>
          </w:r>
          <w:r>
            <w:fldChar w:fldCharType="separate"/>
          </w:r>
          <w:r>
            <w:rPr>
              <w:rFonts w:ascii="黑体" w:hAnsi="黑体" w:eastAsia="黑体" w:cs="Times New Roman"/>
              <w:bCs/>
              <w:kern w:val="0"/>
              <w:szCs w:val="32"/>
            </w:rPr>
            <w:t>三、商务要求</w:t>
          </w:r>
          <w:r>
            <w:tab/>
          </w:r>
          <w:r>
            <w:fldChar w:fldCharType="begin"/>
          </w:r>
          <w:r>
            <w:instrText xml:space="preserve"> PAGEREF _Toc13724 \h </w:instrText>
          </w:r>
          <w:r>
            <w:fldChar w:fldCharType="separate"/>
          </w:r>
          <w:r>
            <w:t>59</w:t>
          </w:r>
          <w:r>
            <w:fldChar w:fldCharType="end"/>
          </w:r>
          <w:r>
            <w:fldChar w:fldCharType="end"/>
          </w:r>
        </w:p>
        <w:p w14:paraId="49350DEA">
          <w:pPr>
            <w:pStyle w:val="14"/>
            <w:tabs>
              <w:tab w:val="right" w:leader="dot" w:pos="9070"/>
            </w:tabs>
          </w:pPr>
          <w:r>
            <w:fldChar w:fldCharType="begin"/>
          </w:r>
          <w:r>
            <w:instrText xml:space="preserve"> HYPERLINK \l "_Toc117" </w:instrText>
          </w:r>
          <w:r>
            <w:fldChar w:fldCharType="separate"/>
          </w:r>
          <w:r>
            <w:rPr>
              <w:rFonts w:ascii="黑体" w:hAnsi="黑体" w:eastAsia="黑体" w:cs="Times New Roman"/>
              <w:kern w:val="0"/>
            </w:rPr>
            <w:t>四、其他事项</w:t>
          </w:r>
          <w:r>
            <w:tab/>
          </w:r>
          <w:r>
            <w:fldChar w:fldCharType="begin"/>
          </w:r>
          <w:r>
            <w:instrText xml:space="preserve"> PAGEREF _Toc117 \h </w:instrText>
          </w:r>
          <w:r>
            <w:fldChar w:fldCharType="separate"/>
          </w:r>
          <w:r>
            <w:t>73</w:t>
          </w:r>
          <w:r>
            <w:fldChar w:fldCharType="end"/>
          </w:r>
          <w:r>
            <w:fldChar w:fldCharType="end"/>
          </w:r>
        </w:p>
        <w:p w14:paraId="0E7F669E">
          <w:pPr>
            <w:pStyle w:val="13"/>
            <w:tabs>
              <w:tab w:val="right" w:leader="dot" w:pos="9070"/>
            </w:tabs>
          </w:pPr>
          <w:r>
            <w:fldChar w:fldCharType="begin"/>
          </w:r>
          <w:r>
            <w:instrText xml:space="preserve"> HYPERLINK \l "_Toc16894" </w:instrText>
          </w:r>
          <w:r>
            <w:fldChar w:fldCharType="separate"/>
          </w:r>
          <w:r>
            <w:rPr>
              <w:rFonts w:ascii="黑体" w:hAnsi="黑体" w:eastAsia="黑体" w:cs="Times New Roman"/>
              <w:kern w:val="0"/>
              <w:szCs w:val="44"/>
            </w:rPr>
            <w:t>第六章</w:t>
          </w:r>
          <w:r>
            <w:rPr>
              <w:rFonts w:hint="eastAsia" w:ascii="黑体" w:hAnsi="黑体" w:eastAsia="黑体" w:cs="Times New Roman"/>
              <w:kern w:val="0"/>
              <w:szCs w:val="44"/>
            </w:rPr>
            <w:t xml:space="preserve">  </w:t>
          </w:r>
          <w:r>
            <w:rPr>
              <w:rFonts w:ascii="黑体" w:hAnsi="黑体" w:eastAsia="黑体" w:cs="Times New Roman"/>
              <w:kern w:val="0"/>
              <w:szCs w:val="44"/>
            </w:rPr>
            <w:t>政府采购合同</w:t>
          </w:r>
          <w:r>
            <w:tab/>
          </w:r>
          <w:r>
            <w:fldChar w:fldCharType="begin"/>
          </w:r>
          <w:r>
            <w:instrText xml:space="preserve"> PAGEREF _Toc16894 \h </w:instrText>
          </w:r>
          <w:r>
            <w:fldChar w:fldCharType="separate"/>
          </w:r>
          <w:r>
            <w:t>75</w:t>
          </w:r>
          <w:r>
            <w:fldChar w:fldCharType="end"/>
          </w:r>
          <w:r>
            <w:fldChar w:fldCharType="end"/>
          </w:r>
        </w:p>
        <w:p w14:paraId="18C18C1D">
          <w:pPr>
            <w:pStyle w:val="13"/>
            <w:tabs>
              <w:tab w:val="right" w:leader="dot" w:pos="9070"/>
            </w:tabs>
          </w:pPr>
          <w:r>
            <w:fldChar w:fldCharType="begin"/>
          </w:r>
          <w:r>
            <w:instrText xml:space="preserve"> HYPERLINK \l "_Toc8344" </w:instrText>
          </w:r>
          <w:r>
            <w:fldChar w:fldCharType="separate"/>
          </w:r>
          <w:r>
            <w:rPr>
              <w:rFonts w:ascii="黑体" w:hAnsi="黑体" w:eastAsia="黑体" w:cs="Times New Roman"/>
              <w:kern w:val="0"/>
              <w:szCs w:val="44"/>
            </w:rPr>
            <w:t>第七章</w:t>
          </w:r>
          <w:r>
            <w:rPr>
              <w:rFonts w:hint="eastAsia" w:ascii="黑体" w:hAnsi="黑体" w:eastAsia="黑体" w:cs="Times New Roman"/>
              <w:kern w:val="0"/>
              <w:szCs w:val="44"/>
            </w:rPr>
            <w:t xml:space="preserve">  </w:t>
          </w:r>
          <w:r>
            <w:rPr>
              <w:rFonts w:ascii="黑体" w:hAnsi="黑体" w:eastAsia="黑体" w:cs="Times New Roman"/>
              <w:kern w:val="0"/>
              <w:szCs w:val="44"/>
            </w:rPr>
            <w:t>电子投标文件格式</w:t>
          </w:r>
          <w:r>
            <w:tab/>
          </w:r>
          <w:r>
            <w:fldChar w:fldCharType="begin"/>
          </w:r>
          <w:r>
            <w:instrText xml:space="preserve"> PAGEREF _Toc8344 \h </w:instrText>
          </w:r>
          <w:r>
            <w:fldChar w:fldCharType="separate"/>
          </w:r>
          <w:r>
            <w:t>81</w:t>
          </w:r>
          <w:r>
            <w:fldChar w:fldCharType="end"/>
          </w:r>
          <w:r>
            <w:fldChar w:fldCharType="end"/>
          </w:r>
        </w:p>
        <w:p w14:paraId="3079F4F8">
          <w:pPr>
            <w:spacing w:line="360" w:lineRule="auto"/>
            <w:rPr>
              <w:rFonts w:asciiTheme="minorEastAsia" w:hAnsiTheme="minorEastAsia"/>
              <w:sz w:val="24"/>
              <w:szCs w:val="24"/>
            </w:rPr>
          </w:pPr>
          <w:r>
            <w:rPr>
              <w:rFonts w:asciiTheme="minorEastAsia" w:hAnsiTheme="minorEastAsia"/>
              <w:szCs w:val="24"/>
            </w:rPr>
            <w:fldChar w:fldCharType="end"/>
          </w:r>
        </w:p>
      </w:sdtContent>
    </w:sdt>
    <w:p w14:paraId="78CBC9BC"/>
    <w:p w14:paraId="65482223">
      <w:pPr>
        <w:sectPr>
          <w:pgSz w:w="11906" w:h="16838"/>
          <w:pgMar w:top="1418" w:right="1418" w:bottom="1418" w:left="1418" w:header="851" w:footer="992" w:gutter="0"/>
          <w:cols w:space="425" w:num="1"/>
          <w:docGrid w:type="lines" w:linePitch="312" w:charSpace="0"/>
        </w:sectPr>
      </w:pPr>
    </w:p>
    <w:p w14:paraId="40238C8C">
      <w:pPr>
        <w:pStyle w:val="2"/>
        <w:keepNext/>
        <w:keepLines/>
        <w:widowControl w:val="0"/>
        <w:spacing w:before="312" w:beforeLines="100" w:beforeAutospacing="0" w:after="312" w:afterLines="100" w:afterAutospacing="0"/>
        <w:jc w:val="center"/>
        <w:rPr>
          <w:rFonts w:ascii="黑体" w:hAnsi="黑体" w:eastAsia="黑体" w:cs="Times New Roman"/>
          <w:kern w:val="0"/>
          <w:sz w:val="32"/>
          <w:szCs w:val="44"/>
        </w:rPr>
      </w:pPr>
      <w:bookmarkStart w:id="0" w:name="_Toc24342"/>
      <w:r>
        <w:rPr>
          <w:rFonts w:ascii="黑体" w:hAnsi="黑体" w:eastAsia="黑体" w:cs="Times New Roman"/>
          <w:kern w:val="0"/>
          <w:sz w:val="32"/>
          <w:szCs w:val="44"/>
        </w:rPr>
        <w:t>第一章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投标邀请</w:t>
      </w:r>
      <w:bookmarkEnd w:id="0"/>
    </w:p>
    <w:p w14:paraId="3A739E8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厦门市公物采购招投标有限公司采用公开招标方式组织</w:t>
      </w:r>
      <w:r>
        <w:rPr>
          <w:rFonts w:asciiTheme="minorEastAsia" w:hAnsiTheme="minorEastAsia"/>
          <w:b/>
          <w:bCs/>
          <w:sz w:val="24"/>
          <w:szCs w:val="24"/>
          <w:u w:val="single"/>
        </w:rPr>
        <w:t>夜景照明集中控制平台运维服务</w:t>
      </w:r>
      <w:r>
        <w:rPr>
          <w:rFonts w:asciiTheme="minorEastAsia" w:hAnsiTheme="minorEastAsia"/>
          <w:sz w:val="24"/>
          <w:szCs w:val="24"/>
        </w:rPr>
        <w:t>（以下简称：“本项目”）的政府采购活动，现邀请供应商参加投标。</w:t>
      </w:r>
    </w:p>
    <w:p w14:paraId="02AD8214">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1、备案编号：</w:t>
      </w:r>
    </w:p>
    <w:p w14:paraId="541185E6">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2、项目编号：</w:t>
      </w:r>
    </w:p>
    <w:p w14:paraId="52A87C6B">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3、预算金额、最高限价：详见《采购标的一览表》。</w:t>
      </w:r>
    </w:p>
    <w:p w14:paraId="7D850E91">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4、招标内容及要求：详见《采购标的一览表》及招标文件第五章。</w:t>
      </w:r>
    </w:p>
    <w:p w14:paraId="4EF551CB">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5、需要落实的政府采购政策</w:t>
      </w:r>
    </w:p>
    <w:p w14:paraId="425A4BBF">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进口产品：本项目不适用。</w:t>
      </w:r>
    </w:p>
    <w:p w14:paraId="3D9E5CC6">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节能产品：本项目不适用。</w:t>
      </w:r>
    </w:p>
    <w:p w14:paraId="10A45F67">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环境标志产品：本项目不适用。</w:t>
      </w:r>
    </w:p>
    <w:p w14:paraId="5F2287D8">
      <w:pPr>
        <w:spacing w:line="360" w:lineRule="auto"/>
        <w:ind w:firstLine="480" w:firstLineChars="200"/>
        <w:jc w:val="left"/>
        <w:rPr>
          <w:rFonts w:asciiTheme="minorEastAsia" w:hAnsiTheme="minorEastAsia"/>
          <w:kern w:val="0"/>
          <w:sz w:val="24"/>
          <w:szCs w:val="24"/>
        </w:rPr>
      </w:pPr>
    </w:p>
    <w:p w14:paraId="64AA9700">
      <w:pPr>
        <w:spacing w:line="360" w:lineRule="auto"/>
        <w:ind w:firstLine="480" w:firstLineChars="200"/>
        <w:jc w:val="left"/>
        <w:rPr>
          <w:rFonts w:asciiTheme="minorEastAsia" w:hAnsiTheme="minorEastAsia"/>
          <w:kern w:val="0"/>
          <w:sz w:val="24"/>
          <w:szCs w:val="24"/>
        </w:rPr>
      </w:pPr>
      <w:r>
        <w:rPr>
          <w:rFonts w:asciiTheme="minorEastAsia" w:hAnsiTheme="minorEastAsia"/>
          <w:kern w:val="0"/>
          <w:sz w:val="24"/>
          <w:szCs w:val="24"/>
          <w:highlight w:val="none"/>
        </w:rPr>
        <w:t>促进中小企业发展的相关政策：</w:t>
      </w:r>
    </w:p>
    <w:p w14:paraId="5E458313">
      <w:pPr>
        <w:spacing w:line="360" w:lineRule="auto"/>
        <w:ind w:firstLine="480" w:firstLineChars="200"/>
        <w:jc w:val="left"/>
        <w:rPr>
          <w:rFonts w:asciiTheme="minorEastAsia" w:hAnsiTheme="minorEastAsia"/>
          <w:kern w:val="0"/>
          <w:sz w:val="24"/>
          <w:szCs w:val="24"/>
        </w:rPr>
      </w:pPr>
      <w:r>
        <w:rPr>
          <w:rFonts w:asciiTheme="minorEastAsia" w:hAnsiTheme="minorEastAsia"/>
          <w:kern w:val="0"/>
          <w:sz w:val="24"/>
          <w:szCs w:val="24"/>
        </w:rPr>
        <w:t>采购包1：</w:t>
      </w:r>
      <w:r>
        <w:rPr>
          <w:rFonts w:hint="eastAsia" w:asciiTheme="minorEastAsia" w:hAnsiTheme="minorEastAsia"/>
          <w:kern w:val="0"/>
          <w:sz w:val="24"/>
          <w:szCs w:val="24"/>
        </w:rPr>
        <w:t>【预留】专门面向中小企业</w:t>
      </w:r>
    </w:p>
    <w:p w14:paraId="2509D02D">
      <w:pPr>
        <w:spacing w:line="360" w:lineRule="auto"/>
        <w:ind w:firstLine="480" w:firstLineChars="200"/>
        <w:jc w:val="left"/>
        <w:rPr>
          <w:rFonts w:asciiTheme="minorEastAsia" w:hAnsiTheme="minorEastAsia"/>
          <w:kern w:val="0"/>
          <w:sz w:val="24"/>
          <w:szCs w:val="24"/>
        </w:rPr>
      </w:pPr>
      <w:r>
        <w:rPr>
          <w:rFonts w:asciiTheme="minorEastAsia" w:hAnsiTheme="minorEastAsia"/>
          <w:kern w:val="0"/>
          <w:sz w:val="24"/>
          <w:szCs w:val="24"/>
        </w:rPr>
        <w:t>面向的企业规模：中小企业</w:t>
      </w:r>
    </w:p>
    <w:p w14:paraId="7629C0F1">
      <w:pPr>
        <w:spacing w:line="360" w:lineRule="auto"/>
        <w:ind w:firstLine="480" w:firstLineChars="200"/>
        <w:jc w:val="left"/>
        <w:rPr>
          <w:rFonts w:asciiTheme="minorEastAsia" w:hAnsiTheme="minorEastAsia"/>
          <w:kern w:val="0"/>
          <w:sz w:val="24"/>
          <w:szCs w:val="24"/>
          <w:highlight w:val="none"/>
        </w:rPr>
      </w:pPr>
      <w:r>
        <w:rPr>
          <w:rFonts w:asciiTheme="minorEastAsia" w:hAnsiTheme="minorEastAsia"/>
          <w:kern w:val="0"/>
          <w:sz w:val="24"/>
          <w:szCs w:val="24"/>
          <w:highlight w:val="none"/>
        </w:rPr>
        <w:t>预留形式：</w:t>
      </w:r>
      <w:r>
        <w:rPr>
          <w:rFonts w:hint="eastAsia" w:asciiTheme="minorEastAsia" w:hAnsiTheme="minorEastAsia"/>
          <w:kern w:val="0"/>
          <w:sz w:val="24"/>
          <w:szCs w:val="24"/>
          <w:highlight w:val="none"/>
        </w:rPr>
        <w:t>【预留】专门面向中小企业</w:t>
      </w:r>
    </w:p>
    <w:p w14:paraId="2293AD68">
      <w:pPr>
        <w:spacing w:line="360" w:lineRule="auto"/>
        <w:ind w:firstLine="480" w:firstLineChars="200"/>
        <w:jc w:val="left"/>
        <w:rPr>
          <w:rFonts w:asciiTheme="minorEastAsia" w:hAnsiTheme="minorEastAsia"/>
          <w:kern w:val="0"/>
          <w:sz w:val="24"/>
          <w:szCs w:val="24"/>
          <w:highlight w:val="none"/>
        </w:rPr>
      </w:pPr>
      <w:r>
        <w:rPr>
          <w:rFonts w:asciiTheme="minorEastAsia" w:hAnsiTheme="minorEastAsia"/>
          <w:kern w:val="0"/>
          <w:sz w:val="24"/>
          <w:szCs w:val="24"/>
          <w:highlight w:val="none"/>
        </w:rPr>
        <w:t>预留比例：100%</w:t>
      </w:r>
    </w:p>
    <w:p w14:paraId="7076245F">
      <w:pPr>
        <w:pStyle w:val="54"/>
        <w:widowControl w:val="0"/>
        <w:spacing w:line="360" w:lineRule="auto"/>
        <w:ind w:firstLine="480" w:firstLineChars="200"/>
        <w:rPr>
          <w:rFonts w:hint="default" w:asciiTheme="minorEastAsia" w:hAnsiTheme="minorEastAsia"/>
          <w:sz w:val="24"/>
          <w:szCs w:val="24"/>
        </w:rPr>
      </w:pPr>
    </w:p>
    <w:p w14:paraId="3AA48A52">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6、投标人的资格要求</w:t>
      </w:r>
    </w:p>
    <w:p w14:paraId="37CBB608">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6.1法定条件：符合政府采购法第二十二条第一款规定的条件。</w:t>
      </w:r>
    </w:p>
    <w:p w14:paraId="1FD3110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6.2特定条件：</w:t>
      </w:r>
    </w:p>
    <w:p w14:paraId="7BCE68C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采购包1：</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37"/>
        <w:gridCol w:w="6145"/>
      </w:tblGrid>
      <w:tr w14:paraId="0BA0AC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7E5A8596">
            <w:pPr>
              <w:spacing w:line="276" w:lineRule="auto"/>
              <w:jc w:val="center"/>
              <w:rPr>
                <w:sz w:val="24"/>
                <w:szCs w:val="24"/>
              </w:rPr>
            </w:pPr>
            <w:r>
              <w:rPr>
                <w:sz w:val="24"/>
                <w:szCs w:val="24"/>
              </w:rPr>
              <w:t>资格审查要求概况</w:t>
            </w:r>
          </w:p>
        </w:tc>
        <w:tc>
          <w:tcPr>
            <w:tcW w:w="6145" w:type="dxa"/>
            <w:vAlign w:val="center"/>
          </w:tcPr>
          <w:p w14:paraId="7FD17CE0">
            <w:pPr>
              <w:spacing w:line="276" w:lineRule="auto"/>
              <w:jc w:val="center"/>
              <w:rPr>
                <w:sz w:val="24"/>
                <w:szCs w:val="24"/>
              </w:rPr>
            </w:pPr>
            <w:r>
              <w:rPr>
                <w:sz w:val="24"/>
                <w:szCs w:val="24"/>
              </w:rPr>
              <w:t>评审点具体描述</w:t>
            </w:r>
          </w:p>
        </w:tc>
      </w:tr>
      <w:tr w14:paraId="101408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62BF0F9B">
            <w:pPr>
              <w:spacing w:line="276" w:lineRule="auto"/>
              <w:jc w:val="center"/>
              <w:rPr>
                <w:sz w:val="24"/>
                <w:szCs w:val="24"/>
              </w:rPr>
            </w:pPr>
            <w:r>
              <w:rPr>
                <w:rFonts w:hint="eastAsia"/>
                <w:sz w:val="24"/>
                <w:szCs w:val="24"/>
              </w:rPr>
              <w:t>信用记录要求（招标文件其他地方要求与本条款要求不一致的，以本条款要求为准）</w:t>
            </w:r>
          </w:p>
        </w:tc>
        <w:tc>
          <w:tcPr>
            <w:tcW w:w="6145" w:type="dxa"/>
            <w:vAlign w:val="center"/>
          </w:tcPr>
          <w:p w14:paraId="405D4BD4">
            <w:pPr>
              <w:spacing w:line="276" w:lineRule="auto"/>
              <w:rPr>
                <w:rFonts w:asciiTheme="minorEastAsia" w:hAnsiTheme="minorEastAsia"/>
                <w:sz w:val="24"/>
                <w:szCs w:val="24"/>
              </w:rPr>
            </w:pPr>
            <w:r>
              <w:rPr>
                <w:rFonts w:asciiTheme="minorEastAsia" w:hAnsiTheme="minorEastAsia"/>
                <w:sz w:val="24"/>
                <w:szCs w:val="24"/>
              </w:rPr>
              <w:t xml:space="preserve">1、信用信息查询渠道：通过“信用中国”网站（www.creditchina.gov.cn）、中国政府采购网（www.ccgp.gov.cn）、“信用厦门”网站（credit.xm.gov.cn）查询所有供应商的信用信息。 </w:t>
            </w:r>
          </w:p>
          <w:p w14:paraId="0A9511AD">
            <w:pPr>
              <w:spacing w:line="276" w:lineRule="auto"/>
              <w:rPr>
                <w:rFonts w:asciiTheme="minorEastAsia" w:hAnsiTheme="minorEastAsia"/>
                <w:sz w:val="24"/>
                <w:szCs w:val="24"/>
              </w:rPr>
            </w:pPr>
            <w:r>
              <w:rPr>
                <w:rFonts w:asciiTheme="minorEastAsia" w:hAnsiTheme="minorEastAsia"/>
                <w:sz w:val="24"/>
                <w:szCs w:val="24"/>
              </w:rPr>
              <w:t>2、截止时点：查询供应商截止开标当天前三年内的信用信息。</w:t>
            </w:r>
          </w:p>
          <w:p w14:paraId="2D86A03D">
            <w:pPr>
              <w:spacing w:line="276" w:lineRule="auto"/>
              <w:rPr>
                <w:rFonts w:asciiTheme="minorEastAsia" w:hAnsiTheme="minorEastAsia"/>
                <w:sz w:val="24"/>
                <w:szCs w:val="24"/>
              </w:rPr>
            </w:pPr>
            <w:r>
              <w:rPr>
                <w:rFonts w:asciiTheme="minorEastAsia" w:hAnsiTheme="minorEastAsia"/>
                <w:sz w:val="24"/>
                <w:szCs w:val="24"/>
              </w:rPr>
              <w:t xml:space="preserve">3、查询记录和证据留存方式：将查询结果网页打印后随采购文件一并存档。 </w:t>
            </w:r>
          </w:p>
          <w:p w14:paraId="36CBE6A8">
            <w:pPr>
              <w:spacing w:line="276" w:lineRule="auto"/>
              <w:rPr>
                <w:rFonts w:asciiTheme="minorEastAsia" w:hAnsiTheme="minorEastAsia"/>
                <w:sz w:val="24"/>
                <w:szCs w:val="24"/>
              </w:rPr>
            </w:pPr>
            <w:r>
              <w:rPr>
                <w:rFonts w:asciiTheme="minorEastAsia" w:hAnsiTheme="minorEastAsia"/>
                <w:sz w:val="24"/>
                <w:szCs w:val="24"/>
              </w:rPr>
              <w:t>4、信用信息的使用规则：（1）查询结果显示供应商存在不良信用记录（包含列入失信被执行人、重大税收违法失信主体、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w:t>
            </w:r>
          </w:p>
          <w:p w14:paraId="2C0A0EC0">
            <w:pPr>
              <w:spacing w:line="276" w:lineRule="auto"/>
              <w:rPr>
                <w:sz w:val="24"/>
                <w:szCs w:val="24"/>
              </w:rPr>
            </w:pPr>
            <w:r>
              <w:rPr>
                <w:rFonts w:asciiTheme="minorEastAsia" w:hAnsiTheme="minorEastAsia"/>
                <w:sz w:val="24"/>
                <w:szCs w:val="24"/>
              </w:rPr>
              <w:t>5、供应商无需提供信用信息查询结果。若供应商自行提供查询结果的，仍以评标当天查询结果为准。</w:t>
            </w:r>
          </w:p>
        </w:tc>
      </w:tr>
      <w:tr w14:paraId="57E071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62E449A2">
            <w:pPr>
              <w:spacing w:line="276" w:lineRule="auto"/>
              <w:jc w:val="center"/>
              <w:rPr>
                <w:rFonts w:ascii="宋体" w:hAnsi="宋体" w:cs="宋体"/>
                <w:kern w:val="0"/>
                <w:sz w:val="24"/>
                <w:szCs w:val="20"/>
                <w:highlight w:val="yellow"/>
              </w:rPr>
            </w:pPr>
            <w:r>
              <w:rPr>
                <w:rFonts w:hint="eastAsia" w:ascii="宋体" w:hAnsi="宋体" w:cs="宋体"/>
                <w:kern w:val="0"/>
                <w:sz w:val="24"/>
                <w:szCs w:val="20"/>
              </w:rPr>
              <w:t>资格承诺函</w:t>
            </w:r>
          </w:p>
        </w:tc>
        <w:tc>
          <w:tcPr>
            <w:tcW w:w="6145" w:type="dxa"/>
            <w:vAlign w:val="center"/>
          </w:tcPr>
          <w:p w14:paraId="27DC2F76">
            <w:pPr>
              <w:spacing w:line="276" w:lineRule="auto"/>
              <w:rPr>
                <w:rFonts w:ascii="宋体" w:hAnsi="宋体" w:cs="宋体"/>
                <w:kern w:val="0"/>
                <w:sz w:val="24"/>
                <w:szCs w:val="20"/>
                <w:highlight w:val="yellow"/>
              </w:rPr>
            </w:pPr>
            <w:r>
              <w:rPr>
                <w:rFonts w:hint="eastAsia" w:ascii="宋体" w:hAnsi="宋体" w:cs="宋体"/>
                <w:kern w:val="0"/>
                <w:sz w:val="24"/>
                <w:szCs w:val="20"/>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450EBE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1CC011D0">
            <w:pPr>
              <w:spacing w:line="276" w:lineRule="auto"/>
              <w:jc w:val="center"/>
              <w:rPr>
                <w:rFonts w:ascii="宋体" w:hAnsi="宋体" w:cs="宋体"/>
                <w:kern w:val="0"/>
                <w:sz w:val="24"/>
                <w:szCs w:val="20"/>
                <w:highlight w:val="none"/>
              </w:rPr>
            </w:pPr>
            <w:r>
              <w:rPr>
                <w:rFonts w:ascii="宋体" w:hAnsi="宋体" w:cs="宋体"/>
                <w:kern w:val="0"/>
                <w:sz w:val="24"/>
                <w:szCs w:val="20"/>
                <w:highlight w:val="none"/>
              </w:rPr>
              <w:t>采购人根据采购项目的要求规定的特定条件</w:t>
            </w:r>
          </w:p>
        </w:tc>
        <w:tc>
          <w:tcPr>
            <w:tcW w:w="6145" w:type="dxa"/>
            <w:vAlign w:val="center"/>
          </w:tcPr>
          <w:p w14:paraId="71D460B3">
            <w:pPr>
              <w:spacing w:line="276" w:lineRule="auto"/>
              <w:rPr>
                <w:rFonts w:ascii="宋体" w:hAnsi="宋体" w:cs="宋体"/>
                <w:kern w:val="0"/>
                <w:sz w:val="24"/>
                <w:szCs w:val="20"/>
                <w:highlight w:val="none"/>
              </w:rPr>
            </w:pPr>
            <w:r>
              <w:rPr>
                <w:rFonts w:hint="eastAsia" w:ascii="宋体" w:hAnsi="宋体" w:cs="宋体"/>
                <w:kern w:val="0"/>
                <w:sz w:val="24"/>
                <w:szCs w:val="20"/>
                <w:highlight w:val="none"/>
              </w:rPr>
              <w:t>无</w:t>
            </w:r>
          </w:p>
        </w:tc>
      </w:tr>
      <w:tr w14:paraId="3049F8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47AC1CD8">
            <w:pPr>
              <w:spacing w:line="276" w:lineRule="auto"/>
              <w:jc w:val="center"/>
              <w:rPr>
                <w:rFonts w:ascii="宋体" w:hAnsi="宋体" w:eastAsia="宋体" w:cs="宋体"/>
                <w:bCs/>
                <w:kern w:val="0"/>
                <w:sz w:val="24"/>
                <w:szCs w:val="20"/>
              </w:rPr>
            </w:pPr>
            <w:r>
              <w:rPr>
                <w:rFonts w:hint="eastAsia" w:ascii="宋体" w:hAnsi="宋体" w:eastAsia="宋体" w:cs="宋体"/>
                <w:bCs/>
                <w:kern w:val="0"/>
                <w:sz w:val="24"/>
                <w:szCs w:val="20"/>
              </w:rPr>
              <w:t>落实中小企业扶持政策要求</w:t>
            </w:r>
            <w:r>
              <w:rPr>
                <w:rStyle w:val="22"/>
                <w:rFonts w:hint="eastAsia" w:ascii="Times New Roman" w:hAnsi="Times New Roman" w:eastAsia="宋体" w:cs="Times New Roman"/>
                <w:sz w:val="24"/>
                <w:szCs w:val="24"/>
                <w:highlight w:val="none"/>
              </w:rPr>
              <w:t>（专门面向）</w:t>
            </w:r>
          </w:p>
        </w:tc>
        <w:tc>
          <w:tcPr>
            <w:tcW w:w="6145" w:type="dxa"/>
            <w:vAlign w:val="center"/>
          </w:tcPr>
          <w:p w14:paraId="55B79AF6">
            <w:pPr>
              <w:spacing w:line="276" w:lineRule="auto"/>
              <w:rPr>
                <w:rFonts w:ascii="宋体" w:hAnsi="宋体" w:eastAsia="宋体" w:cs="宋体"/>
                <w:kern w:val="0"/>
                <w:sz w:val="24"/>
                <w:szCs w:val="20"/>
                <w:highlight w:val="none"/>
              </w:rPr>
            </w:pPr>
            <w:r>
              <w:rPr>
                <w:rFonts w:hint="eastAsia" w:ascii="宋体" w:hAnsi="宋体" w:eastAsia="宋体" w:cs="宋体"/>
                <w:kern w:val="0"/>
                <w:sz w:val="24"/>
                <w:szCs w:val="20"/>
                <w:highlight w:val="none"/>
              </w:rPr>
              <w:t>（1）本采购包落实中小企业扶持政策要求的方式：整个采购包专门面向中小企业采购。</w:t>
            </w:r>
          </w:p>
          <w:p w14:paraId="69CF197A">
            <w:pPr>
              <w:spacing w:line="276" w:lineRule="auto"/>
              <w:rPr>
                <w:rFonts w:ascii="宋体" w:hAnsi="宋体" w:eastAsia="宋体" w:cs="宋体"/>
                <w:kern w:val="0"/>
                <w:sz w:val="24"/>
                <w:szCs w:val="20"/>
                <w:highlight w:val="none"/>
              </w:rPr>
            </w:pPr>
            <w:r>
              <w:rPr>
                <w:rFonts w:hint="eastAsia" w:ascii="宋体" w:hAnsi="宋体" w:eastAsia="宋体" w:cs="宋体"/>
                <w:kern w:val="0"/>
                <w:sz w:val="24"/>
                <w:szCs w:val="20"/>
                <w:highlight w:val="none"/>
              </w:rPr>
              <w:t>（2）投标人需按第五章补充条款要求提供相关材料，否则投标无效。</w:t>
            </w:r>
          </w:p>
        </w:tc>
      </w:tr>
    </w:tbl>
    <w:p w14:paraId="7F29F4C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6.3是否接受联合体投标：</w:t>
      </w:r>
    </w:p>
    <w:p w14:paraId="6721CF8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采购包1：</w:t>
      </w:r>
      <w:r>
        <w:rPr>
          <w:rFonts w:asciiTheme="minorEastAsia" w:hAnsiTheme="minorEastAsia"/>
          <w:sz w:val="24"/>
          <w:szCs w:val="24"/>
          <w:highlight w:val="none"/>
        </w:rPr>
        <w:t>不接受。</w:t>
      </w:r>
    </w:p>
    <w:p w14:paraId="319C95A4">
      <w:pPr>
        <w:pStyle w:val="54"/>
        <w:widowControl w:val="0"/>
        <w:spacing w:line="360" w:lineRule="auto"/>
        <w:ind w:firstLine="482" w:firstLineChars="200"/>
        <w:jc w:val="both"/>
        <w:rPr>
          <w:rFonts w:hint="default" w:asciiTheme="minorEastAsia" w:hAnsiTheme="minorEastAsia"/>
          <w:sz w:val="24"/>
          <w:szCs w:val="24"/>
        </w:rPr>
      </w:pPr>
      <w:r>
        <w:rPr>
          <w:rFonts w:asciiTheme="minorEastAsia" w:hAnsiTheme="minorEastAsia"/>
          <w:b/>
          <w:sz w:val="24"/>
          <w:szCs w:val="24"/>
        </w:rPr>
        <w:t>※根据上述资格要求，电子投标文件中应提交的“投标人的资格及资信证明文件”详见招标文件第四章。</w:t>
      </w:r>
    </w:p>
    <w:p w14:paraId="3D1959D0">
      <w:pPr>
        <w:pStyle w:val="54"/>
        <w:widowControl w:val="0"/>
        <w:spacing w:line="360" w:lineRule="auto"/>
        <w:ind w:firstLine="482" w:firstLineChars="200"/>
        <w:rPr>
          <w:rFonts w:hint="default" w:asciiTheme="minorEastAsia" w:hAnsiTheme="minorEastAsia"/>
          <w:b/>
          <w:sz w:val="24"/>
          <w:szCs w:val="24"/>
        </w:rPr>
      </w:pPr>
      <w:r>
        <w:rPr>
          <w:rFonts w:asciiTheme="minorEastAsia" w:hAnsiTheme="minorEastAsia"/>
          <w:b/>
          <w:sz w:val="24"/>
          <w:szCs w:val="24"/>
        </w:rPr>
        <w:t>7、招标文件的获取</w:t>
      </w:r>
    </w:p>
    <w:p w14:paraId="20A41E9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7.1、招标文件获取期限：详见招标公告或更正公告，若不一致，以更正公告为准。</w:t>
      </w:r>
    </w:p>
    <w:p w14:paraId="7BEFAE5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7.2、在招标文件获取期限内，供应商应通过福建省政府采购网上公开信息系统的注册账号（免费注册）并获取招标文件（登陆福建省政府采购网上公开信息系统进行文件获取），否则投标将被拒绝。</w:t>
      </w:r>
    </w:p>
    <w:p w14:paraId="5770E2F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7.3、获取地点及方式：注册账号后，通过福建省政府采购网上公开信息系统以下载方式获取。</w:t>
      </w:r>
    </w:p>
    <w:p w14:paraId="5D90C30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7.4、招标文件售价：0元。</w:t>
      </w:r>
    </w:p>
    <w:p w14:paraId="2D8EB3F4">
      <w:pPr>
        <w:pStyle w:val="54"/>
        <w:widowControl w:val="0"/>
        <w:spacing w:line="360" w:lineRule="auto"/>
        <w:ind w:firstLine="482" w:firstLineChars="200"/>
        <w:jc w:val="both"/>
        <w:rPr>
          <w:rFonts w:hint="default" w:asciiTheme="minorEastAsia" w:hAnsiTheme="minorEastAsia"/>
          <w:b/>
          <w:sz w:val="24"/>
          <w:szCs w:val="24"/>
        </w:rPr>
      </w:pPr>
      <w:r>
        <w:rPr>
          <w:rFonts w:asciiTheme="minorEastAsia" w:hAnsiTheme="minorEastAsia"/>
          <w:b/>
          <w:sz w:val="24"/>
          <w:szCs w:val="24"/>
        </w:rPr>
        <w:t>8、投标截止</w:t>
      </w:r>
    </w:p>
    <w:p w14:paraId="4722CA9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8.1、投标截止时间：详见招标公告或更正公告，若不一致，以更正公告为准。</w:t>
      </w:r>
    </w:p>
    <w:p w14:paraId="38FE40F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8.2、投标人应在投标截止时间前按照福建省政府采购网上公开信息系统设定的操作流程将电子投标文件上传至福建省政府采购网上公开信息系统，否则投标将被拒绝。</w:t>
      </w:r>
    </w:p>
    <w:p w14:paraId="2A687E8A">
      <w:pPr>
        <w:pStyle w:val="54"/>
        <w:widowControl w:val="0"/>
        <w:spacing w:line="360" w:lineRule="auto"/>
        <w:ind w:firstLine="482" w:firstLineChars="200"/>
        <w:rPr>
          <w:rFonts w:hint="default" w:asciiTheme="minorEastAsia" w:hAnsiTheme="minorEastAsia"/>
          <w:b/>
          <w:sz w:val="24"/>
          <w:szCs w:val="24"/>
        </w:rPr>
      </w:pPr>
      <w:r>
        <w:rPr>
          <w:rFonts w:asciiTheme="minorEastAsia" w:hAnsiTheme="minorEastAsia"/>
          <w:b/>
          <w:sz w:val="24"/>
          <w:szCs w:val="24"/>
        </w:rPr>
        <w:t>9、开标时间及地点</w:t>
      </w:r>
    </w:p>
    <w:p w14:paraId="20FB22A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详见招标公告或更正公告，若不一致，以更正公告为准。</w:t>
      </w:r>
    </w:p>
    <w:p w14:paraId="04EC2429">
      <w:pPr>
        <w:pStyle w:val="54"/>
        <w:widowControl w:val="0"/>
        <w:spacing w:line="360" w:lineRule="auto"/>
        <w:ind w:firstLine="482" w:firstLineChars="200"/>
        <w:rPr>
          <w:rFonts w:hint="default" w:asciiTheme="minorEastAsia" w:hAnsiTheme="minorEastAsia"/>
          <w:b/>
          <w:sz w:val="24"/>
          <w:szCs w:val="24"/>
        </w:rPr>
      </w:pPr>
      <w:r>
        <w:rPr>
          <w:rFonts w:asciiTheme="minorEastAsia" w:hAnsiTheme="minorEastAsia"/>
          <w:b/>
          <w:sz w:val="24"/>
          <w:szCs w:val="24"/>
        </w:rPr>
        <w:t>10、公告期限</w:t>
      </w:r>
    </w:p>
    <w:p w14:paraId="5A002C33">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rPr>
        <w:t>10.1、招标公告的公告期限：自财政部和福建省财政厅指定的政府采购信息发布媒体最先发布</w:t>
      </w:r>
      <w:r>
        <w:rPr>
          <w:rFonts w:asciiTheme="minorEastAsia" w:hAnsiTheme="minorEastAsia"/>
          <w:sz w:val="24"/>
          <w:szCs w:val="24"/>
          <w:highlight w:val="none"/>
        </w:rPr>
        <w:t>公告之日起5个工作日。</w:t>
      </w:r>
    </w:p>
    <w:p w14:paraId="26245874">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10.2、招标文件公告期限：招标文件随同招标公告一并发布，其公告期限与招标公告的公告期限保持一致。</w:t>
      </w:r>
    </w:p>
    <w:p w14:paraId="62B12077">
      <w:pPr>
        <w:pStyle w:val="54"/>
        <w:widowControl w:val="0"/>
        <w:spacing w:line="360" w:lineRule="auto"/>
        <w:ind w:firstLine="482" w:firstLineChars="200"/>
        <w:rPr>
          <w:rFonts w:hint="default" w:asciiTheme="minorEastAsia" w:hAnsiTheme="minorEastAsia"/>
          <w:sz w:val="24"/>
          <w:szCs w:val="24"/>
          <w:highlight w:val="none"/>
        </w:rPr>
      </w:pPr>
      <w:r>
        <w:rPr>
          <w:rFonts w:asciiTheme="minorEastAsia" w:hAnsiTheme="minorEastAsia"/>
          <w:b/>
          <w:sz w:val="24"/>
          <w:szCs w:val="24"/>
          <w:highlight w:val="none"/>
        </w:rPr>
        <w:t>11、采购人：厦门市住房和建设局</w:t>
      </w:r>
    </w:p>
    <w:p w14:paraId="1D5468A4">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地址：福建省厦门市思明区厦禾路362号建设大厦</w:t>
      </w:r>
    </w:p>
    <w:p w14:paraId="703BFEE8">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邮编： 361000</w:t>
      </w:r>
    </w:p>
    <w:p w14:paraId="77BE0F8E">
      <w:pPr>
        <w:pStyle w:val="54"/>
        <w:widowControl w:val="0"/>
        <w:spacing w:line="360" w:lineRule="auto"/>
        <w:ind w:firstLine="480" w:firstLineChars="200"/>
        <w:rPr>
          <w:rFonts w:asciiTheme="minorEastAsia" w:hAnsiTheme="minorEastAsia"/>
          <w:sz w:val="24"/>
          <w:szCs w:val="24"/>
          <w:highlight w:val="none"/>
        </w:rPr>
      </w:pPr>
      <w:r>
        <w:rPr>
          <w:rFonts w:asciiTheme="minorEastAsia" w:hAnsiTheme="minorEastAsia"/>
          <w:sz w:val="24"/>
          <w:szCs w:val="24"/>
          <w:highlight w:val="none"/>
        </w:rPr>
        <w:t>联系人：</w:t>
      </w:r>
      <w:r>
        <w:rPr>
          <w:rFonts w:hint="eastAsia" w:asciiTheme="minorEastAsia" w:hAnsiTheme="minorEastAsia"/>
          <w:sz w:val="24"/>
          <w:szCs w:val="24"/>
          <w:highlight w:val="none"/>
        </w:rPr>
        <w:t>吴先生</w:t>
      </w:r>
    </w:p>
    <w:p w14:paraId="3A2CDF31">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联系电话：</w:t>
      </w:r>
      <w:r>
        <w:rPr>
          <w:rFonts w:hint="eastAsia" w:asciiTheme="minorEastAsia" w:hAnsiTheme="minorEastAsia"/>
          <w:sz w:val="24"/>
          <w:szCs w:val="24"/>
          <w:highlight w:val="none"/>
          <w:lang w:val="en-US" w:eastAsia="zh-CN"/>
        </w:rPr>
        <w:t>0592-</w:t>
      </w:r>
      <w:r>
        <w:rPr>
          <w:rFonts w:hint="eastAsia" w:asciiTheme="minorEastAsia" w:hAnsiTheme="minorEastAsia"/>
          <w:sz w:val="24"/>
          <w:szCs w:val="24"/>
          <w:highlight w:val="none"/>
        </w:rPr>
        <w:t>5186160</w:t>
      </w:r>
    </w:p>
    <w:p w14:paraId="669A3906">
      <w:pPr>
        <w:pStyle w:val="54"/>
        <w:widowControl w:val="0"/>
        <w:spacing w:line="360" w:lineRule="auto"/>
        <w:ind w:firstLine="482" w:firstLineChars="200"/>
        <w:rPr>
          <w:rFonts w:hint="default" w:asciiTheme="minorEastAsia" w:hAnsiTheme="minorEastAsia"/>
          <w:sz w:val="24"/>
          <w:szCs w:val="24"/>
          <w:highlight w:val="none"/>
        </w:rPr>
      </w:pPr>
      <w:r>
        <w:rPr>
          <w:rFonts w:asciiTheme="minorEastAsia" w:hAnsiTheme="minorEastAsia"/>
          <w:b/>
          <w:sz w:val="24"/>
          <w:szCs w:val="24"/>
          <w:highlight w:val="none"/>
        </w:rPr>
        <w:t>12、代理机构：厦门市公物采购招投标有限公司</w:t>
      </w:r>
    </w:p>
    <w:p w14:paraId="38758828">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地址：福建省厦门市思明区湖滨南路81号21层D单元</w:t>
      </w:r>
    </w:p>
    <w:p w14:paraId="45B2E2AA">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邮编：361004</w:t>
      </w:r>
    </w:p>
    <w:p w14:paraId="5E9234F8">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联系人：黄龙华、黄丽萍</w:t>
      </w:r>
    </w:p>
    <w:p w14:paraId="6238A7C5">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联系电话：0592-2279310、2233021</w:t>
      </w:r>
    </w:p>
    <w:p w14:paraId="01C20813">
      <w:pPr>
        <w:pStyle w:val="54"/>
        <w:widowControl w:val="0"/>
        <w:spacing w:line="360" w:lineRule="auto"/>
        <w:ind w:firstLine="482" w:firstLineChars="200"/>
        <w:rPr>
          <w:rFonts w:hint="default" w:asciiTheme="minorEastAsia" w:hAnsiTheme="minorEastAsia"/>
          <w:b/>
          <w:sz w:val="24"/>
          <w:szCs w:val="24"/>
        </w:rPr>
      </w:pPr>
      <w:r>
        <w:rPr>
          <w:rFonts w:asciiTheme="minorEastAsia" w:hAnsiTheme="minorEastAsia"/>
          <w:b/>
          <w:sz w:val="24"/>
          <w:szCs w:val="24"/>
        </w:rPr>
        <w:t>附1：账户信息</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7788B9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1868D117">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投标保证金账户</w:t>
            </w:r>
          </w:p>
        </w:tc>
      </w:tr>
      <w:tr w14:paraId="37C4D7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5248E8D8">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开户名称：厦门市公物采购招投标有限公司</w:t>
            </w:r>
          </w:p>
        </w:tc>
      </w:tr>
      <w:tr w14:paraId="6B5D6A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4FBBA218">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开户银行：供应商在福建省政府采购网上公开信息系统获取招标文件后，根据其提示自行选择要缴交的投标保证金托管银行。</w:t>
            </w:r>
          </w:p>
        </w:tc>
      </w:tr>
      <w:tr w14:paraId="7E5303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6CEDF256">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6A604A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00C22524">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特别提示</w:t>
            </w:r>
          </w:p>
        </w:tc>
      </w:tr>
      <w:tr w14:paraId="37EDC9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25E9BDDA">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1、投标人应认真核对账户信息，将投标保证金汇入以上账户，并自行承担因汇错投标保证金而产生的一切后果。</w:t>
            </w:r>
          </w:p>
          <w:p w14:paraId="2D90583C">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2、投标人在转账或电汇的凭证上应按照以下格式注明，以便核对：“（项目编号：***）的投标保证金”。</w:t>
            </w:r>
          </w:p>
        </w:tc>
      </w:tr>
    </w:tbl>
    <w:p w14:paraId="5DD0FB6B">
      <w:pPr>
        <w:pStyle w:val="54"/>
        <w:widowControl w:val="0"/>
        <w:spacing w:line="360" w:lineRule="auto"/>
        <w:ind w:firstLine="482" w:firstLineChars="200"/>
        <w:rPr>
          <w:rFonts w:hint="default" w:asciiTheme="minorEastAsia" w:hAnsiTheme="minorEastAsia"/>
          <w:b/>
          <w:sz w:val="24"/>
          <w:szCs w:val="24"/>
        </w:rPr>
      </w:pPr>
    </w:p>
    <w:p w14:paraId="7802C586">
      <w:pPr>
        <w:pStyle w:val="54"/>
        <w:widowControl w:val="0"/>
        <w:spacing w:line="360" w:lineRule="auto"/>
        <w:ind w:firstLine="482" w:firstLineChars="200"/>
        <w:rPr>
          <w:rFonts w:hint="default" w:asciiTheme="minorEastAsia" w:hAnsiTheme="minorEastAsia"/>
          <w:b/>
          <w:sz w:val="24"/>
          <w:szCs w:val="24"/>
        </w:rPr>
      </w:pPr>
      <w:r>
        <w:rPr>
          <w:rFonts w:asciiTheme="minorEastAsia" w:hAnsiTheme="minorEastAsia"/>
          <w:b/>
          <w:sz w:val="24"/>
          <w:szCs w:val="24"/>
        </w:rPr>
        <w:t>附2：采购标的一览表</w:t>
      </w:r>
    </w:p>
    <w:p w14:paraId="14A34ECA">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采购包1：</w:t>
      </w:r>
    </w:p>
    <w:p w14:paraId="7C12A0E2">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采购包预算金额（元）：6083520.00</w:t>
      </w:r>
    </w:p>
    <w:p w14:paraId="5BE98C0A">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采购包最高限价（元）：5</w:t>
      </w:r>
      <w:r>
        <w:rPr>
          <w:rFonts w:hint="default" w:asciiTheme="minorEastAsia" w:hAnsiTheme="minorEastAsia"/>
          <w:sz w:val="24"/>
          <w:szCs w:val="24"/>
        </w:rPr>
        <w:t>870000.00</w:t>
      </w:r>
    </w:p>
    <w:p w14:paraId="547B97C3">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采购包保证金金额（元）：0.00</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5"/>
        <w:gridCol w:w="1609"/>
        <w:gridCol w:w="1187"/>
        <w:gridCol w:w="1776"/>
        <w:gridCol w:w="1187"/>
        <w:gridCol w:w="1187"/>
        <w:gridCol w:w="1187"/>
      </w:tblGrid>
      <w:tr w14:paraId="740519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5" w:type="dxa"/>
            <w:vAlign w:val="center"/>
          </w:tcPr>
          <w:p w14:paraId="49A1575D">
            <w:pPr>
              <w:spacing w:line="360" w:lineRule="auto"/>
              <w:jc w:val="center"/>
              <w:rPr>
                <w:rFonts w:asciiTheme="minorEastAsia" w:hAnsiTheme="minorEastAsia"/>
                <w:sz w:val="24"/>
                <w:szCs w:val="24"/>
              </w:rPr>
            </w:pPr>
            <w:r>
              <w:rPr>
                <w:rFonts w:asciiTheme="minorEastAsia" w:hAnsiTheme="minorEastAsia"/>
                <w:sz w:val="24"/>
                <w:szCs w:val="24"/>
              </w:rPr>
              <w:t>序号</w:t>
            </w:r>
          </w:p>
        </w:tc>
        <w:tc>
          <w:tcPr>
            <w:tcW w:w="1609" w:type="dxa"/>
            <w:vAlign w:val="center"/>
          </w:tcPr>
          <w:p w14:paraId="1141125A">
            <w:pPr>
              <w:spacing w:line="360" w:lineRule="auto"/>
              <w:jc w:val="center"/>
              <w:rPr>
                <w:rFonts w:asciiTheme="minorEastAsia" w:hAnsiTheme="minorEastAsia"/>
                <w:sz w:val="24"/>
                <w:szCs w:val="24"/>
              </w:rPr>
            </w:pPr>
            <w:r>
              <w:rPr>
                <w:rFonts w:asciiTheme="minorEastAsia" w:hAnsiTheme="minorEastAsia"/>
                <w:sz w:val="24"/>
                <w:szCs w:val="24"/>
              </w:rPr>
              <w:t>标的名称</w:t>
            </w:r>
          </w:p>
        </w:tc>
        <w:tc>
          <w:tcPr>
            <w:tcW w:w="1187" w:type="dxa"/>
            <w:vAlign w:val="center"/>
          </w:tcPr>
          <w:p w14:paraId="6217D10D">
            <w:pPr>
              <w:spacing w:line="360" w:lineRule="auto"/>
              <w:jc w:val="center"/>
              <w:rPr>
                <w:rFonts w:asciiTheme="minorEastAsia" w:hAnsiTheme="minorEastAsia"/>
                <w:sz w:val="24"/>
                <w:szCs w:val="24"/>
              </w:rPr>
            </w:pPr>
            <w:r>
              <w:rPr>
                <w:rFonts w:asciiTheme="minorEastAsia" w:hAnsiTheme="minorEastAsia"/>
                <w:sz w:val="24"/>
                <w:szCs w:val="24"/>
              </w:rPr>
              <w:t>数量</w:t>
            </w:r>
          </w:p>
        </w:tc>
        <w:tc>
          <w:tcPr>
            <w:tcW w:w="1776" w:type="dxa"/>
            <w:vAlign w:val="center"/>
          </w:tcPr>
          <w:p w14:paraId="4BDD3470">
            <w:pPr>
              <w:spacing w:line="360" w:lineRule="auto"/>
              <w:jc w:val="center"/>
              <w:rPr>
                <w:rFonts w:asciiTheme="minorEastAsia" w:hAnsiTheme="minorEastAsia"/>
                <w:sz w:val="24"/>
                <w:szCs w:val="24"/>
              </w:rPr>
            </w:pPr>
            <w:r>
              <w:rPr>
                <w:rFonts w:asciiTheme="minorEastAsia" w:hAnsiTheme="minorEastAsia"/>
                <w:sz w:val="24"/>
                <w:szCs w:val="24"/>
              </w:rPr>
              <w:t>标的金额 （元）</w:t>
            </w:r>
          </w:p>
        </w:tc>
        <w:tc>
          <w:tcPr>
            <w:tcW w:w="1187" w:type="dxa"/>
            <w:vAlign w:val="center"/>
          </w:tcPr>
          <w:p w14:paraId="50CB916E">
            <w:pPr>
              <w:spacing w:line="360" w:lineRule="auto"/>
              <w:jc w:val="center"/>
              <w:rPr>
                <w:rFonts w:asciiTheme="minorEastAsia" w:hAnsiTheme="minorEastAsia"/>
                <w:sz w:val="24"/>
                <w:szCs w:val="24"/>
              </w:rPr>
            </w:pPr>
            <w:r>
              <w:rPr>
                <w:rFonts w:asciiTheme="minorEastAsia" w:hAnsiTheme="minorEastAsia"/>
                <w:sz w:val="24"/>
                <w:szCs w:val="24"/>
              </w:rPr>
              <w:t>计量单位</w:t>
            </w:r>
          </w:p>
        </w:tc>
        <w:tc>
          <w:tcPr>
            <w:tcW w:w="1187" w:type="dxa"/>
            <w:vAlign w:val="center"/>
          </w:tcPr>
          <w:p w14:paraId="64F2F011">
            <w:pPr>
              <w:spacing w:line="360" w:lineRule="auto"/>
              <w:jc w:val="center"/>
              <w:rPr>
                <w:rFonts w:asciiTheme="minorEastAsia" w:hAnsiTheme="minorEastAsia"/>
                <w:sz w:val="24"/>
                <w:szCs w:val="24"/>
              </w:rPr>
            </w:pPr>
            <w:r>
              <w:rPr>
                <w:rFonts w:asciiTheme="minorEastAsia" w:hAnsiTheme="minorEastAsia"/>
                <w:sz w:val="24"/>
                <w:szCs w:val="24"/>
              </w:rPr>
              <w:t>所属行业</w:t>
            </w:r>
          </w:p>
        </w:tc>
        <w:tc>
          <w:tcPr>
            <w:tcW w:w="1187" w:type="dxa"/>
            <w:vAlign w:val="center"/>
          </w:tcPr>
          <w:p w14:paraId="7357543E">
            <w:pPr>
              <w:spacing w:line="360" w:lineRule="auto"/>
              <w:jc w:val="center"/>
              <w:rPr>
                <w:rFonts w:asciiTheme="minorEastAsia" w:hAnsiTheme="minorEastAsia"/>
                <w:sz w:val="24"/>
                <w:szCs w:val="24"/>
              </w:rPr>
            </w:pPr>
            <w:r>
              <w:rPr>
                <w:rFonts w:asciiTheme="minorEastAsia" w:hAnsiTheme="minorEastAsia"/>
                <w:sz w:val="24"/>
                <w:szCs w:val="24"/>
              </w:rPr>
              <w:t>是否允许进口产品</w:t>
            </w:r>
          </w:p>
        </w:tc>
      </w:tr>
      <w:tr w14:paraId="31AF24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5" w:type="dxa"/>
            <w:vAlign w:val="center"/>
          </w:tcPr>
          <w:p w14:paraId="5A08430F">
            <w:pPr>
              <w:spacing w:line="360" w:lineRule="auto"/>
              <w:jc w:val="center"/>
              <w:rPr>
                <w:rFonts w:asciiTheme="minorEastAsia" w:hAnsiTheme="minorEastAsia"/>
                <w:sz w:val="24"/>
                <w:szCs w:val="24"/>
              </w:rPr>
            </w:pPr>
            <w:r>
              <w:rPr>
                <w:rFonts w:hint="eastAsia" w:asciiTheme="minorEastAsia" w:hAnsiTheme="minorEastAsia"/>
                <w:sz w:val="24"/>
                <w:szCs w:val="24"/>
              </w:rPr>
              <w:t>1</w:t>
            </w:r>
          </w:p>
        </w:tc>
        <w:tc>
          <w:tcPr>
            <w:tcW w:w="1609" w:type="dxa"/>
            <w:vAlign w:val="center"/>
          </w:tcPr>
          <w:p w14:paraId="08361A33">
            <w:pPr>
              <w:spacing w:line="360" w:lineRule="auto"/>
              <w:jc w:val="center"/>
              <w:rPr>
                <w:rFonts w:asciiTheme="minorEastAsia" w:hAnsiTheme="minorEastAsia"/>
                <w:sz w:val="24"/>
                <w:szCs w:val="24"/>
              </w:rPr>
            </w:pPr>
            <w:r>
              <w:rPr>
                <w:rFonts w:hint="eastAsia" w:asciiTheme="minorEastAsia" w:hAnsiTheme="minorEastAsia"/>
                <w:sz w:val="24"/>
                <w:szCs w:val="24"/>
              </w:rPr>
              <w:t>夜景照明集中控制平台运维服务</w:t>
            </w:r>
          </w:p>
        </w:tc>
        <w:tc>
          <w:tcPr>
            <w:tcW w:w="1187" w:type="dxa"/>
            <w:vAlign w:val="center"/>
          </w:tcPr>
          <w:p w14:paraId="20FBD702">
            <w:pPr>
              <w:spacing w:line="360" w:lineRule="auto"/>
              <w:jc w:val="center"/>
              <w:rPr>
                <w:rFonts w:asciiTheme="minorEastAsia" w:hAnsiTheme="minorEastAsia"/>
                <w:sz w:val="24"/>
                <w:szCs w:val="24"/>
              </w:rPr>
            </w:pPr>
            <w:r>
              <w:rPr>
                <w:rFonts w:hint="eastAsia" w:asciiTheme="minorEastAsia" w:hAnsiTheme="minorEastAsia"/>
                <w:sz w:val="24"/>
                <w:szCs w:val="24"/>
              </w:rPr>
              <w:t>1</w:t>
            </w:r>
          </w:p>
        </w:tc>
        <w:tc>
          <w:tcPr>
            <w:tcW w:w="1776" w:type="dxa"/>
            <w:vAlign w:val="center"/>
          </w:tcPr>
          <w:p w14:paraId="1F0EDBEA">
            <w:pPr>
              <w:spacing w:line="360" w:lineRule="auto"/>
              <w:jc w:val="center"/>
              <w:rPr>
                <w:rFonts w:asciiTheme="minorEastAsia" w:hAnsiTheme="minorEastAsia"/>
                <w:sz w:val="24"/>
                <w:szCs w:val="24"/>
              </w:rPr>
            </w:pPr>
            <w:r>
              <w:rPr>
                <w:rFonts w:hint="eastAsia" w:asciiTheme="minorEastAsia" w:hAnsiTheme="minorEastAsia"/>
                <w:sz w:val="24"/>
                <w:szCs w:val="24"/>
              </w:rPr>
              <w:t>6083520.00</w:t>
            </w:r>
          </w:p>
        </w:tc>
        <w:tc>
          <w:tcPr>
            <w:tcW w:w="1187" w:type="dxa"/>
            <w:vAlign w:val="center"/>
          </w:tcPr>
          <w:p w14:paraId="1A5B212C">
            <w:pPr>
              <w:spacing w:line="360" w:lineRule="auto"/>
              <w:jc w:val="center"/>
              <w:rPr>
                <w:rFonts w:asciiTheme="minorEastAsia" w:hAnsiTheme="minorEastAsia"/>
                <w:sz w:val="24"/>
                <w:szCs w:val="24"/>
              </w:rPr>
            </w:pPr>
            <w:r>
              <w:rPr>
                <w:rFonts w:hint="eastAsia" w:asciiTheme="minorEastAsia" w:hAnsiTheme="minorEastAsia"/>
                <w:sz w:val="24"/>
                <w:szCs w:val="24"/>
              </w:rPr>
              <w:t>项</w:t>
            </w:r>
          </w:p>
        </w:tc>
        <w:tc>
          <w:tcPr>
            <w:tcW w:w="1187" w:type="dxa"/>
            <w:vAlign w:val="center"/>
          </w:tcPr>
          <w:p w14:paraId="05E5CDA6">
            <w:pPr>
              <w:spacing w:line="360" w:lineRule="auto"/>
              <w:jc w:val="center"/>
              <w:rPr>
                <w:rFonts w:asciiTheme="minorEastAsia" w:hAnsiTheme="minorEastAsia"/>
                <w:sz w:val="24"/>
                <w:szCs w:val="24"/>
              </w:rPr>
            </w:pPr>
            <w:r>
              <w:rPr>
                <w:rFonts w:hint="eastAsia" w:asciiTheme="minorEastAsia" w:hAnsiTheme="minorEastAsia"/>
                <w:sz w:val="24"/>
                <w:szCs w:val="24"/>
              </w:rPr>
              <w:t>软件和信息技术服务业</w:t>
            </w:r>
          </w:p>
        </w:tc>
        <w:tc>
          <w:tcPr>
            <w:tcW w:w="1187" w:type="dxa"/>
            <w:vAlign w:val="center"/>
          </w:tcPr>
          <w:p w14:paraId="054F08CC">
            <w:pPr>
              <w:spacing w:line="360" w:lineRule="auto"/>
              <w:jc w:val="center"/>
              <w:rPr>
                <w:rFonts w:asciiTheme="minorEastAsia" w:hAnsiTheme="minorEastAsia"/>
                <w:sz w:val="24"/>
                <w:szCs w:val="24"/>
              </w:rPr>
            </w:pPr>
            <w:r>
              <w:rPr>
                <w:rFonts w:hint="eastAsia" w:asciiTheme="minorEastAsia" w:hAnsiTheme="minorEastAsia"/>
                <w:sz w:val="24"/>
                <w:szCs w:val="24"/>
              </w:rPr>
              <w:t>否</w:t>
            </w:r>
          </w:p>
        </w:tc>
      </w:tr>
    </w:tbl>
    <w:p w14:paraId="76E14AA8">
      <w:pPr>
        <w:pStyle w:val="54"/>
        <w:widowControl w:val="0"/>
        <w:rPr>
          <w:rFonts w:hint="default"/>
        </w:rPr>
      </w:pPr>
    </w:p>
    <w:p w14:paraId="2E88019A">
      <w:pPr>
        <w:pStyle w:val="54"/>
        <w:widowControl w:val="0"/>
        <w:spacing w:line="360" w:lineRule="auto"/>
        <w:ind w:firstLine="480" w:firstLineChars="200"/>
        <w:rPr>
          <w:rFonts w:hint="default" w:asciiTheme="minorEastAsia" w:hAnsiTheme="minorEastAsia"/>
          <w:sz w:val="24"/>
          <w:szCs w:val="24"/>
        </w:rPr>
      </w:pPr>
    </w:p>
    <w:p w14:paraId="780F26DF">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采购包1：</w:t>
      </w:r>
    </w:p>
    <w:p w14:paraId="58C3EE7A">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（1）报价要求：</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7"/>
        <w:gridCol w:w="3046"/>
        <w:gridCol w:w="737"/>
        <w:gridCol w:w="737"/>
        <w:gridCol w:w="1416"/>
        <w:gridCol w:w="1384"/>
        <w:gridCol w:w="1038"/>
      </w:tblGrid>
      <w:tr w14:paraId="5C70F5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737" w:type="dxa"/>
            <w:vAlign w:val="center"/>
          </w:tcPr>
          <w:p w14:paraId="721C3371">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序号</w:t>
            </w:r>
          </w:p>
        </w:tc>
        <w:tc>
          <w:tcPr>
            <w:tcW w:w="3046" w:type="dxa"/>
            <w:vAlign w:val="center"/>
          </w:tcPr>
          <w:p w14:paraId="2864975F">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报价内容</w:t>
            </w:r>
          </w:p>
        </w:tc>
        <w:tc>
          <w:tcPr>
            <w:tcW w:w="737" w:type="dxa"/>
            <w:vAlign w:val="center"/>
          </w:tcPr>
          <w:p w14:paraId="501F35E1">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计量</w:t>
            </w:r>
          </w:p>
          <w:p w14:paraId="0E98554F">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单位</w:t>
            </w:r>
          </w:p>
        </w:tc>
        <w:tc>
          <w:tcPr>
            <w:tcW w:w="737" w:type="dxa"/>
            <w:vAlign w:val="center"/>
          </w:tcPr>
          <w:p w14:paraId="26F27952">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报价</w:t>
            </w:r>
          </w:p>
          <w:p w14:paraId="25BB6291">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单位</w:t>
            </w:r>
          </w:p>
        </w:tc>
        <w:tc>
          <w:tcPr>
            <w:tcW w:w="1384" w:type="dxa"/>
            <w:vAlign w:val="center"/>
          </w:tcPr>
          <w:p w14:paraId="0C3924E8">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最高限价</w:t>
            </w:r>
          </w:p>
        </w:tc>
        <w:tc>
          <w:tcPr>
            <w:tcW w:w="1384" w:type="dxa"/>
            <w:vAlign w:val="center"/>
          </w:tcPr>
          <w:p w14:paraId="6E84835B">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价款形式</w:t>
            </w:r>
          </w:p>
        </w:tc>
        <w:tc>
          <w:tcPr>
            <w:tcW w:w="1038" w:type="dxa"/>
            <w:vAlign w:val="center"/>
          </w:tcPr>
          <w:p w14:paraId="41958C25">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报价</w:t>
            </w:r>
          </w:p>
          <w:p w14:paraId="07485B30">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说明</w:t>
            </w:r>
          </w:p>
        </w:tc>
      </w:tr>
      <w:tr w14:paraId="5B662D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37" w:type="dxa"/>
            <w:vAlign w:val="center"/>
          </w:tcPr>
          <w:p w14:paraId="2A4A64D9">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3046" w:type="dxa"/>
            <w:vAlign w:val="center"/>
          </w:tcPr>
          <w:p w14:paraId="43C7A08B">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夜景照明集中控制平台运维服务</w:t>
            </w:r>
          </w:p>
        </w:tc>
        <w:tc>
          <w:tcPr>
            <w:tcW w:w="737" w:type="dxa"/>
            <w:vAlign w:val="center"/>
          </w:tcPr>
          <w:p w14:paraId="4E534FA5">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项</w:t>
            </w:r>
          </w:p>
        </w:tc>
        <w:tc>
          <w:tcPr>
            <w:tcW w:w="737" w:type="dxa"/>
            <w:vAlign w:val="center"/>
          </w:tcPr>
          <w:p w14:paraId="242DEAE1">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元</w:t>
            </w:r>
          </w:p>
        </w:tc>
        <w:tc>
          <w:tcPr>
            <w:tcW w:w="1384" w:type="dxa"/>
            <w:vAlign w:val="center"/>
          </w:tcPr>
          <w:p w14:paraId="248E9EFA">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5</w:t>
            </w:r>
            <w:r>
              <w:rPr>
                <w:rFonts w:hint="default" w:asciiTheme="minorEastAsia" w:hAnsiTheme="minorEastAsia"/>
                <w:sz w:val="24"/>
                <w:szCs w:val="24"/>
              </w:rPr>
              <w:t>870000.00</w:t>
            </w:r>
          </w:p>
        </w:tc>
        <w:tc>
          <w:tcPr>
            <w:tcW w:w="1384" w:type="dxa"/>
            <w:vAlign w:val="center"/>
          </w:tcPr>
          <w:p w14:paraId="405F8E4A">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总价</w:t>
            </w:r>
          </w:p>
        </w:tc>
        <w:tc>
          <w:tcPr>
            <w:tcW w:w="1038" w:type="dxa"/>
            <w:vAlign w:val="center"/>
          </w:tcPr>
          <w:p w14:paraId="0E2AA8E4">
            <w:pPr>
              <w:pStyle w:val="54"/>
              <w:widowControl w:val="0"/>
              <w:spacing w:line="360" w:lineRule="auto"/>
              <w:jc w:val="center"/>
              <w:rPr>
                <w:rFonts w:hint="default" w:asciiTheme="minorEastAsia" w:hAnsiTheme="minorEastAsia"/>
                <w:sz w:val="24"/>
                <w:szCs w:val="24"/>
              </w:rPr>
            </w:pPr>
          </w:p>
        </w:tc>
      </w:tr>
    </w:tbl>
    <w:p w14:paraId="67CA66A6">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（2）报价明细要求：</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3"/>
        <w:gridCol w:w="2209"/>
        <w:gridCol w:w="1299"/>
        <w:gridCol w:w="887"/>
        <w:gridCol w:w="887"/>
        <w:gridCol w:w="1416"/>
        <w:gridCol w:w="887"/>
        <w:gridCol w:w="888"/>
      </w:tblGrid>
      <w:tr w14:paraId="3B68AD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3" w:type="dxa"/>
            <w:vAlign w:val="center"/>
          </w:tcPr>
          <w:p w14:paraId="73D8D696">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序号</w:t>
            </w:r>
          </w:p>
        </w:tc>
        <w:tc>
          <w:tcPr>
            <w:tcW w:w="2304" w:type="dxa"/>
            <w:vAlign w:val="center"/>
          </w:tcPr>
          <w:p w14:paraId="1B7ADF3F">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报价明细内容</w:t>
            </w:r>
          </w:p>
        </w:tc>
        <w:tc>
          <w:tcPr>
            <w:tcW w:w="1345" w:type="dxa"/>
            <w:vAlign w:val="center"/>
          </w:tcPr>
          <w:p w14:paraId="6382B4F4">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报价</w:t>
            </w:r>
          </w:p>
          <w:p w14:paraId="612607BB">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要求</w:t>
            </w:r>
          </w:p>
        </w:tc>
        <w:tc>
          <w:tcPr>
            <w:tcW w:w="910" w:type="dxa"/>
            <w:vAlign w:val="center"/>
          </w:tcPr>
          <w:p w14:paraId="14B03544">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计量</w:t>
            </w:r>
          </w:p>
          <w:p w14:paraId="01F9307C">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单位</w:t>
            </w:r>
          </w:p>
        </w:tc>
        <w:tc>
          <w:tcPr>
            <w:tcW w:w="910" w:type="dxa"/>
            <w:vAlign w:val="center"/>
          </w:tcPr>
          <w:p w14:paraId="7B7DCC08">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报价</w:t>
            </w:r>
          </w:p>
          <w:p w14:paraId="768DAC05">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单位</w:t>
            </w:r>
          </w:p>
        </w:tc>
        <w:tc>
          <w:tcPr>
            <w:tcW w:w="910" w:type="dxa"/>
            <w:vAlign w:val="center"/>
          </w:tcPr>
          <w:p w14:paraId="30643917">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最高</w:t>
            </w:r>
          </w:p>
          <w:p w14:paraId="184706DD">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限价</w:t>
            </w:r>
          </w:p>
        </w:tc>
        <w:tc>
          <w:tcPr>
            <w:tcW w:w="910" w:type="dxa"/>
            <w:vAlign w:val="center"/>
          </w:tcPr>
          <w:p w14:paraId="53B46CF0">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价款</w:t>
            </w:r>
          </w:p>
          <w:p w14:paraId="703FDCCB">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形式</w:t>
            </w:r>
          </w:p>
        </w:tc>
        <w:tc>
          <w:tcPr>
            <w:tcW w:w="911" w:type="dxa"/>
            <w:vAlign w:val="center"/>
          </w:tcPr>
          <w:p w14:paraId="50E7EFAE">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报价</w:t>
            </w:r>
          </w:p>
          <w:p w14:paraId="6FA67A01">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说明</w:t>
            </w:r>
          </w:p>
        </w:tc>
      </w:tr>
      <w:tr w14:paraId="413459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3" w:type="dxa"/>
            <w:vAlign w:val="center"/>
          </w:tcPr>
          <w:p w14:paraId="6C6C3B2B">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2304" w:type="dxa"/>
            <w:vAlign w:val="center"/>
          </w:tcPr>
          <w:p w14:paraId="3EF8F564">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夜景照明集中控制平台运维服务</w:t>
            </w:r>
          </w:p>
        </w:tc>
        <w:tc>
          <w:tcPr>
            <w:tcW w:w="1345" w:type="dxa"/>
            <w:vAlign w:val="center"/>
          </w:tcPr>
          <w:p w14:paraId="2F702AA8">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按招标文件要求</w:t>
            </w:r>
          </w:p>
        </w:tc>
        <w:tc>
          <w:tcPr>
            <w:tcW w:w="910" w:type="dxa"/>
            <w:vAlign w:val="center"/>
          </w:tcPr>
          <w:p w14:paraId="3F7982ED">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项</w:t>
            </w:r>
          </w:p>
        </w:tc>
        <w:tc>
          <w:tcPr>
            <w:tcW w:w="910" w:type="dxa"/>
            <w:vAlign w:val="center"/>
          </w:tcPr>
          <w:p w14:paraId="1ED9D8A1">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元</w:t>
            </w:r>
          </w:p>
        </w:tc>
        <w:tc>
          <w:tcPr>
            <w:tcW w:w="910" w:type="dxa"/>
            <w:vAlign w:val="center"/>
          </w:tcPr>
          <w:p w14:paraId="3C74FDC9">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5</w:t>
            </w:r>
            <w:r>
              <w:rPr>
                <w:rFonts w:hint="default" w:asciiTheme="minorEastAsia" w:hAnsiTheme="minorEastAsia"/>
                <w:sz w:val="24"/>
                <w:szCs w:val="24"/>
              </w:rPr>
              <w:t>870000.00</w:t>
            </w:r>
          </w:p>
        </w:tc>
        <w:tc>
          <w:tcPr>
            <w:tcW w:w="910" w:type="dxa"/>
            <w:vAlign w:val="center"/>
          </w:tcPr>
          <w:p w14:paraId="3D8A0F2F">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总价</w:t>
            </w:r>
          </w:p>
        </w:tc>
        <w:tc>
          <w:tcPr>
            <w:tcW w:w="911" w:type="dxa"/>
            <w:vAlign w:val="center"/>
          </w:tcPr>
          <w:p w14:paraId="7206A66A">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投标人须在投标文件中提供报价明细</w:t>
            </w:r>
          </w:p>
        </w:tc>
      </w:tr>
    </w:tbl>
    <w:p w14:paraId="4DDB8726">
      <w:pPr>
        <w:pStyle w:val="54"/>
        <w:widowControl w:val="0"/>
        <w:rPr>
          <w:rFonts w:hint="default"/>
        </w:rPr>
      </w:pPr>
    </w:p>
    <w:p w14:paraId="3E61FEEF">
      <w:pPr>
        <w:pStyle w:val="54"/>
        <w:widowControl w:val="0"/>
        <w:rPr>
          <w:rFonts w:hint="default"/>
        </w:rPr>
      </w:pPr>
    </w:p>
    <w:p w14:paraId="072F6B62">
      <w:pPr>
        <w:pStyle w:val="54"/>
        <w:widowControl w:val="0"/>
        <w:rPr>
          <w:rFonts w:hint="default"/>
        </w:rPr>
        <w:sectPr>
          <w:pgSz w:w="11906" w:h="16838"/>
          <w:pgMar w:top="1418" w:right="1418" w:bottom="1418" w:left="1418" w:header="851" w:footer="992" w:gutter="0"/>
          <w:cols w:space="425" w:num="1"/>
          <w:docGrid w:type="lines" w:linePitch="312" w:charSpace="0"/>
        </w:sectPr>
      </w:pPr>
    </w:p>
    <w:p w14:paraId="32464FCA">
      <w:pPr>
        <w:pStyle w:val="54"/>
        <w:widowControl w:val="0"/>
        <w:rPr>
          <w:rFonts w:hint="default"/>
        </w:rPr>
        <w:sectPr>
          <w:type w:val="continuous"/>
          <w:pgSz w:w="11906" w:h="16838"/>
          <w:pgMar w:top="1418" w:right="1418" w:bottom="1418" w:left="1418" w:header="851" w:footer="992" w:gutter="0"/>
          <w:cols w:space="425" w:num="1"/>
          <w:docGrid w:type="lines" w:linePitch="312" w:charSpace="0"/>
        </w:sectPr>
      </w:pPr>
    </w:p>
    <w:p w14:paraId="4A6B9B2F">
      <w:pPr>
        <w:pStyle w:val="2"/>
        <w:keepNext/>
        <w:keepLines/>
        <w:widowControl w:val="0"/>
        <w:spacing w:before="312" w:beforeLines="100" w:beforeAutospacing="0" w:after="312" w:afterLines="100" w:afterAutospacing="0"/>
        <w:jc w:val="center"/>
        <w:rPr>
          <w:rFonts w:ascii="黑体" w:hAnsi="黑体" w:eastAsia="黑体" w:cs="Times New Roman"/>
          <w:kern w:val="0"/>
          <w:sz w:val="32"/>
          <w:szCs w:val="44"/>
        </w:rPr>
      </w:pPr>
      <w:bookmarkStart w:id="1" w:name="_Toc28714"/>
      <w:r>
        <w:rPr>
          <w:rFonts w:ascii="黑体" w:hAnsi="黑体" w:eastAsia="黑体" w:cs="Times New Roman"/>
          <w:kern w:val="0"/>
          <w:sz w:val="32"/>
          <w:szCs w:val="44"/>
        </w:rPr>
        <w:t>第二章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投标人须知前附表</w:t>
      </w:r>
      <w:bookmarkEnd w:id="1"/>
    </w:p>
    <w:p w14:paraId="4635463F">
      <w:pPr>
        <w:pStyle w:val="3"/>
        <w:spacing w:before="312" w:beforeLines="100" w:after="312" w:afterLines="100" w:line="240" w:lineRule="auto"/>
        <w:jc w:val="center"/>
        <w:rPr>
          <w:rFonts w:ascii="黑体" w:hAnsi="黑体" w:eastAsia="黑体" w:cs="Times New Roman"/>
          <w:kern w:val="0"/>
          <w:sz w:val="30"/>
        </w:rPr>
      </w:pPr>
      <w:bookmarkStart w:id="2" w:name="_Toc25347"/>
      <w:r>
        <w:rPr>
          <w:rFonts w:ascii="黑体" w:hAnsi="黑体" w:eastAsia="黑体" w:cs="Times New Roman"/>
          <w:kern w:val="0"/>
          <w:sz w:val="30"/>
        </w:rPr>
        <w:t>一、投标人须知前附表1</w:t>
      </w:r>
      <w:bookmarkEnd w:id="2"/>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1"/>
        <w:gridCol w:w="1418"/>
        <w:gridCol w:w="7189"/>
      </w:tblGrid>
      <w:tr w14:paraId="20887B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78" w:type="dxa"/>
            <w:gridSpan w:val="3"/>
            <w:vAlign w:val="center"/>
          </w:tcPr>
          <w:p w14:paraId="61C2B5B8">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特别提示：本表与招标文件对应章节的内容若不一致，以本表为准。</w:t>
            </w:r>
          </w:p>
        </w:tc>
      </w:tr>
      <w:tr w14:paraId="29E1A7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2A9F3E60">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序号</w:t>
            </w:r>
          </w:p>
        </w:tc>
        <w:tc>
          <w:tcPr>
            <w:tcW w:w="1418" w:type="dxa"/>
            <w:vAlign w:val="center"/>
          </w:tcPr>
          <w:p w14:paraId="52232DD7">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招标文件</w:t>
            </w:r>
          </w:p>
          <w:p w14:paraId="05DE926F">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（第三章）</w:t>
            </w:r>
          </w:p>
        </w:tc>
        <w:tc>
          <w:tcPr>
            <w:tcW w:w="7189" w:type="dxa"/>
            <w:vAlign w:val="center"/>
          </w:tcPr>
          <w:p w14:paraId="0076D5E0">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编列内容</w:t>
            </w:r>
          </w:p>
        </w:tc>
      </w:tr>
      <w:tr w14:paraId="5D6669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2E2FD0E1">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1418" w:type="dxa"/>
            <w:vAlign w:val="center"/>
          </w:tcPr>
          <w:p w14:paraId="4AA58893">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6.1</w:t>
            </w:r>
          </w:p>
        </w:tc>
        <w:tc>
          <w:tcPr>
            <w:tcW w:w="7189" w:type="dxa"/>
            <w:vAlign w:val="center"/>
          </w:tcPr>
          <w:p w14:paraId="3D0B3389">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是否组织现场考察或召开开标前答疑会：</w:t>
            </w:r>
          </w:p>
          <w:p w14:paraId="184B4FC4">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采购包1：不组织</w:t>
            </w:r>
          </w:p>
        </w:tc>
      </w:tr>
      <w:tr w14:paraId="5694EE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0DB7DBF9">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2</w:t>
            </w:r>
          </w:p>
        </w:tc>
        <w:tc>
          <w:tcPr>
            <w:tcW w:w="1418" w:type="dxa"/>
            <w:vAlign w:val="center"/>
          </w:tcPr>
          <w:p w14:paraId="6D11B913">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10.4</w:t>
            </w:r>
          </w:p>
        </w:tc>
        <w:tc>
          <w:tcPr>
            <w:tcW w:w="7189" w:type="dxa"/>
            <w:vAlign w:val="center"/>
          </w:tcPr>
          <w:p w14:paraId="78A702FF">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投标文件的份数：</w:t>
            </w:r>
          </w:p>
          <w:p w14:paraId="79FF973E">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（1）可读介质（光盘或U盘）0份：投标人应将其上传至福建省政府采购网上公开信息系统的电子投标文件在该可读介质中另存0份。</w:t>
            </w:r>
          </w:p>
          <w:p w14:paraId="29273B6C">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（2）电子投标文件：详见投标人须知前附表2《关于电子招标投标活动的专门规定》。</w:t>
            </w:r>
          </w:p>
        </w:tc>
      </w:tr>
      <w:tr w14:paraId="6DD2F0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3505A493">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3</w:t>
            </w:r>
          </w:p>
        </w:tc>
        <w:tc>
          <w:tcPr>
            <w:tcW w:w="1418" w:type="dxa"/>
            <w:vAlign w:val="center"/>
          </w:tcPr>
          <w:p w14:paraId="23C73466">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10.7-（1）</w:t>
            </w:r>
          </w:p>
        </w:tc>
        <w:tc>
          <w:tcPr>
            <w:tcW w:w="7189" w:type="dxa"/>
            <w:vAlign w:val="center"/>
          </w:tcPr>
          <w:p w14:paraId="29D7BAD0">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是否允许中标人将本项目的非主体、非关键性工作进行分包：</w:t>
            </w:r>
          </w:p>
          <w:p w14:paraId="22A983F8">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采购包1：</w:t>
            </w:r>
            <w:r>
              <w:rPr>
                <w:rFonts w:asciiTheme="minorEastAsia" w:hAnsiTheme="minorEastAsia"/>
                <w:sz w:val="24"/>
                <w:szCs w:val="24"/>
                <w:highlight w:val="none"/>
              </w:rPr>
              <w:t>不允许合同分包；</w:t>
            </w:r>
          </w:p>
        </w:tc>
      </w:tr>
      <w:tr w14:paraId="438F0A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6BCADD8C">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4</w:t>
            </w:r>
          </w:p>
        </w:tc>
        <w:tc>
          <w:tcPr>
            <w:tcW w:w="1418" w:type="dxa"/>
            <w:vAlign w:val="center"/>
          </w:tcPr>
          <w:p w14:paraId="2547E0F8">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10.8-（1）</w:t>
            </w:r>
          </w:p>
        </w:tc>
        <w:tc>
          <w:tcPr>
            <w:tcW w:w="7189" w:type="dxa"/>
            <w:vAlign w:val="center"/>
          </w:tcPr>
          <w:p w14:paraId="33153C61">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投标有效期：投标截止时间起90个日历日。</w:t>
            </w:r>
          </w:p>
        </w:tc>
      </w:tr>
      <w:tr w14:paraId="16F836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749FCA49">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5</w:t>
            </w:r>
          </w:p>
        </w:tc>
        <w:tc>
          <w:tcPr>
            <w:tcW w:w="1418" w:type="dxa"/>
            <w:vAlign w:val="center"/>
          </w:tcPr>
          <w:p w14:paraId="0FA13F54">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12.1</w:t>
            </w:r>
          </w:p>
        </w:tc>
        <w:tc>
          <w:tcPr>
            <w:tcW w:w="7189" w:type="dxa"/>
            <w:vAlign w:val="center"/>
          </w:tcPr>
          <w:p w14:paraId="66BA4BE3">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确定中标候选人名单：</w:t>
            </w:r>
          </w:p>
          <w:p w14:paraId="3084904E">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采购包1：3名</w:t>
            </w:r>
          </w:p>
        </w:tc>
      </w:tr>
      <w:tr w14:paraId="4A615C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23C7350F">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6</w:t>
            </w:r>
          </w:p>
        </w:tc>
        <w:tc>
          <w:tcPr>
            <w:tcW w:w="1418" w:type="dxa"/>
            <w:vAlign w:val="center"/>
          </w:tcPr>
          <w:p w14:paraId="215BF332">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12.2</w:t>
            </w:r>
          </w:p>
        </w:tc>
        <w:tc>
          <w:tcPr>
            <w:tcW w:w="7189" w:type="dxa"/>
            <w:vAlign w:val="center"/>
          </w:tcPr>
          <w:p w14:paraId="69C16AA8">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本项目中标人的确定（以采购包为单位）：</w:t>
            </w:r>
          </w:p>
          <w:p w14:paraId="3B6D5E79">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（1）采购人应在政府采购招投标管理办法规定的时限内确定中标人。</w:t>
            </w:r>
          </w:p>
          <w:p w14:paraId="534781E8">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（2）若出现中标候选人并列情形，则按照下列方式确定中标人：</w:t>
            </w:r>
          </w:p>
          <w:p w14:paraId="2B5B65AA">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①招标文件规定的方式：</w:t>
            </w:r>
          </w:p>
          <w:p w14:paraId="7C615F4F">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确定技术项总得分较高的中标候选人为中标人。若技术项总得分相同的，则采取随机抽取的方式确定。</w:t>
            </w:r>
          </w:p>
          <w:p w14:paraId="1869803E">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②若本款第①点规定方式为“无”，则按照下列方式确定：</w:t>
            </w:r>
          </w:p>
          <w:p w14:paraId="069B5C69">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无</w:t>
            </w:r>
          </w:p>
          <w:p w14:paraId="0A437C2D">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③若本款第①、②点规定方式均为“无”，则按照下列方式确定：随机抽取。</w:t>
            </w:r>
          </w:p>
          <w:p w14:paraId="5F15CDB3">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（3）本项目确定的中标人家数：</w:t>
            </w:r>
          </w:p>
          <w:p w14:paraId="745CA8A7">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采购包1：1名</w:t>
            </w:r>
          </w:p>
        </w:tc>
      </w:tr>
      <w:tr w14:paraId="61AE08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4291B6C7">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7</w:t>
            </w:r>
          </w:p>
        </w:tc>
        <w:tc>
          <w:tcPr>
            <w:tcW w:w="1418" w:type="dxa"/>
            <w:vAlign w:val="center"/>
          </w:tcPr>
          <w:p w14:paraId="4DB29397">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13.2</w:t>
            </w:r>
          </w:p>
        </w:tc>
        <w:tc>
          <w:tcPr>
            <w:tcW w:w="7189" w:type="dxa"/>
            <w:vAlign w:val="center"/>
          </w:tcPr>
          <w:p w14:paraId="7B148256">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合同签订时限：自中标通知书发出之日起20个日历日内。</w:t>
            </w:r>
          </w:p>
        </w:tc>
      </w:tr>
      <w:tr w14:paraId="55E940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48F71638">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8</w:t>
            </w:r>
          </w:p>
        </w:tc>
        <w:tc>
          <w:tcPr>
            <w:tcW w:w="1418" w:type="dxa"/>
            <w:vAlign w:val="center"/>
          </w:tcPr>
          <w:p w14:paraId="669E199E">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15.1-（2）</w:t>
            </w:r>
          </w:p>
        </w:tc>
        <w:tc>
          <w:tcPr>
            <w:tcW w:w="7189" w:type="dxa"/>
            <w:vAlign w:val="center"/>
          </w:tcPr>
          <w:p w14:paraId="0178835F">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质疑函原件应采用下列方式提交：书面形式。</w:t>
            </w:r>
          </w:p>
        </w:tc>
      </w:tr>
      <w:tr w14:paraId="28BE3E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2BDE2B86">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9</w:t>
            </w:r>
          </w:p>
        </w:tc>
        <w:tc>
          <w:tcPr>
            <w:tcW w:w="1418" w:type="dxa"/>
            <w:vAlign w:val="center"/>
          </w:tcPr>
          <w:p w14:paraId="506477C5">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15.4</w:t>
            </w:r>
          </w:p>
        </w:tc>
        <w:tc>
          <w:tcPr>
            <w:tcW w:w="7189" w:type="dxa"/>
            <w:vAlign w:val="center"/>
          </w:tcPr>
          <w:p w14:paraId="5CB2972C">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招标文件的质疑</w:t>
            </w:r>
          </w:p>
          <w:p w14:paraId="1C1F0A0B">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（1）潜在投标人可在质疑时效期间内对招标文件以书面形式提出质疑。</w:t>
            </w:r>
          </w:p>
          <w:p w14:paraId="78BCC5F0">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（2）质疑时效期间：应在依法获取招标文件之日起7个工作日内向厦门市公物采购招投标有限公司提出，依法获取招标文件的时间以福建省政府采购网上公开信息系统记载的为准。</w:t>
            </w:r>
          </w:p>
          <w:p w14:paraId="40B6CBB9">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※除上述规定外，对招标文件提出的质疑还应符合招标文件第三章第15.1条的有关规定。</w:t>
            </w:r>
          </w:p>
        </w:tc>
      </w:tr>
      <w:tr w14:paraId="2BC12A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32B081C3">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10</w:t>
            </w:r>
          </w:p>
        </w:tc>
        <w:tc>
          <w:tcPr>
            <w:tcW w:w="1418" w:type="dxa"/>
            <w:vAlign w:val="center"/>
          </w:tcPr>
          <w:p w14:paraId="7A956914">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16.1</w:t>
            </w:r>
          </w:p>
        </w:tc>
        <w:tc>
          <w:tcPr>
            <w:tcW w:w="7189" w:type="dxa"/>
            <w:vAlign w:val="center"/>
          </w:tcPr>
          <w:p w14:paraId="7C262719">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监督管理部门：厦门市财政局（仅限依法进行政府采购的货物或服务类项目）。</w:t>
            </w:r>
          </w:p>
        </w:tc>
      </w:tr>
      <w:tr w14:paraId="28BEC9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70DC4F16">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11</w:t>
            </w:r>
          </w:p>
        </w:tc>
        <w:tc>
          <w:tcPr>
            <w:tcW w:w="1418" w:type="dxa"/>
            <w:vAlign w:val="center"/>
          </w:tcPr>
          <w:p w14:paraId="7E85C1AE">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18.1</w:t>
            </w:r>
          </w:p>
        </w:tc>
        <w:tc>
          <w:tcPr>
            <w:tcW w:w="7189" w:type="dxa"/>
            <w:vAlign w:val="center"/>
          </w:tcPr>
          <w:p w14:paraId="0C5E8DA0">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财政部和福建省财政厅指定的政府采购信息发布媒体（以下简称：“指定媒体”）：</w:t>
            </w:r>
          </w:p>
          <w:p w14:paraId="3EEBBE88">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（1）中国政府采购网，网址www.ccgp.gov.cn。</w:t>
            </w:r>
          </w:p>
          <w:p w14:paraId="76B5D15E">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（2）中国政府采购网福建分网（福建省政府采购网），网址zfcg.czt.fujian.gov.cn。</w:t>
            </w:r>
          </w:p>
          <w:p w14:paraId="04C25887">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※若出现上述指定媒体信息不一致情形，应以中国政府采购网福建分网（福建省政府采购网）发布的为准。</w:t>
            </w:r>
          </w:p>
        </w:tc>
      </w:tr>
      <w:tr w14:paraId="4A5859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1C323996">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12</w:t>
            </w:r>
          </w:p>
        </w:tc>
        <w:tc>
          <w:tcPr>
            <w:tcW w:w="1418" w:type="dxa"/>
            <w:vAlign w:val="center"/>
          </w:tcPr>
          <w:p w14:paraId="6DF36D92">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19</w:t>
            </w:r>
          </w:p>
        </w:tc>
        <w:tc>
          <w:tcPr>
            <w:tcW w:w="7189" w:type="dxa"/>
            <w:vAlign w:val="center"/>
          </w:tcPr>
          <w:p w14:paraId="067973B7">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其他事项：</w:t>
            </w:r>
          </w:p>
          <w:p w14:paraId="4A1C1F1E">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（1）本项目代理服务费：</w:t>
            </w:r>
          </w:p>
          <w:p w14:paraId="488ACFCA">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本项目收取代理服务费</w:t>
            </w:r>
          </w:p>
          <w:p w14:paraId="4C6428D6">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代理服务费用收取对象：中标/成交供应商</w:t>
            </w:r>
          </w:p>
          <w:p w14:paraId="1ACA6C3B">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代理服务费收费标准：</w:t>
            </w:r>
            <w:r>
              <w:rPr>
                <w:rFonts w:hint="default" w:asciiTheme="minorEastAsia" w:hAnsiTheme="minorEastAsia"/>
                <w:sz w:val="24"/>
                <w:szCs w:val="24"/>
              </w:rPr>
              <w:t xml:space="preserve"> </w:t>
            </w:r>
            <w:r>
              <w:rPr>
                <w:rFonts w:asciiTheme="minorEastAsia" w:hAnsiTheme="minorEastAsia"/>
                <w:sz w:val="24"/>
                <w:szCs w:val="24"/>
              </w:rPr>
              <w:t>（1）以单个采购包的中标总金额为准（服务项目采购多年的按多年总金额计算），按差额定率累进法计取，具体按以下标准计取：（0，100万元]，1.50%；（100万元，500万元]，0.80%；（500万元，1000万元]，0.45%；（1000万元，5000万元]；0.25%。（2）代理服务费由中标人在领取中标通知书的同时，以转账、电汇、现金存款等付款方式一次性缴清。（3）经评标委员会认定中标供应商为中小企业的，中标后可享受代理服务费下浮10%的优惠。（4）因供应商自身原因导致最终无法承接项目的，代理服务费不予退还。（5）服务项目非因供应商自身原因导致未续签合同的，供应商可向代理机构办理退还相应服务费。</w:t>
            </w:r>
          </w:p>
          <w:p w14:paraId="7E6F7EED">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（2）其他：</w:t>
            </w:r>
          </w:p>
          <w:p w14:paraId="1BB7E124">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本项目招标文件第五章增加补充条款，补充条款内容与招标文件其他地方内容不一致的，以补充条款内容为准。请投标人仔细阅读。</w:t>
            </w:r>
          </w:p>
        </w:tc>
      </w:tr>
      <w:tr w14:paraId="7489A5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089" w:type="dxa"/>
            <w:gridSpan w:val="2"/>
            <w:vAlign w:val="center"/>
          </w:tcPr>
          <w:p w14:paraId="4CD5894C">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备注</w:t>
            </w:r>
          </w:p>
        </w:tc>
        <w:tc>
          <w:tcPr>
            <w:tcW w:w="7189" w:type="dxa"/>
            <w:vAlign w:val="center"/>
          </w:tcPr>
          <w:p w14:paraId="61BC3E8E">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后有投标人须知前附表2，请勿遗漏。</w:t>
            </w:r>
          </w:p>
        </w:tc>
      </w:tr>
    </w:tbl>
    <w:p w14:paraId="6E069EA9">
      <w:pPr>
        <w:pStyle w:val="3"/>
        <w:spacing w:before="312" w:beforeLines="100" w:after="312" w:afterLines="100" w:line="240" w:lineRule="auto"/>
        <w:jc w:val="center"/>
        <w:rPr>
          <w:rFonts w:ascii="黑体" w:hAnsi="黑体" w:eastAsia="黑体" w:cs="Times New Roman"/>
          <w:kern w:val="0"/>
          <w:sz w:val="30"/>
        </w:rPr>
      </w:pPr>
      <w:bookmarkStart w:id="3" w:name="_Toc3947"/>
      <w:r>
        <w:rPr>
          <w:rFonts w:ascii="黑体" w:hAnsi="黑体" w:eastAsia="黑体" w:cs="Times New Roman"/>
          <w:kern w:val="0"/>
          <w:sz w:val="30"/>
        </w:rPr>
        <w:t>二、投标人须知前附表2</w:t>
      </w:r>
      <w:bookmarkEnd w:id="3"/>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3"/>
        <w:gridCol w:w="8454"/>
      </w:tblGrid>
      <w:tr w14:paraId="336ACB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9257" w:type="dxa"/>
            <w:gridSpan w:val="2"/>
            <w:vAlign w:val="center"/>
          </w:tcPr>
          <w:p w14:paraId="0EC329FA">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关于电子招标投标活动的专门规定</w:t>
            </w:r>
          </w:p>
        </w:tc>
      </w:tr>
      <w:tr w14:paraId="7E19DA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3" w:type="dxa"/>
            <w:vAlign w:val="center"/>
          </w:tcPr>
          <w:p w14:paraId="7F5FE459">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序号</w:t>
            </w:r>
          </w:p>
        </w:tc>
        <w:tc>
          <w:tcPr>
            <w:tcW w:w="8454" w:type="dxa"/>
            <w:vAlign w:val="center"/>
          </w:tcPr>
          <w:p w14:paraId="6DF7D2CC">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编列内容</w:t>
            </w:r>
          </w:p>
        </w:tc>
      </w:tr>
      <w:tr w14:paraId="2B4C14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3" w:type="dxa"/>
            <w:vAlign w:val="center"/>
          </w:tcPr>
          <w:p w14:paraId="29AB9127">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8454" w:type="dxa"/>
            <w:vAlign w:val="center"/>
          </w:tcPr>
          <w:p w14:paraId="6906CE88">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（1）电子招标投标活动的专门规定适用本项目电子招标投标活动。</w:t>
            </w:r>
          </w:p>
          <w:p w14:paraId="3669A558">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（2）将招标文件</w:t>
            </w:r>
          </w:p>
          <w:p w14:paraId="6C07F9DA">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无的内容修正为下列内容：</w:t>
            </w:r>
          </w:p>
          <w:p w14:paraId="24C29416">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无后适用本项目的电子招标投标活动。</w:t>
            </w:r>
          </w:p>
          <w:p w14:paraId="13B40A46">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（3）将下列内容增列为招标文件的组成部分（以下简称：“增列内容”）适用本项目的电子招标投标活动，若增列内容与招标文件其他章节内容有冲突，应以增列内容为准：</w:t>
            </w:r>
          </w:p>
          <w:p w14:paraId="7F8FAB2E">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①电子招标投标活动的具体操作流程以福建省政府采购网上公开信息系统设定的为准。</w:t>
            </w:r>
          </w:p>
          <w:p w14:paraId="0507E5B6">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②关于电子投标文件：</w:t>
            </w:r>
          </w:p>
          <w:p w14:paraId="055926FF">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a.投标人应按照福建省政府采购网上公开信息系统设定的评审节点编制电子投标文件，否则资格审查小组、评标委员会将按照不利于投标人的内容进行认定。</w:t>
            </w:r>
          </w:p>
          <w:p w14:paraId="755C45C5">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686DC3E8">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③关于证明材料或资料：</w:t>
            </w:r>
          </w:p>
          <w:p w14:paraId="1F996E02">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60FCD789">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b.若投标人提供注明“复印件无效”或“复印无效”的证明材料或资料，应结合上文a条款进行判定，若招标文件未要求投标人提供原件，投标人提供原件，复印件（含扫描件）均视为满足招标文件要求。</w:t>
            </w:r>
          </w:p>
          <w:p w14:paraId="3A10C994">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④关于“全称”、“投标人代表签字”及“加盖单位公章”：</w:t>
            </w:r>
          </w:p>
          <w:p w14:paraId="56C7A00E">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a.在电子投标文件中，涉及“全称”和“投标人代表签字”的内容可使用打字录入方式完成。</w:t>
            </w:r>
          </w:p>
          <w:p w14:paraId="7B6CAB40">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b.在电子投标文件中，涉及“加盖单位公章”的内容应使用投标人的CA证书完成，否则投标无效。</w:t>
            </w:r>
          </w:p>
          <w:p w14:paraId="16FC59CD">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c.在电子投标文件中，若投标人按照本增列内容第④点第b项规定加盖其单位公章，则出现无全称、或投标人代表未签字等情形，不视为投标无效。</w:t>
            </w:r>
          </w:p>
          <w:p w14:paraId="442FEC76">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⑤关于投标人的CA证书：</w:t>
            </w:r>
          </w:p>
          <w:p w14:paraId="08C2F5DA">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a.投标人的CA证书应在系统规定时间内使用CA证书进行电子投标文件的解密操作，逾期未解密的视为放弃投标。</w:t>
            </w:r>
          </w:p>
          <w:p w14:paraId="36D8AD20">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b.投标人的CA证书可采用信封（包括但不限于：信封、档案袋、文件袋等）作为外包装进行单独包装。外包装密封、不密封皆可。</w:t>
            </w:r>
          </w:p>
          <w:p w14:paraId="0A548DCB">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c.投标人的CA证书或外包装应标记“项目名称、项目编号、投标人的全称”等内容，以方便识别、使用。</w:t>
            </w:r>
          </w:p>
          <w:p w14:paraId="2679E1BB">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d.投标人的CA证书应能正常、有效使用，否则产生不利后果由投标人承担责任。</w:t>
            </w:r>
          </w:p>
          <w:p w14:paraId="37B9826A">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⑥关于投标截止时间过后</w:t>
            </w:r>
          </w:p>
          <w:p w14:paraId="1FA6C3EE">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a.未按招标文件规定提交投标保证金的，其投标将按无效投标处理。</w:t>
            </w:r>
          </w:p>
          <w:p w14:paraId="420CEA6C">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b.有下列情形之一的，其投标无效，其保证金不予退还或通过投标保函进行索赔：</w:t>
            </w:r>
          </w:p>
          <w:p w14:paraId="68D70AFB">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b1不同投标人的电子投标文件具有相同内部识别码；</w:t>
            </w:r>
          </w:p>
          <w:p w14:paraId="77C23124">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b2不同投标人的投标保证金从同一单位或个人的账户转出；</w:t>
            </w:r>
          </w:p>
          <w:p w14:paraId="522886FC">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b3投标人的投标保证金同一采购包下有其他投标人提交的投标保证金；</w:t>
            </w:r>
          </w:p>
          <w:p w14:paraId="5897AECE">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b4不同投标人存在串通投标的其他情形。</w:t>
            </w:r>
          </w:p>
          <w:p w14:paraId="79EC845C">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14:paraId="2A858322">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⑧其他：根据《福建省财政厅关于废止部分行政规范性文件的通知》（闽财规〔2023〕29号）规定，取消投标文件资格及资信证明部分、技术商务部分中不得出现报价内容的要求。</w:t>
            </w:r>
          </w:p>
        </w:tc>
      </w:tr>
    </w:tbl>
    <w:p w14:paraId="64DBA56D"/>
    <w:p w14:paraId="34014DCE">
      <w:pPr>
        <w:sectPr>
          <w:pgSz w:w="11906" w:h="16838"/>
          <w:pgMar w:top="1418" w:right="1418" w:bottom="1418" w:left="1418" w:header="851" w:footer="992" w:gutter="0"/>
          <w:cols w:space="425" w:num="1"/>
          <w:docGrid w:type="lines" w:linePitch="312" w:charSpace="0"/>
        </w:sectPr>
      </w:pPr>
    </w:p>
    <w:p w14:paraId="412180A6">
      <w:pPr>
        <w:pStyle w:val="2"/>
        <w:keepNext/>
        <w:keepLines/>
        <w:widowControl w:val="0"/>
        <w:spacing w:before="312" w:beforeLines="100" w:beforeAutospacing="0" w:after="312" w:afterLines="100" w:afterAutospacing="0"/>
        <w:jc w:val="center"/>
        <w:rPr>
          <w:rFonts w:ascii="黑体" w:hAnsi="黑体" w:eastAsia="黑体" w:cs="Times New Roman"/>
          <w:kern w:val="0"/>
          <w:sz w:val="32"/>
          <w:szCs w:val="44"/>
        </w:rPr>
      </w:pPr>
      <w:bookmarkStart w:id="4" w:name="_Toc21962"/>
      <w:r>
        <w:rPr>
          <w:rFonts w:ascii="黑体" w:hAnsi="黑体" w:eastAsia="黑体" w:cs="Times New Roman"/>
          <w:kern w:val="0"/>
          <w:sz w:val="32"/>
          <w:szCs w:val="44"/>
        </w:rPr>
        <w:t>第三章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投标人须知</w:t>
      </w:r>
      <w:bookmarkEnd w:id="4"/>
    </w:p>
    <w:p w14:paraId="0B0B8B1F">
      <w:pPr>
        <w:pStyle w:val="3"/>
        <w:spacing w:before="312" w:beforeLines="100" w:after="312" w:afterLines="100" w:line="240" w:lineRule="auto"/>
        <w:jc w:val="center"/>
        <w:rPr>
          <w:rFonts w:ascii="黑体" w:hAnsi="黑体" w:eastAsia="黑体" w:cs="Times New Roman"/>
          <w:kern w:val="0"/>
          <w:sz w:val="30"/>
        </w:rPr>
      </w:pPr>
      <w:bookmarkStart w:id="5" w:name="_Toc20639"/>
      <w:r>
        <w:rPr>
          <w:rFonts w:ascii="黑体" w:hAnsi="黑体" w:eastAsia="黑体" w:cs="Times New Roman"/>
          <w:kern w:val="0"/>
          <w:sz w:val="30"/>
        </w:rPr>
        <w:t>一、总则</w:t>
      </w:r>
      <w:bookmarkEnd w:id="5"/>
    </w:p>
    <w:p w14:paraId="1DDFFE4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1、适用范围</w:t>
      </w:r>
    </w:p>
    <w:p w14:paraId="6A6734A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1.1适用于招标文件载明项目的政府采购活动（以下简称：“本次采购活动”）。</w:t>
      </w:r>
    </w:p>
    <w:p w14:paraId="4AC459B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2、定义</w:t>
      </w:r>
    </w:p>
    <w:p w14:paraId="539F638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2.1“采购标的”指招标文件载明的需要采购的货物或服务。</w:t>
      </w:r>
    </w:p>
    <w:p w14:paraId="3868AC9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2.2“潜在投标人”指按照招标文件第一章第7条规定获取招标文件且有意向参加本项目投标的供应商。</w:t>
      </w:r>
    </w:p>
    <w:p w14:paraId="1DBFB72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2.3“投标人”指按照招标文件第一章第7条规定获取招标文件并参加本项目投标的供应商。</w:t>
      </w:r>
    </w:p>
    <w:p w14:paraId="50DD86D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2.4“单位负责人”指单位法定代表人或法律、法规规定代表单位行使职权的主要负责人。</w:t>
      </w:r>
    </w:p>
    <w:p w14:paraId="008ADA2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2.5“投标人代表”指投标人的单位负责人或“单位负责人授权书”中载明的接受授权方。</w:t>
      </w:r>
    </w:p>
    <w:p w14:paraId="7E563DAB">
      <w:pPr>
        <w:pStyle w:val="3"/>
        <w:spacing w:before="312" w:beforeLines="100" w:after="312" w:afterLines="100" w:line="240" w:lineRule="auto"/>
        <w:jc w:val="center"/>
        <w:rPr>
          <w:rFonts w:ascii="黑体" w:hAnsi="黑体" w:eastAsia="黑体" w:cs="Times New Roman"/>
          <w:kern w:val="0"/>
          <w:sz w:val="30"/>
        </w:rPr>
      </w:pPr>
      <w:bookmarkStart w:id="6" w:name="_Toc9270"/>
      <w:r>
        <w:rPr>
          <w:rFonts w:ascii="黑体" w:hAnsi="黑体" w:eastAsia="黑体" w:cs="Times New Roman"/>
          <w:kern w:val="0"/>
          <w:sz w:val="30"/>
        </w:rPr>
        <w:t>二、投标人</w:t>
      </w:r>
      <w:bookmarkEnd w:id="6"/>
    </w:p>
    <w:p w14:paraId="3BD9765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3、合格投标人</w:t>
      </w:r>
    </w:p>
    <w:p w14:paraId="56E2053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3.1一般规定</w:t>
      </w:r>
    </w:p>
    <w:p w14:paraId="50774D4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435F371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20B0630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（2）投标人的资格要求：详见招标文件第一章。</w:t>
      </w:r>
    </w:p>
    <w:p w14:paraId="21D3F31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3.2若本项目接受联合体投标且投标人为联合体，则联合体各方应遵守本章第3.1条规定，同时还应遵守下列规定：</w:t>
      </w:r>
    </w:p>
    <w:p w14:paraId="5499094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（1）联合体各方应提交联合体协议，联合体协议应符合招标文件规定。</w:t>
      </w:r>
    </w:p>
    <w:p w14:paraId="385B4CD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（2）联合体各方不得再单独参加或与其他供应商另外组成联合体参加同一合同项下的投标。</w:t>
      </w:r>
    </w:p>
    <w:p w14:paraId="539852B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（3）联合体各方应共同与采购人签订政府采购合同，就政府采购合同约定的事项对采购人承担连带责任。</w:t>
      </w:r>
    </w:p>
    <w:p w14:paraId="4031BA6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72BF832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（5）联合体一方放弃中标的，视为联合体整体放弃中标，联合体各方承担连带责任。</w:t>
      </w:r>
    </w:p>
    <w:p w14:paraId="6C57F42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（6）如本项目不接受联合体投标而投标人为联合体的，或者本项目接受联合体投标但投标人组成的联合体不符合本章第3.2条规定的，投标无效。</w:t>
      </w:r>
    </w:p>
    <w:p w14:paraId="1C0DDC6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4、投标费用</w:t>
      </w:r>
    </w:p>
    <w:p w14:paraId="5AF5052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4.1除招标文件另有规定外，投标人应自行承担其参加本项目投标所涉及的一切费用。</w:t>
      </w:r>
    </w:p>
    <w:p w14:paraId="016276B7">
      <w:pPr>
        <w:pStyle w:val="3"/>
        <w:spacing w:before="312" w:beforeLines="100" w:after="312" w:afterLines="100" w:line="240" w:lineRule="auto"/>
        <w:jc w:val="center"/>
        <w:rPr>
          <w:rFonts w:ascii="黑体" w:hAnsi="黑体" w:eastAsia="黑体" w:cs="Times New Roman"/>
          <w:kern w:val="0"/>
          <w:sz w:val="30"/>
        </w:rPr>
      </w:pPr>
      <w:bookmarkStart w:id="7" w:name="_Toc4954"/>
      <w:r>
        <w:rPr>
          <w:rFonts w:ascii="黑体" w:hAnsi="黑体" w:eastAsia="黑体" w:cs="Times New Roman"/>
          <w:kern w:val="0"/>
          <w:sz w:val="30"/>
        </w:rPr>
        <w:t>三、招标</w:t>
      </w:r>
      <w:bookmarkEnd w:id="7"/>
    </w:p>
    <w:p w14:paraId="6ABFE99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5、招标文件</w:t>
      </w:r>
    </w:p>
    <w:p w14:paraId="712C0A6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5.1招标文件由下述部分组成：</w:t>
      </w:r>
    </w:p>
    <w:p w14:paraId="5193680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（1）投标邀请</w:t>
      </w:r>
    </w:p>
    <w:p w14:paraId="4AB48A8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（2）投标人须知前附表（表1、2）</w:t>
      </w:r>
    </w:p>
    <w:p w14:paraId="35EF0BB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（3）投标人须知</w:t>
      </w:r>
    </w:p>
    <w:p w14:paraId="52B2544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（4）资格审查与评标</w:t>
      </w:r>
    </w:p>
    <w:p w14:paraId="0A83FC5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（5）招标内容及要求</w:t>
      </w:r>
    </w:p>
    <w:p w14:paraId="6F7C570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（6）政府采购合同（参考文本）</w:t>
      </w:r>
    </w:p>
    <w:p w14:paraId="0B23F5C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（7）电子投标文件格式</w:t>
      </w:r>
    </w:p>
    <w:p w14:paraId="4E2AF28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（8）按照招标文件规定作为招标文件组成部分的其他内容（若有）</w:t>
      </w:r>
    </w:p>
    <w:p w14:paraId="15BFFBB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5.2招标文件的澄清或修改</w:t>
      </w:r>
    </w:p>
    <w:p w14:paraId="76D7F23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（1）厦门市公物采购招投标有限公司可对已发出的招标文件进行必要的澄清或修改，但不得对招标文件载明的采购标的和投标人的资格要求进行改变。</w:t>
      </w:r>
    </w:p>
    <w:p w14:paraId="2D876EB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除本章第5.2条第（3）款规定情形外，澄清或修改的内容可能影响电子投标文件编制的，厦门市公物采购招投标有限公司将在投标截止时间至少15个日历日前，在招标文件载明的指定媒体以更正公告的形式发布澄清或修改的内容。不足15个日历日的，厦门市公物采购招投标有限公司将顺延投标截止时间及开标时间，厦门市公物采购招投标有限公司和投标人受原投标截止时间及开标时间制约的所有权利和义务均延长至新的投标截止时间及开标时间。</w:t>
      </w:r>
    </w:p>
    <w:p w14:paraId="6510784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澄清或修改的内容可能改变招标文件载明的采购标的和投标人的资格要求的，本次采购活动结束，厦门市公物采购招投标有限公司将依法组织后续采购活动（包括但不限于：重新招标、采用其他方式采购等）。</w:t>
      </w:r>
    </w:p>
    <w:p w14:paraId="13E9AF5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6、现场考察或开标前答疑会</w:t>
      </w:r>
    </w:p>
    <w:p w14:paraId="79A4C4C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6.1是否组织现场考察或召开开标前答疑会：详见招标文件第二章。</w:t>
      </w:r>
    </w:p>
    <w:p w14:paraId="531A1ED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7、更正公告</w:t>
      </w:r>
    </w:p>
    <w:p w14:paraId="017F407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7.1若厦门市公物采购招投标有限公司发布更正公告，则更正公告及其所发布的内容或信息（包括但不限于：招标文件的澄清或修改、现场考察或答疑会的有关事宜等）作为招标文件组成部分，对投标人具有约束力。</w:t>
      </w:r>
    </w:p>
    <w:p w14:paraId="0DB16EE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7.2更正公告作为厦门市公物采购招投标有限公司通知所有潜在投标人的书面形式。</w:t>
      </w:r>
    </w:p>
    <w:p w14:paraId="7D81AE4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8、终止公告</w:t>
      </w:r>
    </w:p>
    <w:p w14:paraId="448E8AF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8.1若出现因重大变故导致采购任务取消情形，厦门市公物采购招投标有限公司可终止招标并发布终止公告。</w:t>
      </w:r>
    </w:p>
    <w:p w14:paraId="6F5005C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8.2终止公告作为厦门市公物采购招投标有限公司通知所有潜在投标人的书面形式。</w:t>
      </w:r>
    </w:p>
    <w:p w14:paraId="03C7D00F">
      <w:pPr>
        <w:pStyle w:val="3"/>
        <w:spacing w:before="312" w:beforeLines="100" w:after="312" w:afterLines="100" w:line="240" w:lineRule="auto"/>
        <w:jc w:val="center"/>
        <w:rPr>
          <w:rFonts w:ascii="黑体" w:hAnsi="黑体" w:eastAsia="黑体" w:cs="Times New Roman"/>
          <w:kern w:val="0"/>
          <w:sz w:val="30"/>
        </w:rPr>
      </w:pPr>
      <w:bookmarkStart w:id="8" w:name="_Toc9636"/>
      <w:r>
        <w:rPr>
          <w:rFonts w:ascii="黑体" w:hAnsi="黑体" w:eastAsia="黑体" w:cs="Times New Roman"/>
          <w:kern w:val="0"/>
          <w:sz w:val="30"/>
        </w:rPr>
        <w:t>四、投标</w:t>
      </w:r>
      <w:bookmarkEnd w:id="8"/>
    </w:p>
    <w:p w14:paraId="2A269F6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9、投标</w:t>
      </w:r>
    </w:p>
    <w:p w14:paraId="417F9DA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9.1投标人可对招标文件载明的全部或部分采购包进行投标。</w:t>
      </w:r>
    </w:p>
    <w:p w14:paraId="27CE8EC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9.2投标人应对同一个采购包内的所有内容进行完整投标，否则投标无效。</w:t>
      </w:r>
    </w:p>
    <w:p w14:paraId="0F3DD5F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9.3投标人代表只能接受一个投标人的授权参加投标，否则投标无效。</w:t>
      </w:r>
    </w:p>
    <w:p w14:paraId="5A506C5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9.4单位负责人为同一人或存在直接控股、管理关系的不同供应商，不得同时参加同一合同项下的投标，否则投标无效。</w:t>
      </w:r>
    </w:p>
    <w:p w14:paraId="5D57CD1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9.5为本项目提供整体设计、规范编制或项目管理、监理、检测等服务的供应商，不得参加本项目除整体设计、规范编制和项目管理、监理、检测等服务外的采购活动，否则投标无效。</w:t>
      </w:r>
    </w:p>
    <w:p w14:paraId="61C4D3F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9.6列入失信被执行人、重大税收违法失信主体、政府采购严重违法失信行为记录名单及其他不符合政府采购法第二十二条规定条件的供应商，不得参加投标，否则投标无效。</w:t>
      </w:r>
    </w:p>
    <w:p w14:paraId="61269FE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9.7有下列情形之一的，视为投标人串通投标，其投标无效：</w:t>
      </w:r>
    </w:p>
    <w:p w14:paraId="5893C8B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（1）不同投标人的电子投标文件由同一单位或个人编制；</w:t>
      </w:r>
    </w:p>
    <w:p w14:paraId="6E9F475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（2）不同投标人委托同一单位或个人办理投标事宜；</w:t>
      </w:r>
    </w:p>
    <w:p w14:paraId="7FCC21A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（3）不同投标人的电子投标文件载明的项目管理成员或联系人员为同一人；</w:t>
      </w:r>
    </w:p>
    <w:p w14:paraId="44CA740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（4）不同投标人的电子投标文件异常一致或投标报价呈规律性差异；</w:t>
      </w:r>
    </w:p>
    <w:p w14:paraId="30B5181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（5）不同投标人的电子投标文件相互混装；</w:t>
      </w:r>
    </w:p>
    <w:p w14:paraId="56A4849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（6）不同投标人的投标保证金从同一单位或个人的账户转出；</w:t>
      </w:r>
    </w:p>
    <w:p w14:paraId="7F67D18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（7）有关法律、法规和规章及招标文件规定的其他串通投标情形。</w:t>
      </w:r>
    </w:p>
    <w:p w14:paraId="333D8C2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10、电子投标文件</w:t>
      </w:r>
    </w:p>
    <w:p w14:paraId="4AF60BB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10.1电子投标文件的编制</w:t>
      </w:r>
    </w:p>
    <w:p w14:paraId="20DC9E6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（1）投标人应先仔细阅读招标文件的全部内容后，再进行电子投标文件的编制。</w:t>
      </w:r>
    </w:p>
    <w:p w14:paraId="2776E24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（2）电子投标文件应按照本章第10.2条规定编制其组成部分。</w:t>
      </w:r>
    </w:p>
    <w:p w14:paraId="391F625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（3）电子投标文件应满足招标文件提出的实质性要求和条件，并保证其所提交的全部资料是不可割离且真实、有效、准确、完整和不具有任何误导性的，否则造成不利后果由投标人承担责任。</w:t>
      </w:r>
    </w:p>
    <w:p w14:paraId="12E4F6D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10.2电子投标文件由下述部分组成：</w:t>
      </w:r>
    </w:p>
    <w:p w14:paraId="31C77CB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（1）资格及资信证明部分</w:t>
      </w:r>
    </w:p>
    <w:p w14:paraId="4A35573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①投标函</w:t>
      </w:r>
    </w:p>
    <w:p w14:paraId="43FBD4D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②投标人的资格及资信证明文件</w:t>
      </w:r>
    </w:p>
    <w:p w14:paraId="1EFB03F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③投标保证金</w:t>
      </w:r>
    </w:p>
    <w:p w14:paraId="67C1E2C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（2）报价部分</w:t>
      </w:r>
    </w:p>
    <w:p w14:paraId="73D7EB9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①开标（报价）一览表</w:t>
      </w:r>
    </w:p>
    <w:p w14:paraId="46B59AB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②投标（响应）报价明细表</w:t>
      </w:r>
    </w:p>
    <w:p w14:paraId="6C8BA22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③招标文件规定的价格扣除证明材料（若有）</w:t>
      </w:r>
    </w:p>
    <w:p w14:paraId="79BB5F3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④招标文件规定的加分证明材料（若有）</w:t>
      </w:r>
    </w:p>
    <w:p w14:paraId="017D586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（3）技术商务部分</w:t>
      </w:r>
    </w:p>
    <w:p w14:paraId="04A3A56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①标的说明一览表</w:t>
      </w:r>
    </w:p>
    <w:p w14:paraId="0DC70FB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②技术和服务要求响应表</w:t>
      </w:r>
    </w:p>
    <w:p w14:paraId="62F0D38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③商务条件响应表</w:t>
      </w:r>
    </w:p>
    <w:p w14:paraId="47B27A7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④投标人提交的其他资料（若有）</w:t>
      </w:r>
    </w:p>
    <w:p w14:paraId="0398422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⑤招标文件规定作为电子投标文件组成部分的其他内容（若有）</w:t>
      </w:r>
    </w:p>
    <w:p w14:paraId="51BA0A1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10.3电子投标文件的语言</w:t>
      </w:r>
    </w:p>
    <w:p w14:paraId="1D95457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（1）除招标文件另有规定外，电子投标文件应使用中文文本，若有不同文本，以中文文本为准。</w:t>
      </w:r>
    </w:p>
    <w:p w14:paraId="198AF28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450F4FC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10.4投标文件的份数：详见招标文件第二章。</w:t>
      </w:r>
    </w:p>
    <w:p w14:paraId="749C1B3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10.5电子投标文件的格式</w:t>
      </w:r>
    </w:p>
    <w:p w14:paraId="597EB84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（1）除招标文件另有规定外，电子投标文件应使用招标文件第七章规定的格式。</w:t>
      </w:r>
    </w:p>
    <w:p w14:paraId="4FEB890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（2）除招标文件另有规定外，电子投标文件应使用不能擦去的墨料或墨水打印、书写或复印。</w:t>
      </w:r>
    </w:p>
    <w:p w14:paraId="156E614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（3）除招标文件另有规定外，电子投标文件应使用人民币作为计量货币。</w:t>
      </w:r>
    </w:p>
    <w:p w14:paraId="3974722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（4）除招标文件另有规定外，签署、盖章应遵守下列规定：</w:t>
      </w:r>
    </w:p>
    <w:p w14:paraId="65CFF07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①电子投标文件应加盖投标人的单位公章。若投标人代表为单位授权的委托代理人，应提供“单位授权书”。</w:t>
      </w:r>
    </w:p>
    <w:p w14:paraId="2E40D8D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电子投标文件应没有涂改或行间插字，除非这些改动是根据厦门市公物采购招投标有限公司的指示进行的，或是为改正投标人造成的应修改的错误而进行的。若有前述改动，应按照下列规定之一对改动处进行处理：</w:t>
      </w:r>
    </w:p>
    <w:p w14:paraId="65F0025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a.投标人代表签字确认；</w:t>
      </w:r>
    </w:p>
    <w:p w14:paraId="0DBEF59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b.加盖投标人的单位公章或校正章。</w:t>
      </w:r>
    </w:p>
    <w:p w14:paraId="3910AD8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10.6投标报价</w:t>
      </w:r>
    </w:p>
    <w:p w14:paraId="02CF1C1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（1）投标报价超出最高限价将导致投标无效。</w:t>
      </w:r>
    </w:p>
    <w:p w14:paraId="1132689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（2）最高限价由采购人根据价格测算情况，在预算金额的额度内合理设定。最高限价不得超出预算金额。</w:t>
      </w:r>
    </w:p>
    <w:p w14:paraId="6091573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（3）除招标文件另有规定外，电子投标文件不能出现任何选择性的投标报价，即每一个采购包和品目号的采购标的都只能有一个投标报价。任何选择性的投标报价将导致投标无效。</w:t>
      </w:r>
    </w:p>
    <w:p w14:paraId="1BE5B7E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10.7分包</w:t>
      </w:r>
    </w:p>
    <w:p w14:paraId="3C7A120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（1）是否允许中标人将本项目的非主体、非关键性工作进行分包：详见招标文件第二章。</w:t>
      </w:r>
    </w:p>
    <w:p w14:paraId="032385A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2E07837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（3）招标文件允许中标人将非主体、非关键性工作进行分包的项目，有下列情形之一的，中标人不得分包：</w:t>
      </w:r>
    </w:p>
    <w:p w14:paraId="63F1199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①电子投标文件中未载明分包承担主体；</w:t>
      </w:r>
    </w:p>
    <w:p w14:paraId="4E3B728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②电子投标文件载明的分包承担主体不具备相应资质条件；</w:t>
      </w:r>
    </w:p>
    <w:p w14:paraId="0D9D032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③电子投标文件载明的分包承担主体拟再次分包；</w:t>
      </w:r>
    </w:p>
    <w:p w14:paraId="0C081D2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④享受中小企业扶持政策获得政府采购合同的，小微企业不得将合同分包给大中型企业，中型企业不得将合同分包给大型企业。</w:t>
      </w:r>
    </w:p>
    <w:p w14:paraId="5402D6B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10.8投标有效期</w:t>
      </w:r>
    </w:p>
    <w:p w14:paraId="397814C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（1）招标文件载明的投标有效期：详见招标文件第二章。</w:t>
      </w:r>
    </w:p>
    <w:p w14:paraId="3FA6A84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（2）电子投标文件承诺的投标有效期不得少于招标文件载明的投标有效期，否则投标无效。</w:t>
      </w:r>
    </w:p>
    <w:p w14:paraId="5C9FA80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根据本次采购活动的需要，厦门市公物采购招投标有限公司可于投标有效期届满之前书面要求投标人延长投标有效期，投标人应在厦门市公物采购招投标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02645CC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10.9投标保证金</w:t>
      </w:r>
    </w:p>
    <w:p w14:paraId="4B61C78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（1）投标保证金作为投标人按照招标文件规定履行相应投标责任、义务的约束及担保。</w:t>
      </w:r>
    </w:p>
    <w:p w14:paraId="059A2561">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（2）投标人以电子保函形式提交投标保证金的，保函的有效期应等于或长于电子投标文件承诺的投标有效期，否则投标无效。</w:t>
      </w:r>
    </w:p>
    <w:p w14:paraId="540283DB">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（3）提交</w:t>
      </w:r>
    </w:p>
    <w:p w14:paraId="455FA74B">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①投标人以汇款形式缴纳投标保证金的，应从其银行账户（基本存款账户）按照下列方式：公对公转账方式向招标文件载明的投标保证金账户提交投标保证金，具体金额详见招标文件第一章。</w:t>
      </w:r>
    </w:p>
    <w:p w14:paraId="7D5CBE16">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5E94EBBD">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③其他形式：</w:t>
      </w:r>
    </w:p>
    <w:p w14:paraId="02AB1E7D">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无</w:t>
      </w:r>
    </w:p>
    <w:p w14:paraId="36F5A2EE">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④若本项目接受联合体投标且投标人为联合体，则联合体中的牵头方应按照本章第10.9条第（3）款第①、②、③点规定提交投标保证金。</w:t>
      </w:r>
    </w:p>
    <w:p w14:paraId="593E81B8">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※除招标文件另有规定外，未按照上述规定提交投标保证金将导致资格审查不合格。</w:t>
      </w:r>
    </w:p>
    <w:p w14:paraId="3C1E9792">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（4）退还</w:t>
      </w:r>
    </w:p>
    <w:p w14:paraId="6E29371B">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①在投标截止时间前撤回已提交的电子投标文件的投标人，其投标保证金将在厦门市公物采购招投标有限公司收到投标人书面撤回通知之日起5个工作日内退回原账户。</w:t>
      </w:r>
    </w:p>
    <w:p w14:paraId="6324BD66">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②未中标人的投标保证金将在中标通知书发出之日起5个工作日内退回原账户。</w:t>
      </w:r>
    </w:p>
    <w:p w14:paraId="00F3590D">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③中标人的投标保证金将在政府采购合同签订之日起5个工作日内退回原账户；合同签订之日以福建省政府采购网上公开信息系统记载的为准。</w:t>
      </w:r>
    </w:p>
    <w:p w14:paraId="4D273646">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④终止招标的，厦门市公物采购招投标有限公司将在终止公告发布之日起5个工作日内退回已收取的投标保证金及其在银行产生的孳息。</w:t>
      </w:r>
    </w:p>
    <w:p w14:paraId="1DF13ED7">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⑤除招标文件另有规定外，质疑或投诉涉及的投标人，若投标保证金尚未退还，则待质疑或投诉处理完毕后不计利息原额退还。</w:t>
      </w:r>
    </w:p>
    <w:p w14:paraId="6C136742">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※本章第10.9条第（4）款第①、②、③点规定的投标保证金退还时限不包括因投标人自身原因导致无法及时退还而增加的时间。</w:t>
      </w:r>
    </w:p>
    <w:p w14:paraId="4D1A01DA">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3BA3DA53">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（6）有下列情形之一的，投标保证金将不予退还或通过投标保函进行索赔：</w:t>
      </w:r>
    </w:p>
    <w:p w14:paraId="1D34B6F7">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①投标人串通投标；</w:t>
      </w:r>
    </w:p>
    <w:p w14:paraId="28307C62">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②投标人提供虚假材料；</w:t>
      </w:r>
    </w:p>
    <w:p w14:paraId="59FCE14F">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③投标人采取不正当手段诋毁、排挤其他投标人；</w:t>
      </w:r>
    </w:p>
    <w:p w14:paraId="1D465888">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④投标截止时间后，投标人在投标有效期内撤销电子投标文件；</w:t>
      </w:r>
    </w:p>
    <w:p w14:paraId="73FEF4AA">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⑤招标文件规定的其他不予退还情形；</w:t>
      </w:r>
    </w:p>
    <w:p w14:paraId="2C6F6E67">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⑥中标人有下列情形之一的：</w:t>
      </w:r>
    </w:p>
    <w:p w14:paraId="3200A0D6">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a.除不可抗力外，因中标人自身原因未在中标通知书要求的期限内与采购人签订政府采购合同；</w:t>
      </w:r>
    </w:p>
    <w:p w14:paraId="54553172">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b.未按照招标文件、投标文件的约定签订政府采购合同或提交履约保证金。</w:t>
      </w:r>
    </w:p>
    <w:p w14:paraId="4E6CDC7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※若上述投标保证金不予退还情形给采购人（采购代理机构）造成损失，则投标人还要承担相应的赔偿责任。</w:t>
      </w:r>
    </w:p>
    <w:p w14:paraId="3E961B7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10.10电子投标文件的提交</w:t>
      </w:r>
    </w:p>
    <w:p w14:paraId="6362744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（1）一个投标人只能提交一个电子投标文件，并按照招标文件第一章规定在系统上完成上传、解密操作。</w:t>
      </w:r>
    </w:p>
    <w:p w14:paraId="0BB397D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10.11电子投标文件的补充、修改或撤回</w:t>
      </w:r>
    </w:p>
    <w:p w14:paraId="1584414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（1）投标截止时间前，投标人可对所提交的电子投标文件进行补充、修改或撤回，并书面通知厦门市公物采购招投标有限公司。</w:t>
      </w:r>
    </w:p>
    <w:p w14:paraId="0363103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（2）补充、修改的内容应按照本章第10.5条第（4）款规定进行签署、盖章，并按照本章第10.10条规定提交，否则将被拒收。</w:t>
      </w:r>
    </w:p>
    <w:p w14:paraId="3BFBA0C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※按照上述规定提交的补充、修改内容作为电子投标文件组成部分。</w:t>
      </w:r>
    </w:p>
    <w:p w14:paraId="78CA897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10.12除招标文件另有规定外，有下列情形之一的，投标无效：</w:t>
      </w:r>
    </w:p>
    <w:p w14:paraId="4E96722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（1）电子投标文件未按照招标文件要求签署、盖章；</w:t>
      </w:r>
    </w:p>
    <w:p w14:paraId="5F01C5C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（2）不符合招标文件中规定的资格要求；</w:t>
      </w:r>
    </w:p>
    <w:p w14:paraId="49BD413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（3）投标报价超过招标文件中规定的预算金额或最高限价；</w:t>
      </w:r>
    </w:p>
    <w:p w14:paraId="2EEACEE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（4）电子投标文件含有采购人不能接受的附加条件；</w:t>
      </w:r>
    </w:p>
    <w:p w14:paraId="12D94E0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（5）有关法律、法规和规章及招标文件规定的其他无效情形。</w:t>
      </w:r>
    </w:p>
    <w:p w14:paraId="60CA3374">
      <w:pPr>
        <w:pStyle w:val="3"/>
        <w:spacing w:before="312" w:beforeLines="100" w:after="312" w:afterLines="100" w:line="240" w:lineRule="auto"/>
        <w:jc w:val="center"/>
        <w:rPr>
          <w:rFonts w:ascii="黑体" w:hAnsi="黑体" w:eastAsia="黑体" w:cs="Times New Roman"/>
          <w:kern w:val="0"/>
          <w:sz w:val="30"/>
        </w:rPr>
      </w:pPr>
      <w:bookmarkStart w:id="9" w:name="_Toc14165"/>
      <w:r>
        <w:rPr>
          <w:rFonts w:ascii="黑体" w:hAnsi="黑体" w:eastAsia="黑体" w:cs="Times New Roman"/>
          <w:kern w:val="0"/>
          <w:sz w:val="30"/>
        </w:rPr>
        <w:t>五、开标</w:t>
      </w:r>
      <w:bookmarkEnd w:id="9"/>
    </w:p>
    <w:p w14:paraId="66CE0E3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11、开标</w:t>
      </w:r>
    </w:p>
    <w:p w14:paraId="2A4BA7D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11.1厦门市公物采购招投标有限公司将在招标文件载明的开标时间及地点主持召开开标会，并邀请投标人参加。</w:t>
      </w:r>
    </w:p>
    <w:p w14:paraId="4619085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11.2开标会的主持人、唱标人、记录人及其他工作人员（若有）均由厦门市公物采购招投标有限公司派出，现场监督人员（若有）可由有关方面派出。</w:t>
      </w:r>
    </w:p>
    <w:p w14:paraId="3256C87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2025D74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11.4开标会应遵守下列规定：</w:t>
      </w:r>
    </w:p>
    <w:p w14:paraId="412BF57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6F373CF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3D34F8C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（3）唱标结束后，参加现场开标会的投标人代表应对开标记录进行签字确认，通过远程参与开标流程的投标人须在系统远程签章开启后，在系统规定时间内对开标结果进行签章确认。</w:t>
      </w:r>
    </w:p>
    <w:p w14:paraId="74748E5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54C9F2E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（5）若投标人未到开标现场参加开标会，也未通过远程参加开标会的，视同认可开标结果。</w:t>
      </w:r>
    </w:p>
    <w:p w14:paraId="06FBCE8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厦门市公物采购招投标有限公司提出任何疑义或要求（包括质疑）。</w:t>
      </w:r>
    </w:p>
    <w:p w14:paraId="3162F5C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11.5投标截止时间后，参加投标的投标人不足三家的，不进行开标。同时，本次采购活动结束，厦门市公物采购招投标有限公司将依法组织后续采购活动（包括但不限于：重新招标、采用其他方式采购等）。</w:t>
      </w:r>
    </w:p>
    <w:p w14:paraId="0D6B96B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11.6投标截止时间后撤销投标的处理</w:t>
      </w:r>
    </w:p>
    <w:p w14:paraId="773B429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投标截止时间后，投标人在投标有效期内撤销投标的，其撤销投标的行为无效。</w:t>
      </w:r>
    </w:p>
    <w:p w14:paraId="0E1A2303">
      <w:pPr>
        <w:pStyle w:val="3"/>
        <w:spacing w:before="312" w:beforeLines="100" w:after="312" w:afterLines="100" w:line="240" w:lineRule="auto"/>
        <w:jc w:val="center"/>
        <w:rPr>
          <w:rFonts w:ascii="黑体" w:hAnsi="黑体" w:eastAsia="黑体" w:cs="Times New Roman"/>
          <w:kern w:val="0"/>
          <w:sz w:val="30"/>
        </w:rPr>
      </w:pPr>
      <w:bookmarkStart w:id="10" w:name="_Toc12681"/>
      <w:r>
        <w:rPr>
          <w:rFonts w:ascii="黑体" w:hAnsi="黑体" w:eastAsia="黑体" w:cs="Times New Roman"/>
          <w:kern w:val="0"/>
          <w:sz w:val="30"/>
        </w:rPr>
        <w:t>六、中标与政府采购合同</w:t>
      </w:r>
      <w:bookmarkEnd w:id="10"/>
    </w:p>
    <w:p w14:paraId="0449AAE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12、中标</w:t>
      </w:r>
    </w:p>
    <w:p w14:paraId="7558BE0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12.1本项目推荐的中标候选人家数：详见招标文件第二章。</w:t>
      </w:r>
    </w:p>
    <w:p w14:paraId="35C3E55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12.2本项目中标人的确定：详见招标文件第二章。</w:t>
      </w:r>
    </w:p>
    <w:p w14:paraId="3707031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12.3中标公告</w:t>
      </w:r>
    </w:p>
    <w:p w14:paraId="7C52CAD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（1）中标人确定之日起2个工作日内，厦门市公物采购招投标有限公司将在招标文件载明的指定媒体以中标公告的形式发布中标结果。</w:t>
      </w:r>
    </w:p>
    <w:p w14:paraId="7A31422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（2）中标公告的公告期限为1个工作日。</w:t>
      </w:r>
    </w:p>
    <w:p w14:paraId="5ED52CE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12.4中标通知书</w:t>
      </w:r>
    </w:p>
    <w:p w14:paraId="01F1B91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（1）中标公告发布的同时，厦门市公物采购招投标有限公司将向中标人发出中标通知书。</w:t>
      </w:r>
    </w:p>
    <w:p w14:paraId="79A7A42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（2）中标通知书发出后，采购人不得违法改变中标结果，中标人无正当理由不得放弃中标。</w:t>
      </w:r>
    </w:p>
    <w:p w14:paraId="5F7B96B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13、政府采购合同</w:t>
      </w:r>
    </w:p>
    <w:p w14:paraId="14E78F5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0E9B366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13.2签订时限：详见须知前附表1的13.2。</w:t>
      </w:r>
    </w:p>
    <w:p w14:paraId="7A58ECC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13.3政府采购合同的履行、违约责任和解决争议的方法等适用民法典。</w:t>
      </w:r>
    </w:p>
    <w:p w14:paraId="37AD254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13.4采购人与中标人应根据政府采购合同的约定依法履行合同义务。</w:t>
      </w:r>
    </w:p>
    <w:p w14:paraId="4D4C7F3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13.5政府采购合同履行过程中，采购人若需追加与合同标的相同的货物或服务，则追加采购金额不得超过原合同采购金额的10%。</w:t>
      </w:r>
    </w:p>
    <w:p w14:paraId="04C2C53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13.6中标人在政府采购合同履行过程中应遵守有关法律、法规和规章的强制性规定（即使前述强制性规定有可能在招标文件中未予列明）。</w:t>
      </w:r>
    </w:p>
    <w:p w14:paraId="3723A1A2">
      <w:pPr>
        <w:pStyle w:val="3"/>
        <w:spacing w:before="312" w:beforeLines="100" w:after="312" w:afterLines="100" w:line="240" w:lineRule="auto"/>
        <w:jc w:val="center"/>
        <w:rPr>
          <w:rFonts w:ascii="黑体" w:hAnsi="黑体" w:eastAsia="黑体" w:cs="Times New Roman"/>
          <w:kern w:val="0"/>
          <w:sz w:val="30"/>
        </w:rPr>
      </w:pPr>
      <w:bookmarkStart w:id="11" w:name="_Toc23110"/>
      <w:r>
        <w:rPr>
          <w:rFonts w:ascii="黑体" w:hAnsi="黑体" w:eastAsia="黑体" w:cs="Times New Roman"/>
          <w:kern w:val="0"/>
          <w:sz w:val="30"/>
        </w:rPr>
        <w:t>七、询问、质疑与投诉</w:t>
      </w:r>
      <w:bookmarkEnd w:id="11"/>
    </w:p>
    <w:p w14:paraId="48CF692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14、询问</w:t>
      </w:r>
    </w:p>
    <w:p w14:paraId="10B674A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14.1潜在投标人或投标人对本次采购活动的有关事项若有疑问，可向厦门市公物采购招投标有限公司提出询问，厦门市公物采购招投标有限公司将按照政府采购法及实施条例的有关规定进行答复。</w:t>
      </w:r>
    </w:p>
    <w:p w14:paraId="2B8A025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15、质疑</w:t>
      </w:r>
    </w:p>
    <w:p w14:paraId="4694B3D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14:paraId="75B8858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（1）对招标文件提出质疑的，质疑人应为潜在投标人，且两者的身份、名称等均应保持一致。对采购过程、结果提出质疑的，质疑人应为投标人，且两者的身份、名称等均应保持一致。</w:t>
      </w:r>
    </w:p>
    <w:p w14:paraId="4BF6EAF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（2）质疑人应按照招标文件第二章规定方式提交质疑函。</w:t>
      </w:r>
    </w:p>
    <w:p w14:paraId="57D452D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（3）质疑函应包括下列主要内容：</w:t>
      </w:r>
    </w:p>
    <w:p w14:paraId="29D4316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①质疑人的基本信息，至少包括：全称、地址、邮政编码等；</w:t>
      </w:r>
    </w:p>
    <w:p w14:paraId="26EFEB5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②所质疑项目的基本信息，至少包括：项目编号、项目名称等；</w:t>
      </w:r>
    </w:p>
    <w:p w14:paraId="12B5B5D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③所质疑的具体事项（以下简称：“质疑事项”）；</w:t>
      </w:r>
    </w:p>
    <w:p w14:paraId="2C71F23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针对质疑事项提出的明确请求，前述明确请求指质疑人提出质疑的目的以及希望厦门市公物采购招投标有限公司对其质疑作出的处理结果，如：暂停招标投标活动、修改招标文件、停止或纠正违法违规行为、中标结果无效、废标、重新招标等；</w:t>
      </w:r>
    </w:p>
    <w:p w14:paraId="1AE1FB7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⑤针对质疑事项导致质疑人自身权益受到损害的必要证明材料，至少包括：</w:t>
      </w:r>
    </w:p>
    <w:p w14:paraId="18366EB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a.质疑人代表的身份证明材料：</w:t>
      </w:r>
    </w:p>
    <w:p w14:paraId="6794052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39B8AD0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a2若本项目接受自然人投标且质疑人为自然人的，提供本人的身份证复印件。</w:t>
      </w:r>
    </w:p>
    <w:p w14:paraId="62CFE4A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b.其他证明材料（即事实依据和必要的法律依据）包括但不限于下列材料：</w:t>
      </w:r>
    </w:p>
    <w:p w14:paraId="30038BF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b1所质疑的具体事项是与自己有利害关系的证明材料；</w:t>
      </w:r>
    </w:p>
    <w:p w14:paraId="4F0E6C2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b2质疑函所述事实存在的证明材料，如：采购文件、采购过程或中标结果违法违规或不符合采购文件要求等证明材料；</w:t>
      </w:r>
    </w:p>
    <w:p w14:paraId="2FCF81B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b3依法应终止采购程序的证明材料；</w:t>
      </w:r>
    </w:p>
    <w:p w14:paraId="363F13A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b4应重新采购的证明材料；</w:t>
      </w:r>
    </w:p>
    <w:p w14:paraId="1772990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b5采购文件、采购过程或中标、成交结果损害自己合法权益的证明材料等；</w:t>
      </w:r>
    </w:p>
    <w:p w14:paraId="48C1FF2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0BA15B5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⑥质疑人代表及其联系方法的信息，至少包括：姓名、手机、电子信箱、邮寄地址等。</w:t>
      </w:r>
    </w:p>
    <w:p w14:paraId="3F2E31D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⑦提出质疑的日期。</w:t>
      </w:r>
    </w:p>
    <w:p w14:paraId="4F2F828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※质疑人为法人或其他组织的，质疑函应由单位负责人或委托代理人签字或盖章，并加盖投标人的单位公章。质疑人为自然人的，质疑函应由本人签字。</w:t>
      </w:r>
    </w:p>
    <w:p w14:paraId="7121533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15.2对不符合本章第15.1条规定的质疑，将按照下列规定进行处理：</w:t>
      </w:r>
    </w:p>
    <w:p w14:paraId="552936D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（1）不符合其中第（1）、（2）条规定的，书面告知质疑人不予受理及其理由。</w:t>
      </w:r>
    </w:p>
    <w:p w14:paraId="6C05569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（2）不符合其中第（3）条规定的，书面告知质疑人修改、补充后在规定时限内重新提交质疑函。</w:t>
      </w:r>
    </w:p>
    <w:p w14:paraId="6FA2332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15.3对符合本章第15.1条规定的质疑，将按照政府采购法及实施条例、政府采购质疑和投诉办法的有关规定进行答复。</w:t>
      </w:r>
    </w:p>
    <w:p w14:paraId="0DA2375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15.4招标文件的质疑：详见招标文件第二章。</w:t>
      </w:r>
    </w:p>
    <w:p w14:paraId="79A18F6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16、投诉</w:t>
      </w:r>
    </w:p>
    <w:p w14:paraId="42A34D9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64C5FDA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16.2投诉应有明确的请求和必要的证明材料，投诉的事项不得超出已质疑事项的范围。</w:t>
      </w:r>
    </w:p>
    <w:p w14:paraId="11B3D693">
      <w:pPr>
        <w:pStyle w:val="3"/>
        <w:spacing w:before="312" w:beforeLines="100" w:after="312" w:afterLines="100" w:line="240" w:lineRule="auto"/>
        <w:jc w:val="center"/>
        <w:rPr>
          <w:rFonts w:ascii="黑体" w:hAnsi="黑体" w:eastAsia="黑体" w:cs="Times New Roman"/>
          <w:kern w:val="0"/>
          <w:sz w:val="30"/>
        </w:rPr>
      </w:pPr>
      <w:bookmarkStart w:id="12" w:name="_Toc27250"/>
      <w:r>
        <w:rPr>
          <w:rFonts w:ascii="黑体" w:hAnsi="黑体" w:eastAsia="黑体" w:cs="Times New Roman"/>
          <w:kern w:val="0"/>
          <w:sz w:val="30"/>
        </w:rPr>
        <w:t>八、政府采购政策</w:t>
      </w:r>
      <w:bookmarkEnd w:id="12"/>
    </w:p>
    <w:p w14:paraId="7D785DF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17、政府采购政策由财政部根据国家的经济和社会发展政策并会同国家有关部委制定，包括但不限于下列具体政策要求：</w:t>
      </w:r>
    </w:p>
    <w:p w14:paraId="536C5ED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17.1进口产品指通过中国海关报关验放进入中国境内且产自关境外的产品，其中：</w:t>
      </w:r>
    </w:p>
    <w:p w14:paraId="4C5626C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08556E1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（2）凡在海关特殊监管区域内企业生产或加工（包括从境外进口料件）销往境内其他地区的产品，不作为政府采购项下进口产品。</w:t>
      </w:r>
    </w:p>
    <w:p w14:paraId="3709DA7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（3）对从境外进入海关特殊监管区域，再经办理报关手续后从海关特殊监管区进入境内其他地区的产品，认定为进口产品。</w:t>
      </w:r>
    </w:p>
    <w:p w14:paraId="3771EF4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（4）招标文件列明不允许或未列明允许进口产品参加投标的，均视为拒绝进口产品参加投标。</w:t>
      </w:r>
    </w:p>
    <w:p w14:paraId="19E51D6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BA9F51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0D93F9E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（1）中小企业指符合下列条件的中型、小型、微型企业：</w:t>
      </w:r>
    </w:p>
    <w:p w14:paraId="4A448B2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125953D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②符合中小企业划分标准的个体工商户，在政府采购活动中视同中小企业。</w:t>
      </w:r>
    </w:p>
    <w:p w14:paraId="3A1179E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（2）在政府采购活动中，供应商提供的货物、工程或者服务符合下列情形的，享受本办法规定的中小企业扶持政策：</w:t>
      </w:r>
    </w:p>
    <w:p w14:paraId="434EB3C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①在货物采购项目中，货物由中小企业制造，即货物由中小企业生产且使用该中小企业商号或者注册商标；</w:t>
      </w:r>
    </w:p>
    <w:p w14:paraId="273785A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②在工程采购项目中，工程由中小企业承建，即工程施工单位为中小企业；</w:t>
      </w:r>
    </w:p>
    <w:p w14:paraId="27DF0AE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③在服务采购项目中，服务由中小企业承接，即提供服务的人员为中小企业依照《中华人民共和国劳动合同法》订立劳动合同的从业人员。</w:t>
      </w:r>
    </w:p>
    <w:p w14:paraId="544625C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在货物采购项目中，供应商提供的货物既有中小企业制造货物，也有大型企业制造货物的，不享受本办法规定的中小企业扶持政策。</w:t>
      </w:r>
    </w:p>
    <w:p w14:paraId="50CE4B0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以联合体形式参加政府采购活动，联合体各方均为中小企业的，联合体视同中小企业。其中，联合体各方均为小微企业的，联合体视同小微企业。</w:t>
      </w:r>
    </w:p>
    <w:p w14:paraId="51640E5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（3）投标人应当按照招标文件明确的采购标的对应行业的划分标准出具中小企业声明函。</w:t>
      </w:r>
    </w:p>
    <w:p w14:paraId="782416A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5F41D11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4E6178D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①监狱企业参加采购活动时，应提供由省级以上监狱管理局、戒毒管理局（含新疆生产建设兵团）出具的属于监狱企业的证明文件。</w:t>
      </w:r>
    </w:p>
    <w:p w14:paraId="274CD47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②监狱企业视同小型、微型企业。</w:t>
      </w:r>
    </w:p>
    <w:p w14:paraId="18B3B54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（5）残疾人福利性单位指同时符合下列条件的单位：</w:t>
      </w:r>
    </w:p>
    <w:p w14:paraId="0EF6839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①安置的残疾人占本单位在职职工人数的比例不低于25%（含25%），并且安置的残疾人人数不少于10人（含10人）；</w:t>
      </w:r>
    </w:p>
    <w:p w14:paraId="091DEB5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②依法与安置的每位残疾人签订了一年以上（含一年）的劳动合同或服务协议；</w:t>
      </w:r>
    </w:p>
    <w:p w14:paraId="1F92E3C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③为安置的每位残疾人按月足额缴纳了基本养老保险、基本医疗保险、失业保险、工伤保险和生育保险等社会保险费；</w:t>
      </w:r>
    </w:p>
    <w:p w14:paraId="75E96F0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④通过银行等金融机构向安置的每位残疾人，按月支付了不低于单位所在区县适用的经省级人民政府批准的月最低工资标准的工资；</w:t>
      </w:r>
    </w:p>
    <w:p w14:paraId="2D34EEA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⑤提供本单位制造的货物、承担的工程或服务，或提供其他残疾人福利性单位制造的货物（不包括使用非残疾人福利性单位注册商标的货物）。</w:t>
      </w:r>
    </w:p>
    <w:p w14:paraId="3E45903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6AE483B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0D62D02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17.4信用记录指由财政部确定的有关网站提供的相关主体信用信息。信用记录的查询及使用应符合财政部文件（财库[2016]125号）规定。</w:t>
      </w:r>
    </w:p>
    <w:p w14:paraId="01A227C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17.5为落实政府采购政策需满足的要求：详见招标文件第一章。</w:t>
      </w:r>
    </w:p>
    <w:p w14:paraId="71474578">
      <w:pPr>
        <w:pStyle w:val="3"/>
        <w:spacing w:before="312" w:beforeLines="100" w:after="312" w:afterLines="100" w:line="240" w:lineRule="auto"/>
        <w:jc w:val="center"/>
        <w:rPr>
          <w:rFonts w:ascii="黑体" w:hAnsi="黑体" w:eastAsia="黑体" w:cs="Times New Roman"/>
          <w:kern w:val="0"/>
          <w:sz w:val="30"/>
        </w:rPr>
      </w:pPr>
      <w:bookmarkStart w:id="13" w:name="_Toc26996"/>
      <w:r>
        <w:rPr>
          <w:rFonts w:ascii="黑体" w:hAnsi="黑体" w:eastAsia="黑体" w:cs="Times New Roman"/>
          <w:kern w:val="0"/>
          <w:sz w:val="30"/>
        </w:rPr>
        <w:t>九、本项目的有关信息</w:t>
      </w:r>
      <w:bookmarkEnd w:id="13"/>
    </w:p>
    <w:p w14:paraId="76D8637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18、本项目的有关信息，包括但不限于：招标公告、更正公告（若有）、招标文件、招标文件的澄清或修改（若有）、中标公告、终止公告（若有）、废标公告（若有）等都将在招标文件载明的指定媒体发布。</w:t>
      </w:r>
    </w:p>
    <w:p w14:paraId="42D1232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18.1指定媒体：详见招标文件第二章。</w:t>
      </w:r>
    </w:p>
    <w:p w14:paraId="3F49439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18.2本项目的潜在投标人或投标人应随时关注指定媒体，否则产生不利后果由其自行承担。</w:t>
      </w:r>
    </w:p>
    <w:p w14:paraId="139E8142">
      <w:pPr>
        <w:pStyle w:val="3"/>
        <w:spacing w:before="312" w:beforeLines="100" w:after="312" w:afterLines="100" w:line="240" w:lineRule="auto"/>
        <w:jc w:val="center"/>
        <w:rPr>
          <w:rFonts w:ascii="黑体" w:hAnsi="黑体" w:eastAsia="黑体" w:cs="Times New Roman"/>
          <w:kern w:val="0"/>
          <w:sz w:val="30"/>
        </w:rPr>
      </w:pPr>
      <w:bookmarkStart w:id="14" w:name="_Toc12752"/>
      <w:r>
        <w:rPr>
          <w:rFonts w:ascii="黑体" w:hAnsi="黑体" w:eastAsia="黑体" w:cs="Times New Roman"/>
          <w:kern w:val="0"/>
          <w:sz w:val="30"/>
        </w:rPr>
        <w:t>十、其他事项</w:t>
      </w:r>
      <w:bookmarkEnd w:id="14"/>
    </w:p>
    <w:p w14:paraId="3C43F9F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19、其他事项：</w:t>
      </w:r>
    </w:p>
    <w:p w14:paraId="13C0FE0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19.1本项目中如涉及商品包装和快递包装的，其包装需求标准应不低于《关于印发〈商品包装政府采购需求标准（试行）〉、〈快递包装政府采购需求标准（试行）〉的通知》（财办库〔2020〕123号）规定的包装要求，其他包装需求详见招标文件具体规定。采购人、中标人双方签订合同及验收环节，应包含上述包装要求的条款。</w:t>
      </w:r>
    </w:p>
    <w:p w14:paraId="10583B5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19.2其他：详见招标文件第二章。</w:t>
      </w:r>
    </w:p>
    <w:p w14:paraId="201ED04E"/>
    <w:p w14:paraId="0D452F7E">
      <w:pPr>
        <w:sectPr>
          <w:pgSz w:w="11906" w:h="16838"/>
          <w:pgMar w:top="1418" w:right="1418" w:bottom="1418" w:left="1418" w:header="851" w:footer="992" w:gutter="0"/>
          <w:cols w:space="425" w:num="1"/>
          <w:docGrid w:type="lines" w:linePitch="312" w:charSpace="0"/>
        </w:sectPr>
      </w:pPr>
    </w:p>
    <w:p w14:paraId="1ACC1FE6">
      <w:pPr>
        <w:pStyle w:val="2"/>
        <w:keepNext/>
        <w:keepLines/>
        <w:widowControl w:val="0"/>
        <w:spacing w:before="312" w:beforeLines="100" w:beforeAutospacing="0" w:after="312" w:afterLines="100" w:afterAutospacing="0"/>
        <w:jc w:val="center"/>
        <w:rPr>
          <w:rFonts w:ascii="黑体" w:hAnsi="黑体" w:eastAsia="黑体" w:cs="Times New Roman"/>
          <w:kern w:val="0"/>
          <w:sz w:val="32"/>
          <w:szCs w:val="44"/>
        </w:rPr>
      </w:pPr>
      <w:bookmarkStart w:id="15" w:name="_Toc19651"/>
      <w:r>
        <w:rPr>
          <w:rFonts w:ascii="黑体" w:hAnsi="黑体" w:eastAsia="黑体" w:cs="Times New Roman"/>
          <w:kern w:val="0"/>
          <w:sz w:val="32"/>
          <w:szCs w:val="44"/>
        </w:rPr>
        <w:t>第四章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资格审查与评标</w:t>
      </w:r>
      <w:bookmarkEnd w:id="15"/>
    </w:p>
    <w:p w14:paraId="61D92A8B">
      <w:pPr>
        <w:pStyle w:val="3"/>
        <w:spacing w:before="312" w:beforeLines="100" w:after="312" w:afterLines="100" w:line="240" w:lineRule="auto"/>
        <w:jc w:val="center"/>
        <w:rPr>
          <w:rFonts w:ascii="黑体" w:hAnsi="黑体" w:eastAsia="黑体" w:cs="Times New Roman"/>
          <w:kern w:val="0"/>
          <w:sz w:val="30"/>
        </w:rPr>
      </w:pPr>
      <w:bookmarkStart w:id="16" w:name="_Toc4935"/>
      <w:r>
        <w:rPr>
          <w:rFonts w:ascii="黑体" w:hAnsi="黑体" w:eastAsia="黑体" w:cs="Times New Roman"/>
          <w:kern w:val="0"/>
          <w:sz w:val="30"/>
        </w:rPr>
        <w:t>一、资格审查</w:t>
      </w:r>
      <w:bookmarkEnd w:id="16"/>
    </w:p>
    <w:p w14:paraId="1C748C6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1、开标结束后，由厦门市公物采购招投标有限公司负责资格审查小组的组建及资格审查工作的组织。</w:t>
      </w:r>
    </w:p>
    <w:p w14:paraId="79B9143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1.1资格审查小组</w:t>
      </w:r>
    </w:p>
    <w:p w14:paraId="0A2FC7CB">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资格审查小组由3人组成，并负责具体审查事务，其中由采购人派出的采购人代表至少1人，由厦门市公物采购招投标有限公司派出的工作人员至少1人，其余1人可为采购人代表或厦门市公物采购招投标有限公司的工作人员。</w:t>
      </w:r>
    </w:p>
    <w:p w14:paraId="6BFAF56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1.2资格审查的依据是招标文件和电子投标文件。</w:t>
      </w:r>
    </w:p>
    <w:p w14:paraId="594F7F1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1.3资格审查的范围及内容：电子投标文件（资格及资信证明部分），具体如下：</w:t>
      </w:r>
    </w:p>
    <w:p w14:paraId="1785A6F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（1）“投标函”；</w:t>
      </w:r>
    </w:p>
    <w:p w14:paraId="6AE8076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（2）“投标人的资格及资信证明文件”</w:t>
      </w:r>
    </w:p>
    <w:p w14:paraId="358A0DE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①一般资格证明文件：</w:t>
      </w:r>
    </w:p>
    <w:p w14:paraId="0FF0D2E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采购包1：</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189"/>
        <w:gridCol w:w="6146"/>
      </w:tblGrid>
      <w:tr w14:paraId="59F425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76CD7130">
            <w:pPr>
              <w:spacing w:line="360" w:lineRule="auto"/>
              <w:jc w:val="center"/>
              <w:rPr>
                <w:rFonts w:asciiTheme="minorEastAsia" w:hAnsiTheme="minorEastAsia"/>
                <w:sz w:val="24"/>
                <w:szCs w:val="24"/>
              </w:rPr>
            </w:pPr>
            <w:r>
              <w:rPr>
                <w:rFonts w:asciiTheme="minorEastAsia" w:hAnsiTheme="minorEastAsia"/>
                <w:sz w:val="24"/>
                <w:szCs w:val="24"/>
              </w:rPr>
              <w:t>序号</w:t>
            </w:r>
          </w:p>
        </w:tc>
        <w:tc>
          <w:tcPr>
            <w:tcW w:w="2189" w:type="dxa"/>
            <w:vAlign w:val="center"/>
          </w:tcPr>
          <w:p w14:paraId="76D9264C">
            <w:pPr>
              <w:spacing w:line="360" w:lineRule="auto"/>
              <w:jc w:val="center"/>
              <w:rPr>
                <w:rFonts w:asciiTheme="minorEastAsia" w:hAnsiTheme="minorEastAsia"/>
                <w:sz w:val="24"/>
                <w:szCs w:val="24"/>
              </w:rPr>
            </w:pPr>
            <w:r>
              <w:rPr>
                <w:rFonts w:asciiTheme="minorEastAsia" w:hAnsiTheme="minorEastAsia"/>
                <w:sz w:val="24"/>
                <w:szCs w:val="24"/>
              </w:rPr>
              <w:t>资格审查要求概况</w:t>
            </w:r>
          </w:p>
        </w:tc>
        <w:tc>
          <w:tcPr>
            <w:tcW w:w="6146" w:type="dxa"/>
            <w:vAlign w:val="center"/>
          </w:tcPr>
          <w:p w14:paraId="74B025C8">
            <w:pPr>
              <w:spacing w:line="360" w:lineRule="auto"/>
              <w:jc w:val="center"/>
              <w:rPr>
                <w:rFonts w:asciiTheme="minorEastAsia" w:hAnsiTheme="minorEastAsia"/>
                <w:sz w:val="24"/>
                <w:szCs w:val="24"/>
              </w:rPr>
            </w:pPr>
            <w:r>
              <w:rPr>
                <w:rFonts w:asciiTheme="minorEastAsia" w:hAnsiTheme="minorEastAsia"/>
                <w:sz w:val="24"/>
                <w:szCs w:val="24"/>
              </w:rPr>
              <w:t>评审点具体描述</w:t>
            </w:r>
          </w:p>
        </w:tc>
      </w:tr>
      <w:tr w14:paraId="0A0CF7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5D59DF48">
            <w:pPr>
              <w:spacing w:line="360" w:lineRule="auto"/>
              <w:jc w:val="center"/>
              <w:rPr>
                <w:rFonts w:asciiTheme="minorEastAsia" w:hAnsiTheme="minorEastAsia"/>
                <w:sz w:val="24"/>
                <w:szCs w:val="24"/>
              </w:rPr>
            </w:pPr>
            <w:r>
              <w:rPr>
                <w:rFonts w:asciiTheme="minorEastAsia" w:hAnsiTheme="minorEastAsia"/>
                <w:sz w:val="24"/>
                <w:szCs w:val="24"/>
              </w:rPr>
              <w:t>1</w:t>
            </w:r>
          </w:p>
        </w:tc>
        <w:tc>
          <w:tcPr>
            <w:tcW w:w="2189" w:type="dxa"/>
            <w:vAlign w:val="center"/>
          </w:tcPr>
          <w:p w14:paraId="75C8D28C">
            <w:pPr>
              <w:spacing w:line="360" w:lineRule="auto"/>
              <w:jc w:val="center"/>
              <w:rPr>
                <w:rFonts w:asciiTheme="minorEastAsia" w:hAnsiTheme="minorEastAsia"/>
                <w:sz w:val="24"/>
                <w:szCs w:val="24"/>
              </w:rPr>
            </w:pPr>
            <w:r>
              <w:rPr>
                <w:rFonts w:asciiTheme="minorEastAsia" w:hAnsiTheme="minorEastAsia"/>
                <w:sz w:val="24"/>
                <w:szCs w:val="24"/>
              </w:rPr>
              <w:t>单位授权书</w:t>
            </w:r>
          </w:p>
        </w:tc>
        <w:tc>
          <w:tcPr>
            <w:tcW w:w="6146" w:type="dxa"/>
            <w:vAlign w:val="center"/>
          </w:tcPr>
          <w:p w14:paraId="27218A53">
            <w:pPr>
              <w:spacing w:line="360" w:lineRule="auto"/>
              <w:rPr>
                <w:rFonts w:asciiTheme="minorEastAsia" w:hAnsiTheme="minorEastAsia"/>
                <w:sz w:val="24"/>
                <w:szCs w:val="24"/>
              </w:rPr>
            </w:pPr>
            <w:r>
              <w:rPr>
                <w:rFonts w:asciiTheme="minorEastAsia" w:hAnsiTheme="minorEastAsia"/>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6D023C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7BA35AEC">
            <w:pPr>
              <w:spacing w:line="360" w:lineRule="auto"/>
              <w:jc w:val="center"/>
              <w:rPr>
                <w:rFonts w:asciiTheme="minorEastAsia" w:hAnsiTheme="minorEastAsia"/>
                <w:sz w:val="24"/>
                <w:szCs w:val="24"/>
              </w:rPr>
            </w:pPr>
            <w:r>
              <w:rPr>
                <w:rFonts w:asciiTheme="minorEastAsia" w:hAnsiTheme="minorEastAsia"/>
                <w:sz w:val="24"/>
                <w:szCs w:val="24"/>
              </w:rPr>
              <w:t>2</w:t>
            </w:r>
          </w:p>
        </w:tc>
        <w:tc>
          <w:tcPr>
            <w:tcW w:w="2189" w:type="dxa"/>
            <w:vAlign w:val="center"/>
          </w:tcPr>
          <w:p w14:paraId="6B4E567F">
            <w:pPr>
              <w:spacing w:line="360" w:lineRule="auto"/>
              <w:jc w:val="center"/>
              <w:rPr>
                <w:rFonts w:asciiTheme="minorEastAsia" w:hAnsiTheme="minorEastAsia"/>
                <w:sz w:val="24"/>
                <w:szCs w:val="24"/>
              </w:rPr>
            </w:pPr>
            <w:r>
              <w:rPr>
                <w:rFonts w:asciiTheme="minorEastAsia" w:hAnsiTheme="minorEastAsia"/>
                <w:sz w:val="24"/>
                <w:szCs w:val="24"/>
              </w:rPr>
              <w:t>营业执照等证明文件</w:t>
            </w:r>
          </w:p>
        </w:tc>
        <w:tc>
          <w:tcPr>
            <w:tcW w:w="6146" w:type="dxa"/>
            <w:vAlign w:val="center"/>
          </w:tcPr>
          <w:p w14:paraId="0404D65B">
            <w:pPr>
              <w:spacing w:line="360" w:lineRule="auto"/>
              <w:rPr>
                <w:rFonts w:asciiTheme="minorEastAsia" w:hAnsiTheme="minorEastAsia"/>
                <w:sz w:val="24"/>
                <w:szCs w:val="24"/>
              </w:rPr>
            </w:pPr>
            <w:r>
              <w:rPr>
                <w:rFonts w:asciiTheme="minorEastAsia" w:hAnsiTheme="minorEastAsia"/>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3F64D3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26A43F7C">
            <w:pPr>
              <w:spacing w:line="360" w:lineRule="auto"/>
              <w:jc w:val="center"/>
              <w:rPr>
                <w:rFonts w:asciiTheme="minorEastAsia" w:hAnsiTheme="minorEastAsia"/>
                <w:sz w:val="24"/>
                <w:szCs w:val="24"/>
              </w:rPr>
            </w:pPr>
            <w:r>
              <w:rPr>
                <w:rFonts w:asciiTheme="minorEastAsia" w:hAnsiTheme="minorEastAsia"/>
                <w:sz w:val="24"/>
                <w:szCs w:val="24"/>
              </w:rPr>
              <w:t>3</w:t>
            </w:r>
          </w:p>
        </w:tc>
        <w:tc>
          <w:tcPr>
            <w:tcW w:w="2189" w:type="dxa"/>
            <w:vAlign w:val="center"/>
          </w:tcPr>
          <w:p w14:paraId="417325BF">
            <w:pPr>
              <w:spacing w:line="360" w:lineRule="auto"/>
              <w:jc w:val="center"/>
              <w:rPr>
                <w:rFonts w:asciiTheme="minorEastAsia" w:hAnsiTheme="minorEastAsia"/>
                <w:sz w:val="24"/>
                <w:szCs w:val="24"/>
              </w:rPr>
            </w:pPr>
            <w:r>
              <w:rPr>
                <w:rFonts w:asciiTheme="minorEastAsia" w:hAnsiTheme="minorEastAsia"/>
                <w:sz w:val="24"/>
                <w:szCs w:val="24"/>
              </w:rPr>
              <w:t>提供财务状况报告</w:t>
            </w:r>
            <w:r>
              <w:rPr>
                <w:rFonts w:hint="eastAsia" w:asciiTheme="minorEastAsia" w:hAnsiTheme="minorEastAsia"/>
                <w:sz w:val="24"/>
                <w:szCs w:val="24"/>
              </w:rPr>
              <w:t>（</w:t>
            </w:r>
            <w:r>
              <w:rPr>
                <w:rFonts w:asciiTheme="minorEastAsia" w:hAnsiTheme="minorEastAsia"/>
                <w:sz w:val="24"/>
                <w:szCs w:val="24"/>
              </w:rPr>
              <w:t>财务报告、或资信证明）</w:t>
            </w:r>
          </w:p>
        </w:tc>
        <w:tc>
          <w:tcPr>
            <w:tcW w:w="6146" w:type="dxa"/>
            <w:vAlign w:val="center"/>
          </w:tcPr>
          <w:p w14:paraId="79154DBD">
            <w:pPr>
              <w:spacing w:line="360" w:lineRule="auto"/>
              <w:rPr>
                <w:rFonts w:asciiTheme="minorEastAsia" w:hAnsiTheme="minorEastAsia"/>
                <w:sz w:val="24"/>
                <w:szCs w:val="24"/>
              </w:rPr>
            </w:pPr>
            <w:r>
              <w:rPr>
                <w:rFonts w:asciiTheme="minorEastAsia" w:hAnsiTheme="minorEastAsia"/>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50BB3D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7851AE74">
            <w:pPr>
              <w:spacing w:line="360" w:lineRule="auto"/>
              <w:jc w:val="center"/>
              <w:rPr>
                <w:rFonts w:asciiTheme="minorEastAsia" w:hAnsiTheme="minorEastAsia"/>
                <w:sz w:val="24"/>
                <w:szCs w:val="24"/>
              </w:rPr>
            </w:pPr>
            <w:r>
              <w:rPr>
                <w:rFonts w:asciiTheme="minorEastAsia" w:hAnsiTheme="minorEastAsia"/>
                <w:sz w:val="24"/>
                <w:szCs w:val="24"/>
              </w:rPr>
              <w:t>4</w:t>
            </w:r>
          </w:p>
        </w:tc>
        <w:tc>
          <w:tcPr>
            <w:tcW w:w="2189" w:type="dxa"/>
            <w:vAlign w:val="center"/>
          </w:tcPr>
          <w:p w14:paraId="63B082F5">
            <w:pPr>
              <w:spacing w:line="360" w:lineRule="auto"/>
              <w:jc w:val="center"/>
              <w:rPr>
                <w:rFonts w:asciiTheme="minorEastAsia" w:hAnsiTheme="minorEastAsia"/>
                <w:sz w:val="24"/>
                <w:szCs w:val="24"/>
              </w:rPr>
            </w:pPr>
            <w:r>
              <w:rPr>
                <w:rFonts w:asciiTheme="minorEastAsia" w:hAnsiTheme="minorEastAsia"/>
                <w:sz w:val="24"/>
                <w:szCs w:val="24"/>
              </w:rPr>
              <w:t>依法缴纳税收证明材料</w:t>
            </w:r>
          </w:p>
        </w:tc>
        <w:tc>
          <w:tcPr>
            <w:tcW w:w="6146" w:type="dxa"/>
            <w:vAlign w:val="center"/>
          </w:tcPr>
          <w:p w14:paraId="5AD764BF">
            <w:pPr>
              <w:spacing w:line="360" w:lineRule="auto"/>
              <w:rPr>
                <w:rFonts w:asciiTheme="minorEastAsia" w:hAnsiTheme="minorEastAsia"/>
                <w:sz w:val="24"/>
                <w:szCs w:val="24"/>
              </w:rPr>
            </w:pPr>
            <w:r>
              <w:rPr>
                <w:rFonts w:asciiTheme="minorEastAsia" w:hAnsiTheme="minorEastAsia"/>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398A85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6FD10570">
            <w:pPr>
              <w:spacing w:line="360" w:lineRule="auto"/>
              <w:jc w:val="center"/>
              <w:rPr>
                <w:rFonts w:asciiTheme="minorEastAsia" w:hAnsiTheme="minorEastAsia"/>
                <w:sz w:val="24"/>
                <w:szCs w:val="24"/>
              </w:rPr>
            </w:pPr>
            <w:r>
              <w:rPr>
                <w:rFonts w:asciiTheme="minorEastAsia" w:hAnsiTheme="minorEastAsia"/>
                <w:sz w:val="24"/>
                <w:szCs w:val="24"/>
              </w:rPr>
              <w:t>5</w:t>
            </w:r>
          </w:p>
        </w:tc>
        <w:tc>
          <w:tcPr>
            <w:tcW w:w="2189" w:type="dxa"/>
            <w:vAlign w:val="center"/>
          </w:tcPr>
          <w:p w14:paraId="3E2B3299">
            <w:pPr>
              <w:spacing w:line="360" w:lineRule="auto"/>
              <w:jc w:val="center"/>
              <w:rPr>
                <w:rFonts w:asciiTheme="minorEastAsia" w:hAnsiTheme="minorEastAsia"/>
                <w:sz w:val="24"/>
                <w:szCs w:val="24"/>
              </w:rPr>
            </w:pPr>
            <w:r>
              <w:rPr>
                <w:rFonts w:asciiTheme="minorEastAsia" w:hAnsiTheme="minorEastAsia"/>
                <w:sz w:val="24"/>
                <w:szCs w:val="24"/>
              </w:rPr>
              <w:t>依法缴纳社会保障资金证明材料</w:t>
            </w:r>
          </w:p>
        </w:tc>
        <w:tc>
          <w:tcPr>
            <w:tcW w:w="6146" w:type="dxa"/>
            <w:vAlign w:val="center"/>
          </w:tcPr>
          <w:p w14:paraId="793B6906">
            <w:pPr>
              <w:spacing w:line="360" w:lineRule="auto"/>
              <w:rPr>
                <w:rFonts w:asciiTheme="minorEastAsia" w:hAnsiTheme="minorEastAsia"/>
                <w:sz w:val="24"/>
                <w:szCs w:val="24"/>
              </w:rPr>
            </w:pPr>
            <w:r>
              <w:rPr>
                <w:rFonts w:asciiTheme="minorEastAsia" w:hAnsiTheme="minorEastAsia"/>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1890A6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2C657B83">
            <w:pPr>
              <w:spacing w:line="360" w:lineRule="auto"/>
              <w:jc w:val="center"/>
              <w:rPr>
                <w:rFonts w:asciiTheme="minorEastAsia" w:hAnsiTheme="minorEastAsia"/>
                <w:sz w:val="24"/>
                <w:szCs w:val="24"/>
              </w:rPr>
            </w:pPr>
            <w:r>
              <w:rPr>
                <w:rFonts w:asciiTheme="minorEastAsia" w:hAnsiTheme="minorEastAsia"/>
                <w:sz w:val="24"/>
                <w:szCs w:val="24"/>
              </w:rPr>
              <w:t>6</w:t>
            </w:r>
          </w:p>
        </w:tc>
        <w:tc>
          <w:tcPr>
            <w:tcW w:w="2189" w:type="dxa"/>
            <w:vAlign w:val="center"/>
          </w:tcPr>
          <w:p w14:paraId="29547A30">
            <w:pPr>
              <w:spacing w:line="360" w:lineRule="auto"/>
              <w:jc w:val="center"/>
              <w:rPr>
                <w:rFonts w:asciiTheme="minorEastAsia" w:hAnsiTheme="minorEastAsia"/>
                <w:sz w:val="24"/>
                <w:szCs w:val="24"/>
              </w:rPr>
            </w:pPr>
            <w:r>
              <w:rPr>
                <w:rFonts w:asciiTheme="minorEastAsia" w:hAnsiTheme="minorEastAsia"/>
                <w:sz w:val="24"/>
                <w:szCs w:val="24"/>
              </w:rPr>
              <w:t>具备履行合同所必需设备和专业技术能力的声明函</w:t>
            </w:r>
            <w:r>
              <w:rPr>
                <w:rFonts w:hint="eastAsia" w:asciiTheme="minorEastAsia" w:hAnsiTheme="minorEastAsia"/>
                <w:sz w:val="24"/>
                <w:szCs w:val="24"/>
              </w:rPr>
              <w:t>（</w:t>
            </w:r>
            <w:r>
              <w:rPr>
                <w:rFonts w:asciiTheme="minorEastAsia" w:hAnsiTheme="minorEastAsia"/>
                <w:sz w:val="24"/>
                <w:szCs w:val="24"/>
              </w:rPr>
              <w:t>若有</w:t>
            </w:r>
            <w:r>
              <w:rPr>
                <w:rFonts w:hint="eastAsia" w:asciiTheme="minorEastAsia" w:hAnsiTheme="minorEastAsia"/>
                <w:sz w:val="24"/>
                <w:szCs w:val="24"/>
              </w:rPr>
              <w:t>）</w:t>
            </w:r>
          </w:p>
        </w:tc>
        <w:tc>
          <w:tcPr>
            <w:tcW w:w="6146" w:type="dxa"/>
            <w:vAlign w:val="center"/>
          </w:tcPr>
          <w:p w14:paraId="088E9914">
            <w:pPr>
              <w:spacing w:line="360" w:lineRule="auto"/>
              <w:rPr>
                <w:rFonts w:asciiTheme="minorEastAsia" w:hAnsiTheme="minorEastAsia"/>
                <w:sz w:val="24"/>
                <w:szCs w:val="24"/>
              </w:rPr>
            </w:pPr>
            <w:r>
              <w:rPr>
                <w:rFonts w:asciiTheme="minorEastAsia" w:hAnsiTheme="minorEastAsia"/>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484BA0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158C9822">
            <w:pPr>
              <w:spacing w:line="360" w:lineRule="auto"/>
              <w:jc w:val="center"/>
              <w:rPr>
                <w:rFonts w:asciiTheme="minorEastAsia" w:hAnsiTheme="minorEastAsia"/>
                <w:sz w:val="24"/>
                <w:szCs w:val="24"/>
              </w:rPr>
            </w:pPr>
            <w:r>
              <w:rPr>
                <w:rFonts w:asciiTheme="minorEastAsia" w:hAnsiTheme="minorEastAsia"/>
                <w:sz w:val="24"/>
                <w:szCs w:val="24"/>
              </w:rPr>
              <w:t>7</w:t>
            </w:r>
          </w:p>
        </w:tc>
        <w:tc>
          <w:tcPr>
            <w:tcW w:w="2189" w:type="dxa"/>
            <w:vAlign w:val="center"/>
          </w:tcPr>
          <w:p w14:paraId="31166A6D">
            <w:pPr>
              <w:spacing w:line="360" w:lineRule="auto"/>
              <w:jc w:val="center"/>
              <w:rPr>
                <w:rFonts w:asciiTheme="minorEastAsia" w:hAnsiTheme="minorEastAsia"/>
                <w:sz w:val="24"/>
                <w:szCs w:val="24"/>
              </w:rPr>
            </w:pPr>
            <w:r>
              <w:rPr>
                <w:rFonts w:asciiTheme="minorEastAsia" w:hAnsiTheme="minorEastAsia"/>
                <w:sz w:val="24"/>
                <w:szCs w:val="24"/>
              </w:rPr>
              <w:t>参加采购活动前三年内在经营活动中没有重大违法记录的声明</w:t>
            </w:r>
          </w:p>
        </w:tc>
        <w:tc>
          <w:tcPr>
            <w:tcW w:w="6146" w:type="dxa"/>
            <w:vAlign w:val="center"/>
          </w:tcPr>
          <w:p w14:paraId="5D698AA5">
            <w:pPr>
              <w:spacing w:line="360" w:lineRule="auto"/>
              <w:rPr>
                <w:rFonts w:asciiTheme="minorEastAsia" w:hAnsiTheme="minorEastAsia"/>
                <w:sz w:val="24"/>
                <w:szCs w:val="24"/>
              </w:rPr>
            </w:pPr>
            <w:r>
              <w:rPr>
                <w:rFonts w:asciiTheme="minorEastAsia" w:hAnsiTheme="minorEastAsia"/>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68187F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26541D77">
            <w:pPr>
              <w:spacing w:line="360" w:lineRule="auto"/>
              <w:jc w:val="center"/>
              <w:rPr>
                <w:rFonts w:asciiTheme="minorEastAsia" w:hAnsiTheme="minorEastAsia"/>
                <w:sz w:val="24"/>
                <w:szCs w:val="24"/>
              </w:rPr>
            </w:pPr>
            <w:r>
              <w:rPr>
                <w:rFonts w:asciiTheme="minorEastAsia" w:hAnsiTheme="minorEastAsia"/>
                <w:sz w:val="24"/>
                <w:szCs w:val="24"/>
              </w:rPr>
              <w:t>8</w:t>
            </w:r>
          </w:p>
        </w:tc>
        <w:tc>
          <w:tcPr>
            <w:tcW w:w="2189" w:type="dxa"/>
            <w:vAlign w:val="center"/>
          </w:tcPr>
          <w:p w14:paraId="2371A1C8">
            <w:pPr>
              <w:spacing w:line="360" w:lineRule="auto"/>
              <w:jc w:val="center"/>
              <w:rPr>
                <w:rFonts w:asciiTheme="minorEastAsia" w:hAnsiTheme="minorEastAsia"/>
                <w:sz w:val="24"/>
                <w:szCs w:val="24"/>
              </w:rPr>
            </w:pPr>
            <w:r>
              <w:rPr>
                <w:rFonts w:asciiTheme="minorEastAsia" w:hAnsiTheme="minorEastAsia"/>
                <w:sz w:val="24"/>
                <w:szCs w:val="24"/>
              </w:rPr>
              <w:t>信用记录查询结果</w:t>
            </w:r>
          </w:p>
        </w:tc>
        <w:tc>
          <w:tcPr>
            <w:tcW w:w="6146" w:type="dxa"/>
            <w:vAlign w:val="center"/>
          </w:tcPr>
          <w:p w14:paraId="106A520D">
            <w:pPr>
              <w:spacing w:line="360" w:lineRule="auto"/>
              <w:rPr>
                <w:rFonts w:asciiTheme="minorEastAsia" w:hAnsiTheme="minorEastAsia"/>
                <w:sz w:val="24"/>
                <w:szCs w:val="24"/>
              </w:rPr>
            </w:pPr>
            <w:r>
              <w:rPr>
                <w:rFonts w:asciiTheme="minorEastAsia" w:hAnsiTheme="minorEastAsia"/>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失信主体、政府采购严重违法失信行为记录名单及其他重大违法记录且相关信用惩戒期限未满的，其资格审查不合格。</w:t>
            </w:r>
          </w:p>
        </w:tc>
      </w:tr>
      <w:tr w14:paraId="53312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6C377F4A">
            <w:pPr>
              <w:spacing w:line="360" w:lineRule="auto"/>
              <w:jc w:val="center"/>
              <w:rPr>
                <w:rFonts w:asciiTheme="minorEastAsia" w:hAnsiTheme="minorEastAsia"/>
                <w:sz w:val="24"/>
                <w:szCs w:val="24"/>
              </w:rPr>
            </w:pPr>
            <w:r>
              <w:rPr>
                <w:rFonts w:asciiTheme="minorEastAsia" w:hAnsiTheme="minorEastAsia"/>
                <w:sz w:val="24"/>
                <w:szCs w:val="24"/>
              </w:rPr>
              <w:t>9</w:t>
            </w:r>
          </w:p>
        </w:tc>
        <w:tc>
          <w:tcPr>
            <w:tcW w:w="2189" w:type="dxa"/>
            <w:vAlign w:val="center"/>
          </w:tcPr>
          <w:p w14:paraId="6876627C">
            <w:pPr>
              <w:spacing w:line="360" w:lineRule="auto"/>
              <w:jc w:val="center"/>
              <w:rPr>
                <w:rFonts w:asciiTheme="minorEastAsia" w:hAnsiTheme="minorEastAsia"/>
                <w:sz w:val="24"/>
                <w:szCs w:val="24"/>
              </w:rPr>
            </w:pPr>
            <w:r>
              <w:rPr>
                <w:rFonts w:asciiTheme="minorEastAsia" w:hAnsiTheme="minorEastAsia"/>
                <w:sz w:val="24"/>
                <w:szCs w:val="24"/>
              </w:rPr>
              <w:t>中小企业声明函（以资格条件落实中小企业扶持政策时适用）</w:t>
            </w:r>
          </w:p>
        </w:tc>
        <w:tc>
          <w:tcPr>
            <w:tcW w:w="6146" w:type="dxa"/>
            <w:vAlign w:val="center"/>
          </w:tcPr>
          <w:p w14:paraId="0C533674">
            <w:pPr>
              <w:spacing w:line="360" w:lineRule="auto"/>
              <w:rPr>
                <w:rFonts w:asciiTheme="minorEastAsia" w:hAnsiTheme="minorEastAsia"/>
                <w:sz w:val="24"/>
                <w:szCs w:val="24"/>
              </w:rPr>
            </w:pPr>
            <w:r>
              <w:rPr>
                <w:rFonts w:asciiTheme="minorEastAsia" w:hAnsiTheme="minorEastAsia"/>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5980B1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34BB4A36">
            <w:pPr>
              <w:spacing w:line="360" w:lineRule="auto"/>
              <w:jc w:val="center"/>
              <w:rPr>
                <w:rFonts w:asciiTheme="minorEastAsia" w:hAnsiTheme="minorEastAsia"/>
                <w:sz w:val="24"/>
                <w:szCs w:val="24"/>
              </w:rPr>
            </w:pPr>
            <w:r>
              <w:rPr>
                <w:rFonts w:asciiTheme="minorEastAsia" w:hAnsiTheme="minorEastAsia"/>
                <w:sz w:val="24"/>
                <w:szCs w:val="24"/>
              </w:rPr>
              <w:t>10</w:t>
            </w:r>
          </w:p>
        </w:tc>
        <w:tc>
          <w:tcPr>
            <w:tcW w:w="2189" w:type="dxa"/>
            <w:vAlign w:val="center"/>
          </w:tcPr>
          <w:p w14:paraId="27C6CB99">
            <w:pPr>
              <w:spacing w:line="360" w:lineRule="auto"/>
              <w:jc w:val="center"/>
              <w:rPr>
                <w:rFonts w:asciiTheme="minorEastAsia" w:hAnsiTheme="minorEastAsia"/>
                <w:sz w:val="24"/>
                <w:szCs w:val="24"/>
              </w:rPr>
            </w:pPr>
            <w:r>
              <w:rPr>
                <w:rFonts w:asciiTheme="minorEastAsia" w:hAnsiTheme="minorEastAsia"/>
                <w:sz w:val="24"/>
                <w:szCs w:val="24"/>
              </w:rPr>
              <w:t>联合体协议（若有）</w:t>
            </w:r>
          </w:p>
        </w:tc>
        <w:tc>
          <w:tcPr>
            <w:tcW w:w="6146" w:type="dxa"/>
            <w:vAlign w:val="center"/>
          </w:tcPr>
          <w:p w14:paraId="0D297A1F">
            <w:pPr>
              <w:spacing w:line="360" w:lineRule="auto"/>
              <w:rPr>
                <w:rFonts w:asciiTheme="minorEastAsia" w:hAnsiTheme="minorEastAsia"/>
                <w:sz w:val="24"/>
                <w:szCs w:val="24"/>
              </w:rPr>
            </w:pPr>
            <w:r>
              <w:rPr>
                <w:rFonts w:asciiTheme="minorEastAsia" w:hAnsiTheme="minorEastAsia"/>
                <w:sz w:val="24"/>
                <w:szCs w:val="24"/>
              </w:rPr>
              <w:t>①招标文件接受联合体投标且投标人为联合体的，投标人应提供本协议；否则无须提供。</w:t>
            </w:r>
          </w:p>
          <w:p w14:paraId="4054994A">
            <w:pPr>
              <w:spacing w:line="360" w:lineRule="auto"/>
              <w:rPr>
                <w:rFonts w:asciiTheme="minorEastAsia" w:hAnsiTheme="minorEastAsia"/>
                <w:sz w:val="24"/>
                <w:szCs w:val="24"/>
              </w:rPr>
            </w:pPr>
            <w:r>
              <w:rPr>
                <w:rFonts w:asciiTheme="minorEastAsia" w:hAnsiTheme="minorEastAsia"/>
                <w:sz w:val="24"/>
                <w:szCs w:val="24"/>
              </w:rPr>
              <w:t>②本协议由委托代理人签字或盖章的，应按照招标文件第七章载明的格式提供“单位授权书”。</w:t>
            </w:r>
          </w:p>
        </w:tc>
      </w:tr>
    </w:tbl>
    <w:p w14:paraId="4F0CB22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※备注说明</w:t>
      </w:r>
    </w:p>
    <w:p w14:paraId="4428113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①投标人应根据自身实际情况提供上述资格要求的证明材料，格式可参考招标文件第七章提供。</w:t>
      </w:r>
    </w:p>
    <w:p w14:paraId="5D37E81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②投标人提供的相应证明材料复印件均应符合：内容完整、清晰、整洁，并由投标人加盖其单位公章。</w:t>
      </w:r>
    </w:p>
    <w:p w14:paraId="3C19BAC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③根据招标文件第四章第一点资格审查的1.3“④其他资格证明文件”要求，允许供应商采用资格承诺制的并提供符合要求的资格承诺函，视为满足招标文件的资格要求。</w:t>
      </w:r>
    </w:p>
    <w:p w14:paraId="4124410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④.其他资格证明文件：</w:t>
      </w:r>
    </w:p>
    <w:p w14:paraId="36F31388">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采购包1：</w:t>
      </w:r>
    </w:p>
    <w:tbl>
      <w:tblPr>
        <w:tblStyle w:val="17"/>
        <w:tblW w:w="923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5545"/>
      </w:tblGrid>
      <w:tr w14:paraId="391C0A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3692" w:type="dxa"/>
            <w:vAlign w:val="center"/>
          </w:tcPr>
          <w:p w14:paraId="3FB3789B">
            <w:pPr>
              <w:spacing w:line="360" w:lineRule="auto"/>
              <w:jc w:val="center"/>
              <w:rPr>
                <w:rFonts w:asciiTheme="minorEastAsia" w:hAnsiTheme="minorEastAsia"/>
                <w:sz w:val="24"/>
                <w:szCs w:val="24"/>
              </w:rPr>
            </w:pPr>
            <w:r>
              <w:rPr>
                <w:rFonts w:asciiTheme="minorEastAsia" w:hAnsiTheme="minorEastAsia"/>
                <w:sz w:val="24"/>
                <w:szCs w:val="24"/>
              </w:rPr>
              <w:t>资格审查要求概况</w:t>
            </w:r>
          </w:p>
        </w:tc>
        <w:tc>
          <w:tcPr>
            <w:tcW w:w="5545" w:type="dxa"/>
            <w:vAlign w:val="center"/>
          </w:tcPr>
          <w:p w14:paraId="41336734">
            <w:pPr>
              <w:spacing w:line="360" w:lineRule="auto"/>
              <w:jc w:val="center"/>
              <w:rPr>
                <w:rFonts w:asciiTheme="minorEastAsia" w:hAnsiTheme="minorEastAsia"/>
                <w:sz w:val="24"/>
                <w:szCs w:val="24"/>
              </w:rPr>
            </w:pPr>
            <w:r>
              <w:rPr>
                <w:rFonts w:asciiTheme="minorEastAsia" w:hAnsiTheme="minorEastAsia"/>
                <w:sz w:val="24"/>
                <w:szCs w:val="24"/>
              </w:rPr>
              <w:t>评审点具体描述</w:t>
            </w:r>
          </w:p>
        </w:tc>
      </w:tr>
      <w:tr w14:paraId="68F987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vAlign w:val="center"/>
          </w:tcPr>
          <w:p w14:paraId="1FC126EB">
            <w:pPr>
              <w:spacing w:line="360" w:lineRule="auto"/>
              <w:jc w:val="center"/>
              <w:rPr>
                <w:rFonts w:asciiTheme="minorEastAsia" w:hAnsiTheme="minorEastAsia"/>
                <w:sz w:val="24"/>
                <w:szCs w:val="24"/>
              </w:rPr>
            </w:pPr>
            <w:r>
              <w:rPr>
                <w:rFonts w:hint="eastAsia" w:asciiTheme="minorEastAsia" w:hAnsiTheme="minorEastAsia"/>
                <w:sz w:val="24"/>
                <w:szCs w:val="24"/>
              </w:rPr>
              <w:t>（同第一章）</w:t>
            </w:r>
          </w:p>
        </w:tc>
        <w:tc>
          <w:tcPr>
            <w:tcW w:w="5545" w:type="dxa"/>
            <w:vAlign w:val="center"/>
          </w:tcPr>
          <w:p w14:paraId="308C5F72">
            <w:pPr>
              <w:spacing w:line="360" w:lineRule="auto"/>
              <w:rPr>
                <w:rFonts w:asciiTheme="minorEastAsia" w:hAnsiTheme="minorEastAsia"/>
                <w:sz w:val="24"/>
                <w:szCs w:val="24"/>
              </w:rPr>
            </w:pPr>
          </w:p>
        </w:tc>
      </w:tr>
    </w:tbl>
    <w:p w14:paraId="348CA49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（3）投标保证金。</w:t>
      </w:r>
    </w:p>
    <w:p w14:paraId="4B6E3B3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1.4有下列情形之一的，资格审查不合格：</w:t>
      </w:r>
    </w:p>
    <w:tbl>
      <w:tblPr>
        <w:tblStyle w:val="17"/>
        <w:tblW w:w="922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7"/>
      </w:tblGrid>
      <w:tr w14:paraId="181CB5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14:paraId="451BC09C">
            <w:pPr>
              <w:spacing w:line="360" w:lineRule="auto"/>
              <w:jc w:val="center"/>
              <w:rPr>
                <w:sz w:val="24"/>
                <w:szCs w:val="24"/>
              </w:rPr>
            </w:pPr>
            <w:r>
              <w:rPr>
                <w:sz w:val="24"/>
                <w:szCs w:val="24"/>
              </w:rPr>
              <w:t>明细</w:t>
            </w:r>
          </w:p>
        </w:tc>
      </w:tr>
      <w:tr w14:paraId="2E1B86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14:paraId="767911BF">
            <w:pPr>
              <w:spacing w:line="360" w:lineRule="auto"/>
              <w:rPr>
                <w:sz w:val="24"/>
                <w:szCs w:val="24"/>
              </w:rPr>
            </w:pPr>
            <w:r>
              <w:rPr>
                <w:sz w:val="24"/>
                <w:szCs w:val="24"/>
              </w:rPr>
              <w:t>未按照招标文件规定提交投标函</w:t>
            </w:r>
          </w:p>
        </w:tc>
      </w:tr>
      <w:tr w14:paraId="4ED4C5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14:paraId="4D8B7CBE">
            <w:pPr>
              <w:spacing w:line="360" w:lineRule="auto"/>
              <w:rPr>
                <w:sz w:val="24"/>
                <w:szCs w:val="24"/>
              </w:rPr>
            </w:pPr>
            <w:r>
              <w:rPr>
                <w:sz w:val="24"/>
                <w:szCs w:val="24"/>
              </w:rPr>
              <w:t>未按照招标文件规定提交投标人的资格及资信文件</w:t>
            </w:r>
          </w:p>
        </w:tc>
      </w:tr>
      <w:tr w14:paraId="724790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14:paraId="51B48D67">
            <w:pPr>
              <w:spacing w:line="360" w:lineRule="auto"/>
              <w:rPr>
                <w:sz w:val="24"/>
                <w:szCs w:val="24"/>
              </w:rPr>
            </w:pPr>
            <w:r>
              <w:rPr>
                <w:sz w:val="24"/>
                <w:szCs w:val="24"/>
              </w:rPr>
              <w:t>未按照招标文件规定提交投标保证金</w:t>
            </w:r>
          </w:p>
        </w:tc>
      </w:tr>
    </w:tbl>
    <w:p w14:paraId="72D1FC9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采购包1：</w:t>
      </w:r>
    </w:p>
    <w:p w14:paraId="373DBB9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资格审查不合格项：无</w:t>
      </w:r>
    </w:p>
    <w:p w14:paraId="3C7742A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7121615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2、资格审查情况不得私自外泄，有关信息由厦门市公物采购招投标有限公司统一对外发布。</w:t>
      </w:r>
    </w:p>
    <w:p w14:paraId="2D271F6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3、资格审查合格的投标人不足三家的，不进行评标。同时，本次采购活动结束，厦门市公物采购招投标有限公司将依法组织后续采购活动（包括但不限于：重新招标、采用其他方式采购等）。</w:t>
      </w:r>
    </w:p>
    <w:p w14:paraId="17AFF3BB">
      <w:pPr>
        <w:pStyle w:val="3"/>
        <w:spacing w:before="312" w:beforeLines="100" w:after="312" w:afterLines="100" w:line="240" w:lineRule="auto"/>
        <w:jc w:val="center"/>
        <w:rPr>
          <w:rFonts w:ascii="黑体" w:hAnsi="黑体" w:eastAsia="黑体" w:cs="Times New Roman"/>
          <w:kern w:val="0"/>
          <w:sz w:val="30"/>
        </w:rPr>
      </w:pPr>
      <w:bookmarkStart w:id="17" w:name="_Toc24401"/>
      <w:r>
        <w:rPr>
          <w:rFonts w:ascii="黑体" w:hAnsi="黑体" w:eastAsia="黑体" w:cs="Times New Roman"/>
          <w:kern w:val="0"/>
          <w:sz w:val="30"/>
        </w:rPr>
        <w:t>二、评标</w:t>
      </w:r>
      <w:bookmarkEnd w:id="17"/>
    </w:p>
    <w:p w14:paraId="4929929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4、资格审查结束后，由厦门市公物采购招投标有限公司负责评标委员会的组建及评标工作的组织。</w:t>
      </w:r>
    </w:p>
    <w:p w14:paraId="423AF77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5、评标委员会</w:t>
      </w:r>
    </w:p>
    <w:p w14:paraId="3E0B395C">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由采购人代表和评审专家两部分共</w:t>
      </w:r>
      <w:r>
        <w:rPr>
          <w:rFonts w:asciiTheme="minorEastAsia" w:hAnsiTheme="minorEastAsia"/>
          <w:sz w:val="24"/>
          <w:szCs w:val="24"/>
          <w:highlight w:val="none"/>
        </w:rPr>
        <w:t>5人</w:t>
      </w:r>
      <w:r>
        <w:rPr>
          <w:rFonts w:asciiTheme="minorEastAsia" w:hAnsiTheme="minorEastAsia"/>
          <w:sz w:val="24"/>
          <w:szCs w:val="24"/>
        </w:rPr>
        <w:t>组成，其中由福建省政府采购评审专家库产生的评审专家</w:t>
      </w:r>
      <w:r>
        <w:rPr>
          <w:rFonts w:asciiTheme="minorEastAsia" w:hAnsiTheme="minorEastAsia"/>
          <w:sz w:val="24"/>
          <w:szCs w:val="24"/>
          <w:highlight w:val="none"/>
        </w:rPr>
        <w:t>4</w:t>
      </w:r>
      <w:r>
        <w:rPr>
          <w:rFonts w:asciiTheme="minorEastAsia" w:hAnsiTheme="minorEastAsia"/>
          <w:sz w:val="24"/>
          <w:szCs w:val="24"/>
        </w:rPr>
        <w:t>人，由采购人派出的采购人代表1人。</w:t>
      </w:r>
    </w:p>
    <w:p w14:paraId="4610162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5.2评标委员会负责具体评标事务，并按照下列原则依法独立履行有关职责：</w:t>
      </w:r>
    </w:p>
    <w:p w14:paraId="1C3AA13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（1）评标应保护国家利益、社会公共利益和各方当事人合法权益，提高采购效益，保证项目质量。</w:t>
      </w:r>
    </w:p>
    <w:p w14:paraId="2F18C16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（2）评标应遵循公平、公正、科学、严谨和择优原则。</w:t>
      </w:r>
    </w:p>
    <w:p w14:paraId="5FBC17B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（3）评标的依据是招标文件和电子投标文件。</w:t>
      </w:r>
    </w:p>
    <w:p w14:paraId="155E14A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（4）应按照招标文件规定推荐中标候选人或确定中标人。</w:t>
      </w:r>
    </w:p>
    <w:p w14:paraId="0056EFC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（5）评标应遵守下列评标纪律：</w:t>
      </w:r>
    </w:p>
    <w:p w14:paraId="4E59CAA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①评标情况不得私自外泄，有关信息由厦门市公物采购招投标有限公司统一对外发布。</w:t>
      </w:r>
    </w:p>
    <w:p w14:paraId="3183A4C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②对厦门市公物采购招投标有限公司或投标人提供的要求保密的资料，不得摘记翻印和外传。</w:t>
      </w:r>
    </w:p>
    <w:p w14:paraId="0116BFF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③不得收受投标人或有关人员的任何礼物，不得串联鼓动其他人袒护某投标人。若与投标人存在利害关系，则应主动声明并回避。</w:t>
      </w:r>
    </w:p>
    <w:p w14:paraId="50BA1F6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④全体评委应按照招标文件规定进行评标，一切认定事项应查有实据且不得弄虚作假。</w:t>
      </w:r>
    </w:p>
    <w:p w14:paraId="1127073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⑤评标中应充分发扬民主，推荐中标候选人或确定中标人后要服从评标报告。</w:t>
      </w:r>
    </w:p>
    <w:p w14:paraId="0890238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※对违反评标纪律的评委，将取消其评委资格，对评标工作造成严重损失者将予以通报批评乃至追究法律责任。</w:t>
      </w:r>
    </w:p>
    <w:p w14:paraId="07C0385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6、评标程序</w:t>
      </w:r>
    </w:p>
    <w:p w14:paraId="65DA215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6.1评标前的准备工作</w:t>
      </w:r>
    </w:p>
    <w:p w14:paraId="1B18A1A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（1）全体评委应认真审阅招标文件，了解评委应履行或遵守的职责、义务和评标纪律。</w:t>
      </w:r>
    </w:p>
    <w:p w14:paraId="1FA099B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65DCC2B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6.2符合性审查</w:t>
      </w:r>
    </w:p>
    <w:p w14:paraId="62F9E6E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（1）评标委员会依据招标文件的实质性要求，对通过资格审查的电子投标文件进行符合性审查，以确定其是否满足招标文件的实质性要求。</w:t>
      </w:r>
    </w:p>
    <w:p w14:paraId="53B9F11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（2）满足招标文件的实质性要求指电子投标文件对招标文件实质性要求的响应不存在重大偏差或保留。</w:t>
      </w:r>
    </w:p>
    <w:p w14:paraId="0993728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29B2423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5F2B576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（5）评标委员会对所有投标人都执行相同的程序和标准。</w:t>
      </w:r>
    </w:p>
    <w:p w14:paraId="021184B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（6）有下列情形之一的，符合性审查不合格：</w:t>
      </w:r>
    </w:p>
    <w:p w14:paraId="1F6435B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①项目一般情形：</w:t>
      </w:r>
    </w:p>
    <w:p w14:paraId="73BEF57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采购包1：</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9"/>
        <w:gridCol w:w="2282"/>
        <w:gridCol w:w="5903"/>
      </w:tblGrid>
      <w:tr w14:paraId="4DA0CF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7367EA58">
            <w:pPr>
              <w:spacing w:line="360" w:lineRule="auto"/>
              <w:jc w:val="center"/>
              <w:rPr>
                <w:rFonts w:asciiTheme="minorEastAsia" w:hAnsiTheme="minorEastAsia"/>
                <w:sz w:val="24"/>
                <w:szCs w:val="24"/>
              </w:rPr>
            </w:pPr>
            <w:r>
              <w:rPr>
                <w:rFonts w:asciiTheme="minorEastAsia" w:hAnsiTheme="minorEastAsia"/>
                <w:sz w:val="24"/>
                <w:szCs w:val="24"/>
              </w:rPr>
              <w:t>序号</w:t>
            </w:r>
          </w:p>
        </w:tc>
        <w:tc>
          <w:tcPr>
            <w:tcW w:w="2282" w:type="dxa"/>
            <w:vAlign w:val="center"/>
          </w:tcPr>
          <w:p w14:paraId="2A5313ED">
            <w:pPr>
              <w:spacing w:line="360" w:lineRule="auto"/>
              <w:jc w:val="center"/>
              <w:rPr>
                <w:rFonts w:asciiTheme="minorEastAsia" w:hAnsiTheme="minorEastAsia"/>
                <w:sz w:val="24"/>
                <w:szCs w:val="24"/>
              </w:rPr>
            </w:pPr>
            <w:r>
              <w:rPr>
                <w:rFonts w:asciiTheme="minorEastAsia" w:hAnsiTheme="minorEastAsia"/>
                <w:sz w:val="24"/>
                <w:szCs w:val="24"/>
              </w:rPr>
              <w:t>符合审查要求概况</w:t>
            </w:r>
          </w:p>
        </w:tc>
        <w:tc>
          <w:tcPr>
            <w:tcW w:w="5903" w:type="dxa"/>
            <w:vAlign w:val="center"/>
          </w:tcPr>
          <w:p w14:paraId="32964143">
            <w:pPr>
              <w:spacing w:line="360" w:lineRule="auto"/>
              <w:jc w:val="center"/>
              <w:rPr>
                <w:rFonts w:asciiTheme="minorEastAsia" w:hAnsiTheme="minorEastAsia"/>
                <w:sz w:val="24"/>
                <w:szCs w:val="24"/>
              </w:rPr>
            </w:pPr>
            <w:r>
              <w:rPr>
                <w:rFonts w:asciiTheme="minorEastAsia" w:hAnsiTheme="minorEastAsia"/>
                <w:sz w:val="24"/>
                <w:szCs w:val="24"/>
              </w:rPr>
              <w:t>评审点具体描述</w:t>
            </w:r>
          </w:p>
        </w:tc>
      </w:tr>
      <w:tr w14:paraId="23555F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4F851DA3">
            <w:pPr>
              <w:spacing w:line="360" w:lineRule="auto"/>
              <w:jc w:val="center"/>
              <w:rPr>
                <w:rFonts w:asciiTheme="minorEastAsia" w:hAnsiTheme="minorEastAsia"/>
                <w:sz w:val="24"/>
                <w:szCs w:val="24"/>
              </w:rPr>
            </w:pPr>
            <w:r>
              <w:rPr>
                <w:rFonts w:asciiTheme="minorEastAsia" w:hAnsiTheme="minorEastAsia"/>
                <w:sz w:val="24"/>
                <w:szCs w:val="24"/>
              </w:rPr>
              <w:t>1</w:t>
            </w:r>
          </w:p>
        </w:tc>
        <w:tc>
          <w:tcPr>
            <w:tcW w:w="2282" w:type="dxa"/>
            <w:vAlign w:val="center"/>
          </w:tcPr>
          <w:p w14:paraId="5F7B88C3">
            <w:pPr>
              <w:spacing w:line="360" w:lineRule="auto"/>
              <w:jc w:val="center"/>
              <w:rPr>
                <w:rFonts w:asciiTheme="minorEastAsia" w:hAnsiTheme="minorEastAsia"/>
                <w:sz w:val="24"/>
                <w:szCs w:val="24"/>
              </w:rPr>
            </w:pPr>
            <w:r>
              <w:rPr>
                <w:rFonts w:asciiTheme="minorEastAsia" w:hAnsiTheme="minorEastAsia"/>
                <w:sz w:val="24"/>
                <w:szCs w:val="24"/>
              </w:rPr>
              <w:t>情形1</w:t>
            </w:r>
          </w:p>
        </w:tc>
        <w:tc>
          <w:tcPr>
            <w:tcW w:w="5903" w:type="dxa"/>
            <w:vAlign w:val="center"/>
          </w:tcPr>
          <w:p w14:paraId="0AFDB07E">
            <w:pPr>
              <w:spacing w:line="360" w:lineRule="auto"/>
              <w:rPr>
                <w:rFonts w:asciiTheme="minorEastAsia" w:hAnsiTheme="minorEastAsia"/>
                <w:sz w:val="24"/>
                <w:szCs w:val="24"/>
              </w:rPr>
            </w:pPr>
            <w:r>
              <w:rPr>
                <w:rFonts w:asciiTheme="minorEastAsia" w:hAnsiTheme="minorEastAsia"/>
                <w:sz w:val="24"/>
                <w:szCs w:val="24"/>
              </w:rPr>
              <w:t>违反招标文件中载明“投标无效”条款的规定；</w:t>
            </w:r>
          </w:p>
        </w:tc>
      </w:tr>
      <w:tr w14:paraId="4FECA2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377DC384">
            <w:pPr>
              <w:spacing w:line="360" w:lineRule="auto"/>
              <w:jc w:val="center"/>
              <w:rPr>
                <w:rFonts w:asciiTheme="minorEastAsia" w:hAnsiTheme="minorEastAsia"/>
                <w:sz w:val="24"/>
                <w:szCs w:val="24"/>
              </w:rPr>
            </w:pPr>
            <w:r>
              <w:rPr>
                <w:rFonts w:asciiTheme="minorEastAsia" w:hAnsiTheme="minorEastAsia"/>
                <w:sz w:val="24"/>
                <w:szCs w:val="24"/>
              </w:rPr>
              <w:t>2</w:t>
            </w:r>
          </w:p>
        </w:tc>
        <w:tc>
          <w:tcPr>
            <w:tcW w:w="2282" w:type="dxa"/>
            <w:vAlign w:val="center"/>
          </w:tcPr>
          <w:p w14:paraId="5F5EBC40">
            <w:pPr>
              <w:spacing w:line="360" w:lineRule="auto"/>
              <w:jc w:val="center"/>
              <w:rPr>
                <w:rFonts w:asciiTheme="minorEastAsia" w:hAnsiTheme="minorEastAsia"/>
                <w:sz w:val="24"/>
                <w:szCs w:val="24"/>
              </w:rPr>
            </w:pPr>
            <w:r>
              <w:rPr>
                <w:rFonts w:asciiTheme="minorEastAsia" w:hAnsiTheme="minorEastAsia"/>
                <w:sz w:val="24"/>
                <w:szCs w:val="24"/>
              </w:rPr>
              <w:t>情形2</w:t>
            </w:r>
          </w:p>
        </w:tc>
        <w:tc>
          <w:tcPr>
            <w:tcW w:w="5903" w:type="dxa"/>
            <w:vAlign w:val="center"/>
          </w:tcPr>
          <w:p w14:paraId="522A9DA5">
            <w:pPr>
              <w:spacing w:line="360" w:lineRule="auto"/>
              <w:rPr>
                <w:rFonts w:asciiTheme="minorEastAsia" w:hAnsiTheme="minorEastAsia"/>
                <w:sz w:val="24"/>
                <w:szCs w:val="24"/>
              </w:rPr>
            </w:pPr>
            <w:r>
              <w:rPr>
                <w:rFonts w:asciiTheme="minorEastAsia" w:hAnsiTheme="minorEastAsia"/>
                <w:sz w:val="24"/>
                <w:szCs w:val="24"/>
              </w:rPr>
              <w:t>属于招标文件第三章第10.12条规定的投标无效情形；</w:t>
            </w:r>
          </w:p>
        </w:tc>
      </w:tr>
      <w:tr w14:paraId="0312EF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79B3891A">
            <w:pPr>
              <w:spacing w:line="360" w:lineRule="auto"/>
              <w:jc w:val="center"/>
              <w:rPr>
                <w:rFonts w:asciiTheme="minorEastAsia" w:hAnsiTheme="minorEastAsia"/>
                <w:sz w:val="24"/>
                <w:szCs w:val="24"/>
              </w:rPr>
            </w:pPr>
            <w:r>
              <w:rPr>
                <w:rFonts w:asciiTheme="minorEastAsia" w:hAnsiTheme="minorEastAsia"/>
                <w:sz w:val="24"/>
                <w:szCs w:val="24"/>
              </w:rPr>
              <w:t>3</w:t>
            </w:r>
          </w:p>
        </w:tc>
        <w:tc>
          <w:tcPr>
            <w:tcW w:w="2282" w:type="dxa"/>
            <w:vAlign w:val="center"/>
          </w:tcPr>
          <w:p w14:paraId="6D79057B">
            <w:pPr>
              <w:spacing w:line="360" w:lineRule="auto"/>
              <w:jc w:val="center"/>
              <w:rPr>
                <w:rFonts w:asciiTheme="minorEastAsia" w:hAnsiTheme="minorEastAsia"/>
                <w:sz w:val="24"/>
                <w:szCs w:val="24"/>
              </w:rPr>
            </w:pPr>
            <w:r>
              <w:rPr>
                <w:rFonts w:asciiTheme="minorEastAsia" w:hAnsiTheme="minorEastAsia"/>
                <w:sz w:val="24"/>
                <w:szCs w:val="24"/>
              </w:rPr>
              <w:t>情形3</w:t>
            </w:r>
          </w:p>
        </w:tc>
        <w:tc>
          <w:tcPr>
            <w:tcW w:w="5903" w:type="dxa"/>
            <w:vAlign w:val="center"/>
          </w:tcPr>
          <w:p w14:paraId="0A6AA997">
            <w:pPr>
              <w:spacing w:line="360" w:lineRule="auto"/>
              <w:rPr>
                <w:rFonts w:asciiTheme="minorEastAsia" w:hAnsiTheme="minorEastAsia"/>
                <w:sz w:val="24"/>
                <w:szCs w:val="24"/>
              </w:rPr>
            </w:pPr>
            <w:r>
              <w:rPr>
                <w:rFonts w:asciiTheme="minorEastAsia" w:hAnsiTheme="minorEastAsia"/>
                <w:sz w:val="24"/>
                <w:szCs w:val="24"/>
              </w:rPr>
              <w:t>投标文件对招标文件实质性要求的响应存在重大偏离或保留。</w:t>
            </w:r>
          </w:p>
        </w:tc>
      </w:tr>
      <w:tr w14:paraId="3E4CD1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2391E08C">
            <w:pPr>
              <w:spacing w:line="360" w:lineRule="auto"/>
              <w:jc w:val="center"/>
              <w:rPr>
                <w:rFonts w:asciiTheme="minorEastAsia" w:hAnsiTheme="minorEastAsia"/>
                <w:sz w:val="24"/>
                <w:szCs w:val="24"/>
              </w:rPr>
            </w:pPr>
            <w:r>
              <w:rPr>
                <w:rFonts w:hint="eastAsia" w:asciiTheme="minorEastAsia" w:hAnsiTheme="minorEastAsia"/>
                <w:sz w:val="24"/>
                <w:szCs w:val="24"/>
              </w:rPr>
              <w:t>4</w:t>
            </w:r>
          </w:p>
        </w:tc>
        <w:tc>
          <w:tcPr>
            <w:tcW w:w="2282" w:type="dxa"/>
            <w:vAlign w:val="center"/>
          </w:tcPr>
          <w:p w14:paraId="5C9712C9">
            <w:pPr>
              <w:spacing w:line="360" w:lineRule="auto"/>
              <w:jc w:val="center"/>
              <w:rPr>
                <w:rFonts w:asciiTheme="minorEastAsia" w:hAnsiTheme="minorEastAsia"/>
                <w:b/>
                <w:bCs/>
                <w:sz w:val="24"/>
                <w:szCs w:val="24"/>
                <w:highlight w:val="none"/>
              </w:rPr>
            </w:pPr>
            <w:r>
              <w:rPr>
                <w:rFonts w:hint="eastAsia" w:asciiTheme="minorEastAsia" w:hAnsiTheme="minorEastAsia"/>
                <w:b/>
                <w:bCs/>
                <w:sz w:val="24"/>
                <w:szCs w:val="24"/>
                <w:highlight w:val="none"/>
              </w:rPr>
              <w:t>带★号条款</w:t>
            </w:r>
          </w:p>
        </w:tc>
        <w:tc>
          <w:tcPr>
            <w:tcW w:w="5903" w:type="dxa"/>
            <w:vAlign w:val="center"/>
          </w:tcPr>
          <w:p w14:paraId="0BDDADCE">
            <w:pPr>
              <w:spacing w:line="360" w:lineRule="auto"/>
              <w:rPr>
                <w:rFonts w:asciiTheme="minorEastAsia" w:hAnsiTheme="minorEastAsia"/>
                <w:b/>
                <w:bCs/>
                <w:sz w:val="24"/>
                <w:szCs w:val="24"/>
                <w:highlight w:val="none"/>
              </w:rPr>
            </w:pPr>
            <w:r>
              <w:rPr>
                <w:rFonts w:hint="eastAsia" w:asciiTheme="minorEastAsia" w:hAnsiTheme="minorEastAsia"/>
                <w:b/>
                <w:bCs/>
                <w:sz w:val="24"/>
                <w:szCs w:val="24"/>
                <w:highlight w:val="none"/>
                <w:lang w:val="en-US" w:eastAsia="zh-CN"/>
              </w:rPr>
              <w:t>不符合</w:t>
            </w:r>
            <w:r>
              <w:rPr>
                <w:rFonts w:hint="eastAsia" w:asciiTheme="minorEastAsia" w:hAnsiTheme="minorEastAsia"/>
                <w:b/>
                <w:bCs/>
                <w:sz w:val="24"/>
                <w:szCs w:val="24"/>
                <w:highlight w:val="none"/>
              </w:rPr>
              <w:t>3.1★投标人应配备驻点服务人员不少于7人，前端巡查人员不少于8人，不可兼职。</w:t>
            </w:r>
          </w:p>
        </w:tc>
      </w:tr>
    </w:tbl>
    <w:p w14:paraId="1F8B23E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②本项目规定的其他情形：</w:t>
      </w:r>
    </w:p>
    <w:p w14:paraId="104C91A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采购包1：</w:t>
      </w:r>
    </w:p>
    <w:p w14:paraId="417B423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技术符合性</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14:paraId="2BC084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13CE636A">
            <w:pPr>
              <w:spacing w:line="360" w:lineRule="auto"/>
              <w:jc w:val="center"/>
              <w:rPr>
                <w:rFonts w:asciiTheme="minorEastAsia" w:hAnsiTheme="minorEastAsia"/>
                <w:sz w:val="24"/>
                <w:szCs w:val="24"/>
              </w:rPr>
            </w:pPr>
            <w:r>
              <w:rPr>
                <w:rFonts w:asciiTheme="minorEastAsia" w:hAnsiTheme="minorEastAsia"/>
                <w:sz w:val="24"/>
                <w:szCs w:val="24"/>
              </w:rPr>
              <w:t>情形</w:t>
            </w:r>
          </w:p>
        </w:tc>
        <w:tc>
          <w:tcPr>
            <w:tcW w:w="7451" w:type="dxa"/>
            <w:vAlign w:val="center"/>
          </w:tcPr>
          <w:p w14:paraId="2C23E582">
            <w:pPr>
              <w:spacing w:line="360" w:lineRule="auto"/>
              <w:jc w:val="center"/>
              <w:rPr>
                <w:rFonts w:asciiTheme="minorEastAsia" w:hAnsiTheme="minorEastAsia"/>
                <w:sz w:val="24"/>
                <w:szCs w:val="24"/>
              </w:rPr>
            </w:pPr>
            <w:r>
              <w:rPr>
                <w:rFonts w:asciiTheme="minorEastAsia" w:hAnsiTheme="minorEastAsia"/>
                <w:sz w:val="24"/>
                <w:szCs w:val="24"/>
              </w:rPr>
              <w:t>明细</w:t>
            </w:r>
          </w:p>
        </w:tc>
      </w:tr>
      <w:tr w14:paraId="3FA4CC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64979A0D">
            <w:pPr>
              <w:spacing w:line="360" w:lineRule="auto"/>
              <w:jc w:val="center"/>
              <w:rPr>
                <w:rFonts w:asciiTheme="minorEastAsia" w:hAnsiTheme="minorEastAsia"/>
                <w:sz w:val="24"/>
                <w:szCs w:val="24"/>
              </w:rPr>
            </w:pPr>
            <w:r>
              <w:rPr>
                <w:rFonts w:asciiTheme="minorEastAsia" w:hAnsiTheme="minorEastAsia"/>
                <w:sz w:val="24"/>
                <w:szCs w:val="24"/>
              </w:rPr>
              <w:t>其他情形</w:t>
            </w:r>
          </w:p>
        </w:tc>
        <w:tc>
          <w:tcPr>
            <w:tcW w:w="7451" w:type="dxa"/>
            <w:vAlign w:val="center"/>
          </w:tcPr>
          <w:p w14:paraId="67B48C70">
            <w:pPr>
              <w:spacing w:line="360" w:lineRule="auto"/>
              <w:rPr>
                <w:rFonts w:asciiTheme="minorEastAsia" w:hAnsiTheme="minorEastAsia"/>
                <w:sz w:val="24"/>
                <w:szCs w:val="24"/>
              </w:rPr>
            </w:pPr>
          </w:p>
        </w:tc>
      </w:tr>
    </w:tbl>
    <w:p w14:paraId="202B6A1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商务符合性：</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14:paraId="46C03C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78056E55">
            <w:pPr>
              <w:spacing w:line="360" w:lineRule="auto"/>
              <w:jc w:val="center"/>
              <w:rPr>
                <w:rFonts w:asciiTheme="minorEastAsia" w:hAnsiTheme="minorEastAsia"/>
                <w:sz w:val="24"/>
                <w:szCs w:val="24"/>
              </w:rPr>
            </w:pPr>
            <w:r>
              <w:rPr>
                <w:rFonts w:asciiTheme="minorEastAsia" w:hAnsiTheme="minorEastAsia"/>
                <w:sz w:val="24"/>
                <w:szCs w:val="24"/>
              </w:rPr>
              <w:t>情形</w:t>
            </w:r>
          </w:p>
        </w:tc>
        <w:tc>
          <w:tcPr>
            <w:tcW w:w="7451" w:type="dxa"/>
            <w:vAlign w:val="center"/>
          </w:tcPr>
          <w:p w14:paraId="776D2865">
            <w:pPr>
              <w:spacing w:line="360" w:lineRule="auto"/>
              <w:jc w:val="center"/>
              <w:rPr>
                <w:rFonts w:asciiTheme="minorEastAsia" w:hAnsiTheme="minorEastAsia"/>
                <w:sz w:val="24"/>
                <w:szCs w:val="24"/>
              </w:rPr>
            </w:pPr>
            <w:r>
              <w:rPr>
                <w:rFonts w:asciiTheme="minorEastAsia" w:hAnsiTheme="minorEastAsia"/>
                <w:sz w:val="24"/>
                <w:szCs w:val="24"/>
              </w:rPr>
              <w:t>明细</w:t>
            </w:r>
          </w:p>
        </w:tc>
      </w:tr>
      <w:tr w14:paraId="1C7C22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626F95AA">
            <w:pPr>
              <w:spacing w:line="360" w:lineRule="auto"/>
              <w:jc w:val="center"/>
              <w:rPr>
                <w:rFonts w:asciiTheme="minorEastAsia" w:hAnsiTheme="minorEastAsia"/>
                <w:sz w:val="24"/>
                <w:szCs w:val="24"/>
              </w:rPr>
            </w:pPr>
            <w:r>
              <w:rPr>
                <w:rFonts w:asciiTheme="minorEastAsia" w:hAnsiTheme="minorEastAsia"/>
                <w:sz w:val="24"/>
                <w:szCs w:val="24"/>
              </w:rPr>
              <w:t>其他情形</w:t>
            </w:r>
          </w:p>
        </w:tc>
        <w:tc>
          <w:tcPr>
            <w:tcW w:w="7451" w:type="dxa"/>
            <w:vAlign w:val="center"/>
          </w:tcPr>
          <w:p w14:paraId="66CAF120">
            <w:pPr>
              <w:spacing w:line="360" w:lineRule="auto"/>
              <w:jc w:val="center"/>
              <w:rPr>
                <w:rFonts w:asciiTheme="minorEastAsia" w:hAnsiTheme="minorEastAsia"/>
                <w:sz w:val="24"/>
                <w:szCs w:val="24"/>
              </w:rPr>
            </w:pPr>
            <w:r>
              <w:rPr>
                <w:rFonts w:hint="eastAsia" w:asciiTheme="minorEastAsia" w:hAnsiTheme="minorEastAsia"/>
                <w:sz w:val="24"/>
                <w:szCs w:val="24"/>
              </w:rPr>
              <w:t>无</w:t>
            </w:r>
          </w:p>
        </w:tc>
      </w:tr>
    </w:tbl>
    <w:p w14:paraId="79E820D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附加符合性：</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14:paraId="1BE38F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25D3FC0F">
            <w:pPr>
              <w:spacing w:line="360" w:lineRule="auto"/>
              <w:jc w:val="center"/>
              <w:rPr>
                <w:rFonts w:asciiTheme="minorEastAsia" w:hAnsiTheme="minorEastAsia"/>
                <w:sz w:val="24"/>
                <w:szCs w:val="24"/>
              </w:rPr>
            </w:pPr>
            <w:r>
              <w:rPr>
                <w:rFonts w:asciiTheme="minorEastAsia" w:hAnsiTheme="minorEastAsia"/>
                <w:sz w:val="24"/>
                <w:szCs w:val="24"/>
              </w:rPr>
              <w:t>情形</w:t>
            </w:r>
          </w:p>
        </w:tc>
        <w:tc>
          <w:tcPr>
            <w:tcW w:w="7451" w:type="dxa"/>
            <w:vAlign w:val="center"/>
          </w:tcPr>
          <w:p w14:paraId="0E2D6B34">
            <w:pPr>
              <w:spacing w:line="360" w:lineRule="auto"/>
              <w:jc w:val="center"/>
              <w:rPr>
                <w:rFonts w:asciiTheme="minorEastAsia" w:hAnsiTheme="minorEastAsia"/>
                <w:sz w:val="24"/>
                <w:szCs w:val="24"/>
              </w:rPr>
            </w:pPr>
            <w:r>
              <w:rPr>
                <w:rFonts w:asciiTheme="minorEastAsia" w:hAnsiTheme="minorEastAsia"/>
                <w:sz w:val="24"/>
                <w:szCs w:val="24"/>
              </w:rPr>
              <w:t>明细</w:t>
            </w:r>
          </w:p>
        </w:tc>
      </w:tr>
      <w:tr w14:paraId="40EEFE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3F41DF3E">
            <w:pPr>
              <w:spacing w:line="360" w:lineRule="auto"/>
              <w:jc w:val="center"/>
              <w:rPr>
                <w:rFonts w:asciiTheme="minorEastAsia" w:hAnsiTheme="minorEastAsia"/>
                <w:sz w:val="24"/>
                <w:szCs w:val="24"/>
              </w:rPr>
            </w:pPr>
            <w:r>
              <w:rPr>
                <w:rFonts w:asciiTheme="minorEastAsia" w:hAnsiTheme="minorEastAsia"/>
                <w:sz w:val="24"/>
                <w:szCs w:val="24"/>
              </w:rPr>
              <w:t>其他情形</w:t>
            </w:r>
          </w:p>
        </w:tc>
        <w:tc>
          <w:tcPr>
            <w:tcW w:w="7451" w:type="dxa"/>
            <w:vAlign w:val="center"/>
          </w:tcPr>
          <w:p w14:paraId="04D2F15A">
            <w:pPr>
              <w:spacing w:line="360" w:lineRule="auto"/>
              <w:jc w:val="center"/>
              <w:rPr>
                <w:rFonts w:asciiTheme="minorEastAsia" w:hAnsiTheme="minorEastAsia"/>
                <w:sz w:val="24"/>
                <w:szCs w:val="24"/>
              </w:rPr>
            </w:pPr>
            <w:r>
              <w:rPr>
                <w:rFonts w:hint="eastAsia" w:asciiTheme="minorEastAsia" w:hAnsiTheme="minorEastAsia"/>
                <w:sz w:val="24"/>
                <w:szCs w:val="24"/>
              </w:rPr>
              <w:t>无</w:t>
            </w:r>
          </w:p>
        </w:tc>
      </w:tr>
    </w:tbl>
    <w:p w14:paraId="52C0958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价格符合性</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14:paraId="203D6D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75E275C2">
            <w:pPr>
              <w:spacing w:line="360" w:lineRule="auto"/>
              <w:jc w:val="center"/>
              <w:rPr>
                <w:rFonts w:asciiTheme="minorEastAsia" w:hAnsiTheme="minorEastAsia"/>
                <w:sz w:val="24"/>
                <w:szCs w:val="24"/>
              </w:rPr>
            </w:pPr>
            <w:r>
              <w:rPr>
                <w:rFonts w:asciiTheme="minorEastAsia" w:hAnsiTheme="minorEastAsia"/>
                <w:sz w:val="24"/>
                <w:szCs w:val="24"/>
              </w:rPr>
              <w:t>情形</w:t>
            </w:r>
          </w:p>
        </w:tc>
        <w:tc>
          <w:tcPr>
            <w:tcW w:w="7451" w:type="dxa"/>
            <w:vAlign w:val="center"/>
          </w:tcPr>
          <w:p w14:paraId="5087400D">
            <w:pPr>
              <w:spacing w:line="360" w:lineRule="auto"/>
              <w:jc w:val="center"/>
              <w:rPr>
                <w:rFonts w:asciiTheme="minorEastAsia" w:hAnsiTheme="minorEastAsia"/>
                <w:sz w:val="24"/>
                <w:szCs w:val="24"/>
              </w:rPr>
            </w:pPr>
            <w:r>
              <w:rPr>
                <w:rFonts w:asciiTheme="minorEastAsia" w:hAnsiTheme="minorEastAsia"/>
                <w:sz w:val="24"/>
                <w:szCs w:val="24"/>
              </w:rPr>
              <w:t>明细</w:t>
            </w:r>
          </w:p>
        </w:tc>
      </w:tr>
      <w:tr w14:paraId="0415B5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00CE4A40">
            <w:pPr>
              <w:spacing w:line="360" w:lineRule="auto"/>
              <w:jc w:val="center"/>
              <w:rPr>
                <w:rFonts w:asciiTheme="minorEastAsia" w:hAnsiTheme="minorEastAsia"/>
                <w:sz w:val="24"/>
                <w:szCs w:val="24"/>
              </w:rPr>
            </w:pPr>
            <w:r>
              <w:rPr>
                <w:rFonts w:asciiTheme="minorEastAsia" w:hAnsiTheme="minorEastAsia"/>
                <w:sz w:val="24"/>
                <w:szCs w:val="24"/>
              </w:rPr>
              <w:t>其他情形</w:t>
            </w:r>
          </w:p>
        </w:tc>
        <w:tc>
          <w:tcPr>
            <w:tcW w:w="7451" w:type="dxa"/>
            <w:vAlign w:val="center"/>
          </w:tcPr>
          <w:p w14:paraId="00377FEF">
            <w:pPr>
              <w:spacing w:line="360" w:lineRule="auto"/>
              <w:jc w:val="center"/>
              <w:rPr>
                <w:rFonts w:asciiTheme="minorEastAsia" w:hAnsiTheme="minorEastAsia"/>
                <w:sz w:val="24"/>
                <w:szCs w:val="24"/>
              </w:rPr>
            </w:pPr>
            <w:r>
              <w:rPr>
                <w:rFonts w:hint="eastAsia" w:asciiTheme="minorEastAsia" w:hAnsiTheme="minorEastAsia"/>
                <w:sz w:val="24"/>
                <w:szCs w:val="24"/>
              </w:rPr>
              <w:t>无</w:t>
            </w:r>
          </w:p>
        </w:tc>
      </w:tr>
    </w:tbl>
    <w:p w14:paraId="4085FA7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6.3澄清有关问题</w:t>
      </w:r>
    </w:p>
    <w:p w14:paraId="7A1073A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（1）对通过符合性审查的电子投标文件中含义不明确、同类问题表述不一致或有明显文字和计算错误的内容，评标委员会将以书面形式要求投标人作出必要的澄清、说明或补正。</w:t>
      </w:r>
    </w:p>
    <w:p w14:paraId="431DC9B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37E564F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（3）电子投标文件报价出现前后不一致的，除招标文件另有规定外，按照下列规定修正：</w:t>
      </w:r>
    </w:p>
    <w:p w14:paraId="2EE9C28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①开标（报价）一览表内容与电子投标文件中相应内容不一致的，以开标（报价）一览表为准；</w:t>
      </w:r>
    </w:p>
    <w:p w14:paraId="0EF8A21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②大写金额和小写金额不一致的，以大写金额为准；</w:t>
      </w:r>
    </w:p>
    <w:p w14:paraId="0521C1E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③单价金额小数点或百分比有明显错位的，以开标（报价）一览表的总价为准，并修改单价；</w:t>
      </w:r>
    </w:p>
    <w:p w14:paraId="16D6DE6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④总价金额与按照单价汇总金额不一致的，以单价金额计算结果为准。</w:t>
      </w:r>
    </w:p>
    <w:p w14:paraId="28DFA27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※同时出现两种以上不一致的，按照前款规定的顺序修正。修正后的报价应按照本章第6.3条第（1）、（2）款规定经投标人确认后产生约束力，投标人不确认的，其投标无效。</w:t>
      </w:r>
    </w:p>
    <w:p w14:paraId="7E41432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（4）关于细微偏差</w:t>
      </w:r>
    </w:p>
    <w:p w14:paraId="5BDB3EE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3F58B45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②评标委员会将以书面形式要求存在细微偏差的投标人在评标委员会规定的时间内予以补正。若无法补正，则评标委员会将按照不利于投标人的内容进行认定。</w:t>
      </w:r>
    </w:p>
    <w:p w14:paraId="50ABE13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（5）关于投标描述（即电子投标文件中描述的内容）</w:t>
      </w:r>
    </w:p>
    <w:p w14:paraId="6C0CFA8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①投标描述前后不一致且不涉及证明材料的：按照本章第6.3条第（1）、（2）款规定执行。</w:t>
      </w:r>
    </w:p>
    <w:p w14:paraId="1953238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②投标描述与证明材料不一致或多份证明材料之间不一致的：</w:t>
      </w:r>
    </w:p>
    <w:p w14:paraId="0A737AF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a.评标委员会将要求投标人进行书面澄清，并按照不利于投标人的内容进行评标。</w:t>
      </w:r>
    </w:p>
    <w:p w14:paraId="1E556B8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637C41B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6299A91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6.4比较与评价</w:t>
      </w:r>
    </w:p>
    <w:p w14:paraId="53551C3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（1）按照本章第7条载明的评标方法和标准，对符合性审查合格的电子投标文件进行比较与评价。</w:t>
      </w:r>
    </w:p>
    <w:p w14:paraId="06734E3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（2）关于相同品牌产品（政府采购服务类项目不适用本条款规定）</w:t>
      </w:r>
    </w:p>
    <w:p w14:paraId="0FA8464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703FB12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a.招标文件规定的方式：</w:t>
      </w:r>
    </w:p>
    <w:p w14:paraId="6F56703F">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无</w:t>
      </w:r>
    </w:p>
    <w:p w14:paraId="1D9CD4E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b.招标文件未规定的，采取随机抽取方式确定，其他投标无效。</w:t>
      </w:r>
    </w:p>
    <w:p w14:paraId="047AEFA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264027D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a.招标文件规定的方式：</w:t>
      </w:r>
    </w:p>
    <w:p w14:paraId="45B4279E">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无</w:t>
      </w:r>
    </w:p>
    <w:p w14:paraId="44A51B1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b.招标文件未规定的，采取随机抽取方式确定，其他同品牌投标人不作为中标候选人。</w:t>
      </w:r>
    </w:p>
    <w:p w14:paraId="69609F5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③非单一产品采购项目，多家投标人提供的核心产品品牌相同的，按照本章第6.4条第（2）款第①、②规定处理。</w:t>
      </w:r>
    </w:p>
    <w:p w14:paraId="28ACF03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（3）漏（缺）项</w:t>
      </w:r>
    </w:p>
    <w:p w14:paraId="08E8820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①招标文件中要求列入报价的费用（含配置、功能），漏（缺）项的报价视为已经包括在投标总价中。</w:t>
      </w:r>
    </w:p>
    <w:p w14:paraId="16DB709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②对多报项及赠送项的价格评标时不予核减，全部进入评标价评议。</w:t>
      </w:r>
    </w:p>
    <w:p w14:paraId="5CA715B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6.5推荐中标候选人：详见本章第7.2条规定。</w:t>
      </w:r>
    </w:p>
    <w:p w14:paraId="1567530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6.6编写评标报告</w:t>
      </w:r>
    </w:p>
    <w:p w14:paraId="2D329C8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（1）评标报告由评标委员会负责编写。</w:t>
      </w:r>
    </w:p>
    <w:p w14:paraId="0E0A04D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（2）评标报告应包括下列内容：</w:t>
      </w:r>
    </w:p>
    <w:p w14:paraId="5397412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①招标公告刊登的媒体名称、开标日期和地点；</w:t>
      </w:r>
    </w:p>
    <w:p w14:paraId="5D4AEEF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②投标人名单和评标委员会成员名单；</w:t>
      </w:r>
    </w:p>
    <w:p w14:paraId="6C1B917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③评标方法和标准；</w:t>
      </w:r>
    </w:p>
    <w:p w14:paraId="58EC44C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④开标记录和评标情况及说明，包括无效投标人名单及原因；</w:t>
      </w:r>
    </w:p>
    <w:p w14:paraId="428B0DD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⑤评标结果，包括中标候选人名单或确定的中标人；</w:t>
      </w:r>
    </w:p>
    <w:p w14:paraId="2E2BFCF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⑥其他需要说明的情况，包括但不限于：评标过程中投标人的澄清、说明或补正，评委更换等。</w:t>
      </w:r>
    </w:p>
    <w:p w14:paraId="0CC6D33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01F9C42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6.8评委对需要共同认定的事项存在争议的，应按照少数服从多数的原则进行认定。持不同意见的评委应在评标报告上签署不同意见及理由，否则视为同意评标报告。</w:t>
      </w:r>
    </w:p>
    <w:p w14:paraId="185C1C1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6.9在评标过程中发现投标人有下列情形之一的，评标委员会应认定其投标无效，并书面报告本项目监督管理部门：</w:t>
      </w:r>
    </w:p>
    <w:p w14:paraId="3F98FEF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（1）恶意串通（包括但不限于招标文件第三章第9.7条规定情形）；</w:t>
      </w:r>
    </w:p>
    <w:p w14:paraId="57CA3F7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（2）妨碍其他投标人的竞争行为；</w:t>
      </w:r>
    </w:p>
    <w:p w14:paraId="5A4088F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（3）损害采购人或其他投标人的合法权益。</w:t>
      </w:r>
    </w:p>
    <w:p w14:paraId="0E4DC52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6.10评标过程中，有下列情形之一的，应予废标：</w:t>
      </w:r>
    </w:p>
    <w:p w14:paraId="775DCE5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（1）符合性审查合格的投标人不足三家的；</w:t>
      </w:r>
    </w:p>
    <w:p w14:paraId="011C026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（2）有关法律、法规和规章规定废标的情形。</w:t>
      </w:r>
    </w:p>
    <w:p w14:paraId="3E83A53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※若废标，则本次采购活动结束，厦门市公物采购招投标有限公司将依法组织后续采购活动（包括但不限于：重新招标、采用其他方式采购等）。</w:t>
      </w:r>
    </w:p>
    <w:p w14:paraId="67B47FE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7、评标方法和标准</w:t>
      </w:r>
    </w:p>
    <w:p w14:paraId="500D233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7.1评标方法：</w:t>
      </w:r>
    </w:p>
    <w:p w14:paraId="43B1371B">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采购包1：综合评分法</w:t>
      </w:r>
    </w:p>
    <w:p w14:paraId="4FDEA3C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7.2评标标准</w:t>
      </w:r>
    </w:p>
    <w:p w14:paraId="532D7A85">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采购包1：综合评分法</w:t>
      </w:r>
    </w:p>
    <w:p w14:paraId="66834BBC">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（1）投标文件满足招标文件全部实质性要求，且按照评审因素的量化指标评审得分（即评标总得分）最高的投标人为中标候选人。</w:t>
      </w:r>
    </w:p>
    <w:p w14:paraId="0DF5A978">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w:t>
      </w:r>
    </w:p>
    <w:p w14:paraId="01897750">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各项评审因素的设置如下：</w:t>
      </w:r>
    </w:p>
    <w:p w14:paraId="5424BC89">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价格项（F1×A1）满分为10.00分</w:t>
      </w:r>
    </w:p>
    <w:p w14:paraId="5AAD35D1">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38836844">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优先类节能产品、环境标志产品的价格扣除规则如下：</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10"/>
        <w:gridCol w:w="907"/>
        <w:gridCol w:w="6379"/>
      </w:tblGrid>
      <w:tr w14:paraId="0B1DE2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10" w:type="dxa"/>
            <w:vAlign w:val="center"/>
          </w:tcPr>
          <w:p w14:paraId="283ED737">
            <w:pPr>
              <w:spacing w:line="360" w:lineRule="auto"/>
              <w:jc w:val="center"/>
              <w:rPr>
                <w:rFonts w:asciiTheme="minorEastAsia" w:hAnsiTheme="minorEastAsia"/>
                <w:sz w:val="24"/>
                <w:szCs w:val="24"/>
              </w:rPr>
            </w:pPr>
            <w:r>
              <w:rPr>
                <w:rFonts w:asciiTheme="minorEastAsia" w:hAnsiTheme="minorEastAsia"/>
                <w:b/>
                <w:sz w:val="24"/>
                <w:szCs w:val="24"/>
              </w:rPr>
              <w:t>项目</w:t>
            </w:r>
          </w:p>
        </w:tc>
        <w:tc>
          <w:tcPr>
            <w:tcW w:w="907" w:type="dxa"/>
            <w:vAlign w:val="center"/>
          </w:tcPr>
          <w:p w14:paraId="283FC527">
            <w:pPr>
              <w:spacing w:line="360" w:lineRule="auto"/>
              <w:jc w:val="center"/>
              <w:rPr>
                <w:rFonts w:asciiTheme="minorEastAsia" w:hAnsiTheme="minorEastAsia"/>
                <w:sz w:val="24"/>
                <w:szCs w:val="24"/>
              </w:rPr>
            </w:pPr>
            <w:r>
              <w:rPr>
                <w:rFonts w:asciiTheme="minorEastAsia" w:hAnsiTheme="minorEastAsia"/>
                <w:b/>
                <w:sz w:val="24"/>
                <w:szCs w:val="24"/>
              </w:rPr>
              <w:t>比例</w:t>
            </w:r>
          </w:p>
        </w:tc>
        <w:tc>
          <w:tcPr>
            <w:tcW w:w="6379" w:type="dxa"/>
            <w:vAlign w:val="center"/>
          </w:tcPr>
          <w:p w14:paraId="3F995D51">
            <w:pPr>
              <w:spacing w:line="360" w:lineRule="auto"/>
              <w:jc w:val="center"/>
              <w:rPr>
                <w:rFonts w:asciiTheme="minorEastAsia" w:hAnsiTheme="minorEastAsia"/>
                <w:sz w:val="24"/>
                <w:szCs w:val="24"/>
              </w:rPr>
            </w:pPr>
            <w:r>
              <w:rPr>
                <w:rFonts w:hint="eastAsia" w:asciiTheme="minorEastAsia" w:hAnsiTheme="minorEastAsia"/>
                <w:b/>
                <w:sz w:val="24"/>
                <w:szCs w:val="24"/>
              </w:rPr>
              <w:t>方法</w:t>
            </w:r>
          </w:p>
        </w:tc>
      </w:tr>
      <w:tr w14:paraId="199347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10" w:type="dxa"/>
            <w:vAlign w:val="center"/>
          </w:tcPr>
          <w:p w14:paraId="6BF11BE8">
            <w:pPr>
              <w:spacing w:line="360" w:lineRule="auto"/>
              <w:jc w:val="center"/>
              <w:rPr>
                <w:rFonts w:asciiTheme="minorEastAsia" w:hAnsiTheme="minorEastAsia"/>
                <w:sz w:val="24"/>
                <w:szCs w:val="24"/>
              </w:rPr>
            </w:pPr>
            <w:r>
              <w:rPr>
                <w:rFonts w:asciiTheme="minorEastAsia" w:hAnsiTheme="minorEastAsia"/>
                <w:sz w:val="24"/>
                <w:szCs w:val="24"/>
              </w:rPr>
              <w:t>节能、环境</w:t>
            </w:r>
          </w:p>
          <w:p w14:paraId="16416952">
            <w:pPr>
              <w:spacing w:line="360" w:lineRule="auto"/>
              <w:jc w:val="center"/>
              <w:rPr>
                <w:rFonts w:asciiTheme="minorEastAsia" w:hAnsiTheme="minorEastAsia"/>
                <w:sz w:val="24"/>
                <w:szCs w:val="24"/>
              </w:rPr>
            </w:pPr>
            <w:r>
              <w:rPr>
                <w:rFonts w:asciiTheme="minorEastAsia" w:hAnsiTheme="minorEastAsia"/>
                <w:sz w:val="24"/>
                <w:szCs w:val="24"/>
              </w:rPr>
              <w:t>标志产品</w:t>
            </w:r>
          </w:p>
        </w:tc>
        <w:tc>
          <w:tcPr>
            <w:tcW w:w="907" w:type="dxa"/>
            <w:vAlign w:val="center"/>
          </w:tcPr>
          <w:p w14:paraId="6D0734B0">
            <w:pPr>
              <w:spacing w:line="360" w:lineRule="auto"/>
              <w:jc w:val="center"/>
              <w:rPr>
                <w:rFonts w:asciiTheme="minorEastAsia" w:hAnsiTheme="minorEastAsia"/>
                <w:sz w:val="24"/>
                <w:szCs w:val="24"/>
              </w:rPr>
            </w:pPr>
            <w:r>
              <w:rPr>
                <w:rFonts w:hint="eastAsia" w:asciiTheme="minorEastAsia" w:hAnsiTheme="minorEastAsia"/>
                <w:sz w:val="24"/>
                <w:szCs w:val="24"/>
              </w:rPr>
              <w:t>10%</w:t>
            </w:r>
          </w:p>
        </w:tc>
        <w:tc>
          <w:tcPr>
            <w:tcW w:w="6379" w:type="dxa"/>
            <w:vAlign w:val="center"/>
          </w:tcPr>
          <w:p w14:paraId="69B50CD7">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1、本项目为服务类项目，无节能、环境标志产品价格扣除优惠。 2、因系统不支持分项报价，投标人应根据本项目实际情况编辑投标分项报价表，在客户端系统中的价格扣除模块上传完整的《投标文件报价部分》，未按要求提交完整的《投标文件报价部分》，由此产生的不利后果由投标人自行承担。</w:t>
            </w:r>
          </w:p>
        </w:tc>
      </w:tr>
    </w:tbl>
    <w:p w14:paraId="08B7BE42">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其他：无</w:t>
      </w:r>
    </w:p>
    <w:p w14:paraId="28DE4DB3">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技术项（F2×A2）满分为65.00分</w:t>
      </w:r>
    </w:p>
    <w:tbl>
      <w:tblPr>
        <w:tblStyle w:val="17"/>
        <w:tblW w:w="9284"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1"/>
        <w:gridCol w:w="800"/>
        <w:gridCol w:w="986"/>
        <w:gridCol w:w="6737"/>
      </w:tblGrid>
      <w:tr w14:paraId="76F320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1" w:type="dxa"/>
            <w:vAlign w:val="center"/>
          </w:tcPr>
          <w:p w14:paraId="0254A06E">
            <w:pPr>
              <w:pStyle w:val="54"/>
              <w:spacing w:line="360" w:lineRule="auto"/>
              <w:jc w:val="center"/>
              <w:rPr>
                <w:rFonts w:hint="default" w:ascii="宋体" w:hAnsi="宋体" w:eastAsia="宋体" w:cs="宋体"/>
                <w:sz w:val="24"/>
                <w:szCs w:val="24"/>
              </w:rPr>
            </w:pPr>
            <w:r>
              <w:rPr>
                <w:rFonts w:ascii="宋体" w:hAnsi="宋体" w:eastAsia="宋体" w:cs="宋体"/>
                <w:sz w:val="24"/>
                <w:szCs w:val="24"/>
              </w:rPr>
              <w:t>项目</w:t>
            </w:r>
          </w:p>
        </w:tc>
        <w:tc>
          <w:tcPr>
            <w:tcW w:w="800" w:type="dxa"/>
            <w:vAlign w:val="center"/>
          </w:tcPr>
          <w:p w14:paraId="2A4E5CA0">
            <w:pPr>
              <w:pStyle w:val="54"/>
              <w:spacing w:line="360" w:lineRule="auto"/>
              <w:jc w:val="center"/>
              <w:rPr>
                <w:rFonts w:hint="default" w:ascii="宋体" w:hAnsi="宋体" w:eastAsia="宋体" w:cs="宋体"/>
                <w:sz w:val="24"/>
                <w:szCs w:val="24"/>
              </w:rPr>
            </w:pPr>
            <w:r>
              <w:rPr>
                <w:rFonts w:ascii="宋体" w:hAnsi="宋体" w:eastAsia="宋体" w:cs="宋体"/>
                <w:sz w:val="24"/>
                <w:szCs w:val="24"/>
              </w:rPr>
              <w:t>分值</w:t>
            </w:r>
          </w:p>
        </w:tc>
        <w:tc>
          <w:tcPr>
            <w:tcW w:w="986" w:type="dxa"/>
            <w:vAlign w:val="center"/>
          </w:tcPr>
          <w:p w14:paraId="3AFA8129">
            <w:pPr>
              <w:pStyle w:val="54"/>
              <w:spacing w:line="360" w:lineRule="auto"/>
              <w:jc w:val="center"/>
              <w:rPr>
                <w:rFonts w:hint="default" w:ascii="宋体" w:hAnsi="宋体" w:eastAsia="宋体" w:cs="宋体"/>
                <w:sz w:val="24"/>
                <w:szCs w:val="24"/>
              </w:rPr>
            </w:pPr>
            <w:r>
              <w:rPr>
                <w:rFonts w:ascii="宋体" w:hAnsi="宋体" w:eastAsia="宋体" w:cs="宋体"/>
                <w:sz w:val="24"/>
                <w:szCs w:val="24"/>
              </w:rPr>
              <w:t>是否客观分</w:t>
            </w:r>
          </w:p>
        </w:tc>
        <w:tc>
          <w:tcPr>
            <w:tcW w:w="6737" w:type="dxa"/>
            <w:vAlign w:val="center"/>
          </w:tcPr>
          <w:p w14:paraId="4B3FAC1C">
            <w:pPr>
              <w:pStyle w:val="54"/>
              <w:spacing w:line="360" w:lineRule="auto"/>
              <w:jc w:val="center"/>
              <w:rPr>
                <w:rFonts w:hint="default" w:ascii="宋体" w:hAnsi="宋体" w:eastAsia="宋体" w:cs="宋体"/>
                <w:sz w:val="24"/>
                <w:szCs w:val="24"/>
              </w:rPr>
            </w:pPr>
            <w:r>
              <w:rPr>
                <w:rFonts w:ascii="宋体" w:hAnsi="宋体" w:eastAsia="宋体" w:cs="宋体"/>
                <w:sz w:val="24"/>
                <w:szCs w:val="24"/>
              </w:rPr>
              <w:t>描述</w:t>
            </w:r>
          </w:p>
        </w:tc>
      </w:tr>
      <w:tr w14:paraId="67DB41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1" w:type="dxa"/>
            <w:vAlign w:val="center"/>
          </w:tcPr>
          <w:p w14:paraId="234AC881">
            <w:pPr>
              <w:pStyle w:val="54"/>
              <w:spacing w:line="360" w:lineRule="auto"/>
              <w:jc w:val="center"/>
              <w:rPr>
                <w:rFonts w:hint="default" w:ascii="宋体" w:hAnsi="宋体" w:eastAsia="宋体" w:cs="宋体"/>
                <w:sz w:val="24"/>
                <w:szCs w:val="24"/>
              </w:rPr>
            </w:pPr>
            <w:r>
              <w:rPr>
                <w:rFonts w:ascii="宋体" w:hAnsi="宋体" w:eastAsia="宋体" w:cs="宋体"/>
                <w:sz w:val="24"/>
                <w:szCs w:val="24"/>
              </w:rPr>
              <w:t>1-1</w:t>
            </w:r>
          </w:p>
        </w:tc>
        <w:tc>
          <w:tcPr>
            <w:tcW w:w="800" w:type="dxa"/>
            <w:vAlign w:val="center"/>
          </w:tcPr>
          <w:p w14:paraId="468C3BBB">
            <w:pPr>
              <w:pStyle w:val="54"/>
              <w:spacing w:line="360" w:lineRule="auto"/>
              <w:jc w:val="center"/>
              <w:rPr>
                <w:rFonts w:hint="default" w:ascii="宋体" w:hAnsi="宋体" w:eastAsia="宋体" w:cs="宋体"/>
                <w:sz w:val="24"/>
                <w:szCs w:val="24"/>
              </w:rPr>
            </w:pPr>
            <w:r>
              <w:rPr>
                <w:rFonts w:ascii="宋体" w:hAnsi="宋体" w:eastAsia="宋体" w:cs="宋体"/>
                <w:sz w:val="24"/>
                <w:szCs w:val="24"/>
              </w:rPr>
              <w:t>3</w:t>
            </w:r>
          </w:p>
        </w:tc>
        <w:tc>
          <w:tcPr>
            <w:tcW w:w="986" w:type="dxa"/>
            <w:vAlign w:val="center"/>
          </w:tcPr>
          <w:p w14:paraId="197536CA">
            <w:pPr>
              <w:pStyle w:val="54"/>
              <w:spacing w:line="360" w:lineRule="auto"/>
              <w:jc w:val="center"/>
              <w:rPr>
                <w:rFonts w:hint="default" w:ascii="宋体" w:hAnsi="宋体" w:eastAsia="宋体" w:cs="宋体"/>
                <w:sz w:val="24"/>
                <w:szCs w:val="24"/>
              </w:rPr>
            </w:pPr>
            <w:r>
              <w:rPr>
                <w:rFonts w:ascii="宋体" w:hAnsi="宋体" w:eastAsia="宋体" w:cs="宋体"/>
                <w:sz w:val="24"/>
                <w:szCs w:val="24"/>
              </w:rPr>
              <w:t>是</w:t>
            </w:r>
          </w:p>
        </w:tc>
        <w:tc>
          <w:tcPr>
            <w:tcW w:w="6737" w:type="dxa"/>
            <w:vAlign w:val="center"/>
          </w:tcPr>
          <w:p w14:paraId="1C7763C6">
            <w:pPr>
              <w:pStyle w:val="54"/>
              <w:spacing w:line="360" w:lineRule="auto"/>
              <w:rPr>
                <w:rFonts w:hint="default" w:ascii="宋体" w:hAnsi="宋体" w:eastAsia="宋体" w:cs="宋体"/>
                <w:sz w:val="24"/>
                <w:szCs w:val="24"/>
              </w:rPr>
            </w:pPr>
            <w:r>
              <w:rPr>
                <w:rFonts w:ascii="宋体" w:hAnsi="宋体" w:eastAsia="宋体" w:cs="宋体"/>
                <w:sz w:val="24"/>
                <w:szCs w:val="24"/>
              </w:rPr>
              <w:t>投标人对本项目的网络系统现状进行分析描述，并提供相对清晰完整的系统拓扑图的得3分；否则不得分。</w:t>
            </w:r>
          </w:p>
        </w:tc>
      </w:tr>
      <w:tr w14:paraId="6A78C2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1" w:type="dxa"/>
            <w:vAlign w:val="center"/>
          </w:tcPr>
          <w:p w14:paraId="471B2252">
            <w:pPr>
              <w:pStyle w:val="54"/>
              <w:spacing w:line="360" w:lineRule="auto"/>
              <w:jc w:val="center"/>
              <w:rPr>
                <w:rFonts w:hint="default" w:ascii="宋体" w:hAnsi="宋体" w:eastAsia="宋体" w:cs="宋体"/>
                <w:sz w:val="24"/>
                <w:szCs w:val="24"/>
              </w:rPr>
            </w:pPr>
            <w:r>
              <w:rPr>
                <w:rFonts w:ascii="宋体" w:hAnsi="宋体" w:eastAsia="宋体" w:cs="宋体"/>
                <w:sz w:val="24"/>
                <w:szCs w:val="24"/>
              </w:rPr>
              <w:t>1-2</w:t>
            </w:r>
          </w:p>
        </w:tc>
        <w:tc>
          <w:tcPr>
            <w:tcW w:w="800" w:type="dxa"/>
            <w:vAlign w:val="center"/>
          </w:tcPr>
          <w:p w14:paraId="4BAFE600">
            <w:pPr>
              <w:pStyle w:val="54"/>
              <w:spacing w:line="360" w:lineRule="auto"/>
              <w:jc w:val="center"/>
              <w:rPr>
                <w:rFonts w:hint="default" w:ascii="宋体" w:hAnsi="宋体" w:eastAsia="宋体" w:cs="宋体"/>
                <w:sz w:val="24"/>
                <w:szCs w:val="24"/>
              </w:rPr>
            </w:pPr>
            <w:r>
              <w:rPr>
                <w:rFonts w:ascii="宋体" w:hAnsi="宋体" w:eastAsia="宋体" w:cs="宋体"/>
                <w:sz w:val="24"/>
                <w:szCs w:val="24"/>
              </w:rPr>
              <w:t>2</w:t>
            </w:r>
          </w:p>
        </w:tc>
        <w:tc>
          <w:tcPr>
            <w:tcW w:w="986" w:type="dxa"/>
            <w:vAlign w:val="center"/>
          </w:tcPr>
          <w:p w14:paraId="74D1937F">
            <w:pPr>
              <w:pStyle w:val="54"/>
              <w:spacing w:line="360" w:lineRule="auto"/>
              <w:jc w:val="center"/>
              <w:rPr>
                <w:rFonts w:hint="default" w:ascii="宋体" w:hAnsi="宋体" w:eastAsia="宋体" w:cs="宋体"/>
                <w:sz w:val="24"/>
                <w:szCs w:val="24"/>
              </w:rPr>
            </w:pPr>
            <w:r>
              <w:rPr>
                <w:rFonts w:ascii="宋体" w:hAnsi="宋体" w:eastAsia="宋体" w:cs="宋体"/>
                <w:sz w:val="24"/>
                <w:szCs w:val="24"/>
              </w:rPr>
              <w:t>是</w:t>
            </w:r>
          </w:p>
        </w:tc>
        <w:tc>
          <w:tcPr>
            <w:tcW w:w="6737" w:type="dxa"/>
            <w:vAlign w:val="center"/>
          </w:tcPr>
          <w:p w14:paraId="0DAFB8E4">
            <w:pPr>
              <w:pStyle w:val="54"/>
              <w:spacing w:line="360" w:lineRule="auto"/>
              <w:rPr>
                <w:rFonts w:hint="default" w:ascii="宋体" w:hAnsi="宋体" w:eastAsia="宋体" w:cs="宋体"/>
                <w:sz w:val="24"/>
                <w:szCs w:val="24"/>
              </w:rPr>
            </w:pPr>
            <w:r>
              <w:rPr>
                <w:rFonts w:ascii="宋体" w:hAnsi="宋体" w:eastAsia="宋体" w:cs="宋体"/>
                <w:sz w:val="24"/>
                <w:szCs w:val="24"/>
              </w:rPr>
              <w:t>根据投标人对现有市级夜景照明集中控制平台功能及市区对接协同管理情况描述进行评价：有进一步落实系统功能细节和市区对接协同情况，并展示平台功能截图，符合项目需求的得2分；未提供内容或不符合上述情形的不得分。</w:t>
            </w:r>
          </w:p>
        </w:tc>
      </w:tr>
      <w:tr w14:paraId="11A28F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1" w:type="dxa"/>
            <w:vAlign w:val="center"/>
          </w:tcPr>
          <w:p w14:paraId="4DCD75AA">
            <w:pPr>
              <w:pStyle w:val="54"/>
              <w:spacing w:line="360" w:lineRule="auto"/>
              <w:jc w:val="center"/>
              <w:rPr>
                <w:rFonts w:hint="default" w:ascii="宋体" w:hAnsi="宋体" w:eastAsia="宋体" w:cs="宋体"/>
                <w:sz w:val="24"/>
                <w:szCs w:val="24"/>
              </w:rPr>
            </w:pPr>
            <w:r>
              <w:rPr>
                <w:rFonts w:ascii="宋体" w:hAnsi="宋体" w:eastAsia="宋体" w:cs="宋体"/>
                <w:sz w:val="24"/>
                <w:szCs w:val="24"/>
              </w:rPr>
              <w:t>1-3</w:t>
            </w:r>
          </w:p>
        </w:tc>
        <w:tc>
          <w:tcPr>
            <w:tcW w:w="800" w:type="dxa"/>
            <w:vAlign w:val="center"/>
          </w:tcPr>
          <w:p w14:paraId="351BB6F5">
            <w:pPr>
              <w:pStyle w:val="54"/>
              <w:spacing w:line="360" w:lineRule="auto"/>
              <w:jc w:val="center"/>
              <w:rPr>
                <w:rFonts w:hint="default" w:ascii="宋体" w:hAnsi="宋体" w:eastAsia="宋体" w:cs="宋体"/>
                <w:sz w:val="24"/>
                <w:szCs w:val="24"/>
              </w:rPr>
            </w:pPr>
            <w:r>
              <w:rPr>
                <w:rFonts w:ascii="宋体" w:hAnsi="宋体" w:eastAsia="宋体" w:cs="宋体"/>
                <w:sz w:val="24"/>
                <w:szCs w:val="24"/>
              </w:rPr>
              <w:t>3</w:t>
            </w:r>
          </w:p>
        </w:tc>
        <w:tc>
          <w:tcPr>
            <w:tcW w:w="986" w:type="dxa"/>
            <w:vAlign w:val="center"/>
          </w:tcPr>
          <w:p w14:paraId="3FA10928">
            <w:pPr>
              <w:pStyle w:val="54"/>
              <w:spacing w:line="360" w:lineRule="auto"/>
              <w:jc w:val="center"/>
              <w:rPr>
                <w:rFonts w:hint="default" w:ascii="宋体" w:hAnsi="宋体" w:eastAsia="宋体" w:cs="宋体"/>
                <w:sz w:val="24"/>
                <w:szCs w:val="24"/>
              </w:rPr>
            </w:pPr>
            <w:r>
              <w:rPr>
                <w:rFonts w:ascii="宋体" w:hAnsi="宋体" w:eastAsia="宋体" w:cs="宋体"/>
                <w:sz w:val="24"/>
                <w:szCs w:val="24"/>
              </w:rPr>
              <w:t>是</w:t>
            </w:r>
          </w:p>
        </w:tc>
        <w:tc>
          <w:tcPr>
            <w:tcW w:w="6737" w:type="dxa"/>
            <w:vAlign w:val="center"/>
          </w:tcPr>
          <w:p w14:paraId="0804B100">
            <w:pPr>
              <w:pStyle w:val="54"/>
              <w:spacing w:line="360" w:lineRule="auto"/>
              <w:rPr>
                <w:rFonts w:hint="default" w:ascii="宋体" w:hAnsi="宋体" w:eastAsia="宋体" w:cs="宋体"/>
                <w:bCs/>
                <w:sz w:val="24"/>
                <w:szCs w:val="24"/>
              </w:rPr>
            </w:pPr>
            <w:r>
              <w:rPr>
                <w:rFonts w:ascii="宋体" w:hAnsi="宋体" w:eastAsia="宋体" w:cs="宋体"/>
                <w:bCs/>
                <w:sz w:val="24"/>
                <w:szCs w:val="24"/>
              </w:rPr>
              <w:t>根据投标人针对招标文件第五章 “1维护范围”响应情况进行评价：</w:t>
            </w:r>
          </w:p>
          <w:p w14:paraId="6C94029E">
            <w:pPr>
              <w:pStyle w:val="54"/>
              <w:spacing w:line="360" w:lineRule="auto"/>
              <w:rPr>
                <w:rFonts w:hint="default" w:ascii="宋体" w:hAnsi="宋体" w:eastAsia="宋体" w:cs="宋体"/>
                <w:sz w:val="24"/>
                <w:szCs w:val="24"/>
              </w:rPr>
            </w:pPr>
            <w:r>
              <w:rPr>
                <w:rFonts w:ascii="宋体" w:hAnsi="宋体" w:eastAsia="宋体" w:cs="宋体"/>
                <w:bCs/>
                <w:sz w:val="24"/>
                <w:szCs w:val="24"/>
              </w:rPr>
              <w:t>对该项内容有做出响应，满足项目招标文件要求的得3分；未提供相关内容或提供的内容不符合本项目要求的得0分。</w:t>
            </w:r>
          </w:p>
        </w:tc>
      </w:tr>
      <w:tr w14:paraId="2B31E8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1" w:type="dxa"/>
            <w:vAlign w:val="center"/>
          </w:tcPr>
          <w:p w14:paraId="7783CF13">
            <w:pPr>
              <w:pStyle w:val="54"/>
              <w:spacing w:line="360" w:lineRule="auto"/>
              <w:jc w:val="center"/>
              <w:rPr>
                <w:rFonts w:hint="default" w:ascii="宋体" w:hAnsi="宋体" w:eastAsia="宋体" w:cs="宋体"/>
                <w:sz w:val="24"/>
                <w:szCs w:val="24"/>
              </w:rPr>
            </w:pPr>
            <w:r>
              <w:rPr>
                <w:rFonts w:ascii="宋体" w:hAnsi="宋体" w:eastAsia="宋体" w:cs="宋体"/>
                <w:sz w:val="24"/>
                <w:szCs w:val="24"/>
              </w:rPr>
              <w:t>1-4</w:t>
            </w:r>
          </w:p>
        </w:tc>
        <w:tc>
          <w:tcPr>
            <w:tcW w:w="800" w:type="dxa"/>
            <w:vAlign w:val="center"/>
          </w:tcPr>
          <w:p w14:paraId="7D6DD615">
            <w:pPr>
              <w:pStyle w:val="54"/>
              <w:spacing w:line="360" w:lineRule="auto"/>
              <w:jc w:val="center"/>
              <w:rPr>
                <w:rFonts w:hint="default" w:ascii="宋体" w:hAnsi="宋体" w:eastAsia="宋体" w:cs="宋体"/>
                <w:sz w:val="24"/>
                <w:szCs w:val="24"/>
              </w:rPr>
            </w:pPr>
            <w:r>
              <w:rPr>
                <w:rFonts w:ascii="宋体" w:hAnsi="宋体" w:eastAsia="宋体" w:cs="宋体"/>
                <w:sz w:val="24"/>
                <w:szCs w:val="24"/>
              </w:rPr>
              <w:t>3</w:t>
            </w:r>
          </w:p>
        </w:tc>
        <w:tc>
          <w:tcPr>
            <w:tcW w:w="986" w:type="dxa"/>
            <w:vAlign w:val="center"/>
          </w:tcPr>
          <w:p w14:paraId="17E421A1">
            <w:pPr>
              <w:pStyle w:val="54"/>
              <w:spacing w:line="360" w:lineRule="auto"/>
              <w:jc w:val="center"/>
              <w:rPr>
                <w:rFonts w:hint="default" w:ascii="宋体" w:hAnsi="宋体" w:eastAsia="宋体" w:cs="宋体"/>
                <w:sz w:val="24"/>
                <w:szCs w:val="24"/>
              </w:rPr>
            </w:pPr>
            <w:r>
              <w:rPr>
                <w:rFonts w:ascii="宋体" w:hAnsi="宋体" w:eastAsia="宋体" w:cs="宋体"/>
                <w:sz w:val="24"/>
                <w:szCs w:val="24"/>
              </w:rPr>
              <w:t>是</w:t>
            </w:r>
          </w:p>
        </w:tc>
        <w:tc>
          <w:tcPr>
            <w:tcW w:w="6737" w:type="dxa"/>
            <w:vAlign w:val="center"/>
          </w:tcPr>
          <w:p w14:paraId="382A8C87">
            <w:pPr>
              <w:pStyle w:val="54"/>
              <w:spacing w:line="360" w:lineRule="auto"/>
              <w:rPr>
                <w:rFonts w:hint="default" w:ascii="宋体" w:hAnsi="宋体" w:eastAsia="宋体" w:cs="宋体"/>
                <w:bCs/>
                <w:sz w:val="24"/>
                <w:szCs w:val="24"/>
              </w:rPr>
            </w:pPr>
            <w:r>
              <w:rPr>
                <w:rFonts w:ascii="宋体" w:hAnsi="宋体" w:eastAsia="宋体" w:cs="宋体"/>
                <w:bCs/>
                <w:sz w:val="24"/>
                <w:szCs w:val="24"/>
              </w:rPr>
              <w:t>根据投标人针对招标文件第五章 “2维护主要工作内容”响应情况进行评价：</w:t>
            </w:r>
          </w:p>
          <w:p w14:paraId="1257629C">
            <w:pPr>
              <w:pStyle w:val="54"/>
              <w:spacing w:line="360" w:lineRule="auto"/>
              <w:rPr>
                <w:rFonts w:hint="default" w:ascii="宋体" w:hAnsi="宋体" w:eastAsia="宋体" w:cs="宋体"/>
                <w:sz w:val="24"/>
                <w:szCs w:val="24"/>
              </w:rPr>
            </w:pPr>
            <w:r>
              <w:rPr>
                <w:rFonts w:ascii="宋体" w:hAnsi="宋体" w:eastAsia="宋体" w:cs="宋体"/>
                <w:bCs/>
                <w:sz w:val="24"/>
                <w:szCs w:val="24"/>
              </w:rPr>
              <w:t>对该项内容有做出响应，满足项目招标文件要求的得3分；未提供相关内容或提供的内容不符合本项目要求的得0分。</w:t>
            </w:r>
          </w:p>
        </w:tc>
      </w:tr>
      <w:tr w14:paraId="611953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1" w:type="dxa"/>
            <w:vAlign w:val="center"/>
          </w:tcPr>
          <w:p w14:paraId="3457094B">
            <w:pPr>
              <w:pStyle w:val="54"/>
              <w:spacing w:line="360" w:lineRule="auto"/>
              <w:jc w:val="center"/>
              <w:rPr>
                <w:rFonts w:hint="default" w:ascii="宋体" w:hAnsi="宋体" w:eastAsia="宋体" w:cs="宋体"/>
                <w:sz w:val="24"/>
                <w:szCs w:val="24"/>
              </w:rPr>
            </w:pPr>
            <w:r>
              <w:rPr>
                <w:rFonts w:ascii="宋体" w:hAnsi="宋体" w:eastAsia="宋体" w:cs="宋体"/>
                <w:sz w:val="24"/>
                <w:szCs w:val="24"/>
              </w:rPr>
              <w:t>1-5</w:t>
            </w:r>
          </w:p>
        </w:tc>
        <w:tc>
          <w:tcPr>
            <w:tcW w:w="800" w:type="dxa"/>
            <w:vAlign w:val="center"/>
          </w:tcPr>
          <w:p w14:paraId="64840634">
            <w:pPr>
              <w:pStyle w:val="54"/>
              <w:spacing w:line="360" w:lineRule="auto"/>
              <w:jc w:val="center"/>
              <w:rPr>
                <w:rFonts w:hint="default" w:ascii="宋体" w:hAnsi="宋体" w:eastAsia="宋体" w:cs="宋体"/>
                <w:sz w:val="24"/>
                <w:szCs w:val="24"/>
              </w:rPr>
            </w:pPr>
            <w:r>
              <w:rPr>
                <w:rFonts w:ascii="宋体" w:hAnsi="宋体" w:eastAsia="宋体" w:cs="宋体"/>
                <w:sz w:val="24"/>
                <w:szCs w:val="24"/>
              </w:rPr>
              <w:t>2</w:t>
            </w:r>
          </w:p>
        </w:tc>
        <w:tc>
          <w:tcPr>
            <w:tcW w:w="986" w:type="dxa"/>
            <w:vAlign w:val="center"/>
          </w:tcPr>
          <w:p w14:paraId="0DCB8577">
            <w:pPr>
              <w:pStyle w:val="54"/>
              <w:spacing w:line="360" w:lineRule="auto"/>
              <w:jc w:val="center"/>
              <w:rPr>
                <w:rFonts w:hint="default" w:ascii="宋体" w:hAnsi="宋体" w:eastAsia="宋体" w:cs="宋体"/>
                <w:b/>
                <w:bCs/>
                <w:sz w:val="24"/>
                <w:szCs w:val="24"/>
                <w:highlight w:val="none"/>
              </w:rPr>
            </w:pPr>
            <w:r>
              <w:rPr>
                <w:rFonts w:ascii="宋体" w:hAnsi="宋体" w:eastAsia="宋体" w:cs="宋体"/>
                <w:b/>
                <w:bCs/>
                <w:sz w:val="24"/>
                <w:szCs w:val="24"/>
                <w:highlight w:val="none"/>
              </w:rPr>
              <w:t>否</w:t>
            </w:r>
          </w:p>
        </w:tc>
        <w:tc>
          <w:tcPr>
            <w:tcW w:w="6737" w:type="dxa"/>
            <w:vAlign w:val="center"/>
          </w:tcPr>
          <w:p w14:paraId="4165899B">
            <w:pPr>
              <w:pStyle w:val="54"/>
              <w:spacing w:line="360" w:lineRule="auto"/>
              <w:rPr>
                <w:rFonts w:hint="default" w:ascii="宋体" w:hAnsi="宋体" w:eastAsia="宋体" w:cs="宋体"/>
                <w:sz w:val="24"/>
                <w:szCs w:val="24"/>
              </w:rPr>
            </w:pPr>
            <w:r>
              <w:rPr>
                <w:rFonts w:ascii="宋体" w:hAnsi="宋体" w:eastAsia="宋体" w:cs="宋体"/>
                <w:sz w:val="24"/>
                <w:szCs w:val="24"/>
              </w:rPr>
              <w:t>根据投标人对本项目服务内容及要求的分析理解情况进行评分：</w:t>
            </w:r>
          </w:p>
          <w:p w14:paraId="18968D42">
            <w:pPr>
              <w:pStyle w:val="54"/>
              <w:spacing w:line="360" w:lineRule="auto"/>
              <w:rPr>
                <w:rFonts w:hint="default" w:ascii="宋体" w:hAnsi="宋体" w:eastAsia="宋体" w:cs="宋体"/>
                <w:sz w:val="24"/>
                <w:szCs w:val="24"/>
              </w:rPr>
            </w:pPr>
            <w:r>
              <w:rPr>
                <w:rFonts w:ascii="宋体" w:hAnsi="宋体" w:eastAsia="宋体" w:cs="宋体"/>
                <w:sz w:val="24"/>
                <w:szCs w:val="24"/>
              </w:rPr>
              <w:t>①提供上述内容，符合项目需求的得1.7分；</w:t>
            </w:r>
          </w:p>
          <w:p w14:paraId="7F0C151E">
            <w:pPr>
              <w:pStyle w:val="54"/>
              <w:spacing w:line="360" w:lineRule="auto"/>
              <w:rPr>
                <w:rFonts w:hint="default" w:ascii="宋体" w:hAnsi="宋体" w:eastAsia="宋体" w:cs="宋体"/>
                <w:sz w:val="24"/>
                <w:szCs w:val="24"/>
              </w:rPr>
            </w:pPr>
            <w:r>
              <w:rPr>
                <w:rFonts w:ascii="宋体" w:hAnsi="宋体" w:eastAsia="宋体" w:cs="宋体"/>
                <w:sz w:val="24"/>
                <w:szCs w:val="24"/>
              </w:rPr>
              <w:t xml:space="preserve">②在满足①的基础上，内容结合项目特点，概括项目总体服务内容，针对服务内容有进行分类、分解、细化，并针对具体实施内容完整详细展开阐述，环节完整的得2分； </w:t>
            </w:r>
          </w:p>
          <w:p w14:paraId="15555AD0">
            <w:pPr>
              <w:pStyle w:val="54"/>
              <w:spacing w:line="360" w:lineRule="auto"/>
              <w:rPr>
                <w:rFonts w:hint="default" w:ascii="宋体" w:hAnsi="宋体" w:eastAsia="宋体" w:cs="宋体"/>
                <w:sz w:val="24"/>
                <w:szCs w:val="24"/>
              </w:rPr>
            </w:pPr>
            <w:r>
              <w:rPr>
                <w:rFonts w:ascii="宋体" w:hAnsi="宋体" w:eastAsia="宋体" w:cs="宋体"/>
                <w:sz w:val="24"/>
                <w:szCs w:val="24"/>
              </w:rPr>
              <w:t>③未提供方案或不符合上述情形的不得分。</w:t>
            </w:r>
          </w:p>
        </w:tc>
      </w:tr>
      <w:tr w14:paraId="110D12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1" w:type="dxa"/>
            <w:vAlign w:val="center"/>
          </w:tcPr>
          <w:p w14:paraId="2C78753F">
            <w:pPr>
              <w:pStyle w:val="54"/>
              <w:spacing w:line="360" w:lineRule="auto"/>
              <w:jc w:val="center"/>
              <w:rPr>
                <w:rFonts w:hint="default" w:ascii="宋体" w:hAnsi="宋体" w:eastAsia="宋体" w:cs="宋体"/>
                <w:sz w:val="24"/>
                <w:szCs w:val="24"/>
              </w:rPr>
            </w:pPr>
            <w:r>
              <w:rPr>
                <w:rFonts w:ascii="宋体" w:hAnsi="宋体" w:eastAsia="宋体" w:cs="宋体"/>
                <w:sz w:val="24"/>
                <w:szCs w:val="24"/>
              </w:rPr>
              <w:t>1-6</w:t>
            </w:r>
          </w:p>
        </w:tc>
        <w:tc>
          <w:tcPr>
            <w:tcW w:w="800" w:type="dxa"/>
            <w:vAlign w:val="center"/>
          </w:tcPr>
          <w:p w14:paraId="19E6898A">
            <w:pPr>
              <w:pStyle w:val="54"/>
              <w:spacing w:line="360" w:lineRule="auto"/>
              <w:jc w:val="center"/>
              <w:rPr>
                <w:rFonts w:hint="default" w:ascii="宋体" w:hAnsi="宋体" w:eastAsia="宋体" w:cs="宋体"/>
                <w:sz w:val="24"/>
                <w:szCs w:val="24"/>
              </w:rPr>
            </w:pPr>
            <w:r>
              <w:rPr>
                <w:rFonts w:ascii="宋体" w:hAnsi="宋体" w:eastAsia="宋体" w:cs="宋体"/>
                <w:sz w:val="24"/>
                <w:szCs w:val="24"/>
              </w:rPr>
              <w:t>3</w:t>
            </w:r>
          </w:p>
        </w:tc>
        <w:tc>
          <w:tcPr>
            <w:tcW w:w="986" w:type="dxa"/>
            <w:vAlign w:val="center"/>
          </w:tcPr>
          <w:p w14:paraId="1B503365">
            <w:pPr>
              <w:pStyle w:val="54"/>
              <w:spacing w:line="360" w:lineRule="auto"/>
              <w:jc w:val="center"/>
              <w:rPr>
                <w:rFonts w:hint="default" w:ascii="宋体" w:hAnsi="宋体" w:eastAsia="宋体" w:cs="宋体"/>
                <w:b/>
                <w:bCs/>
                <w:sz w:val="24"/>
                <w:szCs w:val="24"/>
                <w:highlight w:val="none"/>
              </w:rPr>
            </w:pPr>
            <w:r>
              <w:rPr>
                <w:rFonts w:ascii="宋体" w:hAnsi="宋体" w:eastAsia="宋体" w:cs="宋体"/>
                <w:b/>
                <w:bCs/>
                <w:sz w:val="24"/>
                <w:szCs w:val="24"/>
                <w:highlight w:val="none"/>
              </w:rPr>
              <w:t>否</w:t>
            </w:r>
          </w:p>
        </w:tc>
        <w:tc>
          <w:tcPr>
            <w:tcW w:w="6737" w:type="dxa"/>
            <w:vAlign w:val="center"/>
          </w:tcPr>
          <w:p w14:paraId="75666087">
            <w:pPr>
              <w:pStyle w:val="54"/>
              <w:spacing w:line="360" w:lineRule="auto"/>
              <w:rPr>
                <w:rFonts w:hint="default" w:ascii="宋体" w:hAnsi="宋体" w:eastAsia="宋体" w:cs="宋体"/>
                <w:sz w:val="24"/>
                <w:szCs w:val="24"/>
              </w:rPr>
            </w:pPr>
            <w:r>
              <w:rPr>
                <w:rFonts w:ascii="宋体" w:hAnsi="宋体" w:eastAsia="宋体" w:cs="宋体"/>
                <w:sz w:val="24"/>
                <w:szCs w:val="24"/>
              </w:rPr>
              <w:t>根据投标人针对本项目提供的整体运行维护服务方案进行评分：</w:t>
            </w:r>
          </w:p>
          <w:p w14:paraId="476746D7">
            <w:pPr>
              <w:pStyle w:val="54"/>
              <w:spacing w:line="360" w:lineRule="auto"/>
              <w:rPr>
                <w:rFonts w:hint="default" w:ascii="宋体" w:hAnsi="宋体" w:eastAsia="宋体" w:cs="宋体"/>
                <w:sz w:val="24"/>
                <w:szCs w:val="24"/>
              </w:rPr>
            </w:pPr>
            <w:r>
              <w:rPr>
                <w:rFonts w:ascii="宋体" w:hAnsi="宋体" w:eastAsia="宋体" w:cs="宋体"/>
                <w:sz w:val="24"/>
                <w:szCs w:val="24"/>
              </w:rPr>
              <w:t>①提供上述内容，符合项目需求的得2.7分；</w:t>
            </w:r>
          </w:p>
          <w:p w14:paraId="09BACD76">
            <w:pPr>
              <w:pStyle w:val="54"/>
              <w:spacing w:line="360" w:lineRule="auto"/>
              <w:rPr>
                <w:rFonts w:hint="default" w:ascii="宋体" w:hAnsi="宋体" w:eastAsia="宋体" w:cs="宋体"/>
                <w:sz w:val="24"/>
                <w:szCs w:val="24"/>
              </w:rPr>
            </w:pPr>
            <w:r>
              <w:rPr>
                <w:rFonts w:ascii="宋体" w:hAnsi="宋体" w:eastAsia="宋体" w:cs="宋体"/>
                <w:sz w:val="24"/>
                <w:szCs w:val="24"/>
              </w:rPr>
              <w:t>②在满足①的基础上，方案有具体的人员安排、详细的工作计划，内容包括服务内容、服务方式、服务流程、服务效果、服务成果、符合项目特点的得3分。</w:t>
            </w:r>
          </w:p>
          <w:p w14:paraId="69F8BFB3">
            <w:pPr>
              <w:pStyle w:val="54"/>
              <w:spacing w:line="360" w:lineRule="auto"/>
              <w:rPr>
                <w:rFonts w:hint="default" w:ascii="宋体" w:hAnsi="宋体" w:eastAsia="宋体" w:cs="宋体"/>
                <w:sz w:val="24"/>
                <w:szCs w:val="24"/>
              </w:rPr>
            </w:pPr>
            <w:r>
              <w:rPr>
                <w:rFonts w:ascii="宋体" w:hAnsi="宋体" w:eastAsia="宋体" w:cs="宋体"/>
                <w:sz w:val="24"/>
                <w:szCs w:val="24"/>
              </w:rPr>
              <w:t>③未提供方案或不符合上述情形的不得分。</w:t>
            </w:r>
          </w:p>
        </w:tc>
      </w:tr>
      <w:tr w14:paraId="5D2D46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1" w:type="dxa"/>
            <w:vAlign w:val="center"/>
          </w:tcPr>
          <w:p w14:paraId="529B2BF3">
            <w:pPr>
              <w:pStyle w:val="54"/>
              <w:spacing w:line="360" w:lineRule="auto"/>
              <w:jc w:val="center"/>
              <w:rPr>
                <w:rFonts w:hint="default" w:ascii="宋体" w:hAnsi="宋体" w:eastAsia="宋体" w:cs="宋体"/>
                <w:sz w:val="24"/>
                <w:szCs w:val="24"/>
              </w:rPr>
            </w:pPr>
            <w:r>
              <w:rPr>
                <w:rFonts w:ascii="宋体" w:hAnsi="宋体" w:eastAsia="宋体" w:cs="宋体"/>
                <w:sz w:val="24"/>
                <w:szCs w:val="24"/>
              </w:rPr>
              <w:t>1-7</w:t>
            </w:r>
          </w:p>
        </w:tc>
        <w:tc>
          <w:tcPr>
            <w:tcW w:w="800" w:type="dxa"/>
            <w:vAlign w:val="center"/>
          </w:tcPr>
          <w:p w14:paraId="57D3E5C8">
            <w:pPr>
              <w:pStyle w:val="54"/>
              <w:spacing w:line="360" w:lineRule="auto"/>
              <w:jc w:val="center"/>
              <w:rPr>
                <w:rFonts w:hint="default" w:ascii="宋体" w:hAnsi="宋体" w:eastAsia="宋体" w:cs="宋体"/>
                <w:sz w:val="24"/>
                <w:szCs w:val="24"/>
              </w:rPr>
            </w:pPr>
            <w:r>
              <w:rPr>
                <w:rFonts w:ascii="宋体" w:hAnsi="宋体" w:eastAsia="宋体" w:cs="宋体"/>
                <w:sz w:val="24"/>
                <w:szCs w:val="24"/>
              </w:rPr>
              <w:t>3</w:t>
            </w:r>
          </w:p>
        </w:tc>
        <w:tc>
          <w:tcPr>
            <w:tcW w:w="986" w:type="dxa"/>
            <w:vAlign w:val="center"/>
          </w:tcPr>
          <w:p w14:paraId="27E841A5">
            <w:pPr>
              <w:pStyle w:val="54"/>
              <w:spacing w:line="360" w:lineRule="auto"/>
              <w:jc w:val="center"/>
              <w:rPr>
                <w:rFonts w:hint="default" w:ascii="宋体" w:hAnsi="宋体" w:eastAsia="宋体" w:cs="宋体"/>
                <w:b/>
                <w:bCs/>
                <w:sz w:val="24"/>
                <w:szCs w:val="24"/>
                <w:highlight w:val="none"/>
              </w:rPr>
            </w:pPr>
            <w:r>
              <w:rPr>
                <w:rFonts w:ascii="宋体" w:hAnsi="宋体" w:eastAsia="宋体" w:cs="宋体"/>
                <w:b/>
                <w:bCs/>
                <w:sz w:val="24"/>
                <w:szCs w:val="24"/>
                <w:highlight w:val="none"/>
              </w:rPr>
              <w:t>否</w:t>
            </w:r>
          </w:p>
        </w:tc>
        <w:tc>
          <w:tcPr>
            <w:tcW w:w="6737" w:type="dxa"/>
            <w:vAlign w:val="center"/>
          </w:tcPr>
          <w:p w14:paraId="6D20725D">
            <w:pPr>
              <w:pStyle w:val="54"/>
              <w:spacing w:line="360" w:lineRule="auto"/>
              <w:rPr>
                <w:rFonts w:hint="default" w:ascii="宋体" w:hAnsi="宋体" w:eastAsia="宋体" w:cs="宋体"/>
                <w:sz w:val="24"/>
                <w:szCs w:val="24"/>
              </w:rPr>
            </w:pPr>
            <w:r>
              <w:rPr>
                <w:rFonts w:ascii="宋体" w:hAnsi="宋体" w:eastAsia="宋体" w:cs="宋体"/>
                <w:sz w:val="24"/>
                <w:szCs w:val="24"/>
              </w:rPr>
              <w:t>根据投标人提供的控制中心运行和日常管理的驻点服务方案进行评分：</w:t>
            </w:r>
          </w:p>
          <w:p w14:paraId="01BA601C">
            <w:pPr>
              <w:pStyle w:val="54"/>
              <w:spacing w:line="360" w:lineRule="auto"/>
              <w:rPr>
                <w:rFonts w:hint="default" w:ascii="宋体" w:hAnsi="宋体" w:eastAsia="宋体" w:cs="宋体"/>
                <w:sz w:val="24"/>
                <w:szCs w:val="24"/>
              </w:rPr>
            </w:pPr>
            <w:r>
              <w:rPr>
                <w:rFonts w:ascii="宋体" w:hAnsi="宋体" w:eastAsia="宋体" w:cs="宋体"/>
                <w:sz w:val="24"/>
                <w:szCs w:val="24"/>
              </w:rPr>
              <w:t>①提供上述内容，符合项目需求的得2.7分；</w:t>
            </w:r>
          </w:p>
          <w:p w14:paraId="513E2F46">
            <w:pPr>
              <w:pStyle w:val="54"/>
              <w:spacing w:line="360" w:lineRule="auto"/>
              <w:rPr>
                <w:rFonts w:hint="default" w:ascii="宋体" w:hAnsi="宋体" w:eastAsia="宋体" w:cs="宋体"/>
                <w:sz w:val="24"/>
                <w:szCs w:val="24"/>
              </w:rPr>
            </w:pPr>
            <w:r>
              <w:rPr>
                <w:rFonts w:ascii="宋体" w:hAnsi="宋体" w:eastAsia="宋体" w:cs="宋体"/>
                <w:sz w:val="24"/>
                <w:szCs w:val="24"/>
              </w:rPr>
              <w:t>②在满足①的基础上，控制中心运行和日常管理的驻点服务方案有具体的人员安排、明确的人员资历状况和日常管理制度的得3分；</w:t>
            </w:r>
          </w:p>
          <w:p w14:paraId="04107064">
            <w:pPr>
              <w:pStyle w:val="54"/>
              <w:spacing w:line="360" w:lineRule="auto"/>
              <w:rPr>
                <w:rFonts w:hint="default" w:ascii="宋体" w:hAnsi="宋体" w:eastAsia="宋体" w:cs="宋体"/>
                <w:sz w:val="24"/>
                <w:szCs w:val="24"/>
              </w:rPr>
            </w:pPr>
            <w:r>
              <w:rPr>
                <w:rFonts w:ascii="宋体" w:hAnsi="宋体" w:eastAsia="宋体" w:cs="宋体"/>
                <w:sz w:val="24"/>
                <w:szCs w:val="24"/>
              </w:rPr>
              <w:t>③未提供方案或不符合上述情形的不得分。</w:t>
            </w:r>
          </w:p>
        </w:tc>
      </w:tr>
      <w:tr w14:paraId="486B00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1" w:type="dxa"/>
            <w:vAlign w:val="center"/>
          </w:tcPr>
          <w:p w14:paraId="369A4C16">
            <w:pPr>
              <w:pStyle w:val="54"/>
              <w:spacing w:line="360" w:lineRule="auto"/>
              <w:jc w:val="center"/>
              <w:rPr>
                <w:rFonts w:hint="default" w:ascii="宋体" w:hAnsi="宋体" w:eastAsia="宋体" w:cs="宋体"/>
                <w:sz w:val="24"/>
                <w:szCs w:val="24"/>
              </w:rPr>
            </w:pPr>
            <w:r>
              <w:rPr>
                <w:rFonts w:ascii="宋体" w:hAnsi="宋体" w:eastAsia="宋体" w:cs="宋体"/>
                <w:sz w:val="24"/>
                <w:szCs w:val="24"/>
              </w:rPr>
              <w:t>1-8</w:t>
            </w:r>
          </w:p>
        </w:tc>
        <w:tc>
          <w:tcPr>
            <w:tcW w:w="800" w:type="dxa"/>
            <w:vAlign w:val="center"/>
          </w:tcPr>
          <w:p w14:paraId="0573F703">
            <w:pPr>
              <w:pStyle w:val="54"/>
              <w:spacing w:line="360" w:lineRule="auto"/>
              <w:jc w:val="center"/>
              <w:rPr>
                <w:rFonts w:hint="default" w:ascii="宋体" w:hAnsi="宋体" w:eastAsia="宋体" w:cs="宋体"/>
                <w:sz w:val="24"/>
                <w:szCs w:val="24"/>
              </w:rPr>
            </w:pPr>
            <w:r>
              <w:rPr>
                <w:rFonts w:ascii="宋体" w:hAnsi="宋体" w:eastAsia="宋体" w:cs="宋体"/>
                <w:sz w:val="24"/>
                <w:szCs w:val="24"/>
              </w:rPr>
              <w:t>3</w:t>
            </w:r>
          </w:p>
        </w:tc>
        <w:tc>
          <w:tcPr>
            <w:tcW w:w="986" w:type="dxa"/>
            <w:vAlign w:val="center"/>
          </w:tcPr>
          <w:p w14:paraId="2DE9F884">
            <w:pPr>
              <w:pStyle w:val="54"/>
              <w:spacing w:line="360" w:lineRule="auto"/>
              <w:jc w:val="center"/>
              <w:rPr>
                <w:rFonts w:hint="default" w:ascii="宋体" w:hAnsi="宋体" w:eastAsia="宋体" w:cs="宋体"/>
                <w:b/>
                <w:bCs/>
                <w:sz w:val="24"/>
                <w:szCs w:val="24"/>
                <w:highlight w:val="none"/>
              </w:rPr>
            </w:pPr>
            <w:r>
              <w:rPr>
                <w:rFonts w:ascii="宋体" w:hAnsi="宋体" w:eastAsia="宋体" w:cs="宋体"/>
                <w:b/>
                <w:bCs/>
                <w:sz w:val="24"/>
                <w:szCs w:val="24"/>
                <w:highlight w:val="none"/>
              </w:rPr>
              <w:t>否</w:t>
            </w:r>
          </w:p>
        </w:tc>
        <w:tc>
          <w:tcPr>
            <w:tcW w:w="6737" w:type="dxa"/>
            <w:vAlign w:val="center"/>
          </w:tcPr>
          <w:p w14:paraId="07F9D235">
            <w:pPr>
              <w:pStyle w:val="54"/>
              <w:spacing w:line="360" w:lineRule="auto"/>
              <w:rPr>
                <w:rFonts w:hint="default" w:ascii="宋体" w:hAnsi="宋体" w:eastAsia="宋体" w:cs="宋体"/>
                <w:sz w:val="24"/>
                <w:szCs w:val="24"/>
              </w:rPr>
            </w:pPr>
            <w:r>
              <w:rPr>
                <w:rFonts w:ascii="宋体" w:hAnsi="宋体" w:eastAsia="宋体" w:cs="宋体"/>
                <w:sz w:val="24"/>
                <w:szCs w:val="24"/>
              </w:rPr>
              <w:t>根据投标人控制中心系统设备日常例行巡检维护工作服务方案进行评分：</w:t>
            </w:r>
          </w:p>
          <w:p w14:paraId="34D80244">
            <w:pPr>
              <w:pStyle w:val="54"/>
              <w:spacing w:line="360" w:lineRule="auto"/>
              <w:rPr>
                <w:rFonts w:hint="default" w:ascii="宋体" w:hAnsi="宋体" w:eastAsia="宋体" w:cs="宋体"/>
                <w:sz w:val="24"/>
                <w:szCs w:val="24"/>
              </w:rPr>
            </w:pPr>
            <w:r>
              <w:rPr>
                <w:rFonts w:ascii="宋体" w:hAnsi="宋体" w:eastAsia="宋体" w:cs="宋体"/>
                <w:sz w:val="24"/>
                <w:szCs w:val="24"/>
              </w:rPr>
              <w:t>①提供上述内容，符合项目需求的得2.7分；</w:t>
            </w:r>
          </w:p>
          <w:p w14:paraId="5E1FB346">
            <w:pPr>
              <w:pStyle w:val="54"/>
              <w:spacing w:line="360" w:lineRule="auto"/>
              <w:rPr>
                <w:rFonts w:hint="default" w:ascii="宋体" w:hAnsi="宋体" w:eastAsia="宋体" w:cs="宋体"/>
                <w:sz w:val="24"/>
                <w:szCs w:val="24"/>
              </w:rPr>
            </w:pPr>
            <w:r>
              <w:rPr>
                <w:rFonts w:ascii="宋体" w:hAnsi="宋体" w:eastAsia="宋体" w:cs="宋体"/>
                <w:sz w:val="24"/>
                <w:szCs w:val="24"/>
              </w:rPr>
              <w:t>②在满足①的基础上，方案有具体的人员安排、明确的人员资历状况、有控制中心系统设备日常例行巡检维护制度和计划、特殊互动的巡检计划、符合项目特点的得3分；</w:t>
            </w:r>
          </w:p>
          <w:p w14:paraId="3F1CAA7E">
            <w:pPr>
              <w:pStyle w:val="54"/>
              <w:spacing w:line="360" w:lineRule="auto"/>
              <w:rPr>
                <w:rFonts w:hint="default" w:ascii="宋体" w:hAnsi="宋体" w:eastAsia="宋体" w:cs="宋体"/>
                <w:sz w:val="24"/>
                <w:szCs w:val="24"/>
              </w:rPr>
            </w:pPr>
            <w:r>
              <w:rPr>
                <w:rFonts w:ascii="宋体" w:hAnsi="宋体" w:eastAsia="宋体" w:cs="宋体"/>
                <w:sz w:val="24"/>
                <w:szCs w:val="24"/>
              </w:rPr>
              <w:t>③未提供方案或不符合上述情形的不得分。</w:t>
            </w:r>
          </w:p>
        </w:tc>
      </w:tr>
      <w:tr w14:paraId="436A51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1" w:type="dxa"/>
            <w:vAlign w:val="center"/>
          </w:tcPr>
          <w:p w14:paraId="6C27D134">
            <w:pPr>
              <w:pStyle w:val="54"/>
              <w:spacing w:line="360" w:lineRule="auto"/>
              <w:jc w:val="center"/>
              <w:rPr>
                <w:rFonts w:hint="default" w:ascii="宋体" w:hAnsi="宋体" w:eastAsia="宋体" w:cs="宋体"/>
                <w:sz w:val="24"/>
                <w:szCs w:val="24"/>
              </w:rPr>
            </w:pPr>
            <w:r>
              <w:rPr>
                <w:rFonts w:ascii="宋体" w:hAnsi="宋体" w:eastAsia="宋体" w:cs="宋体"/>
                <w:sz w:val="24"/>
                <w:szCs w:val="24"/>
              </w:rPr>
              <w:t>1-9</w:t>
            </w:r>
          </w:p>
        </w:tc>
        <w:tc>
          <w:tcPr>
            <w:tcW w:w="800" w:type="dxa"/>
            <w:vAlign w:val="center"/>
          </w:tcPr>
          <w:p w14:paraId="714A7967">
            <w:pPr>
              <w:pStyle w:val="54"/>
              <w:spacing w:line="360" w:lineRule="auto"/>
              <w:jc w:val="center"/>
              <w:rPr>
                <w:rFonts w:hint="default" w:ascii="宋体" w:hAnsi="宋体" w:eastAsia="宋体" w:cs="宋体"/>
                <w:sz w:val="24"/>
                <w:szCs w:val="24"/>
              </w:rPr>
            </w:pPr>
            <w:r>
              <w:rPr>
                <w:rFonts w:ascii="宋体" w:hAnsi="宋体" w:eastAsia="宋体" w:cs="宋体"/>
                <w:sz w:val="24"/>
                <w:szCs w:val="24"/>
              </w:rPr>
              <w:t>3</w:t>
            </w:r>
          </w:p>
        </w:tc>
        <w:tc>
          <w:tcPr>
            <w:tcW w:w="986" w:type="dxa"/>
            <w:vAlign w:val="center"/>
          </w:tcPr>
          <w:p w14:paraId="167F4AFA">
            <w:pPr>
              <w:pStyle w:val="54"/>
              <w:spacing w:line="360" w:lineRule="auto"/>
              <w:jc w:val="center"/>
              <w:rPr>
                <w:rFonts w:hint="default" w:ascii="宋体" w:hAnsi="宋体" w:eastAsia="宋体" w:cs="宋体"/>
                <w:b/>
                <w:bCs/>
                <w:sz w:val="24"/>
                <w:szCs w:val="24"/>
                <w:highlight w:val="none"/>
              </w:rPr>
            </w:pPr>
            <w:r>
              <w:rPr>
                <w:rFonts w:ascii="宋体" w:hAnsi="宋体" w:eastAsia="宋体" w:cs="宋体"/>
                <w:b/>
                <w:bCs/>
                <w:sz w:val="24"/>
                <w:szCs w:val="24"/>
                <w:highlight w:val="none"/>
              </w:rPr>
              <w:t>否</w:t>
            </w:r>
          </w:p>
        </w:tc>
        <w:tc>
          <w:tcPr>
            <w:tcW w:w="6737" w:type="dxa"/>
            <w:vAlign w:val="center"/>
          </w:tcPr>
          <w:p w14:paraId="724073A8">
            <w:pPr>
              <w:pStyle w:val="54"/>
              <w:spacing w:line="360" w:lineRule="auto"/>
              <w:rPr>
                <w:rFonts w:hint="default" w:ascii="宋体" w:hAnsi="宋体" w:eastAsia="宋体" w:cs="宋体"/>
                <w:sz w:val="24"/>
                <w:szCs w:val="24"/>
              </w:rPr>
            </w:pPr>
            <w:r>
              <w:rPr>
                <w:rFonts w:ascii="宋体" w:hAnsi="宋体" w:eastAsia="宋体" w:cs="宋体"/>
                <w:sz w:val="24"/>
                <w:szCs w:val="24"/>
              </w:rPr>
              <w:t>根据投标人前端控制系统日常例行巡检维护工作服务方案进行评分：</w:t>
            </w:r>
          </w:p>
          <w:p w14:paraId="29466726">
            <w:pPr>
              <w:pStyle w:val="54"/>
              <w:spacing w:line="360" w:lineRule="auto"/>
              <w:rPr>
                <w:rFonts w:hint="default" w:ascii="宋体" w:hAnsi="宋体" w:eastAsia="宋体" w:cs="宋体"/>
                <w:sz w:val="24"/>
                <w:szCs w:val="24"/>
              </w:rPr>
            </w:pPr>
            <w:r>
              <w:rPr>
                <w:rFonts w:ascii="宋体" w:hAnsi="宋体" w:eastAsia="宋体" w:cs="宋体"/>
                <w:sz w:val="24"/>
                <w:szCs w:val="24"/>
              </w:rPr>
              <w:t>①提供上述内容，符合项目需求的得2.8分；</w:t>
            </w:r>
          </w:p>
          <w:p w14:paraId="5A6E413C">
            <w:pPr>
              <w:pStyle w:val="54"/>
              <w:spacing w:line="360" w:lineRule="auto"/>
              <w:rPr>
                <w:rFonts w:hint="default" w:ascii="宋体" w:hAnsi="宋体" w:eastAsia="宋体" w:cs="宋体"/>
                <w:sz w:val="24"/>
                <w:szCs w:val="24"/>
              </w:rPr>
            </w:pPr>
            <w:r>
              <w:rPr>
                <w:rFonts w:ascii="宋体" w:hAnsi="宋体" w:eastAsia="宋体" w:cs="宋体"/>
                <w:sz w:val="24"/>
                <w:szCs w:val="24"/>
              </w:rPr>
              <w:t>②在满足①的基础上，方案有具体的人员安排、明确的人员资历状况、有前端控制系统日常例行巡检维护工作服务制度和特殊互动的巡检计划的得3分；</w:t>
            </w:r>
          </w:p>
          <w:p w14:paraId="1CF4F493">
            <w:pPr>
              <w:pStyle w:val="54"/>
              <w:spacing w:line="360" w:lineRule="auto"/>
              <w:rPr>
                <w:rFonts w:hint="default" w:ascii="宋体" w:hAnsi="宋体" w:eastAsia="宋体" w:cs="宋体"/>
                <w:sz w:val="24"/>
                <w:szCs w:val="24"/>
              </w:rPr>
            </w:pPr>
            <w:r>
              <w:rPr>
                <w:rFonts w:ascii="宋体" w:hAnsi="宋体" w:eastAsia="宋体" w:cs="宋体"/>
                <w:sz w:val="24"/>
                <w:szCs w:val="24"/>
              </w:rPr>
              <w:t>③未提供方案或不符合上述情形的不得分。</w:t>
            </w:r>
          </w:p>
        </w:tc>
      </w:tr>
      <w:tr w14:paraId="569C46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1" w:type="dxa"/>
            <w:vAlign w:val="center"/>
          </w:tcPr>
          <w:p w14:paraId="7CC129F7">
            <w:pPr>
              <w:pStyle w:val="54"/>
              <w:spacing w:line="360" w:lineRule="auto"/>
              <w:jc w:val="center"/>
              <w:rPr>
                <w:rFonts w:hint="default" w:ascii="宋体" w:hAnsi="宋体" w:eastAsia="宋体" w:cs="宋体"/>
                <w:sz w:val="24"/>
                <w:szCs w:val="24"/>
              </w:rPr>
            </w:pPr>
            <w:r>
              <w:rPr>
                <w:rFonts w:ascii="宋体" w:hAnsi="宋体" w:eastAsia="宋体" w:cs="宋体"/>
                <w:sz w:val="24"/>
                <w:szCs w:val="24"/>
              </w:rPr>
              <w:t>1-10</w:t>
            </w:r>
          </w:p>
        </w:tc>
        <w:tc>
          <w:tcPr>
            <w:tcW w:w="800" w:type="dxa"/>
            <w:vAlign w:val="center"/>
          </w:tcPr>
          <w:p w14:paraId="37295539">
            <w:pPr>
              <w:pStyle w:val="54"/>
              <w:spacing w:line="360" w:lineRule="auto"/>
              <w:jc w:val="center"/>
              <w:rPr>
                <w:rFonts w:hint="default" w:ascii="宋体" w:hAnsi="宋体" w:eastAsia="宋体" w:cs="宋体"/>
                <w:sz w:val="24"/>
                <w:szCs w:val="24"/>
              </w:rPr>
            </w:pPr>
            <w:r>
              <w:rPr>
                <w:rFonts w:ascii="宋体" w:hAnsi="宋体" w:eastAsia="宋体" w:cs="宋体"/>
                <w:sz w:val="24"/>
                <w:szCs w:val="24"/>
              </w:rPr>
              <w:t>3</w:t>
            </w:r>
          </w:p>
        </w:tc>
        <w:tc>
          <w:tcPr>
            <w:tcW w:w="986" w:type="dxa"/>
            <w:vAlign w:val="center"/>
          </w:tcPr>
          <w:p w14:paraId="20E48ACC">
            <w:pPr>
              <w:pStyle w:val="54"/>
              <w:spacing w:line="360" w:lineRule="auto"/>
              <w:jc w:val="center"/>
              <w:rPr>
                <w:rFonts w:hint="default" w:ascii="宋体" w:hAnsi="宋体" w:eastAsia="宋体" w:cs="宋体"/>
                <w:b/>
                <w:bCs/>
                <w:sz w:val="24"/>
                <w:szCs w:val="24"/>
                <w:highlight w:val="none"/>
              </w:rPr>
            </w:pPr>
            <w:r>
              <w:rPr>
                <w:rFonts w:ascii="宋体" w:hAnsi="宋体" w:eastAsia="宋体" w:cs="宋体"/>
                <w:b/>
                <w:bCs/>
                <w:sz w:val="24"/>
                <w:szCs w:val="24"/>
                <w:highlight w:val="none"/>
              </w:rPr>
              <w:t>否</w:t>
            </w:r>
          </w:p>
        </w:tc>
        <w:tc>
          <w:tcPr>
            <w:tcW w:w="6737" w:type="dxa"/>
            <w:vAlign w:val="center"/>
          </w:tcPr>
          <w:p w14:paraId="7C35D9CF">
            <w:pPr>
              <w:pStyle w:val="54"/>
              <w:spacing w:line="360" w:lineRule="auto"/>
              <w:rPr>
                <w:rFonts w:hint="default" w:ascii="宋体" w:hAnsi="宋体" w:eastAsia="宋体" w:cs="宋体"/>
                <w:sz w:val="24"/>
                <w:szCs w:val="24"/>
              </w:rPr>
            </w:pPr>
            <w:r>
              <w:rPr>
                <w:rFonts w:ascii="宋体" w:hAnsi="宋体" w:eastAsia="宋体" w:cs="宋体"/>
                <w:sz w:val="24"/>
                <w:szCs w:val="24"/>
              </w:rPr>
              <w:t>根据投标人前端亮灯故障处置服务方案进行评分：</w:t>
            </w:r>
          </w:p>
          <w:p w14:paraId="6576E629">
            <w:pPr>
              <w:pStyle w:val="54"/>
              <w:spacing w:line="360" w:lineRule="auto"/>
              <w:rPr>
                <w:rFonts w:hint="default" w:ascii="宋体" w:hAnsi="宋体" w:eastAsia="宋体" w:cs="宋体"/>
                <w:sz w:val="24"/>
                <w:szCs w:val="24"/>
              </w:rPr>
            </w:pPr>
            <w:r>
              <w:rPr>
                <w:rFonts w:ascii="宋体" w:hAnsi="宋体" w:eastAsia="宋体" w:cs="宋体"/>
                <w:sz w:val="24"/>
                <w:szCs w:val="24"/>
              </w:rPr>
              <w:t>①提供上述内容，符合项目需求的得2.8分；</w:t>
            </w:r>
          </w:p>
          <w:p w14:paraId="31F0FC68">
            <w:pPr>
              <w:pStyle w:val="54"/>
              <w:spacing w:line="360" w:lineRule="auto"/>
              <w:rPr>
                <w:rFonts w:hint="default" w:ascii="宋体" w:hAnsi="宋体" w:eastAsia="宋体" w:cs="宋体"/>
                <w:sz w:val="24"/>
                <w:szCs w:val="24"/>
              </w:rPr>
            </w:pPr>
            <w:r>
              <w:rPr>
                <w:rFonts w:ascii="宋体" w:hAnsi="宋体" w:eastAsia="宋体" w:cs="宋体"/>
                <w:sz w:val="24"/>
                <w:szCs w:val="24"/>
              </w:rPr>
              <w:t>②在满足①的基础上，方案有具体的故障处置服务人员安排、明确的人员资历状况，有前端亮灯故障应急处置服务制度、有承诺重点区域载体故障响应在30分钟内，方案符合项目特点的得3分；</w:t>
            </w:r>
          </w:p>
          <w:p w14:paraId="183FD7EA">
            <w:pPr>
              <w:pStyle w:val="54"/>
              <w:spacing w:line="360" w:lineRule="auto"/>
              <w:rPr>
                <w:rFonts w:hint="default" w:ascii="宋体" w:hAnsi="宋体" w:eastAsia="宋体" w:cs="宋体"/>
                <w:sz w:val="24"/>
                <w:szCs w:val="24"/>
              </w:rPr>
            </w:pPr>
            <w:r>
              <w:rPr>
                <w:rFonts w:ascii="宋体" w:hAnsi="宋体" w:eastAsia="宋体" w:cs="宋体"/>
                <w:sz w:val="24"/>
                <w:szCs w:val="24"/>
              </w:rPr>
              <w:t>③未提供方案或不符合上述情形的不得分。</w:t>
            </w:r>
          </w:p>
        </w:tc>
      </w:tr>
      <w:tr w14:paraId="53F4BE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1" w:type="dxa"/>
            <w:vAlign w:val="center"/>
          </w:tcPr>
          <w:p w14:paraId="623440D6">
            <w:pPr>
              <w:pStyle w:val="54"/>
              <w:spacing w:line="360" w:lineRule="auto"/>
              <w:jc w:val="center"/>
              <w:rPr>
                <w:rFonts w:hint="default" w:ascii="宋体" w:hAnsi="宋体" w:eastAsia="宋体" w:cs="宋体"/>
                <w:sz w:val="24"/>
                <w:szCs w:val="24"/>
              </w:rPr>
            </w:pPr>
            <w:r>
              <w:rPr>
                <w:rFonts w:ascii="宋体" w:hAnsi="宋体" w:eastAsia="宋体" w:cs="宋体"/>
                <w:sz w:val="24"/>
                <w:szCs w:val="24"/>
              </w:rPr>
              <w:t>1-11</w:t>
            </w:r>
          </w:p>
        </w:tc>
        <w:tc>
          <w:tcPr>
            <w:tcW w:w="800" w:type="dxa"/>
            <w:vAlign w:val="center"/>
          </w:tcPr>
          <w:p w14:paraId="32F287A2">
            <w:pPr>
              <w:pStyle w:val="54"/>
              <w:spacing w:line="360" w:lineRule="auto"/>
              <w:jc w:val="center"/>
              <w:rPr>
                <w:rFonts w:hint="default" w:ascii="宋体" w:hAnsi="宋体" w:eastAsia="宋体" w:cs="宋体"/>
                <w:sz w:val="24"/>
                <w:szCs w:val="24"/>
              </w:rPr>
            </w:pPr>
            <w:r>
              <w:rPr>
                <w:rFonts w:ascii="宋体" w:hAnsi="宋体" w:eastAsia="宋体" w:cs="宋体"/>
                <w:sz w:val="24"/>
                <w:szCs w:val="24"/>
              </w:rPr>
              <w:t>3</w:t>
            </w:r>
          </w:p>
        </w:tc>
        <w:tc>
          <w:tcPr>
            <w:tcW w:w="986" w:type="dxa"/>
            <w:vAlign w:val="center"/>
          </w:tcPr>
          <w:p w14:paraId="69651883">
            <w:pPr>
              <w:pStyle w:val="54"/>
              <w:spacing w:line="360" w:lineRule="auto"/>
              <w:jc w:val="center"/>
              <w:rPr>
                <w:rFonts w:hint="default" w:ascii="宋体" w:hAnsi="宋体" w:eastAsia="宋体" w:cs="宋体"/>
                <w:b/>
                <w:bCs/>
                <w:sz w:val="24"/>
                <w:szCs w:val="24"/>
                <w:highlight w:val="none"/>
              </w:rPr>
            </w:pPr>
            <w:r>
              <w:rPr>
                <w:rFonts w:ascii="宋体" w:hAnsi="宋体" w:eastAsia="宋体" w:cs="宋体"/>
                <w:b/>
                <w:bCs/>
                <w:sz w:val="24"/>
                <w:szCs w:val="24"/>
                <w:highlight w:val="none"/>
              </w:rPr>
              <w:t>否</w:t>
            </w:r>
          </w:p>
        </w:tc>
        <w:tc>
          <w:tcPr>
            <w:tcW w:w="6737" w:type="dxa"/>
            <w:vAlign w:val="center"/>
          </w:tcPr>
          <w:p w14:paraId="71FB20D7">
            <w:pPr>
              <w:pStyle w:val="54"/>
              <w:spacing w:line="360" w:lineRule="auto"/>
              <w:rPr>
                <w:rFonts w:hint="default" w:ascii="宋体" w:hAnsi="宋体" w:eastAsia="宋体" w:cs="宋体"/>
                <w:sz w:val="24"/>
                <w:szCs w:val="24"/>
              </w:rPr>
            </w:pPr>
            <w:r>
              <w:rPr>
                <w:rFonts w:ascii="宋体" w:hAnsi="宋体" w:eastAsia="宋体" w:cs="宋体"/>
                <w:sz w:val="24"/>
                <w:szCs w:val="24"/>
              </w:rPr>
              <w:t>根据投标人重大活动保障服务方案进行评分：</w:t>
            </w:r>
          </w:p>
          <w:p w14:paraId="1A336D0C">
            <w:pPr>
              <w:pStyle w:val="54"/>
              <w:spacing w:line="360" w:lineRule="auto"/>
              <w:rPr>
                <w:rFonts w:hint="default" w:ascii="宋体" w:hAnsi="宋体" w:eastAsia="宋体" w:cs="宋体"/>
                <w:sz w:val="24"/>
                <w:szCs w:val="24"/>
              </w:rPr>
            </w:pPr>
            <w:r>
              <w:rPr>
                <w:rFonts w:ascii="宋体" w:hAnsi="宋体" w:eastAsia="宋体" w:cs="宋体"/>
                <w:sz w:val="24"/>
                <w:szCs w:val="24"/>
              </w:rPr>
              <w:t>①提供上述内容，符合项目需求的得2.8分；</w:t>
            </w:r>
          </w:p>
          <w:p w14:paraId="29E3D571">
            <w:pPr>
              <w:pStyle w:val="54"/>
              <w:spacing w:line="360" w:lineRule="auto"/>
              <w:rPr>
                <w:rFonts w:hint="default" w:ascii="宋体" w:hAnsi="宋体" w:eastAsia="宋体" w:cs="宋体"/>
                <w:sz w:val="24"/>
                <w:szCs w:val="24"/>
              </w:rPr>
            </w:pPr>
            <w:r>
              <w:rPr>
                <w:rFonts w:ascii="宋体" w:hAnsi="宋体" w:eastAsia="宋体" w:cs="宋体"/>
                <w:sz w:val="24"/>
                <w:szCs w:val="24"/>
              </w:rPr>
              <w:t>②在满足①的基础上，方案有详细的全面排查方案和重要时点的保障措施、有详细的保障人员安排方案、有重大活动保障服务制度、符合项目特点的得3分；</w:t>
            </w:r>
          </w:p>
          <w:p w14:paraId="6A0726A1">
            <w:pPr>
              <w:pStyle w:val="54"/>
              <w:spacing w:line="360" w:lineRule="auto"/>
              <w:rPr>
                <w:rFonts w:hint="default" w:ascii="宋体" w:hAnsi="宋体" w:eastAsia="宋体" w:cs="宋体"/>
                <w:sz w:val="24"/>
                <w:szCs w:val="24"/>
              </w:rPr>
            </w:pPr>
            <w:r>
              <w:rPr>
                <w:rFonts w:ascii="宋体" w:hAnsi="宋体" w:eastAsia="宋体" w:cs="宋体"/>
                <w:sz w:val="24"/>
                <w:szCs w:val="24"/>
              </w:rPr>
              <w:t>③未提供方案或不符合上述情形的不得分。</w:t>
            </w:r>
          </w:p>
        </w:tc>
      </w:tr>
      <w:tr w14:paraId="1D4B33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1" w:type="dxa"/>
            <w:vAlign w:val="center"/>
          </w:tcPr>
          <w:p w14:paraId="364F18F0">
            <w:pPr>
              <w:pStyle w:val="54"/>
              <w:spacing w:line="360" w:lineRule="auto"/>
              <w:jc w:val="center"/>
              <w:rPr>
                <w:rFonts w:hint="default" w:ascii="宋体" w:hAnsi="宋体" w:eastAsia="宋体" w:cs="宋体"/>
                <w:sz w:val="24"/>
                <w:szCs w:val="24"/>
              </w:rPr>
            </w:pPr>
            <w:r>
              <w:rPr>
                <w:rFonts w:ascii="宋体" w:hAnsi="宋体" w:eastAsia="宋体" w:cs="宋体"/>
                <w:sz w:val="24"/>
                <w:szCs w:val="24"/>
              </w:rPr>
              <w:t>1-12</w:t>
            </w:r>
          </w:p>
        </w:tc>
        <w:tc>
          <w:tcPr>
            <w:tcW w:w="800" w:type="dxa"/>
            <w:vAlign w:val="center"/>
          </w:tcPr>
          <w:p w14:paraId="13E08F0A">
            <w:pPr>
              <w:pStyle w:val="54"/>
              <w:spacing w:line="360" w:lineRule="auto"/>
              <w:jc w:val="center"/>
              <w:rPr>
                <w:rFonts w:hint="default" w:ascii="宋体" w:hAnsi="宋体" w:eastAsia="宋体" w:cs="宋体"/>
                <w:sz w:val="24"/>
                <w:szCs w:val="24"/>
              </w:rPr>
            </w:pPr>
            <w:r>
              <w:rPr>
                <w:rFonts w:ascii="宋体" w:hAnsi="宋体" w:eastAsia="宋体" w:cs="宋体"/>
                <w:sz w:val="24"/>
                <w:szCs w:val="24"/>
              </w:rPr>
              <w:t>3</w:t>
            </w:r>
          </w:p>
        </w:tc>
        <w:tc>
          <w:tcPr>
            <w:tcW w:w="986" w:type="dxa"/>
            <w:vAlign w:val="center"/>
          </w:tcPr>
          <w:p w14:paraId="4ACD969B">
            <w:pPr>
              <w:pStyle w:val="54"/>
              <w:spacing w:line="360" w:lineRule="auto"/>
              <w:jc w:val="center"/>
              <w:rPr>
                <w:rFonts w:hint="default" w:ascii="宋体" w:hAnsi="宋体" w:eastAsia="宋体" w:cs="宋体"/>
                <w:b/>
                <w:bCs/>
                <w:sz w:val="24"/>
                <w:szCs w:val="24"/>
                <w:highlight w:val="none"/>
              </w:rPr>
            </w:pPr>
            <w:r>
              <w:rPr>
                <w:rFonts w:ascii="宋体" w:hAnsi="宋体" w:eastAsia="宋体" w:cs="宋体"/>
                <w:b/>
                <w:bCs/>
                <w:sz w:val="24"/>
                <w:szCs w:val="24"/>
                <w:highlight w:val="none"/>
              </w:rPr>
              <w:t>否</w:t>
            </w:r>
          </w:p>
        </w:tc>
        <w:tc>
          <w:tcPr>
            <w:tcW w:w="6737" w:type="dxa"/>
            <w:vAlign w:val="center"/>
          </w:tcPr>
          <w:p w14:paraId="6F684BA2">
            <w:pPr>
              <w:pStyle w:val="54"/>
              <w:spacing w:line="360" w:lineRule="auto"/>
              <w:rPr>
                <w:rFonts w:hint="default" w:ascii="宋体" w:hAnsi="宋体" w:eastAsia="宋体" w:cs="宋体"/>
                <w:sz w:val="24"/>
                <w:szCs w:val="24"/>
              </w:rPr>
            </w:pPr>
            <w:r>
              <w:rPr>
                <w:rFonts w:ascii="宋体" w:hAnsi="宋体" w:eastAsia="宋体" w:cs="宋体"/>
                <w:sz w:val="24"/>
                <w:szCs w:val="24"/>
              </w:rPr>
              <w:t>根据投标人配件供应及维修更换服务方案进行评分：</w:t>
            </w:r>
          </w:p>
          <w:p w14:paraId="25768B3B">
            <w:pPr>
              <w:pStyle w:val="54"/>
              <w:spacing w:line="360" w:lineRule="auto"/>
              <w:rPr>
                <w:rFonts w:hint="default" w:ascii="宋体" w:hAnsi="宋体" w:eastAsia="宋体" w:cs="宋体"/>
                <w:sz w:val="24"/>
                <w:szCs w:val="24"/>
              </w:rPr>
            </w:pPr>
            <w:r>
              <w:rPr>
                <w:rFonts w:ascii="宋体" w:hAnsi="宋体" w:eastAsia="宋体" w:cs="宋体"/>
                <w:sz w:val="24"/>
                <w:szCs w:val="24"/>
              </w:rPr>
              <w:t>①提供上述内容，符合项目需求的得2.8分；</w:t>
            </w:r>
          </w:p>
          <w:p w14:paraId="125CFD51">
            <w:pPr>
              <w:pStyle w:val="54"/>
              <w:spacing w:line="360" w:lineRule="auto"/>
              <w:rPr>
                <w:rFonts w:hint="default" w:ascii="宋体" w:hAnsi="宋体" w:eastAsia="宋体" w:cs="宋体"/>
                <w:sz w:val="24"/>
                <w:szCs w:val="24"/>
              </w:rPr>
            </w:pPr>
            <w:r>
              <w:rPr>
                <w:rFonts w:ascii="宋体" w:hAnsi="宋体" w:eastAsia="宋体" w:cs="宋体"/>
                <w:sz w:val="24"/>
                <w:szCs w:val="24"/>
              </w:rPr>
              <w:t>②在满足①的基础上，方案有具体的配件供应安排、详细的配件库存清单和维修服务人员安排、有配件供应及维修更换服务制度、符合项目特点得3分；</w:t>
            </w:r>
          </w:p>
          <w:p w14:paraId="05F7E5FE">
            <w:pPr>
              <w:pStyle w:val="54"/>
              <w:spacing w:line="360" w:lineRule="auto"/>
              <w:rPr>
                <w:rFonts w:hint="default" w:ascii="宋体" w:hAnsi="宋体" w:eastAsia="宋体" w:cs="宋体"/>
                <w:sz w:val="24"/>
                <w:szCs w:val="24"/>
              </w:rPr>
            </w:pPr>
            <w:r>
              <w:rPr>
                <w:rFonts w:ascii="宋体" w:hAnsi="宋体" w:eastAsia="宋体" w:cs="宋体"/>
                <w:sz w:val="24"/>
                <w:szCs w:val="24"/>
              </w:rPr>
              <w:t>③未提供方案或不符合上述情形的不得分。</w:t>
            </w:r>
          </w:p>
        </w:tc>
      </w:tr>
      <w:tr w14:paraId="497728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1" w:type="dxa"/>
            <w:vAlign w:val="center"/>
          </w:tcPr>
          <w:p w14:paraId="7C4B5AE9">
            <w:pPr>
              <w:pStyle w:val="54"/>
              <w:spacing w:line="360" w:lineRule="auto"/>
              <w:jc w:val="center"/>
              <w:rPr>
                <w:rFonts w:hint="default" w:ascii="宋体" w:hAnsi="宋体" w:eastAsia="宋体" w:cs="宋体"/>
                <w:sz w:val="24"/>
                <w:szCs w:val="24"/>
              </w:rPr>
            </w:pPr>
            <w:r>
              <w:rPr>
                <w:rFonts w:ascii="宋体" w:hAnsi="宋体" w:eastAsia="宋体" w:cs="宋体"/>
                <w:sz w:val="24"/>
                <w:szCs w:val="24"/>
              </w:rPr>
              <w:t>1-13</w:t>
            </w:r>
          </w:p>
        </w:tc>
        <w:tc>
          <w:tcPr>
            <w:tcW w:w="800" w:type="dxa"/>
            <w:vAlign w:val="center"/>
          </w:tcPr>
          <w:p w14:paraId="67E604AD">
            <w:pPr>
              <w:pStyle w:val="54"/>
              <w:spacing w:line="360" w:lineRule="auto"/>
              <w:jc w:val="center"/>
              <w:rPr>
                <w:rFonts w:hint="default" w:ascii="宋体" w:hAnsi="宋体" w:eastAsia="宋体" w:cs="宋体"/>
                <w:sz w:val="24"/>
                <w:szCs w:val="24"/>
              </w:rPr>
            </w:pPr>
            <w:r>
              <w:rPr>
                <w:rFonts w:ascii="宋体" w:hAnsi="宋体" w:eastAsia="宋体" w:cs="宋体"/>
                <w:sz w:val="24"/>
                <w:szCs w:val="24"/>
              </w:rPr>
              <w:t>3</w:t>
            </w:r>
          </w:p>
        </w:tc>
        <w:tc>
          <w:tcPr>
            <w:tcW w:w="986" w:type="dxa"/>
            <w:vAlign w:val="center"/>
          </w:tcPr>
          <w:p w14:paraId="381DABD7">
            <w:pPr>
              <w:pStyle w:val="54"/>
              <w:spacing w:line="360" w:lineRule="auto"/>
              <w:jc w:val="center"/>
              <w:rPr>
                <w:rFonts w:hint="default" w:ascii="宋体" w:hAnsi="宋体" w:eastAsia="宋体" w:cs="宋体"/>
                <w:b/>
                <w:bCs/>
                <w:sz w:val="24"/>
                <w:szCs w:val="24"/>
                <w:highlight w:val="none"/>
              </w:rPr>
            </w:pPr>
            <w:r>
              <w:rPr>
                <w:rFonts w:ascii="宋体" w:hAnsi="宋体" w:eastAsia="宋体" w:cs="宋体"/>
                <w:b/>
                <w:bCs/>
                <w:sz w:val="24"/>
                <w:szCs w:val="24"/>
                <w:highlight w:val="none"/>
              </w:rPr>
              <w:t>否</w:t>
            </w:r>
          </w:p>
        </w:tc>
        <w:tc>
          <w:tcPr>
            <w:tcW w:w="6737" w:type="dxa"/>
            <w:vAlign w:val="center"/>
          </w:tcPr>
          <w:p w14:paraId="74C4872C">
            <w:pPr>
              <w:pStyle w:val="54"/>
              <w:spacing w:line="360" w:lineRule="auto"/>
              <w:rPr>
                <w:rFonts w:hint="default" w:ascii="宋体" w:hAnsi="宋体" w:eastAsia="宋体" w:cs="宋体"/>
                <w:sz w:val="24"/>
                <w:szCs w:val="24"/>
              </w:rPr>
            </w:pPr>
            <w:r>
              <w:rPr>
                <w:rFonts w:ascii="宋体" w:hAnsi="宋体" w:eastAsia="宋体" w:cs="宋体"/>
                <w:sz w:val="24"/>
                <w:szCs w:val="24"/>
              </w:rPr>
              <w:t>根据投标人信息安全等级保护日常维护工作方案进行评分：</w:t>
            </w:r>
          </w:p>
          <w:p w14:paraId="0AF3676E">
            <w:pPr>
              <w:pStyle w:val="54"/>
              <w:spacing w:line="360" w:lineRule="auto"/>
              <w:rPr>
                <w:rFonts w:hint="default" w:ascii="宋体" w:hAnsi="宋体" w:eastAsia="宋体" w:cs="宋体"/>
                <w:sz w:val="24"/>
                <w:szCs w:val="24"/>
              </w:rPr>
            </w:pPr>
            <w:r>
              <w:rPr>
                <w:rFonts w:ascii="宋体" w:hAnsi="宋体" w:eastAsia="宋体" w:cs="宋体"/>
                <w:sz w:val="24"/>
                <w:szCs w:val="24"/>
              </w:rPr>
              <w:t>①提供上述内容，符合项目需求的得2.8分；</w:t>
            </w:r>
          </w:p>
          <w:p w14:paraId="5D1243EB">
            <w:pPr>
              <w:pStyle w:val="54"/>
              <w:spacing w:line="360" w:lineRule="auto"/>
              <w:rPr>
                <w:rFonts w:hint="default" w:ascii="宋体" w:hAnsi="宋体" w:eastAsia="宋体" w:cs="宋体"/>
                <w:sz w:val="24"/>
                <w:szCs w:val="24"/>
              </w:rPr>
            </w:pPr>
            <w:r>
              <w:rPr>
                <w:rFonts w:ascii="宋体" w:hAnsi="宋体" w:eastAsia="宋体" w:cs="宋体"/>
                <w:sz w:val="24"/>
                <w:szCs w:val="24"/>
              </w:rPr>
              <w:t>②在满足①的基础上，方案技术措施严密、有具体的日常维护工作安排和人员安排、有信息安全等级保护日常维护工作制度、符合项目特点的得3分；</w:t>
            </w:r>
          </w:p>
          <w:p w14:paraId="49533284">
            <w:pPr>
              <w:pStyle w:val="54"/>
              <w:spacing w:line="360" w:lineRule="auto"/>
              <w:rPr>
                <w:rFonts w:hint="default" w:ascii="宋体" w:hAnsi="宋体" w:eastAsia="宋体" w:cs="宋体"/>
                <w:sz w:val="24"/>
                <w:szCs w:val="24"/>
              </w:rPr>
            </w:pPr>
            <w:r>
              <w:rPr>
                <w:rFonts w:ascii="宋体" w:hAnsi="宋体" w:eastAsia="宋体" w:cs="宋体"/>
                <w:sz w:val="24"/>
                <w:szCs w:val="24"/>
              </w:rPr>
              <w:t>③未提供方案或不符合上述情形的不得分。</w:t>
            </w:r>
          </w:p>
        </w:tc>
      </w:tr>
      <w:tr w14:paraId="39C410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1" w:type="dxa"/>
            <w:vAlign w:val="center"/>
          </w:tcPr>
          <w:p w14:paraId="27D4232D">
            <w:pPr>
              <w:pStyle w:val="54"/>
              <w:spacing w:line="360" w:lineRule="auto"/>
              <w:jc w:val="center"/>
              <w:rPr>
                <w:rFonts w:hint="default" w:ascii="宋体" w:hAnsi="宋体" w:eastAsia="宋体" w:cs="宋体"/>
                <w:sz w:val="24"/>
                <w:szCs w:val="24"/>
              </w:rPr>
            </w:pPr>
            <w:r>
              <w:rPr>
                <w:rFonts w:ascii="宋体" w:hAnsi="宋体" w:eastAsia="宋体" w:cs="宋体"/>
                <w:sz w:val="24"/>
                <w:szCs w:val="24"/>
              </w:rPr>
              <w:t>1-14</w:t>
            </w:r>
          </w:p>
        </w:tc>
        <w:tc>
          <w:tcPr>
            <w:tcW w:w="800" w:type="dxa"/>
            <w:vAlign w:val="center"/>
          </w:tcPr>
          <w:p w14:paraId="64D967B2">
            <w:pPr>
              <w:pStyle w:val="54"/>
              <w:spacing w:line="360" w:lineRule="auto"/>
              <w:jc w:val="center"/>
              <w:rPr>
                <w:rFonts w:hint="default" w:ascii="宋体" w:hAnsi="宋体" w:eastAsia="宋体" w:cs="宋体"/>
                <w:sz w:val="24"/>
                <w:szCs w:val="24"/>
              </w:rPr>
            </w:pPr>
            <w:r>
              <w:rPr>
                <w:rFonts w:ascii="宋体" w:hAnsi="宋体" w:eastAsia="宋体" w:cs="宋体"/>
                <w:sz w:val="24"/>
                <w:szCs w:val="24"/>
              </w:rPr>
              <w:t>2</w:t>
            </w:r>
          </w:p>
        </w:tc>
        <w:tc>
          <w:tcPr>
            <w:tcW w:w="986" w:type="dxa"/>
            <w:vAlign w:val="center"/>
          </w:tcPr>
          <w:p w14:paraId="2F087D84">
            <w:pPr>
              <w:pStyle w:val="54"/>
              <w:spacing w:line="360" w:lineRule="auto"/>
              <w:jc w:val="center"/>
              <w:rPr>
                <w:rFonts w:hint="default" w:ascii="宋体" w:hAnsi="宋体" w:eastAsia="宋体" w:cs="宋体"/>
                <w:b/>
                <w:bCs/>
                <w:sz w:val="24"/>
                <w:szCs w:val="24"/>
                <w:highlight w:val="none"/>
              </w:rPr>
            </w:pPr>
            <w:r>
              <w:rPr>
                <w:rFonts w:ascii="宋体" w:hAnsi="宋体" w:eastAsia="宋体" w:cs="宋体"/>
                <w:b/>
                <w:bCs/>
                <w:sz w:val="24"/>
                <w:szCs w:val="24"/>
                <w:highlight w:val="none"/>
              </w:rPr>
              <w:t>否</w:t>
            </w:r>
          </w:p>
        </w:tc>
        <w:tc>
          <w:tcPr>
            <w:tcW w:w="6737" w:type="dxa"/>
            <w:vAlign w:val="center"/>
          </w:tcPr>
          <w:p w14:paraId="2E27C321">
            <w:pPr>
              <w:pStyle w:val="54"/>
              <w:spacing w:line="360" w:lineRule="auto"/>
              <w:rPr>
                <w:rFonts w:hint="default" w:ascii="宋体" w:hAnsi="宋体" w:eastAsia="宋体" w:cs="宋体"/>
                <w:sz w:val="24"/>
                <w:szCs w:val="24"/>
              </w:rPr>
            </w:pPr>
            <w:r>
              <w:rPr>
                <w:rFonts w:ascii="宋体" w:hAnsi="宋体" w:eastAsia="宋体" w:cs="宋体"/>
                <w:sz w:val="24"/>
                <w:szCs w:val="24"/>
              </w:rPr>
              <w:t>根据投标人针对本项目的工作重点、难点分析及提供相应的解决措施方案进行评分：</w:t>
            </w:r>
          </w:p>
          <w:p w14:paraId="5A02609E">
            <w:pPr>
              <w:pStyle w:val="54"/>
              <w:spacing w:line="360" w:lineRule="auto"/>
              <w:rPr>
                <w:rFonts w:hint="default" w:ascii="宋体" w:hAnsi="宋体" w:eastAsia="宋体" w:cs="宋体"/>
                <w:sz w:val="24"/>
                <w:szCs w:val="24"/>
              </w:rPr>
            </w:pPr>
            <w:r>
              <w:rPr>
                <w:rFonts w:ascii="宋体" w:hAnsi="宋体" w:eastAsia="宋体" w:cs="宋体"/>
                <w:sz w:val="24"/>
                <w:szCs w:val="24"/>
              </w:rPr>
              <w:t>①提供上述内容，符合项目需求的得1.8分；</w:t>
            </w:r>
          </w:p>
          <w:p w14:paraId="7E730F7B">
            <w:pPr>
              <w:pStyle w:val="54"/>
              <w:spacing w:line="360" w:lineRule="auto"/>
              <w:rPr>
                <w:rFonts w:hint="default" w:ascii="宋体" w:hAnsi="宋体" w:eastAsia="宋体" w:cs="宋体"/>
                <w:sz w:val="24"/>
                <w:szCs w:val="24"/>
              </w:rPr>
            </w:pPr>
            <w:r>
              <w:rPr>
                <w:rFonts w:ascii="宋体" w:hAnsi="宋体" w:eastAsia="宋体" w:cs="宋体"/>
                <w:sz w:val="24"/>
                <w:szCs w:val="24"/>
              </w:rPr>
              <w:t>②在满足①的基础上，工作重点分析完整准确、难点分析符合项目特点、解决措施符合项目实际的得2分；</w:t>
            </w:r>
          </w:p>
          <w:p w14:paraId="1337BD5C">
            <w:pPr>
              <w:pStyle w:val="54"/>
              <w:spacing w:line="360" w:lineRule="auto"/>
              <w:rPr>
                <w:rFonts w:hint="default" w:ascii="宋体" w:hAnsi="宋体" w:eastAsia="宋体" w:cs="宋体"/>
                <w:sz w:val="24"/>
                <w:szCs w:val="24"/>
              </w:rPr>
            </w:pPr>
            <w:r>
              <w:rPr>
                <w:rFonts w:ascii="宋体" w:hAnsi="宋体" w:eastAsia="宋体" w:cs="宋体"/>
                <w:sz w:val="24"/>
                <w:szCs w:val="24"/>
              </w:rPr>
              <w:t>③未提供方案或不符合上述情形的不得分。</w:t>
            </w:r>
          </w:p>
        </w:tc>
      </w:tr>
      <w:tr w14:paraId="1B5BBC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1" w:type="dxa"/>
            <w:vAlign w:val="center"/>
          </w:tcPr>
          <w:p w14:paraId="22B41CD1">
            <w:pPr>
              <w:pStyle w:val="54"/>
              <w:spacing w:line="360" w:lineRule="auto"/>
              <w:jc w:val="center"/>
              <w:rPr>
                <w:rFonts w:hint="default" w:ascii="宋体" w:hAnsi="宋体" w:eastAsia="宋体" w:cs="宋体"/>
                <w:sz w:val="24"/>
                <w:szCs w:val="24"/>
              </w:rPr>
            </w:pPr>
            <w:r>
              <w:rPr>
                <w:rFonts w:ascii="宋体" w:hAnsi="宋体" w:eastAsia="宋体" w:cs="宋体"/>
                <w:sz w:val="24"/>
                <w:szCs w:val="24"/>
              </w:rPr>
              <w:t>1-15</w:t>
            </w:r>
          </w:p>
        </w:tc>
        <w:tc>
          <w:tcPr>
            <w:tcW w:w="800" w:type="dxa"/>
            <w:vAlign w:val="center"/>
          </w:tcPr>
          <w:p w14:paraId="31BC5B02">
            <w:pPr>
              <w:pStyle w:val="54"/>
              <w:spacing w:line="360" w:lineRule="auto"/>
              <w:jc w:val="center"/>
              <w:rPr>
                <w:rFonts w:hint="default" w:ascii="宋体" w:hAnsi="宋体" w:eastAsia="宋体" w:cs="宋体"/>
                <w:sz w:val="24"/>
                <w:szCs w:val="24"/>
              </w:rPr>
            </w:pPr>
            <w:r>
              <w:rPr>
                <w:rFonts w:ascii="宋体" w:hAnsi="宋体" w:eastAsia="宋体" w:cs="宋体"/>
                <w:sz w:val="24"/>
                <w:szCs w:val="24"/>
              </w:rPr>
              <w:t>2</w:t>
            </w:r>
          </w:p>
        </w:tc>
        <w:tc>
          <w:tcPr>
            <w:tcW w:w="986" w:type="dxa"/>
            <w:vAlign w:val="center"/>
          </w:tcPr>
          <w:p w14:paraId="341E65E2">
            <w:pPr>
              <w:pStyle w:val="54"/>
              <w:spacing w:line="360" w:lineRule="auto"/>
              <w:jc w:val="center"/>
              <w:rPr>
                <w:rFonts w:hint="default" w:ascii="宋体" w:hAnsi="宋体" w:eastAsia="宋体" w:cs="宋体"/>
                <w:b/>
                <w:bCs/>
                <w:sz w:val="24"/>
                <w:szCs w:val="24"/>
                <w:highlight w:val="none"/>
              </w:rPr>
            </w:pPr>
            <w:r>
              <w:rPr>
                <w:rFonts w:ascii="宋体" w:hAnsi="宋体" w:eastAsia="宋体" w:cs="宋体"/>
                <w:b/>
                <w:bCs/>
                <w:sz w:val="24"/>
                <w:szCs w:val="24"/>
                <w:highlight w:val="none"/>
              </w:rPr>
              <w:t>否</w:t>
            </w:r>
          </w:p>
        </w:tc>
        <w:tc>
          <w:tcPr>
            <w:tcW w:w="6737" w:type="dxa"/>
            <w:vAlign w:val="center"/>
          </w:tcPr>
          <w:p w14:paraId="73CEF1CF">
            <w:pPr>
              <w:pStyle w:val="54"/>
              <w:spacing w:line="360" w:lineRule="auto"/>
              <w:rPr>
                <w:rFonts w:hint="default" w:ascii="宋体" w:hAnsi="宋体" w:eastAsia="宋体" w:cs="宋体"/>
                <w:sz w:val="24"/>
                <w:szCs w:val="24"/>
              </w:rPr>
            </w:pPr>
            <w:r>
              <w:rPr>
                <w:rFonts w:ascii="宋体" w:hAnsi="宋体" w:eastAsia="宋体" w:cs="宋体"/>
                <w:sz w:val="24"/>
                <w:szCs w:val="24"/>
              </w:rPr>
              <w:t>根据投标人针对本项目可能出现的突发应急处置方案进行评分：</w:t>
            </w:r>
          </w:p>
          <w:p w14:paraId="6C21E457">
            <w:pPr>
              <w:pStyle w:val="54"/>
              <w:spacing w:line="360" w:lineRule="auto"/>
              <w:rPr>
                <w:rFonts w:hint="default" w:ascii="宋体" w:hAnsi="宋体" w:eastAsia="宋体" w:cs="宋体"/>
                <w:sz w:val="24"/>
                <w:szCs w:val="24"/>
              </w:rPr>
            </w:pPr>
            <w:r>
              <w:rPr>
                <w:rFonts w:ascii="宋体" w:hAnsi="宋体" w:eastAsia="宋体" w:cs="宋体"/>
                <w:sz w:val="24"/>
                <w:szCs w:val="24"/>
              </w:rPr>
              <w:t>①提供上述内容，符合项目需求的得1.8分；</w:t>
            </w:r>
          </w:p>
          <w:p w14:paraId="5AA719CA">
            <w:pPr>
              <w:pStyle w:val="54"/>
              <w:spacing w:line="360" w:lineRule="auto"/>
              <w:rPr>
                <w:rFonts w:hint="default" w:ascii="宋体" w:hAnsi="宋体" w:eastAsia="宋体" w:cs="宋体"/>
                <w:sz w:val="24"/>
                <w:szCs w:val="24"/>
              </w:rPr>
            </w:pPr>
            <w:r>
              <w:rPr>
                <w:rFonts w:ascii="宋体" w:hAnsi="宋体" w:eastAsia="宋体" w:cs="宋体"/>
                <w:sz w:val="24"/>
                <w:szCs w:val="24"/>
              </w:rPr>
              <w:t>②在满足①的基础上，突发情况应急响应服务方案：有突发应急处置制度、有列出具体的情况及对应的可行有效的解决措施、符合项目特点的得2分；</w:t>
            </w:r>
          </w:p>
          <w:p w14:paraId="71C96CBD">
            <w:pPr>
              <w:pStyle w:val="54"/>
              <w:spacing w:line="360" w:lineRule="auto"/>
              <w:rPr>
                <w:rFonts w:hint="default" w:ascii="宋体" w:hAnsi="宋体" w:eastAsia="宋体" w:cs="宋体"/>
                <w:sz w:val="24"/>
                <w:szCs w:val="24"/>
              </w:rPr>
            </w:pPr>
            <w:r>
              <w:rPr>
                <w:rFonts w:ascii="宋体" w:hAnsi="宋体" w:eastAsia="宋体" w:cs="宋体"/>
                <w:sz w:val="24"/>
                <w:szCs w:val="24"/>
              </w:rPr>
              <w:t>③未提供方案或不符合上述情形的不得分。</w:t>
            </w:r>
          </w:p>
        </w:tc>
      </w:tr>
      <w:tr w14:paraId="77FC02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1" w:type="dxa"/>
            <w:vAlign w:val="center"/>
          </w:tcPr>
          <w:p w14:paraId="21815AE7">
            <w:pPr>
              <w:pStyle w:val="54"/>
              <w:spacing w:line="360" w:lineRule="auto"/>
              <w:jc w:val="center"/>
              <w:rPr>
                <w:rFonts w:hint="default" w:ascii="宋体" w:hAnsi="宋体" w:eastAsia="宋体" w:cs="宋体"/>
                <w:sz w:val="24"/>
                <w:szCs w:val="24"/>
              </w:rPr>
            </w:pPr>
            <w:r>
              <w:rPr>
                <w:rFonts w:ascii="宋体" w:hAnsi="宋体" w:eastAsia="宋体" w:cs="宋体"/>
                <w:sz w:val="24"/>
                <w:szCs w:val="24"/>
              </w:rPr>
              <w:t>1-16</w:t>
            </w:r>
          </w:p>
        </w:tc>
        <w:tc>
          <w:tcPr>
            <w:tcW w:w="800" w:type="dxa"/>
            <w:vAlign w:val="center"/>
          </w:tcPr>
          <w:p w14:paraId="6376002E">
            <w:pPr>
              <w:pStyle w:val="54"/>
              <w:spacing w:line="360" w:lineRule="auto"/>
              <w:jc w:val="center"/>
              <w:rPr>
                <w:rFonts w:hint="default" w:ascii="宋体" w:hAnsi="宋体" w:eastAsia="宋体" w:cs="宋体"/>
                <w:sz w:val="24"/>
                <w:szCs w:val="24"/>
              </w:rPr>
            </w:pPr>
            <w:r>
              <w:rPr>
                <w:rFonts w:ascii="宋体" w:hAnsi="宋体" w:eastAsia="宋体" w:cs="宋体"/>
                <w:sz w:val="24"/>
                <w:szCs w:val="24"/>
              </w:rPr>
              <w:t>2</w:t>
            </w:r>
          </w:p>
        </w:tc>
        <w:tc>
          <w:tcPr>
            <w:tcW w:w="986" w:type="dxa"/>
            <w:vAlign w:val="center"/>
          </w:tcPr>
          <w:p w14:paraId="48327C9A">
            <w:pPr>
              <w:pStyle w:val="54"/>
              <w:spacing w:line="360" w:lineRule="auto"/>
              <w:jc w:val="center"/>
              <w:rPr>
                <w:rFonts w:hint="default" w:ascii="宋体" w:hAnsi="宋体" w:eastAsia="宋体" w:cs="宋体"/>
                <w:b/>
                <w:bCs/>
                <w:sz w:val="24"/>
                <w:szCs w:val="24"/>
                <w:highlight w:val="none"/>
              </w:rPr>
            </w:pPr>
            <w:r>
              <w:rPr>
                <w:rFonts w:ascii="宋体" w:hAnsi="宋体" w:eastAsia="宋体" w:cs="宋体"/>
                <w:b/>
                <w:bCs/>
                <w:sz w:val="24"/>
                <w:szCs w:val="24"/>
                <w:highlight w:val="none"/>
              </w:rPr>
              <w:t>否</w:t>
            </w:r>
          </w:p>
        </w:tc>
        <w:tc>
          <w:tcPr>
            <w:tcW w:w="6737" w:type="dxa"/>
            <w:vAlign w:val="center"/>
          </w:tcPr>
          <w:p w14:paraId="6F1B32CA">
            <w:pPr>
              <w:pStyle w:val="54"/>
              <w:spacing w:line="360" w:lineRule="auto"/>
              <w:rPr>
                <w:rFonts w:hint="default" w:ascii="宋体" w:hAnsi="宋体" w:eastAsia="宋体" w:cs="宋体"/>
                <w:sz w:val="24"/>
                <w:szCs w:val="24"/>
              </w:rPr>
            </w:pPr>
            <w:r>
              <w:rPr>
                <w:rFonts w:ascii="宋体" w:hAnsi="宋体" w:eastAsia="宋体" w:cs="宋体"/>
                <w:sz w:val="24"/>
                <w:szCs w:val="24"/>
              </w:rPr>
              <w:t>根据恶劣天气应急响应服务方案进行评分：</w:t>
            </w:r>
          </w:p>
          <w:p w14:paraId="40F7BD4F">
            <w:pPr>
              <w:pStyle w:val="54"/>
              <w:spacing w:line="360" w:lineRule="auto"/>
              <w:rPr>
                <w:rFonts w:hint="default" w:ascii="宋体" w:hAnsi="宋体" w:eastAsia="宋体" w:cs="宋体"/>
                <w:sz w:val="24"/>
                <w:szCs w:val="24"/>
              </w:rPr>
            </w:pPr>
            <w:r>
              <w:rPr>
                <w:rFonts w:ascii="宋体" w:hAnsi="宋体" w:eastAsia="宋体" w:cs="宋体"/>
                <w:sz w:val="24"/>
                <w:szCs w:val="24"/>
              </w:rPr>
              <w:t>①提供上述内容，符合项目需求的得1.8分；</w:t>
            </w:r>
          </w:p>
          <w:p w14:paraId="3867AE09">
            <w:pPr>
              <w:pStyle w:val="54"/>
              <w:spacing w:line="360" w:lineRule="auto"/>
              <w:rPr>
                <w:rFonts w:hint="default" w:ascii="宋体" w:hAnsi="宋体" w:eastAsia="宋体" w:cs="宋体"/>
                <w:sz w:val="24"/>
                <w:szCs w:val="24"/>
              </w:rPr>
            </w:pPr>
            <w:r>
              <w:rPr>
                <w:rFonts w:ascii="宋体" w:hAnsi="宋体" w:eastAsia="宋体" w:cs="宋体"/>
                <w:sz w:val="24"/>
                <w:szCs w:val="24"/>
              </w:rPr>
              <w:t>②在满足①的基础上，方案完整可行、有恶劣天气应急响应服务制度，有列出具体的情况及对应的可行有效的解决措施的得2分；</w:t>
            </w:r>
          </w:p>
          <w:p w14:paraId="4793A37C">
            <w:pPr>
              <w:pStyle w:val="54"/>
              <w:spacing w:line="360" w:lineRule="auto"/>
              <w:rPr>
                <w:rFonts w:hint="default" w:ascii="宋体" w:hAnsi="宋体" w:eastAsia="宋体" w:cs="宋体"/>
                <w:sz w:val="24"/>
                <w:szCs w:val="24"/>
              </w:rPr>
            </w:pPr>
            <w:r>
              <w:rPr>
                <w:rFonts w:ascii="宋体" w:hAnsi="宋体" w:eastAsia="宋体" w:cs="宋体"/>
                <w:sz w:val="24"/>
                <w:szCs w:val="24"/>
              </w:rPr>
              <w:t>③未提供方案或不符合上述情形的不得分。</w:t>
            </w:r>
          </w:p>
        </w:tc>
      </w:tr>
      <w:tr w14:paraId="227952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1" w:type="dxa"/>
            <w:vAlign w:val="center"/>
          </w:tcPr>
          <w:p w14:paraId="169E8B47">
            <w:pPr>
              <w:pStyle w:val="54"/>
              <w:spacing w:line="360" w:lineRule="auto"/>
              <w:jc w:val="center"/>
              <w:rPr>
                <w:rFonts w:hint="default" w:ascii="宋体" w:hAnsi="宋体" w:eastAsia="宋体" w:cs="宋体"/>
                <w:sz w:val="24"/>
                <w:szCs w:val="24"/>
              </w:rPr>
            </w:pPr>
            <w:r>
              <w:rPr>
                <w:rFonts w:ascii="宋体" w:hAnsi="宋体" w:eastAsia="宋体" w:cs="宋体"/>
                <w:sz w:val="24"/>
                <w:szCs w:val="24"/>
              </w:rPr>
              <w:t>1-17</w:t>
            </w:r>
          </w:p>
        </w:tc>
        <w:tc>
          <w:tcPr>
            <w:tcW w:w="800" w:type="dxa"/>
            <w:vAlign w:val="center"/>
          </w:tcPr>
          <w:p w14:paraId="7AE7A4F5">
            <w:pPr>
              <w:pStyle w:val="54"/>
              <w:spacing w:line="360" w:lineRule="auto"/>
              <w:jc w:val="center"/>
              <w:rPr>
                <w:rFonts w:hint="default" w:ascii="宋体" w:hAnsi="宋体" w:eastAsia="宋体" w:cs="宋体"/>
                <w:sz w:val="24"/>
                <w:szCs w:val="24"/>
              </w:rPr>
            </w:pPr>
            <w:r>
              <w:rPr>
                <w:rFonts w:ascii="宋体" w:hAnsi="宋体" w:eastAsia="宋体" w:cs="宋体"/>
                <w:sz w:val="24"/>
                <w:szCs w:val="24"/>
              </w:rPr>
              <w:t>2</w:t>
            </w:r>
          </w:p>
        </w:tc>
        <w:tc>
          <w:tcPr>
            <w:tcW w:w="986" w:type="dxa"/>
            <w:vAlign w:val="center"/>
          </w:tcPr>
          <w:p w14:paraId="2E52EC04">
            <w:pPr>
              <w:pStyle w:val="54"/>
              <w:spacing w:line="360" w:lineRule="auto"/>
              <w:jc w:val="center"/>
              <w:rPr>
                <w:rFonts w:hint="default" w:ascii="宋体" w:hAnsi="宋体" w:eastAsia="宋体" w:cs="宋体"/>
                <w:b/>
                <w:bCs/>
                <w:sz w:val="24"/>
                <w:szCs w:val="24"/>
                <w:highlight w:val="none"/>
              </w:rPr>
            </w:pPr>
            <w:r>
              <w:rPr>
                <w:rFonts w:ascii="宋体" w:hAnsi="宋体" w:eastAsia="宋体" w:cs="宋体"/>
                <w:b/>
                <w:bCs/>
                <w:sz w:val="24"/>
                <w:szCs w:val="24"/>
                <w:highlight w:val="none"/>
              </w:rPr>
              <w:t>否</w:t>
            </w:r>
          </w:p>
        </w:tc>
        <w:tc>
          <w:tcPr>
            <w:tcW w:w="6737" w:type="dxa"/>
            <w:vAlign w:val="center"/>
          </w:tcPr>
          <w:p w14:paraId="6F59D058">
            <w:pPr>
              <w:pStyle w:val="54"/>
              <w:spacing w:line="360" w:lineRule="auto"/>
              <w:rPr>
                <w:rFonts w:hint="default" w:ascii="宋体" w:hAnsi="宋体" w:eastAsia="宋体" w:cs="宋体"/>
                <w:sz w:val="24"/>
                <w:szCs w:val="24"/>
              </w:rPr>
            </w:pPr>
            <w:r>
              <w:rPr>
                <w:rFonts w:ascii="宋体" w:hAnsi="宋体" w:eastAsia="宋体" w:cs="宋体"/>
                <w:sz w:val="24"/>
                <w:szCs w:val="24"/>
              </w:rPr>
              <w:t>根据亮灯故障响应服务方案进行评分：</w:t>
            </w:r>
          </w:p>
          <w:p w14:paraId="4F3C83FE">
            <w:pPr>
              <w:pStyle w:val="54"/>
              <w:spacing w:line="360" w:lineRule="auto"/>
              <w:rPr>
                <w:rFonts w:hint="default" w:ascii="宋体" w:hAnsi="宋体" w:eastAsia="宋体" w:cs="宋体"/>
                <w:sz w:val="24"/>
                <w:szCs w:val="24"/>
              </w:rPr>
            </w:pPr>
            <w:r>
              <w:rPr>
                <w:rFonts w:ascii="宋体" w:hAnsi="宋体" w:eastAsia="宋体" w:cs="宋体"/>
                <w:sz w:val="24"/>
                <w:szCs w:val="24"/>
              </w:rPr>
              <w:t>①提供上述内容，符合项目需求的得1.8分；</w:t>
            </w:r>
          </w:p>
          <w:p w14:paraId="56AABBFB">
            <w:pPr>
              <w:pStyle w:val="54"/>
              <w:spacing w:line="360" w:lineRule="auto"/>
              <w:rPr>
                <w:rFonts w:hint="default" w:ascii="宋体" w:hAnsi="宋体" w:eastAsia="宋体" w:cs="宋体"/>
                <w:sz w:val="24"/>
                <w:szCs w:val="24"/>
              </w:rPr>
            </w:pPr>
            <w:r>
              <w:rPr>
                <w:rFonts w:ascii="宋体" w:hAnsi="宋体" w:eastAsia="宋体" w:cs="宋体"/>
                <w:sz w:val="24"/>
                <w:szCs w:val="24"/>
              </w:rPr>
              <w:t>②在满足①的基础上，方案完整可行、有亮灯故障响应服务制度、列出具体的情况及对应的可行有效的解决措施的得2分；③未提供方案或不符合上述情形的不得分。</w:t>
            </w:r>
          </w:p>
        </w:tc>
      </w:tr>
      <w:tr w14:paraId="27C4E5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1" w:type="dxa"/>
            <w:vAlign w:val="center"/>
          </w:tcPr>
          <w:p w14:paraId="5A2F7A4E">
            <w:pPr>
              <w:pStyle w:val="54"/>
              <w:spacing w:line="360" w:lineRule="auto"/>
              <w:jc w:val="center"/>
              <w:rPr>
                <w:rFonts w:hint="default" w:ascii="宋体" w:hAnsi="宋体" w:eastAsia="宋体" w:cs="宋体"/>
                <w:sz w:val="24"/>
                <w:szCs w:val="24"/>
              </w:rPr>
            </w:pPr>
            <w:r>
              <w:rPr>
                <w:rFonts w:ascii="宋体" w:hAnsi="宋体" w:eastAsia="宋体" w:cs="宋体"/>
                <w:sz w:val="24"/>
                <w:szCs w:val="24"/>
              </w:rPr>
              <w:t>1-18</w:t>
            </w:r>
          </w:p>
        </w:tc>
        <w:tc>
          <w:tcPr>
            <w:tcW w:w="800" w:type="dxa"/>
            <w:vAlign w:val="center"/>
          </w:tcPr>
          <w:p w14:paraId="0704AF74">
            <w:pPr>
              <w:pStyle w:val="54"/>
              <w:spacing w:line="360" w:lineRule="auto"/>
              <w:jc w:val="center"/>
              <w:rPr>
                <w:rFonts w:hint="default" w:ascii="宋体" w:hAnsi="宋体" w:eastAsia="宋体" w:cs="宋体"/>
                <w:sz w:val="24"/>
                <w:szCs w:val="24"/>
              </w:rPr>
            </w:pPr>
            <w:r>
              <w:rPr>
                <w:rFonts w:ascii="宋体" w:hAnsi="宋体" w:eastAsia="宋体" w:cs="宋体"/>
                <w:sz w:val="24"/>
                <w:szCs w:val="24"/>
              </w:rPr>
              <w:t>2</w:t>
            </w:r>
          </w:p>
        </w:tc>
        <w:tc>
          <w:tcPr>
            <w:tcW w:w="986" w:type="dxa"/>
            <w:vAlign w:val="center"/>
          </w:tcPr>
          <w:p w14:paraId="086B40F3">
            <w:pPr>
              <w:pStyle w:val="54"/>
              <w:spacing w:line="360" w:lineRule="auto"/>
              <w:jc w:val="center"/>
              <w:rPr>
                <w:rFonts w:hint="default" w:ascii="宋体" w:hAnsi="宋体" w:eastAsia="宋体" w:cs="宋体"/>
                <w:sz w:val="24"/>
                <w:szCs w:val="24"/>
              </w:rPr>
            </w:pPr>
            <w:r>
              <w:rPr>
                <w:rFonts w:ascii="宋体" w:hAnsi="宋体" w:eastAsia="宋体" w:cs="宋体"/>
                <w:sz w:val="24"/>
                <w:szCs w:val="24"/>
              </w:rPr>
              <w:t>是</w:t>
            </w:r>
          </w:p>
        </w:tc>
        <w:tc>
          <w:tcPr>
            <w:tcW w:w="6737" w:type="dxa"/>
            <w:vAlign w:val="center"/>
          </w:tcPr>
          <w:p w14:paraId="2C5F0CD8">
            <w:pPr>
              <w:pStyle w:val="54"/>
              <w:spacing w:line="360" w:lineRule="auto"/>
              <w:rPr>
                <w:rFonts w:hint="default" w:ascii="宋体" w:hAnsi="宋体" w:eastAsia="宋体" w:cs="宋体"/>
                <w:sz w:val="24"/>
                <w:szCs w:val="24"/>
              </w:rPr>
            </w:pPr>
            <w:r>
              <w:rPr>
                <w:rFonts w:ascii="宋体" w:hAnsi="宋体" w:eastAsia="宋体" w:cs="宋体"/>
                <w:sz w:val="24"/>
                <w:szCs w:val="24"/>
              </w:rPr>
              <w:t>根据投标人为本项目提供的备品备件进行评分：投标人承诺为本项目提供至少</w:t>
            </w:r>
            <w:r>
              <w:rPr>
                <w:rFonts w:hint="default" w:ascii="宋体" w:hAnsi="宋体" w:eastAsia="宋体" w:cs="宋体"/>
                <w:sz w:val="24"/>
                <w:szCs w:val="24"/>
              </w:rPr>
              <w:t>20</w:t>
            </w:r>
            <w:r>
              <w:rPr>
                <w:rFonts w:ascii="宋体" w:hAnsi="宋体" w:eastAsia="宋体" w:cs="宋体"/>
                <w:sz w:val="24"/>
                <w:szCs w:val="24"/>
              </w:rPr>
              <w:t>台欧司朗e:cue灯光控制引擎FX，不低于现有清单配置，备件放置于项目所在地的得2分，投标人须提供书面承诺函且承诺自合同签订之日起5个工作日内在项目所在地配备上述备品备件，否则得0分。</w:t>
            </w:r>
          </w:p>
        </w:tc>
      </w:tr>
      <w:tr w14:paraId="4A80EC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1" w:type="dxa"/>
            <w:vAlign w:val="center"/>
          </w:tcPr>
          <w:p w14:paraId="6CAA17FD">
            <w:pPr>
              <w:pStyle w:val="54"/>
              <w:spacing w:line="360" w:lineRule="auto"/>
              <w:jc w:val="center"/>
              <w:rPr>
                <w:rFonts w:hint="default" w:ascii="宋体" w:hAnsi="宋体" w:eastAsia="宋体" w:cs="宋体"/>
                <w:sz w:val="24"/>
                <w:szCs w:val="24"/>
              </w:rPr>
            </w:pPr>
            <w:r>
              <w:rPr>
                <w:rFonts w:ascii="宋体" w:hAnsi="宋体" w:eastAsia="宋体" w:cs="宋体"/>
                <w:sz w:val="24"/>
                <w:szCs w:val="24"/>
              </w:rPr>
              <w:t>1-19</w:t>
            </w:r>
          </w:p>
        </w:tc>
        <w:tc>
          <w:tcPr>
            <w:tcW w:w="800" w:type="dxa"/>
            <w:vAlign w:val="center"/>
          </w:tcPr>
          <w:p w14:paraId="22050C9F">
            <w:pPr>
              <w:pStyle w:val="54"/>
              <w:spacing w:line="360" w:lineRule="auto"/>
              <w:jc w:val="center"/>
              <w:rPr>
                <w:rFonts w:hint="default" w:ascii="宋体" w:hAnsi="宋体" w:eastAsia="宋体" w:cs="宋体"/>
                <w:sz w:val="24"/>
                <w:szCs w:val="24"/>
              </w:rPr>
            </w:pPr>
            <w:r>
              <w:rPr>
                <w:rFonts w:ascii="宋体" w:hAnsi="宋体" w:eastAsia="宋体" w:cs="宋体"/>
                <w:sz w:val="24"/>
                <w:szCs w:val="24"/>
              </w:rPr>
              <w:t>2</w:t>
            </w:r>
          </w:p>
        </w:tc>
        <w:tc>
          <w:tcPr>
            <w:tcW w:w="986" w:type="dxa"/>
            <w:vAlign w:val="center"/>
          </w:tcPr>
          <w:p w14:paraId="7F3DEA11">
            <w:pPr>
              <w:pStyle w:val="54"/>
              <w:spacing w:line="360" w:lineRule="auto"/>
              <w:jc w:val="center"/>
              <w:rPr>
                <w:rFonts w:hint="default" w:ascii="宋体" w:hAnsi="宋体" w:eastAsia="宋体" w:cs="宋体"/>
                <w:sz w:val="24"/>
                <w:szCs w:val="24"/>
              </w:rPr>
            </w:pPr>
            <w:r>
              <w:rPr>
                <w:rFonts w:ascii="宋体" w:hAnsi="宋体" w:eastAsia="宋体" w:cs="宋体"/>
                <w:sz w:val="24"/>
                <w:szCs w:val="24"/>
              </w:rPr>
              <w:t>是</w:t>
            </w:r>
          </w:p>
        </w:tc>
        <w:tc>
          <w:tcPr>
            <w:tcW w:w="6737" w:type="dxa"/>
            <w:vAlign w:val="center"/>
          </w:tcPr>
          <w:p w14:paraId="5A311851">
            <w:pPr>
              <w:pStyle w:val="54"/>
              <w:spacing w:line="360" w:lineRule="auto"/>
              <w:rPr>
                <w:rFonts w:hint="default" w:ascii="宋体" w:hAnsi="宋体" w:eastAsia="宋体" w:cs="宋体"/>
                <w:sz w:val="24"/>
                <w:szCs w:val="24"/>
              </w:rPr>
            </w:pPr>
            <w:r>
              <w:rPr>
                <w:rFonts w:ascii="宋体" w:hAnsi="宋体" w:eastAsia="宋体" w:cs="宋体"/>
                <w:sz w:val="24"/>
                <w:szCs w:val="24"/>
              </w:rPr>
              <w:t>根据投标人为本项目提供的备品备件进行评分： 投标人承诺为本项目配备至少</w:t>
            </w:r>
            <w:r>
              <w:rPr>
                <w:rFonts w:hint="default" w:ascii="宋体" w:hAnsi="宋体" w:eastAsia="宋体" w:cs="宋体"/>
                <w:sz w:val="24"/>
                <w:szCs w:val="24"/>
              </w:rPr>
              <w:t>20</w:t>
            </w:r>
            <w:r>
              <w:rPr>
                <w:rFonts w:ascii="宋体" w:hAnsi="宋体" w:eastAsia="宋体" w:cs="宋体"/>
                <w:sz w:val="24"/>
                <w:szCs w:val="24"/>
              </w:rPr>
              <w:t>台欧司朗e:cue灯光控制引擎MX，不低于现有清单配置，备件放置于项目所在地的得2分，投标人须提供书面承诺函且承诺自合同签订之日起5个工作日内在项目所在地配备上述备品备件，否则得0分。</w:t>
            </w:r>
          </w:p>
        </w:tc>
      </w:tr>
      <w:tr w14:paraId="28C8C2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1" w:type="dxa"/>
            <w:vAlign w:val="center"/>
          </w:tcPr>
          <w:p w14:paraId="1C89E9C2">
            <w:pPr>
              <w:pStyle w:val="54"/>
              <w:spacing w:line="360" w:lineRule="auto"/>
              <w:jc w:val="center"/>
              <w:rPr>
                <w:rFonts w:hint="default" w:ascii="宋体" w:hAnsi="宋体" w:eastAsia="宋体" w:cs="宋体"/>
                <w:sz w:val="24"/>
                <w:szCs w:val="24"/>
              </w:rPr>
            </w:pPr>
            <w:r>
              <w:rPr>
                <w:rFonts w:ascii="宋体" w:hAnsi="宋体" w:eastAsia="宋体" w:cs="宋体"/>
                <w:sz w:val="24"/>
                <w:szCs w:val="24"/>
              </w:rPr>
              <w:t>1-20</w:t>
            </w:r>
          </w:p>
        </w:tc>
        <w:tc>
          <w:tcPr>
            <w:tcW w:w="800" w:type="dxa"/>
            <w:vAlign w:val="center"/>
          </w:tcPr>
          <w:p w14:paraId="348ABB07">
            <w:pPr>
              <w:pStyle w:val="54"/>
              <w:spacing w:line="360" w:lineRule="auto"/>
              <w:jc w:val="center"/>
              <w:rPr>
                <w:rFonts w:hint="default" w:ascii="宋体" w:hAnsi="宋体" w:eastAsia="宋体" w:cs="宋体"/>
                <w:sz w:val="24"/>
                <w:szCs w:val="24"/>
              </w:rPr>
            </w:pPr>
            <w:r>
              <w:rPr>
                <w:rFonts w:ascii="宋体" w:hAnsi="宋体" w:eastAsia="宋体" w:cs="宋体"/>
                <w:sz w:val="24"/>
                <w:szCs w:val="24"/>
              </w:rPr>
              <w:t>2</w:t>
            </w:r>
          </w:p>
        </w:tc>
        <w:tc>
          <w:tcPr>
            <w:tcW w:w="986" w:type="dxa"/>
            <w:vAlign w:val="center"/>
          </w:tcPr>
          <w:p w14:paraId="6C81779A">
            <w:pPr>
              <w:pStyle w:val="54"/>
              <w:spacing w:line="360" w:lineRule="auto"/>
              <w:jc w:val="center"/>
              <w:rPr>
                <w:rFonts w:hint="default" w:ascii="宋体" w:hAnsi="宋体" w:eastAsia="宋体" w:cs="宋体"/>
                <w:sz w:val="24"/>
                <w:szCs w:val="24"/>
              </w:rPr>
            </w:pPr>
            <w:r>
              <w:rPr>
                <w:rFonts w:ascii="宋体" w:hAnsi="宋体" w:eastAsia="宋体" w:cs="宋体"/>
                <w:sz w:val="24"/>
                <w:szCs w:val="24"/>
              </w:rPr>
              <w:t>是</w:t>
            </w:r>
          </w:p>
        </w:tc>
        <w:tc>
          <w:tcPr>
            <w:tcW w:w="6737" w:type="dxa"/>
            <w:vAlign w:val="center"/>
          </w:tcPr>
          <w:p w14:paraId="2E9113FA">
            <w:pPr>
              <w:pStyle w:val="54"/>
              <w:spacing w:line="360" w:lineRule="auto"/>
              <w:rPr>
                <w:rFonts w:hint="default" w:ascii="宋体" w:hAnsi="宋体" w:eastAsia="宋体" w:cs="宋体"/>
                <w:sz w:val="24"/>
                <w:szCs w:val="24"/>
              </w:rPr>
            </w:pPr>
            <w:r>
              <w:rPr>
                <w:rFonts w:ascii="宋体" w:hAnsi="宋体" w:eastAsia="宋体" w:cs="宋体"/>
                <w:sz w:val="24"/>
                <w:szCs w:val="24"/>
              </w:rPr>
              <w:t>根据投标人为本项目提供的备品备件进行评分： 投标人承诺为本项目配备至少</w:t>
            </w:r>
            <w:r>
              <w:rPr>
                <w:rFonts w:hint="default" w:ascii="宋体" w:hAnsi="宋体" w:eastAsia="宋体" w:cs="宋体"/>
                <w:sz w:val="24"/>
                <w:szCs w:val="24"/>
              </w:rPr>
              <w:t>20</w:t>
            </w:r>
            <w:r>
              <w:rPr>
                <w:rFonts w:ascii="宋体" w:hAnsi="宋体" w:eastAsia="宋体" w:cs="宋体"/>
                <w:sz w:val="24"/>
                <w:szCs w:val="24"/>
              </w:rPr>
              <w:t>台欧司朗 Butler PRO 微型服务器，不低于现有清单配置，备件放置于项目所在地的得2分，投标人须提供书面承诺函且承诺自合同签订之日起5个工作日内在项目所在地配备上述备品备件，否则得0分。</w:t>
            </w:r>
          </w:p>
        </w:tc>
      </w:tr>
      <w:tr w14:paraId="75B769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1" w:type="dxa"/>
            <w:vAlign w:val="center"/>
          </w:tcPr>
          <w:p w14:paraId="10B07AD5">
            <w:pPr>
              <w:pStyle w:val="54"/>
              <w:spacing w:line="360" w:lineRule="auto"/>
              <w:jc w:val="center"/>
              <w:rPr>
                <w:rFonts w:hint="default" w:ascii="宋体" w:hAnsi="宋体" w:eastAsia="宋体" w:cs="宋体"/>
                <w:sz w:val="24"/>
                <w:szCs w:val="24"/>
              </w:rPr>
            </w:pPr>
            <w:r>
              <w:rPr>
                <w:rFonts w:ascii="宋体" w:hAnsi="宋体" w:eastAsia="宋体" w:cs="宋体"/>
                <w:sz w:val="24"/>
                <w:szCs w:val="24"/>
              </w:rPr>
              <w:t>1-21</w:t>
            </w:r>
          </w:p>
        </w:tc>
        <w:tc>
          <w:tcPr>
            <w:tcW w:w="800" w:type="dxa"/>
            <w:vAlign w:val="center"/>
          </w:tcPr>
          <w:p w14:paraId="23BF736D">
            <w:pPr>
              <w:pStyle w:val="54"/>
              <w:spacing w:line="360" w:lineRule="auto"/>
              <w:jc w:val="center"/>
              <w:rPr>
                <w:rFonts w:hint="default" w:ascii="宋体" w:hAnsi="宋体" w:eastAsia="宋体" w:cs="宋体"/>
                <w:sz w:val="24"/>
                <w:szCs w:val="24"/>
              </w:rPr>
            </w:pPr>
            <w:r>
              <w:rPr>
                <w:rFonts w:ascii="宋体" w:hAnsi="宋体" w:eastAsia="宋体" w:cs="宋体"/>
                <w:sz w:val="24"/>
                <w:szCs w:val="24"/>
              </w:rPr>
              <w:t>2</w:t>
            </w:r>
          </w:p>
        </w:tc>
        <w:tc>
          <w:tcPr>
            <w:tcW w:w="986" w:type="dxa"/>
            <w:vAlign w:val="center"/>
          </w:tcPr>
          <w:p w14:paraId="2A7B7E22">
            <w:pPr>
              <w:pStyle w:val="54"/>
              <w:spacing w:line="360" w:lineRule="auto"/>
              <w:jc w:val="center"/>
              <w:rPr>
                <w:rFonts w:hint="default" w:ascii="宋体" w:hAnsi="宋体" w:eastAsia="宋体" w:cs="宋体"/>
                <w:sz w:val="24"/>
                <w:szCs w:val="24"/>
              </w:rPr>
            </w:pPr>
            <w:r>
              <w:rPr>
                <w:rFonts w:ascii="宋体" w:hAnsi="宋体" w:eastAsia="宋体" w:cs="宋体"/>
                <w:sz w:val="24"/>
                <w:szCs w:val="24"/>
              </w:rPr>
              <w:t>是</w:t>
            </w:r>
          </w:p>
        </w:tc>
        <w:tc>
          <w:tcPr>
            <w:tcW w:w="6737" w:type="dxa"/>
            <w:vAlign w:val="center"/>
          </w:tcPr>
          <w:p w14:paraId="62C9B751">
            <w:pPr>
              <w:pStyle w:val="54"/>
              <w:spacing w:line="360" w:lineRule="auto"/>
              <w:rPr>
                <w:rFonts w:hint="default" w:ascii="宋体" w:hAnsi="宋体" w:eastAsia="宋体" w:cs="宋体"/>
                <w:sz w:val="24"/>
                <w:szCs w:val="24"/>
              </w:rPr>
            </w:pPr>
            <w:r>
              <w:rPr>
                <w:rFonts w:ascii="宋体" w:hAnsi="宋体" w:eastAsia="宋体" w:cs="宋体"/>
                <w:sz w:val="24"/>
                <w:szCs w:val="24"/>
              </w:rPr>
              <w:t>根据投标人为本项目提供的备品备件进行评分： 投标人承诺为本项目配备不少于</w:t>
            </w:r>
            <w:r>
              <w:rPr>
                <w:rFonts w:hint="default" w:ascii="宋体" w:hAnsi="宋体" w:eastAsia="宋体" w:cs="宋体"/>
                <w:sz w:val="24"/>
                <w:szCs w:val="24"/>
              </w:rPr>
              <w:t>20</w:t>
            </w:r>
            <w:r>
              <w:rPr>
                <w:rFonts w:ascii="宋体" w:hAnsi="宋体" w:eastAsia="宋体" w:cs="宋体"/>
                <w:sz w:val="24"/>
                <w:szCs w:val="24"/>
              </w:rPr>
              <w:t>台原厂MOXA 12口DO模块ioLogik 2542和至少</w:t>
            </w:r>
            <w:r>
              <w:rPr>
                <w:rFonts w:hint="default" w:ascii="宋体" w:hAnsi="宋体" w:eastAsia="宋体" w:cs="宋体"/>
                <w:sz w:val="24"/>
                <w:szCs w:val="24"/>
              </w:rPr>
              <w:t>20</w:t>
            </w:r>
            <w:r>
              <w:rPr>
                <w:rFonts w:ascii="宋体" w:hAnsi="宋体" w:eastAsia="宋体" w:cs="宋体"/>
                <w:sz w:val="24"/>
                <w:szCs w:val="24"/>
              </w:rPr>
              <w:t>台欧司朗 Butler S2微型服务器，不低于现有清单配置，备件放置于项目所在地的得2分，投标人须提供书面承诺函且</w:t>
            </w:r>
            <w:r>
              <w:rPr>
                <w:rFonts w:ascii="宋体" w:hAnsi="宋体" w:eastAsia="宋体" w:cs="宋体"/>
                <w:sz w:val="24"/>
                <w:szCs w:val="24"/>
                <w:highlight w:val="none"/>
              </w:rPr>
              <w:t>承诺自合同签订之日起</w:t>
            </w:r>
            <w:r>
              <w:rPr>
                <w:rFonts w:ascii="宋体" w:hAnsi="宋体" w:eastAsia="宋体" w:cs="宋体"/>
                <w:sz w:val="24"/>
                <w:szCs w:val="24"/>
              </w:rPr>
              <w:t>5个工作日内在项目所在地配备上述备品备件，否则得0分。</w:t>
            </w:r>
          </w:p>
        </w:tc>
      </w:tr>
      <w:tr w14:paraId="47A4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1" w:type="dxa"/>
            <w:vAlign w:val="center"/>
          </w:tcPr>
          <w:p w14:paraId="18E69821">
            <w:pPr>
              <w:pStyle w:val="54"/>
              <w:spacing w:line="360" w:lineRule="auto"/>
              <w:jc w:val="center"/>
              <w:rPr>
                <w:rFonts w:hint="default" w:ascii="宋体" w:hAnsi="宋体" w:eastAsia="宋体" w:cs="宋体"/>
                <w:sz w:val="24"/>
                <w:szCs w:val="24"/>
              </w:rPr>
            </w:pPr>
            <w:r>
              <w:rPr>
                <w:rFonts w:ascii="宋体" w:hAnsi="宋体" w:eastAsia="宋体" w:cs="宋体"/>
                <w:sz w:val="24"/>
                <w:szCs w:val="24"/>
              </w:rPr>
              <w:t>1-22</w:t>
            </w:r>
          </w:p>
        </w:tc>
        <w:tc>
          <w:tcPr>
            <w:tcW w:w="800" w:type="dxa"/>
            <w:vAlign w:val="center"/>
          </w:tcPr>
          <w:p w14:paraId="19188A50">
            <w:pPr>
              <w:pStyle w:val="54"/>
              <w:spacing w:line="360" w:lineRule="auto"/>
              <w:jc w:val="center"/>
              <w:rPr>
                <w:rFonts w:hint="default" w:ascii="宋体" w:hAnsi="宋体" w:eastAsia="宋体" w:cs="宋体"/>
                <w:sz w:val="24"/>
                <w:szCs w:val="24"/>
              </w:rPr>
            </w:pPr>
            <w:r>
              <w:rPr>
                <w:rFonts w:hint="default" w:ascii="宋体" w:hAnsi="宋体" w:eastAsia="宋体" w:cs="宋体"/>
                <w:sz w:val="24"/>
                <w:szCs w:val="24"/>
              </w:rPr>
              <w:t>2</w:t>
            </w:r>
          </w:p>
        </w:tc>
        <w:tc>
          <w:tcPr>
            <w:tcW w:w="986" w:type="dxa"/>
            <w:vAlign w:val="center"/>
          </w:tcPr>
          <w:p w14:paraId="6C0C67FD">
            <w:pPr>
              <w:pStyle w:val="54"/>
              <w:spacing w:line="360" w:lineRule="auto"/>
              <w:jc w:val="center"/>
              <w:rPr>
                <w:rFonts w:hint="default" w:ascii="宋体" w:hAnsi="宋体" w:eastAsia="宋体" w:cs="宋体"/>
                <w:sz w:val="24"/>
                <w:szCs w:val="24"/>
              </w:rPr>
            </w:pPr>
            <w:r>
              <w:rPr>
                <w:rFonts w:ascii="宋体" w:hAnsi="宋体" w:eastAsia="宋体" w:cs="宋体"/>
                <w:sz w:val="24"/>
                <w:szCs w:val="24"/>
              </w:rPr>
              <w:t>是</w:t>
            </w:r>
          </w:p>
        </w:tc>
        <w:tc>
          <w:tcPr>
            <w:tcW w:w="6737" w:type="dxa"/>
            <w:vAlign w:val="center"/>
          </w:tcPr>
          <w:p w14:paraId="04E0626F">
            <w:pPr>
              <w:pStyle w:val="54"/>
              <w:spacing w:line="360" w:lineRule="auto"/>
              <w:rPr>
                <w:rFonts w:hint="default" w:ascii="宋体" w:hAnsi="宋体" w:eastAsia="宋体" w:cs="宋体"/>
                <w:sz w:val="24"/>
                <w:szCs w:val="24"/>
              </w:rPr>
            </w:pPr>
            <w:r>
              <w:rPr>
                <w:rFonts w:ascii="宋体" w:hAnsi="宋体" w:eastAsia="宋体" w:cs="宋体"/>
                <w:sz w:val="24"/>
                <w:szCs w:val="24"/>
              </w:rPr>
              <w:t>根据投标人为本项目配备的项目经理（1名）进行评分：项目经理具备5年或以上运维项目的相关工作经验的基础上，具备信息系统项目管理师、ITSS IT服务项目经理证书，满足上述要求每个得1分，满分</w:t>
            </w:r>
            <w:r>
              <w:rPr>
                <w:rFonts w:hint="default" w:ascii="宋体" w:hAnsi="宋体" w:eastAsia="宋体" w:cs="宋体"/>
                <w:sz w:val="24"/>
                <w:szCs w:val="24"/>
              </w:rPr>
              <w:t>2</w:t>
            </w:r>
            <w:r>
              <w:rPr>
                <w:rFonts w:ascii="宋体" w:hAnsi="宋体" w:eastAsia="宋体" w:cs="宋体"/>
                <w:sz w:val="24"/>
                <w:szCs w:val="24"/>
              </w:rPr>
              <w:t>分。</w:t>
            </w:r>
          </w:p>
          <w:p w14:paraId="6737B246">
            <w:pPr>
              <w:pStyle w:val="54"/>
              <w:spacing w:line="360" w:lineRule="auto"/>
              <w:rPr>
                <w:rFonts w:ascii="宋体" w:hAnsi="宋体" w:eastAsia="宋体" w:cs="宋体"/>
                <w:sz w:val="24"/>
                <w:szCs w:val="24"/>
              </w:rPr>
            </w:pPr>
            <w:r>
              <w:rPr>
                <w:rFonts w:ascii="宋体" w:hAnsi="宋体" w:eastAsia="宋体" w:cs="宋体"/>
                <w:sz w:val="24"/>
                <w:szCs w:val="24"/>
              </w:rPr>
              <w:t>注：投标人应提供①以上人员有效资质证书证明；②能体现人员的项目合同或服务单位出具的工作经验证明等证明材料；③社保证明（详见第五章7.4条要求）；否则不得分。</w:t>
            </w:r>
          </w:p>
          <w:p w14:paraId="72A6C5AA">
            <w:pPr>
              <w:pStyle w:val="54"/>
              <w:spacing w:line="360" w:lineRule="auto"/>
              <w:rPr>
                <w:rFonts w:ascii="宋体" w:hAnsi="宋体" w:eastAsia="宋体" w:cs="宋体"/>
                <w:sz w:val="24"/>
                <w:szCs w:val="24"/>
              </w:rPr>
            </w:pPr>
            <w:r>
              <w:rPr>
                <w:rFonts w:ascii="宋体" w:hAnsi="宋体" w:eastAsia="宋体" w:cs="宋体"/>
                <w:sz w:val="24"/>
                <w:szCs w:val="24"/>
              </w:rPr>
              <w:t>备注：项目经理需为1人。</w:t>
            </w:r>
          </w:p>
        </w:tc>
      </w:tr>
      <w:tr w14:paraId="1F20F0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761" w:type="dxa"/>
            <w:vAlign w:val="center"/>
          </w:tcPr>
          <w:p w14:paraId="04A09AE6">
            <w:pPr>
              <w:pStyle w:val="54"/>
              <w:spacing w:line="360" w:lineRule="auto"/>
              <w:jc w:val="center"/>
              <w:rPr>
                <w:rFonts w:hint="default" w:ascii="宋体" w:hAnsi="宋体" w:eastAsia="宋体" w:cs="宋体"/>
                <w:sz w:val="24"/>
                <w:szCs w:val="24"/>
              </w:rPr>
            </w:pPr>
            <w:r>
              <w:rPr>
                <w:rFonts w:ascii="宋体" w:hAnsi="宋体" w:eastAsia="宋体" w:cs="宋体"/>
                <w:sz w:val="24"/>
                <w:szCs w:val="24"/>
              </w:rPr>
              <w:t>1-23</w:t>
            </w:r>
          </w:p>
        </w:tc>
        <w:tc>
          <w:tcPr>
            <w:tcW w:w="800" w:type="dxa"/>
            <w:vAlign w:val="center"/>
          </w:tcPr>
          <w:p w14:paraId="3A790533">
            <w:pPr>
              <w:pStyle w:val="54"/>
              <w:spacing w:line="360" w:lineRule="auto"/>
              <w:jc w:val="center"/>
              <w:rPr>
                <w:rFonts w:hint="default" w:ascii="宋体" w:hAnsi="宋体" w:eastAsia="宋体" w:cs="宋体"/>
                <w:sz w:val="24"/>
                <w:szCs w:val="24"/>
              </w:rPr>
            </w:pPr>
            <w:r>
              <w:rPr>
                <w:rFonts w:hint="default" w:ascii="宋体" w:hAnsi="宋体" w:eastAsia="宋体" w:cs="宋体"/>
                <w:sz w:val="24"/>
                <w:szCs w:val="24"/>
              </w:rPr>
              <w:t>3</w:t>
            </w:r>
          </w:p>
        </w:tc>
        <w:tc>
          <w:tcPr>
            <w:tcW w:w="986" w:type="dxa"/>
            <w:vAlign w:val="center"/>
          </w:tcPr>
          <w:p w14:paraId="48497A12">
            <w:pPr>
              <w:pStyle w:val="54"/>
              <w:spacing w:line="360" w:lineRule="auto"/>
              <w:jc w:val="center"/>
              <w:rPr>
                <w:rFonts w:hint="default" w:ascii="宋体" w:hAnsi="宋体" w:eastAsia="宋体" w:cs="宋体"/>
                <w:sz w:val="24"/>
                <w:szCs w:val="24"/>
              </w:rPr>
            </w:pPr>
            <w:r>
              <w:rPr>
                <w:rFonts w:ascii="宋体" w:hAnsi="宋体" w:eastAsia="宋体" w:cs="宋体"/>
                <w:sz w:val="24"/>
                <w:szCs w:val="24"/>
              </w:rPr>
              <w:t>是</w:t>
            </w:r>
          </w:p>
        </w:tc>
        <w:tc>
          <w:tcPr>
            <w:tcW w:w="6737" w:type="dxa"/>
            <w:vAlign w:val="center"/>
          </w:tcPr>
          <w:p w14:paraId="0348BD7F">
            <w:pPr>
              <w:pStyle w:val="54"/>
              <w:spacing w:line="360" w:lineRule="auto"/>
              <w:rPr>
                <w:rFonts w:hint="default" w:ascii="宋体" w:hAnsi="宋体" w:eastAsia="宋体" w:cs="宋体"/>
                <w:sz w:val="24"/>
                <w:szCs w:val="24"/>
              </w:rPr>
            </w:pPr>
            <w:r>
              <w:rPr>
                <w:rFonts w:ascii="宋体" w:hAnsi="宋体" w:eastAsia="宋体" w:cs="宋体"/>
                <w:sz w:val="24"/>
                <w:szCs w:val="24"/>
              </w:rPr>
              <w:t>根据投标人为本项目配备的技术负责人（1名）进行评分：技术负责人具备高级网络工程师（CCIE 或HCIE 或H3CIE）、ITSS IT服务项目经理证书、注册信息安全专业人员（CISP）证书的得</w:t>
            </w:r>
            <w:r>
              <w:rPr>
                <w:rFonts w:hint="eastAsia" w:ascii="宋体" w:hAnsi="宋体" w:eastAsia="宋体" w:cs="宋体"/>
                <w:sz w:val="24"/>
                <w:szCs w:val="24"/>
                <w:lang w:val="en-US" w:eastAsia="zh-CN"/>
              </w:rPr>
              <w:t>3</w:t>
            </w:r>
            <w:r>
              <w:rPr>
                <w:rFonts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否则不得分</w:t>
            </w:r>
            <w:r>
              <w:rPr>
                <w:rFonts w:ascii="宋体" w:hAnsi="宋体" w:eastAsia="宋体" w:cs="宋体"/>
                <w:sz w:val="24"/>
                <w:szCs w:val="24"/>
              </w:rPr>
              <w:t>。</w:t>
            </w:r>
          </w:p>
          <w:p w14:paraId="3AB86E27">
            <w:pPr>
              <w:pStyle w:val="54"/>
              <w:spacing w:line="360" w:lineRule="auto"/>
              <w:rPr>
                <w:rFonts w:ascii="宋体" w:hAnsi="宋体" w:eastAsia="宋体" w:cs="宋体"/>
                <w:sz w:val="24"/>
                <w:szCs w:val="24"/>
              </w:rPr>
            </w:pPr>
            <w:r>
              <w:rPr>
                <w:rFonts w:ascii="宋体" w:hAnsi="宋体" w:eastAsia="宋体" w:cs="宋体"/>
                <w:sz w:val="24"/>
                <w:szCs w:val="24"/>
              </w:rPr>
              <w:t>注：投标人应提供①以上人员有效资质证书证明；②社保证明（详见第五章7.4条要求）；否则不得分。</w:t>
            </w:r>
          </w:p>
          <w:p w14:paraId="78F740D2">
            <w:pPr>
              <w:pStyle w:val="54"/>
              <w:spacing w:line="360" w:lineRule="auto"/>
              <w:rPr>
                <w:rFonts w:hint="default" w:ascii="宋体" w:hAnsi="宋体" w:eastAsia="宋体" w:cs="宋体"/>
                <w:sz w:val="24"/>
                <w:szCs w:val="24"/>
              </w:rPr>
            </w:pPr>
            <w:r>
              <w:rPr>
                <w:rFonts w:ascii="宋体" w:hAnsi="宋体" w:eastAsia="宋体" w:cs="宋体"/>
                <w:sz w:val="24"/>
                <w:szCs w:val="24"/>
              </w:rPr>
              <w:t>备注：技术负责人需为1人。</w:t>
            </w:r>
          </w:p>
        </w:tc>
      </w:tr>
      <w:tr w14:paraId="36F334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1" w:type="dxa"/>
            <w:vAlign w:val="center"/>
          </w:tcPr>
          <w:p w14:paraId="62737E96">
            <w:pPr>
              <w:pStyle w:val="54"/>
              <w:spacing w:line="360" w:lineRule="auto"/>
              <w:jc w:val="center"/>
              <w:rPr>
                <w:rFonts w:hint="default" w:ascii="宋体" w:hAnsi="宋体" w:eastAsia="宋体" w:cs="宋体"/>
                <w:sz w:val="24"/>
                <w:szCs w:val="24"/>
              </w:rPr>
            </w:pPr>
            <w:r>
              <w:rPr>
                <w:rFonts w:ascii="宋体" w:hAnsi="宋体" w:eastAsia="宋体" w:cs="宋体"/>
                <w:sz w:val="24"/>
                <w:szCs w:val="24"/>
              </w:rPr>
              <w:t>1-24</w:t>
            </w:r>
          </w:p>
        </w:tc>
        <w:tc>
          <w:tcPr>
            <w:tcW w:w="800" w:type="dxa"/>
            <w:vAlign w:val="center"/>
          </w:tcPr>
          <w:p w14:paraId="6D5DDD07">
            <w:pPr>
              <w:pStyle w:val="54"/>
              <w:spacing w:line="360" w:lineRule="auto"/>
              <w:jc w:val="center"/>
              <w:rPr>
                <w:rFonts w:hint="default" w:ascii="宋体" w:hAnsi="宋体" w:eastAsia="宋体" w:cs="宋体"/>
                <w:sz w:val="24"/>
                <w:szCs w:val="24"/>
              </w:rPr>
            </w:pPr>
            <w:r>
              <w:rPr>
                <w:rFonts w:hint="default" w:ascii="宋体" w:hAnsi="宋体" w:eastAsia="宋体" w:cs="宋体"/>
                <w:sz w:val="24"/>
                <w:szCs w:val="24"/>
              </w:rPr>
              <w:t>2.5</w:t>
            </w:r>
          </w:p>
        </w:tc>
        <w:tc>
          <w:tcPr>
            <w:tcW w:w="986" w:type="dxa"/>
            <w:vAlign w:val="center"/>
          </w:tcPr>
          <w:p w14:paraId="4E4A1353">
            <w:pPr>
              <w:pStyle w:val="54"/>
              <w:spacing w:line="360" w:lineRule="auto"/>
              <w:jc w:val="center"/>
              <w:rPr>
                <w:rFonts w:hint="default" w:ascii="宋体" w:hAnsi="宋体" w:eastAsia="宋体" w:cs="宋体"/>
                <w:sz w:val="24"/>
                <w:szCs w:val="24"/>
              </w:rPr>
            </w:pPr>
            <w:r>
              <w:rPr>
                <w:rFonts w:ascii="宋体" w:hAnsi="宋体" w:eastAsia="宋体" w:cs="宋体"/>
                <w:sz w:val="24"/>
                <w:szCs w:val="24"/>
              </w:rPr>
              <w:t>是</w:t>
            </w:r>
          </w:p>
        </w:tc>
        <w:tc>
          <w:tcPr>
            <w:tcW w:w="6737" w:type="dxa"/>
            <w:vAlign w:val="center"/>
          </w:tcPr>
          <w:p w14:paraId="67F654D9">
            <w:pPr>
              <w:pStyle w:val="54"/>
              <w:spacing w:line="360" w:lineRule="auto"/>
              <w:rPr>
                <w:rFonts w:hint="default" w:ascii="宋体" w:hAnsi="宋体" w:eastAsia="宋体" w:cs="宋体"/>
                <w:sz w:val="24"/>
                <w:szCs w:val="24"/>
              </w:rPr>
            </w:pPr>
            <w:r>
              <w:rPr>
                <w:rFonts w:ascii="宋体" w:hAnsi="宋体" w:eastAsia="宋体" w:cs="宋体"/>
                <w:sz w:val="24"/>
                <w:szCs w:val="24"/>
              </w:rPr>
              <w:t>根据投标人为本项目配备的驻点服务人员（项目经理、技术负责人除外）资质进行评分：项目团队成员具有ITSS IT服务工程师及以上资质的每人得0.5分，满分</w:t>
            </w:r>
            <w:r>
              <w:rPr>
                <w:rFonts w:hint="default" w:ascii="宋体" w:hAnsi="宋体" w:eastAsia="宋体" w:cs="宋体"/>
                <w:sz w:val="24"/>
                <w:szCs w:val="24"/>
              </w:rPr>
              <w:t>2.5</w:t>
            </w:r>
            <w:r>
              <w:rPr>
                <w:rFonts w:ascii="宋体" w:hAnsi="宋体" w:eastAsia="宋体" w:cs="宋体"/>
                <w:sz w:val="24"/>
                <w:szCs w:val="24"/>
              </w:rPr>
              <w:t>分。</w:t>
            </w:r>
          </w:p>
          <w:p w14:paraId="2483CFB4">
            <w:pPr>
              <w:pStyle w:val="54"/>
              <w:spacing w:line="360" w:lineRule="auto"/>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sz w:val="24"/>
                <w:szCs w:val="24"/>
              </w:rPr>
              <w:t>注：投标人应提供①以上相关人员资质</w:t>
            </w:r>
            <w:r>
              <w:rPr>
                <w:rFonts w:ascii="宋体" w:hAnsi="宋体" w:eastAsia="宋体" w:cs="宋体"/>
                <w:color w:val="000000" w:themeColor="text1"/>
                <w:sz w:val="24"/>
                <w:szCs w:val="24"/>
                <w14:textFill>
                  <w14:solidFill>
                    <w14:schemeClr w14:val="tx1"/>
                  </w14:solidFill>
                </w14:textFill>
              </w:rPr>
              <w:t>证书；②</w:t>
            </w:r>
            <w:r>
              <w:rPr>
                <w:rFonts w:ascii="宋体" w:hAnsi="宋体" w:eastAsia="宋体" w:cs="宋体"/>
                <w:sz w:val="24"/>
                <w:szCs w:val="24"/>
              </w:rPr>
              <w:t>社保证明（详见第五章7.4条要求）</w:t>
            </w:r>
            <w:r>
              <w:rPr>
                <w:rFonts w:ascii="宋体" w:hAnsi="宋体" w:eastAsia="宋体" w:cs="宋体"/>
                <w:color w:val="000000" w:themeColor="text1"/>
                <w:sz w:val="24"/>
                <w:szCs w:val="24"/>
                <w14:textFill>
                  <w14:solidFill>
                    <w14:schemeClr w14:val="tx1"/>
                  </w14:solidFill>
                </w14:textFill>
              </w:rPr>
              <w:t>。</w:t>
            </w:r>
          </w:p>
          <w:p w14:paraId="5417FE8A">
            <w:pPr>
              <w:pStyle w:val="54"/>
              <w:spacing w:line="360" w:lineRule="auto"/>
              <w:rPr>
                <w:rFonts w:ascii="宋体" w:hAnsi="宋体" w:eastAsia="宋体" w:cs="宋体"/>
                <w:sz w:val="24"/>
                <w:szCs w:val="24"/>
              </w:rPr>
            </w:pPr>
            <w:r>
              <w:rPr>
                <w:rFonts w:ascii="宋体" w:hAnsi="宋体" w:eastAsia="宋体" w:cs="宋体"/>
                <w:color w:val="000000" w:themeColor="text1"/>
                <w:sz w:val="24"/>
                <w:szCs w:val="24"/>
                <w14:textFill>
                  <w14:solidFill>
                    <w14:schemeClr w14:val="tx1"/>
                  </w14:solidFill>
                </w14:textFill>
              </w:rPr>
              <w:t>备注：1</w:t>
            </w:r>
            <w:r>
              <w:rPr>
                <w:rFonts w:hint="default" w:ascii="宋体" w:hAnsi="宋体" w:eastAsia="宋体" w:cs="宋体"/>
                <w:color w:val="000000" w:themeColor="text1"/>
                <w:sz w:val="24"/>
                <w:szCs w:val="24"/>
                <w14:textFill>
                  <w14:solidFill>
                    <w14:schemeClr w14:val="tx1"/>
                  </w14:solidFill>
                </w14:textFill>
              </w:rPr>
              <w:t>-24</w:t>
            </w:r>
            <w:r>
              <w:rPr>
                <w:rFonts w:ascii="宋体" w:hAnsi="宋体" w:eastAsia="宋体" w:cs="宋体"/>
                <w:color w:val="000000" w:themeColor="text1"/>
                <w:sz w:val="24"/>
                <w:szCs w:val="24"/>
                <w14:textFill>
                  <w14:solidFill>
                    <w14:schemeClr w14:val="tx1"/>
                  </w14:solidFill>
                </w14:textFill>
              </w:rPr>
              <w:t>与1</w:t>
            </w:r>
            <w:r>
              <w:rPr>
                <w:rFonts w:hint="default" w:ascii="宋体" w:hAnsi="宋体" w:eastAsia="宋体" w:cs="宋体"/>
                <w:color w:val="000000" w:themeColor="text1"/>
                <w:sz w:val="24"/>
                <w:szCs w:val="24"/>
                <w14:textFill>
                  <w14:solidFill>
                    <w14:schemeClr w14:val="tx1"/>
                  </w14:solidFill>
                </w14:textFill>
              </w:rPr>
              <w:t>-25</w:t>
            </w:r>
            <w:r>
              <w:rPr>
                <w:rFonts w:ascii="宋体" w:hAnsi="宋体" w:eastAsia="宋体" w:cs="宋体"/>
                <w:color w:val="000000" w:themeColor="text1"/>
                <w:sz w:val="24"/>
                <w:szCs w:val="24"/>
                <w14:textFill>
                  <w14:solidFill>
                    <w14:schemeClr w14:val="tx1"/>
                  </w14:solidFill>
                </w14:textFill>
              </w:rPr>
              <w:t>人员需一致。</w:t>
            </w:r>
          </w:p>
        </w:tc>
      </w:tr>
      <w:tr w14:paraId="57B525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1" w:type="dxa"/>
            <w:vAlign w:val="center"/>
          </w:tcPr>
          <w:p w14:paraId="1D7BD211">
            <w:pPr>
              <w:pStyle w:val="54"/>
              <w:spacing w:line="360" w:lineRule="auto"/>
              <w:jc w:val="center"/>
              <w:rPr>
                <w:rFonts w:hint="default" w:ascii="宋体" w:hAnsi="宋体" w:eastAsia="宋体" w:cs="宋体"/>
                <w:sz w:val="24"/>
                <w:szCs w:val="24"/>
              </w:rPr>
            </w:pPr>
            <w:r>
              <w:rPr>
                <w:rFonts w:ascii="宋体" w:hAnsi="宋体" w:eastAsia="宋体" w:cs="宋体"/>
                <w:sz w:val="24"/>
                <w:szCs w:val="24"/>
              </w:rPr>
              <w:t>1-25</w:t>
            </w:r>
          </w:p>
        </w:tc>
        <w:tc>
          <w:tcPr>
            <w:tcW w:w="800" w:type="dxa"/>
            <w:vAlign w:val="center"/>
          </w:tcPr>
          <w:p w14:paraId="5B76C94E">
            <w:pPr>
              <w:pStyle w:val="54"/>
              <w:spacing w:line="360" w:lineRule="auto"/>
              <w:jc w:val="center"/>
              <w:rPr>
                <w:rFonts w:hint="default" w:ascii="宋体" w:hAnsi="宋体" w:eastAsia="宋体" w:cs="宋体"/>
                <w:sz w:val="24"/>
                <w:szCs w:val="24"/>
              </w:rPr>
            </w:pPr>
            <w:r>
              <w:rPr>
                <w:rFonts w:ascii="宋体" w:hAnsi="宋体" w:eastAsia="宋体" w:cs="宋体"/>
                <w:sz w:val="24"/>
                <w:szCs w:val="24"/>
              </w:rPr>
              <w:t>2</w:t>
            </w:r>
            <w:r>
              <w:rPr>
                <w:rFonts w:hint="default" w:ascii="宋体" w:hAnsi="宋体" w:eastAsia="宋体" w:cs="宋体"/>
                <w:sz w:val="24"/>
                <w:szCs w:val="24"/>
              </w:rPr>
              <w:t>.5</w:t>
            </w:r>
          </w:p>
        </w:tc>
        <w:tc>
          <w:tcPr>
            <w:tcW w:w="986" w:type="dxa"/>
            <w:vAlign w:val="center"/>
          </w:tcPr>
          <w:p w14:paraId="594C96DC">
            <w:pPr>
              <w:pStyle w:val="54"/>
              <w:spacing w:line="360" w:lineRule="auto"/>
              <w:jc w:val="center"/>
              <w:rPr>
                <w:rFonts w:hint="default" w:ascii="宋体" w:hAnsi="宋体" w:eastAsia="宋体" w:cs="宋体"/>
                <w:sz w:val="24"/>
                <w:szCs w:val="24"/>
              </w:rPr>
            </w:pPr>
            <w:r>
              <w:rPr>
                <w:rFonts w:ascii="宋体" w:hAnsi="宋体" w:eastAsia="宋体" w:cs="宋体"/>
                <w:sz w:val="24"/>
                <w:szCs w:val="24"/>
              </w:rPr>
              <w:t>是</w:t>
            </w:r>
          </w:p>
        </w:tc>
        <w:tc>
          <w:tcPr>
            <w:tcW w:w="6737" w:type="dxa"/>
            <w:vAlign w:val="center"/>
          </w:tcPr>
          <w:p w14:paraId="6E547796">
            <w:pPr>
              <w:pStyle w:val="54"/>
              <w:spacing w:line="360" w:lineRule="auto"/>
              <w:rPr>
                <w:rFonts w:hint="default" w:ascii="宋体" w:hAnsi="宋体" w:eastAsia="宋体" w:cs="宋体"/>
                <w:sz w:val="24"/>
                <w:szCs w:val="24"/>
              </w:rPr>
            </w:pPr>
            <w:r>
              <w:rPr>
                <w:rFonts w:ascii="宋体" w:hAnsi="宋体" w:eastAsia="宋体" w:cs="宋体"/>
                <w:sz w:val="24"/>
                <w:szCs w:val="24"/>
              </w:rPr>
              <w:t>根据投标人为本项目配备的驻点服务人员（项目经理、技术负责人除外）进行评分：驻点服务人员中具有运维项目服务岗位工作经验的每人得0.5分，满分</w:t>
            </w:r>
            <w:r>
              <w:rPr>
                <w:rFonts w:hint="default" w:ascii="宋体" w:hAnsi="宋体" w:eastAsia="宋体" w:cs="宋体"/>
                <w:sz w:val="24"/>
                <w:szCs w:val="24"/>
              </w:rPr>
              <w:t>2.5</w:t>
            </w:r>
            <w:r>
              <w:rPr>
                <w:rFonts w:ascii="宋体" w:hAnsi="宋体" w:eastAsia="宋体" w:cs="宋体"/>
                <w:sz w:val="24"/>
                <w:szCs w:val="24"/>
              </w:rPr>
              <w:t>分。投标人应提供能体现人员的项目合同或服务单位出具的工作经验证明等证明材料，否则不得分。</w:t>
            </w:r>
          </w:p>
          <w:p w14:paraId="3D7C9EEB">
            <w:pPr>
              <w:pStyle w:val="54"/>
              <w:spacing w:line="360" w:lineRule="auto"/>
              <w:rPr>
                <w:rFonts w:ascii="宋体" w:hAnsi="宋体" w:eastAsia="宋体" w:cs="宋体"/>
                <w:sz w:val="24"/>
                <w:szCs w:val="24"/>
              </w:rPr>
            </w:pPr>
            <w:r>
              <w:rPr>
                <w:rFonts w:ascii="宋体" w:hAnsi="宋体" w:eastAsia="宋体" w:cs="宋体"/>
                <w:color w:val="000000" w:themeColor="text1"/>
                <w:sz w:val="24"/>
                <w:szCs w:val="24"/>
                <w14:textFill>
                  <w14:solidFill>
                    <w14:schemeClr w14:val="tx1"/>
                  </w14:solidFill>
                </w14:textFill>
              </w:rPr>
              <w:t>备注：1</w:t>
            </w:r>
            <w:r>
              <w:rPr>
                <w:rFonts w:hint="default" w:ascii="宋体" w:hAnsi="宋体" w:eastAsia="宋体" w:cs="宋体"/>
                <w:color w:val="000000" w:themeColor="text1"/>
                <w:sz w:val="24"/>
                <w:szCs w:val="24"/>
                <w14:textFill>
                  <w14:solidFill>
                    <w14:schemeClr w14:val="tx1"/>
                  </w14:solidFill>
                </w14:textFill>
              </w:rPr>
              <w:t>-24</w:t>
            </w:r>
            <w:r>
              <w:rPr>
                <w:rFonts w:ascii="宋体" w:hAnsi="宋体" w:eastAsia="宋体" w:cs="宋体"/>
                <w:color w:val="000000" w:themeColor="text1"/>
                <w:sz w:val="24"/>
                <w:szCs w:val="24"/>
                <w14:textFill>
                  <w14:solidFill>
                    <w14:schemeClr w14:val="tx1"/>
                  </w14:solidFill>
                </w14:textFill>
              </w:rPr>
              <w:t>与1</w:t>
            </w:r>
            <w:r>
              <w:rPr>
                <w:rFonts w:hint="default" w:ascii="宋体" w:hAnsi="宋体" w:eastAsia="宋体" w:cs="宋体"/>
                <w:color w:val="000000" w:themeColor="text1"/>
                <w:sz w:val="24"/>
                <w:szCs w:val="24"/>
                <w14:textFill>
                  <w14:solidFill>
                    <w14:schemeClr w14:val="tx1"/>
                  </w14:solidFill>
                </w14:textFill>
              </w:rPr>
              <w:t>-25</w:t>
            </w:r>
            <w:r>
              <w:rPr>
                <w:rFonts w:ascii="宋体" w:hAnsi="宋体" w:eastAsia="宋体" w:cs="宋体"/>
                <w:color w:val="000000" w:themeColor="text1"/>
                <w:sz w:val="24"/>
                <w:szCs w:val="24"/>
                <w14:textFill>
                  <w14:solidFill>
                    <w14:schemeClr w14:val="tx1"/>
                  </w14:solidFill>
                </w14:textFill>
              </w:rPr>
              <w:t>人员需一致。</w:t>
            </w:r>
          </w:p>
        </w:tc>
      </w:tr>
      <w:tr w14:paraId="5896FB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1" w:type="dxa"/>
            <w:vAlign w:val="center"/>
          </w:tcPr>
          <w:p w14:paraId="3E846C81">
            <w:pPr>
              <w:pStyle w:val="54"/>
              <w:spacing w:line="360" w:lineRule="auto"/>
              <w:jc w:val="center"/>
              <w:rPr>
                <w:rFonts w:hint="default" w:ascii="宋体" w:hAnsi="宋体" w:eastAsia="宋体" w:cs="宋体"/>
                <w:sz w:val="24"/>
                <w:szCs w:val="24"/>
              </w:rPr>
            </w:pPr>
            <w:r>
              <w:rPr>
                <w:rFonts w:ascii="宋体" w:hAnsi="宋体" w:eastAsia="宋体" w:cs="宋体"/>
                <w:sz w:val="24"/>
                <w:szCs w:val="24"/>
              </w:rPr>
              <w:t>1-26</w:t>
            </w:r>
          </w:p>
        </w:tc>
        <w:tc>
          <w:tcPr>
            <w:tcW w:w="800" w:type="dxa"/>
            <w:vAlign w:val="center"/>
          </w:tcPr>
          <w:p w14:paraId="66DB8589">
            <w:pPr>
              <w:pStyle w:val="54"/>
              <w:spacing w:line="360" w:lineRule="auto"/>
              <w:jc w:val="center"/>
              <w:rPr>
                <w:rFonts w:hint="default" w:ascii="宋体" w:hAnsi="宋体" w:eastAsia="宋体" w:cs="宋体"/>
                <w:sz w:val="24"/>
                <w:szCs w:val="24"/>
              </w:rPr>
            </w:pPr>
            <w:r>
              <w:rPr>
                <w:rFonts w:ascii="宋体" w:hAnsi="宋体" w:eastAsia="宋体" w:cs="宋体"/>
                <w:sz w:val="24"/>
                <w:szCs w:val="24"/>
              </w:rPr>
              <w:t>2</w:t>
            </w:r>
          </w:p>
        </w:tc>
        <w:tc>
          <w:tcPr>
            <w:tcW w:w="986" w:type="dxa"/>
            <w:vAlign w:val="center"/>
          </w:tcPr>
          <w:p w14:paraId="5FC5BB08">
            <w:pPr>
              <w:pStyle w:val="54"/>
              <w:spacing w:line="360" w:lineRule="auto"/>
              <w:jc w:val="center"/>
              <w:rPr>
                <w:rFonts w:hint="default" w:ascii="宋体" w:hAnsi="宋体" w:eastAsia="宋体" w:cs="宋体"/>
                <w:sz w:val="24"/>
                <w:szCs w:val="24"/>
              </w:rPr>
            </w:pPr>
            <w:r>
              <w:rPr>
                <w:rFonts w:ascii="宋体" w:hAnsi="宋体" w:eastAsia="宋体" w:cs="宋体"/>
                <w:sz w:val="24"/>
                <w:szCs w:val="24"/>
              </w:rPr>
              <w:t>是</w:t>
            </w:r>
          </w:p>
        </w:tc>
        <w:tc>
          <w:tcPr>
            <w:tcW w:w="6737" w:type="dxa"/>
            <w:vAlign w:val="center"/>
          </w:tcPr>
          <w:p w14:paraId="7F57F0DB">
            <w:pPr>
              <w:pStyle w:val="54"/>
              <w:spacing w:line="360" w:lineRule="auto"/>
              <w:rPr>
                <w:rFonts w:hint="default" w:ascii="宋体" w:hAnsi="宋体" w:eastAsia="宋体" w:cs="宋体"/>
                <w:sz w:val="24"/>
                <w:szCs w:val="24"/>
              </w:rPr>
            </w:pPr>
            <w:r>
              <w:rPr>
                <w:rFonts w:ascii="宋体" w:hAnsi="宋体" w:eastAsia="宋体" w:cs="宋体"/>
                <w:sz w:val="24"/>
                <w:szCs w:val="24"/>
              </w:rPr>
              <w:t>根据投标人为本项目配备的设备维修和系统软件维护人员（应急团队）进行评分：团队成员</w:t>
            </w:r>
            <w:bookmarkStart w:id="18" w:name="OLE_LINK11"/>
            <w:bookmarkStart w:id="19" w:name="OLE_LINK10"/>
            <w:r>
              <w:rPr>
                <w:rFonts w:ascii="宋体" w:hAnsi="宋体" w:eastAsia="宋体" w:cs="宋体"/>
                <w:sz w:val="24"/>
                <w:szCs w:val="24"/>
              </w:rPr>
              <w:t>具备思科认证网络专家（CCIE）或华为认证ICT专家（HCIE）或华三认证互联网络专家（H3CIE）或数据库认证专家（OCP）或ITSS IT服务项目经理或ITSS IT服务工程师或注册信息安全专业人员（CISP）</w:t>
            </w:r>
            <w:bookmarkEnd w:id="18"/>
            <w:bookmarkEnd w:id="19"/>
            <w:r>
              <w:rPr>
                <w:rFonts w:ascii="宋体" w:hAnsi="宋体" w:eastAsia="宋体" w:cs="宋体"/>
                <w:sz w:val="24"/>
                <w:szCs w:val="24"/>
              </w:rPr>
              <w:t>证书的，每提供1名得0.5分，满分2分。</w:t>
            </w:r>
          </w:p>
          <w:p w14:paraId="54C120BE">
            <w:pPr>
              <w:pStyle w:val="54"/>
              <w:spacing w:line="360" w:lineRule="auto"/>
              <w:rPr>
                <w:rFonts w:hint="default" w:ascii="宋体" w:hAnsi="宋体" w:eastAsia="宋体" w:cs="宋体"/>
                <w:sz w:val="24"/>
                <w:szCs w:val="24"/>
              </w:rPr>
            </w:pPr>
            <w:r>
              <w:rPr>
                <w:rFonts w:ascii="宋体" w:hAnsi="宋体" w:eastAsia="宋体" w:cs="宋体"/>
                <w:sz w:val="24"/>
                <w:szCs w:val="24"/>
              </w:rPr>
              <w:t>注：投标人应提供①以上相关人员资质证明</w:t>
            </w:r>
            <w:r>
              <w:rPr>
                <w:rFonts w:ascii="宋体" w:hAnsi="宋体" w:eastAsia="宋体" w:cs="宋体"/>
                <w:color w:val="000000" w:themeColor="text1"/>
                <w:sz w:val="24"/>
                <w:szCs w:val="24"/>
                <w14:textFill>
                  <w14:solidFill>
                    <w14:schemeClr w14:val="tx1"/>
                  </w14:solidFill>
                </w14:textFill>
              </w:rPr>
              <w:t>；②</w:t>
            </w:r>
            <w:r>
              <w:rPr>
                <w:rFonts w:ascii="宋体" w:hAnsi="宋体" w:eastAsia="宋体" w:cs="宋体"/>
                <w:sz w:val="24"/>
                <w:szCs w:val="24"/>
              </w:rPr>
              <w:t>社保证明（详见第五章7.4条要求），否则不得分。</w:t>
            </w:r>
          </w:p>
          <w:p w14:paraId="4A053D18">
            <w:pPr>
              <w:pStyle w:val="54"/>
              <w:spacing w:line="360" w:lineRule="auto"/>
              <w:rPr>
                <w:rFonts w:hint="default" w:ascii="宋体" w:hAnsi="宋体" w:eastAsia="宋体" w:cs="宋体"/>
                <w:sz w:val="24"/>
                <w:szCs w:val="24"/>
              </w:rPr>
            </w:pPr>
            <w:r>
              <w:rPr>
                <w:rFonts w:ascii="宋体" w:hAnsi="宋体" w:eastAsia="宋体" w:cs="宋体"/>
                <w:sz w:val="24"/>
                <w:szCs w:val="24"/>
                <w:highlight w:val="none"/>
              </w:rPr>
              <w:t>本项设备维修和系统软件维护人员不得为1-22至1-25项的人员，否则该人员不纳入本项计分。</w:t>
            </w:r>
          </w:p>
        </w:tc>
      </w:tr>
    </w:tbl>
    <w:p w14:paraId="64647CEB">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商务项（F3×A3）满分为25.00分</w:t>
      </w:r>
    </w:p>
    <w:tbl>
      <w:tblPr>
        <w:tblStyle w:val="17"/>
        <w:tblW w:w="9284"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1"/>
        <w:gridCol w:w="715"/>
        <w:gridCol w:w="1014"/>
        <w:gridCol w:w="6794"/>
      </w:tblGrid>
      <w:tr w14:paraId="2A227D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1" w:type="dxa"/>
            <w:vAlign w:val="center"/>
          </w:tcPr>
          <w:p w14:paraId="4249B7CD">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项目</w:t>
            </w:r>
          </w:p>
        </w:tc>
        <w:tc>
          <w:tcPr>
            <w:tcW w:w="715" w:type="dxa"/>
            <w:vAlign w:val="center"/>
          </w:tcPr>
          <w:p w14:paraId="2940C64D">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分值</w:t>
            </w:r>
          </w:p>
        </w:tc>
        <w:tc>
          <w:tcPr>
            <w:tcW w:w="1014" w:type="dxa"/>
            <w:vAlign w:val="center"/>
          </w:tcPr>
          <w:p w14:paraId="38896EE2">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是否客观分</w:t>
            </w:r>
          </w:p>
        </w:tc>
        <w:tc>
          <w:tcPr>
            <w:tcW w:w="6794" w:type="dxa"/>
            <w:vAlign w:val="center"/>
          </w:tcPr>
          <w:p w14:paraId="1CFDF8CF">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描述</w:t>
            </w:r>
          </w:p>
        </w:tc>
      </w:tr>
      <w:tr w14:paraId="0AD705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1" w:type="dxa"/>
            <w:vAlign w:val="center"/>
          </w:tcPr>
          <w:p w14:paraId="23146C24">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2-1</w:t>
            </w:r>
          </w:p>
        </w:tc>
        <w:tc>
          <w:tcPr>
            <w:tcW w:w="715" w:type="dxa"/>
            <w:vAlign w:val="center"/>
          </w:tcPr>
          <w:p w14:paraId="3B55A114">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1</w:t>
            </w:r>
          </w:p>
        </w:tc>
        <w:tc>
          <w:tcPr>
            <w:tcW w:w="1014" w:type="dxa"/>
            <w:vAlign w:val="center"/>
          </w:tcPr>
          <w:p w14:paraId="0AA6DE9C">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是</w:t>
            </w:r>
          </w:p>
        </w:tc>
        <w:tc>
          <w:tcPr>
            <w:tcW w:w="6794" w:type="dxa"/>
            <w:vAlign w:val="center"/>
          </w:tcPr>
          <w:p w14:paraId="6D26F13D">
            <w:pPr>
              <w:pStyle w:val="54"/>
              <w:spacing w:line="440" w:lineRule="exact"/>
              <w:rPr>
                <w:rFonts w:hint="default" w:ascii="宋体" w:hAnsi="宋体" w:eastAsia="宋体" w:cs="宋体"/>
                <w:sz w:val="24"/>
                <w:szCs w:val="24"/>
              </w:rPr>
            </w:pPr>
            <w:r>
              <w:rPr>
                <w:rFonts w:ascii="宋体" w:hAnsi="宋体" w:eastAsia="宋体" w:cs="宋体"/>
                <w:sz w:val="24"/>
                <w:szCs w:val="24"/>
              </w:rPr>
              <w:t>投标人具备有效期内的质量管理体系认证证书的得1分。</w:t>
            </w:r>
          </w:p>
          <w:p w14:paraId="5826AC32">
            <w:pPr>
              <w:pStyle w:val="54"/>
              <w:spacing w:line="440" w:lineRule="exact"/>
              <w:rPr>
                <w:rFonts w:hint="default" w:ascii="宋体" w:hAnsi="宋体" w:eastAsia="宋体" w:cs="宋体"/>
                <w:sz w:val="24"/>
                <w:szCs w:val="24"/>
              </w:rPr>
            </w:pPr>
            <w:r>
              <w:rPr>
                <w:rFonts w:ascii="宋体" w:hAnsi="宋体" w:eastAsia="宋体" w:cs="宋体"/>
                <w:sz w:val="24"/>
                <w:szCs w:val="24"/>
              </w:rPr>
              <w:t>注：需提供认证证书及能够体现通过全国认证认可信息公共服务平台（网址：cx.cnca.cn）查询的，且证书处于有效期内的截图（查询截图至少需包含证书编号、证书状态、发证机构、网址信息），否则不得分。</w:t>
            </w:r>
          </w:p>
        </w:tc>
      </w:tr>
      <w:tr w14:paraId="47B2D0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1" w:type="dxa"/>
            <w:vAlign w:val="center"/>
          </w:tcPr>
          <w:p w14:paraId="63914FDC">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2-2</w:t>
            </w:r>
          </w:p>
        </w:tc>
        <w:tc>
          <w:tcPr>
            <w:tcW w:w="715" w:type="dxa"/>
            <w:vAlign w:val="center"/>
          </w:tcPr>
          <w:p w14:paraId="6454BC8B">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1</w:t>
            </w:r>
          </w:p>
        </w:tc>
        <w:tc>
          <w:tcPr>
            <w:tcW w:w="1014" w:type="dxa"/>
            <w:vAlign w:val="center"/>
          </w:tcPr>
          <w:p w14:paraId="2E18CE72">
            <w:pPr>
              <w:widowControl/>
              <w:spacing w:line="440" w:lineRule="exact"/>
              <w:jc w:val="center"/>
              <w:rPr>
                <w:rFonts w:ascii="宋体" w:hAnsi="宋体" w:eastAsia="宋体" w:cs="宋体"/>
                <w:sz w:val="24"/>
                <w:szCs w:val="24"/>
              </w:rPr>
            </w:pPr>
            <w:r>
              <w:rPr>
                <w:rFonts w:hint="eastAsia" w:ascii="宋体" w:hAnsi="宋体" w:eastAsia="宋体" w:cs="宋体"/>
                <w:sz w:val="24"/>
                <w:szCs w:val="24"/>
              </w:rPr>
              <w:t>是</w:t>
            </w:r>
          </w:p>
        </w:tc>
        <w:tc>
          <w:tcPr>
            <w:tcW w:w="6794" w:type="dxa"/>
            <w:vAlign w:val="center"/>
          </w:tcPr>
          <w:p w14:paraId="474580ED">
            <w:pPr>
              <w:pStyle w:val="54"/>
              <w:spacing w:line="440" w:lineRule="exact"/>
              <w:rPr>
                <w:rFonts w:hint="default" w:ascii="宋体" w:hAnsi="宋体" w:eastAsia="宋体" w:cs="宋体"/>
                <w:sz w:val="24"/>
                <w:szCs w:val="24"/>
              </w:rPr>
            </w:pPr>
            <w:r>
              <w:rPr>
                <w:rFonts w:ascii="宋体" w:hAnsi="宋体" w:eastAsia="宋体" w:cs="宋体"/>
                <w:sz w:val="24"/>
                <w:szCs w:val="24"/>
              </w:rPr>
              <w:t>投标人具备有效期内的信息技术服务管理体系标准认证证书的得1分。</w:t>
            </w:r>
          </w:p>
          <w:p w14:paraId="78D6AD8D">
            <w:pPr>
              <w:pStyle w:val="54"/>
              <w:spacing w:line="440" w:lineRule="exact"/>
              <w:rPr>
                <w:rFonts w:hint="default" w:ascii="宋体" w:hAnsi="宋体" w:eastAsia="宋体" w:cs="宋体"/>
                <w:sz w:val="24"/>
                <w:szCs w:val="24"/>
              </w:rPr>
            </w:pPr>
            <w:r>
              <w:rPr>
                <w:rFonts w:ascii="宋体" w:hAnsi="宋体" w:eastAsia="宋体" w:cs="宋体"/>
                <w:sz w:val="24"/>
                <w:szCs w:val="24"/>
              </w:rPr>
              <w:t xml:space="preserve"> 注：需提供认证证书及能够体现通过全国认证认可信息公共服务平台（网址：cx.cnca.cn）查询的，且证书处于有效期内的截图（查询截图至少需包含证书编号、证书状态、发证机构、网址信息），否则不得分。</w:t>
            </w:r>
          </w:p>
        </w:tc>
      </w:tr>
      <w:tr w14:paraId="0B9B69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1" w:type="dxa"/>
            <w:vAlign w:val="center"/>
          </w:tcPr>
          <w:p w14:paraId="49124366">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2-3</w:t>
            </w:r>
          </w:p>
        </w:tc>
        <w:tc>
          <w:tcPr>
            <w:tcW w:w="715" w:type="dxa"/>
            <w:vAlign w:val="center"/>
          </w:tcPr>
          <w:p w14:paraId="549C2329">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1</w:t>
            </w:r>
          </w:p>
        </w:tc>
        <w:tc>
          <w:tcPr>
            <w:tcW w:w="1014" w:type="dxa"/>
            <w:vAlign w:val="center"/>
          </w:tcPr>
          <w:p w14:paraId="0E09FF45">
            <w:pPr>
              <w:widowControl/>
              <w:spacing w:line="440" w:lineRule="exact"/>
              <w:jc w:val="center"/>
              <w:rPr>
                <w:rFonts w:ascii="宋体" w:hAnsi="宋体" w:eastAsia="宋体" w:cs="宋体"/>
                <w:sz w:val="24"/>
                <w:szCs w:val="24"/>
              </w:rPr>
            </w:pPr>
            <w:r>
              <w:rPr>
                <w:rFonts w:hint="eastAsia" w:ascii="宋体" w:hAnsi="宋体" w:eastAsia="宋体" w:cs="宋体"/>
                <w:sz w:val="24"/>
                <w:szCs w:val="24"/>
              </w:rPr>
              <w:t>是</w:t>
            </w:r>
          </w:p>
        </w:tc>
        <w:tc>
          <w:tcPr>
            <w:tcW w:w="6794" w:type="dxa"/>
            <w:vAlign w:val="center"/>
          </w:tcPr>
          <w:p w14:paraId="0EBBF31B">
            <w:pPr>
              <w:pStyle w:val="54"/>
              <w:spacing w:line="440" w:lineRule="exact"/>
              <w:rPr>
                <w:rFonts w:hint="default" w:ascii="宋体" w:hAnsi="宋体" w:eastAsia="宋体" w:cs="宋体"/>
                <w:sz w:val="24"/>
                <w:szCs w:val="24"/>
              </w:rPr>
            </w:pPr>
            <w:r>
              <w:rPr>
                <w:rFonts w:ascii="宋体" w:hAnsi="宋体" w:eastAsia="宋体" w:cs="宋体"/>
                <w:sz w:val="24"/>
                <w:szCs w:val="24"/>
              </w:rPr>
              <w:t>投标人具备有效期内的信息安全管理体系认证证书的得1分。</w:t>
            </w:r>
          </w:p>
          <w:p w14:paraId="0F7345B9">
            <w:pPr>
              <w:pStyle w:val="54"/>
              <w:spacing w:line="440" w:lineRule="exact"/>
              <w:rPr>
                <w:rFonts w:hint="default" w:ascii="宋体" w:hAnsi="宋体" w:eastAsia="宋体" w:cs="宋体"/>
                <w:sz w:val="24"/>
                <w:szCs w:val="24"/>
              </w:rPr>
            </w:pPr>
            <w:r>
              <w:rPr>
                <w:rFonts w:ascii="宋体" w:hAnsi="宋体" w:eastAsia="宋体" w:cs="宋体"/>
                <w:sz w:val="24"/>
                <w:szCs w:val="24"/>
              </w:rPr>
              <w:t xml:space="preserve"> 注：需提供认证证书及能够体现通过全国认证认可信息公共服务平台（网址：cx.cnca.cn）查询的，且证书处于有效期内的截图（查询截图至少需包含证书编号、证书状态、发证机构、网址信息），否则不得分。</w:t>
            </w:r>
          </w:p>
        </w:tc>
      </w:tr>
      <w:tr w14:paraId="5FD629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1" w:type="dxa"/>
            <w:shd w:val="clear" w:color="auto" w:fill="auto"/>
            <w:vAlign w:val="center"/>
          </w:tcPr>
          <w:p w14:paraId="6D5CB8B9">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2-4</w:t>
            </w:r>
          </w:p>
        </w:tc>
        <w:tc>
          <w:tcPr>
            <w:tcW w:w="715" w:type="dxa"/>
            <w:vAlign w:val="center"/>
          </w:tcPr>
          <w:p w14:paraId="19AEADE2">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3</w:t>
            </w:r>
          </w:p>
        </w:tc>
        <w:tc>
          <w:tcPr>
            <w:tcW w:w="1014" w:type="dxa"/>
            <w:vAlign w:val="center"/>
          </w:tcPr>
          <w:p w14:paraId="0A3E8D02">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是</w:t>
            </w:r>
          </w:p>
        </w:tc>
        <w:tc>
          <w:tcPr>
            <w:tcW w:w="6794" w:type="dxa"/>
            <w:vAlign w:val="center"/>
          </w:tcPr>
          <w:p w14:paraId="716CB4A1">
            <w:pPr>
              <w:pStyle w:val="54"/>
              <w:spacing w:line="440" w:lineRule="exact"/>
              <w:rPr>
                <w:rFonts w:hint="default" w:ascii="宋体" w:hAnsi="宋体" w:eastAsia="宋体" w:cs="宋体"/>
                <w:sz w:val="24"/>
                <w:szCs w:val="24"/>
              </w:rPr>
            </w:pPr>
            <w:r>
              <w:rPr>
                <w:rFonts w:ascii="宋体" w:hAnsi="宋体" w:eastAsia="宋体" w:cs="宋体"/>
                <w:sz w:val="24"/>
                <w:szCs w:val="24"/>
              </w:rPr>
              <w:t>为保障本项目的服务质量和服务的及时性，</w:t>
            </w:r>
            <w:r>
              <w:rPr>
                <w:rFonts w:ascii="宋体" w:hAnsi="宋体"/>
                <w:sz w:val="24"/>
                <w:szCs w:val="24"/>
              </w:rPr>
              <w:t>投标人可提供本地化服务的得3分，否则不得分。投标人可提供合作单位协议或者自身机构的营业执照证明，也可以提供在本地设立的项目部、办公室、办事处等机构证明，或者承诺中标后提供本地化服务。</w:t>
            </w:r>
          </w:p>
        </w:tc>
      </w:tr>
      <w:tr w14:paraId="46DBBC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1" w:type="dxa"/>
            <w:shd w:val="clear" w:color="auto" w:fill="auto"/>
            <w:vAlign w:val="center"/>
          </w:tcPr>
          <w:p w14:paraId="5B168A46">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2-5</w:t>
            </w:r>
          </w:p>
        </w:tc>
        <w:tc>
          <w:tcPr>
            <w:tcW w:w="715" w:type="dxa"/>
            <w:vAlign w:val="center"/>
          </w:tcPr>
          <w:p w14:paraId="7C33C34E">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1</w:t>
            </w:r>
          </w:p>
        </w:tc>
        <w:tc>
          <w:tcPr>
            <w:tcW w:w="1014" w:type="dxa"/>
            <w:vAlign w:val="center"/>
          </w:tcPr>
          <w:p w14:paraId="2F5F06CF">
            <w:pPr>
              <w:widowControl/>
              <w:spacing w:line="440" w:lineRule="exact"/>
              <w:jc w:val="center"/>
              <w:rPr>
                <w:rFonts w:ascii="宋体" w:hAnsi="宋体" w:eastAsia="宋体" w:cs="宋体"/>
                <w:sz w:val="24"/>
                <w:szCs w:val="24"/>
              </w:rPr>
            </w:pPr>
            <w:r>
              <w:rPr>
                <w:rFonts w:hint="eastAsia" w:ascii="宋体" w:hAnsi="宋体" w:eastAsia="宋体" w:cs="宋体"/>
                <w:sz w:val="24"/>
                <w:szCs w:val="24"/>
              </w:rPr>
              <w:t>是</w:t>
            </w:r>
          </w:p>
        </w:tc>
        <w:tc>
          <w:tcPr>
            <w:tcW w:w="6794" w:type="dxa"/>
            <w:vAlign w:val="center"/>
          </w:tcPr>
          <w:p w14:paraId="3795240D">
            <w:pPr>
              <w:pStyle w:val="54"/>
              <w:spacing w:line="440" w:lineRule="exact"/>
              <w:rPr>
                <w:rFonts w:hint="default" w:ascii="宋体" w:hAnsi="宋体" w:eastAsia="宋体" w:cs="宋体"/>
                <w:sz w:val="24"/>
                <w:szCs w:val="24"/>
              </w:rPr>
            </w:pPr>
            <w:r>
              <w:rPr>
                <w:rFonts w:ascii="宋体" w:hAnsi="宋体" w:eastAsia="宋体" w:cs="宋体"/>
                <w:sz w:val="24"/>
                <w:szCs w:val="24"/>
              </w:rPr>
              <w:t>投标人具有行政主管部门颁发的与本项目服务能力、履约能力等有关的荣誉的得1分，须提供证书等证明材料，否则不得分。</w:t>
            </w:r>
          </w:p>
        </w:tc>
      </w:tr>
      <w:tr w14:paraId="346BE0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1" w:type="dxa"/>
            <w:shd w:val="clear" w:color="auto" w:fill="auto"/>
            <w:vAlign w:val="center"/>
          </w:tcPr>
          <w:p w14:paraId="1BBDB9B9">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2-6</w:t>
            </w:r>
          </w:p>
        </w:tc>
        <w:tc>
          <w:tcPr>
            <w:tcW w:w="715" w:type="dxa"/>
            <w:vAlign w:val="center"/>
          </w:tcPr>
          <w:p w14:paraId="3386FD37">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3</w:t>
            </w:r>
          </w:p>
        </w:tc>
        <w:tc>
          <w:tcPr>
            <w:tcW w:w="1014" w:type="dxa"/>
            <w:vAlign w:val="center"/>
          </w:tcPr>
          <w:p w14:paraId="65946474">
            <w:pPr>
              <w:widowControl/>
              <w:spacing w:line="440" w:lineRule="exact"/>
              <w:jc w:val="center"/>
              <w:rPr>
                <w:rFonts w:ascii="宋体" w:hAnsi="宋体" w:eastAsia="宋体" w:cs="宋体"/>
                <w:sz w:val="24"/>
                <w:szCs w:val="24"/>
              </w:rPr>
            </w:pPr>
            <w:r>
              <w:rPr>
                <w:rFonts w:hint="eastAsia" w:ascii="宋体" w:hAnsi="宋体" w:eastAsia="宋体" w:cs="宋体"/>
                <w:sz w:val="24"/>
                <w:szCs w:val="24"/>
              </w:rPr>
              <w:t>是</w:t>
            </w:r>
          </w:p>
        </w:tc>
        <w:tc>
          <w:tcPr>
            <w:tcW w:w="6794" w:type="dxa"/>
            <w:vAlign w:val="center"/>
          </w:tcPr>
          <w:p w14:paraId="5A83FE47">
            <w:pPr>
              <w:pStyle w:val="54"/>
              <w:spacing w:line="440" w:lineRule="exact"/>
              <w:rPr>
                <w:rFonts w:hint="default" w:ascii="宋体" w:hAnsi="宋体" w:eastAsia="宋体" w:cs="宋体"/>
                <w:sz w:val="24"/>
                <w:szCs w:val="24"/>
              </w:rPr>
            </w:pPr>
            <w:r>
              <w:rPr>
                <w:rFonts w:ascii="宋体" w:hAnsi="宋体" w:eastAsia="宋体" w:cs="宋体"/>
                <w:sz w:val="24"/>
                <w:szCs w:val="24"/>
              </w:rPr>
              <w:t>投标人提供的服务响应时间（突发应急响应、恶劣天气响应、亮灯故障响应）完全满足招标文件要求的得3分，否则不得分。</w:t>
            </w:r>
          </w:p>
        </w:tc>
      </w:tr>
      <w:tr w14:paraId="42533B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1" w:type="dxa"/>
            <w:shd w:val="clear" w:color="auto" w:fill="auto"/>
            <w:vAlign w:val="center"/>
          </w:tcPr>
          <w:p w14:paraId="50C0379B">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2-7</w:t>
            </w:r>
          </w:p>
        </w:tc>
        <w:tc>
          <w:tcPr>
            <w:tcW w:w="715" w:type="dxa"/>
            <w:vAlign w:val="center"/>
          </w:tcPr>
          <w:p w14:paraId="15A24C70">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2</w:t>
            </w:r>
          </w:p>
        </w:tc>
        <w:tc>
          <w:tcPr>
            <w:tcW w:w="1014" w:type="dxa"/>
            <w:vAlign w:val="center"/>
          </w:tcPr>
          <w:p w14:paraId="7E531DFD">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是</w:t>
            </w:r>
          </w:p>
        </w:tc>
        <w:tc>
          <w:tcPr>
            <w:tcW w:w="6794" w:type="dxa"/>
            <w:vAlign w:val="center"/>
          </w:tcPr>
          <w:p w14:paraId="608614A2">
            <w:pPr>
              <w:pStyle w:val="54"/>
              <w:spacing w:line="440" w:lineRule="exact"/>
              <w:rPr>
                <w:rFonts w:hint="default" w:ascii="宋体" w:hAnsi="宋体" w:eastAsia="宋体" w:cs="宋体"/>
                <w:sz w:val="24"/>
                <w:szCs w:val="24"/>
              </w:rPr>
            </w:pPr>
            <w:r>
              <w:rPr>
                <w:rFonts w:ascii="宋体" w:hAnsi="宋体" w:eastAsia="宋体" w:cs="宋体"/>
                <w:sz w:val="24"/>
                <w:szCs w:val="24"/>
              </w:rPr>
              <w:t>投标人具有完整的类似运维项目服务人员管理制度、奖惩制度的得2分，提供相关制度大纲，否则不得分。</w:t>
            </w:r>
          </w:p>
        </w:tc>
      </w:tr>
      <w:tr w14:paraId="102B65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1" w:type="dxa"/>
            <w:shd w:val="clear" w:color="auto" w:fill="auto"/>
            <w:vAlign w:val="center"/>
          </w:tcPr>
          <w:p w14:paraId="13D8DCE8">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2-8</w:t>
            </w:r>
          </w:p>
        </w:tc>
        <w:tc>
          <w:tcPr>
            <w:tcW w:w="715" w:type="dxa"/>
            <w:vAlign w:val="center"/>
          </w:tcPr>
          <w:p w14:paraId="469BEBEA">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2</w:t>
            </w:r>
          </w:p>
        </w:tc>
        <w:tc>
          <w:tcPr>
            <w:tcW w:w="1014" w:type="dxa"/>
            <w:vAlign w:val="center"/>
          </w:tcPr>
          <w:p w14:paraId="19BA24FD">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是</w:t>
            </w:r>
          </w:p>
        </w:tc>
        <w:tc>
          <w:tcPr>
            <w:tcW w:w="6794" w:type="dxa"/>
            <w:vAlign w:val="center"/>
          </w:tcPr>
          <w:p w14:paraId="3ACE6330">
            <w:pPr>
              <w:pStyle w:val="54"/>
              <w:spacing w:line="440" w:lineRule="exact"/>
              <w:rPr>
                <w:rFonts w:hint="default" w:ascii="宋体" w:hAnsi="宋体" w:eastAsia="宋体" w:cs="宋体"/>
                <w:sz w:val="24"/>
                <w:szCs w:val="24"/>
              </w:rPr>
            </w:pPr>
            <w:r>
              <w:rPr>
                <w:rFonts w:ascii="宋体" w:hAnsi="宋体" w:eastAsia="宋体" w:cs="宋体"/>
                <w:sz w:val="24"/>
                <w:szCs w:val="24"/>
              </w:rPr>
              <w:t>投标人具有为全国性或国家级信息化维保活动提供技术支持或保障服务的相关经验或获得表彰的得2分，提供相关证明材料，否则不得分</w:t>
            </w:r>
          </w:p>
        </w:tc>
      </w:tr>
      <w:tr w14:paraId="48D796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1" w:type="dxa"/>
            <w:shd w:val="clear" w:color="auto" w:fill="auto"/>
            <w:vAlign w:val="center"/>
          </w:tcPr>
          <w:p w14:paraId="62EAF7C2">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2-9</w:t>
            </w:r>
          </w:p>
        </w:tc>
        <w:tc>
          <w:tcPr>
            <w:tcW w:w="715" w:type="dxa"/>
            <w:vAlign w:val="center"/>
          </w:tcPr>
          <w:p w14:paraId="469D3103">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3</w:t>
            </w:r>
          </w:p>
        </w:tc>
        <w:tc>
          <w:tcPr>
            <w:tcW w:w="1014" w:type="dxa"/>
            <w:vAlign w:val="center"/>
          </w:tcPr>
          <w:p w14:paraId="41683B23">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是</w:t>
            </w:r>
          </w:p>
        </w:tc>
        <w:tc>
          <w:tcPr>
            <w:tcW w:w="6794" w:type="dxa"/>
            <w:vAlign w:val="center"/>
          </w:tcPr>
          <w:p w14:paraId="492F4B0C">
            <w:pPr>
              <w:pStyle w:val="54"/>
              <w:spacing w:line="440" w:lineRule="exact"/>
              <w:rPr>
                <w:rFonts w:hint="default" w:ascii="宋体" w:hAnsi="宋体" w:eastAsia="宋体" w:cs="宋体"/>
                <w:sz w:val="24"/>
                <w:szCs w:val="24"/>
              </w:rPr>
            </w:pPr>
            <w:r>
              <w:rPr>
                <w:rFonts w:ascii="宋体" w:hAnsi="宋体" w:eastAsia="宋体" w:cs="宋体"/>
                <w:sz w:val="24"/>
                <w:szCs w:val="24"/>
              </w:rPr>
              <w:t>投标人按照招标文件“10、保密要求”提供保密承诺的得3分，否则不得分。</w:t>
            </w:r>
          </w:p>
        </w:tc>
      </w:tr>
      <w:tr w14:paraId="60AF23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1" w:type="dxa"/>
            <w:shd w:val="clear" w:color="auto" w:fill="auto"/>
            <w:vAlign w:val="center"/>
          </w:tcPr>
          <w:p w14:paraId="1244336C">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2-10</w:t>
            </w:r>
          </w:p>
        </w:tc>
        <w:tc>
          <w:tcPr>
            <w:tcW w:w="715" w:type="dxa"/>
            <w:vAlign w:val="center"/>
          </w:tcPr>
          <w:p w14:paraId="51D90ADB">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3</w:t>
            </w:r>
          </w:p>
        </w:tc>
        <w:tc>
          <w:tcPr>
            <w:tcW w:w="1014" w:type="dxa"/>
            <w:vAlign w:val="center"/>
          </w:tcPr>
          <w:p w14:paraId="2603C53F">
            <w:pPr>
              <w:widowControl/>
              <w:spacing w:line="440" w:lineRule="exact"/>
              <w:jc w:val="center"/>
              <w:rPr>
                <w:rFonts w:ascii="宋体" w:hAnsi="宋体" w:eastAsia="宋体" w:cs="宋体"/>
                <w:sz w:val="24"/>
                <w:szCs w:val="24"/>
              </w:rPr>
            </w:pPr>
            <w:r>
              <w:rPr>
                <w:rFonts w:hint="eastAsia" w:ascii="宋体" w:hAnsi="宋体" w:eastAsia="宋体" w:cs="宋体"/>
                <w:sz w:val="24"/>
                <w:szCs w:val="24"/>
              </w:rPr>
              <w:t>是</w:t>
            </w:r>
          </w:p>
        </w:tc>
        <w:tc>
          <w:tcPr>
            <w:tcW w:w="6794" w:type="dxa"/>
            <w:vAlign w:val="center"/>
          </w:tcPr>
          <w:p w14:paraId="5C8EECE5">
            <w:pPr>
              <w:pStyle w:val="54"/>
              <w:spacing w:line="440" w:lineRule="exact"/>
              <w:rPr>
                <w:rFonts w:hint="default" w:ascii="宋体" w:hAnsi="宋体" w:eastAsia="宋体" w:cs="宋体"/>
                <w:sz w:val="24"/>
                <w:szCs w:val="24"/>
              </w:rPr>
            </w:pPr>
            <w:r>
              <w:rPr>
                <w:rFonts w:ascii="宋体" w:hAnsi="宋体" w:eastAsia="宋体" w:cs="宋体"/>
                <w:sz w:val="24"/>
                <w:szCs w:val="24"/>
              </w:rPr>
              <w:t>根据投标人</w:t>
            </w:r>
            <w:r>
              <w:rPr>
                <w:rFonts w:ascii="宋体" w:hAnsi="宋体" w:eastAsia="宋体" w:cs="宋体"/>
                <w:sz w:val="24"/>
                <w:szCs w:val="24"/>
                <w:highlight w:val="none"/>
              </w:rPr>
              <w:t>2020年1月1日</w:t>
            </w:r>
            <w:r>
              <w:rPr>
                <w:rFonts w:ascii="宋体" w:hAnsi="宋体" w:eastAsia="宋体" w:cs="宋体"/>
                <w:sz w:val="24"/>
                <w:szCs w:val="24"/>
              </w:rPr>
              <w:t>至今所完成的与本项目类似的信息化维保项目获得业主单位认可的证明材料（如业主单位出具的认可其服务的感谢信、服务满意度评价等）进行评分，每提供1个业主单位的有效证明材料得1分，满分3分，证明材料应有业主单位盖章，否则不得分。</w:t>
            </w:r>
          </w:p>
          <w:p w14:paraId="62AACF54">
            <w:pPr>
              <w:pStyle w:val="54"/>
              <w:spacing w:line="440" w:lineRule="exact"/>
              <w:rPr>
                <w:rFonts w:ascii="宋体" w:hAnsi="宋体" w:eastAsia="宋体" w:cs="宋体"/>
                <w:sz w:val="24"/>
                <w:szCs w:val="24"/>
              </w:rPr>
            </w:pPr>
            <w:r>
              <w:rPr>
                <w:rFonts w:ascii="宋体" w:hAnsi="宋体" w:eastAsia="宋体" w:cs="宋体"/>
                <w:sz w:val="24"/>
                <w:szCs w:val="24"/>
              </w:rPr>
              <w:t>备注：2</w:t>
            </w:r>
            <w:r>
              <w:rPr>
                <w:rFonts w:hint="default" w:ascii="宋体" w:hAnsi="宋体" w:eastAsia="宋体" w:cs="宋体"/>
                <w:sz w:val="24"/>
                <w:szCs w:val="24"/>
              </w:rPr>
              <w:t>-10</w:t>
            </w:r>
            <w:r>
              <w:rPr>
                <w:rFonts w:ascii="宋体" w:hAnsi="宋体" w:eastAsia="宋体" w:cs="宋体"/>
                <w:sz w:val="24"/>
                <w:szCs w:val="24"/>
              </w:rPr>
              <w:t>与2</w:t>
            </w:r>
            <w:r>
              <w:rPr>
                <w:rFonts w:hint="default" w:ascii="宋体" w:hAnsi="宋体" w:eastAsia="宋体" w:cs="宋体"/>
                <w:sz w:val="24"/>
                <w:szCs w:val="24"/>
              </w:rPr>
              <w:t>-12</w:t>
            </w:r>
            <w:r>
              <w:rPr>
                <w:rFonts w:ascii="宋体" w:hAnsi="宋体" w:eastAsia="宋体" w:cs="宋体"/>
                <w:sz w:val="24"/>
                <w:szCs w:val="24"/>
              </w:rPr>
              <w:t>同一项目不能重复计分。</w:t>
            </w:r>
          </w:p>
        </w:tc>
      </w:tr>
      <w:tr w14:paraId="255386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1" w:type="dxa"/>
            <w:vAlign w:val="center"/>
          </w:tcPr>
          <w:p w14:paraId="4420EBFC">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2-11</w:t>
            </w:r>
          </w:p>
        </w:tc>
        <w:tc>
          <w:tcPr>
            <w:tcW w:w="715" w:type="dxa"/>
            <w:vAlign w:val="center"/>
          </w:tcPr>
          <w:p w14:paraId="1201B493">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2</w:t>
            </w:r>
          </w:p>
        </w:tc>
        <w:tc>
          <w:tcPr>
            <w:tcW w:w="1014" w:type="dxa"/>
            <w:vAlign w:val="center"/>
          </w:tcPr>
          <w:p w14:paraId="18761939">
            <w:pPr>
              <w:widowControl/>
              <w:spacing w:line="440" w:lineRule="exact"/>
              <w:jc w:val="center"/>
              <w:rPr>
                <w:rFonts w:ascii="宋体" w:hAnsi="宋体" w:eastAsia="宋体" w:cs="宋体"/>
                <w:sz w:val="24"/>
                <w:szCs w:val="24"/>
              </w:rPr>
            </w:pPr>
            <w:r>
              <w:rPr>
                <w:rFonts w:hint="eastAsia" w:ascii="宋体" w:hAnsi="宋体" w:eastAsia="宋体" w:cs="宋体"/>
                <w:sz w:val="24"/>
                <w:szCs w:val="24"/>
              </w:rPr>
              <w:t>是</w:t>
            </w:r>
          </w:p>
        </w:tc>
        <w:tc>
          <w:tcPr>
            <w:tcW w:w="6794" w:type="dxa"/>
            <w:vAlign w:val="center"/>
          </w:tcPr>
          <w:p w14:paraId="1F9FA586">
            <w:pPr>
              <w:pStyle w:val="54"/>
              <w:spacing w:line="440" w:lineRule="exact"/>
              <w:rPr>
                <w:rFonts w:hint="default" w:ascii="宋体" w:hAnsi="宋体" w:eastAsia="宋体" w:cs="宋体"/>
                <w:sz w:val="24"/>
                <w:szCs w:val="24"/>
              </w:rPr>
            </w:pPr>
            <w:r>
              <w:rPr>
                <w:rFonts w:ascii="宋体" w:hAnsi="宋体" w:eastAsia="宋体" w:cs="宋体"/>
                <w:sz w:val="24"/>
                <w:szCs w:val="24"/>
              </w:rPr>
              <w:t>根据投标人取得跟本项目相关软件著作权证书进行评价，投标人取得夜景照明集中控制平台相关软件著作权证书，且该软件可应用于本项目，每提供一份得1分，满分2分。须提供计算机软件著作权登记证书，否则不得分。</w:t>
            </w:r>
          </w:p>
        </w:tc>
      </w:tr>
      <w:tr w14:paraId="5E664B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1" w:type="dxa"/>
            <w:vAlign w:val="center"/>
          </w:tcPr>
          <w:p w14:paraId="7D703169">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2-12</w:t>
            </w:r>
          </w:p>
        </w:tc>
        <w:tc>
          <w:tcPr>
            <w:tcW w:w="715" w:type="dxa"/>
            <w:vAlign w:val="center"/>
          </w:tcPr>
          <w:p w14:paraId="6518D587">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3</w:t>
            </w:r>
          </w:p>
        </w:tc>
        <w:tc>
          <w:tcPr>
            <w:tcW w:w="1014" w:type="dxa"/>
            <w:vAlign w:val="center"/>
          </w:tcPr>
          <w:p w14:paraId="69B7C48C">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是</w:t>
            </w:r>
          </w:p>
        </w:tc>
        <w:tc>
          <w:tcPr>
            <w:tcW w:w="6794" w:type="dxa"/>
            <w:vAlign w:val="center"/>
          </w:tcPr>
          <w:p w14:paraId="32EB6725">
            <w:pPr>
              <w:pStyle w:val="54"/>
              <w:spacing w:line="440" w:lineRule="exact"/>
              <w:rPr>
                <w:rFonts w:ascii="宋体" w:hAnsi="宋体" w:eastAsia="宋体" w:cs="宋体"/>
                <w:sz w:val="24"/>
                <w:szCs w:val="24"/>
              </w:rPr>
            </w:pPr>
            <w:r>
              <w:rPr>
                <w:rFonts w:ascii="宋体" w:hAnsi="宋体" w:eastAsia="宋体" w:cs="宋体"/>
                <w:sz w:val="24"/>
                <w:szCs w:val="24"/>
              </w:rPr>
              <w:t>根据投标人</w:t>
            </w:r>
            <w:r>
              <w:rPr>
                <w:rFonts w:ascii="宋体" w:hAnsi="宋体" w:eastAsia="宋体" w:cs="宋体"/>
                <w:sz w:val="24"/>
                <w:szCs w:val="24"/>
                <w:highlight w:val="none"/>
              </w:rPr>
              <w:t>2020年1月1日</w:t>
            </w:r>
            <w:r>
              <w:rPr>
                <w:rFonts w:ascii="宋体" w:hAnsi="宋体" w:eastAsia="宋体" w:cs="宋体"/>
                <w:sz w:val="24"/>
                <w:szCs w:val="24"/>
              </w:rPr>
              <w:t>至今（以合同签订时间为准）类似信息化维保服务项目经营业绩的有效证明文件进行评价，有效证明文件包括该业绩的：</w:t>
            </w:r>
          </w:p>
          <w:p w14:paraId="58BF25F9">
            <w:pPr>
              <w:pStyle w:val="54"/>
              <w:spacing w:line="440" w:lineRule="exact"/>
              <w:rPr>
                <w:rFonts w:hint="default" w:ascii="宋体" w:hAnsi="宋体" w:eastAsia="宋体" w:cs="宋体"/>
                <w:sz w:val="24"/>
                <w:szCs w:val="24"/>
              </w:rPr>
            </w:pPr>
            <w:r>
              <w:rPr>
                <w:rFonts w:ascii="宋体" w:hAnsi="宋体" w:eastAsia="宋体" w:cs="宋体"/>
                <w:sz w:val="24"/>
                <w:szCs w:val="24"/>
              </w:rPr>
              <w:t>①中标（成交）公告（提供相关网站中标（成交）公告的下载网页及其网址）；</w:t>
            </w:r>
          </w:p>
          <w:p w14:paraId="316A6088">
            <w:pPr>
              <w:pStyle w:val="54"/>
              <w:spacing w:line="440" w:lineRule="exact"/>
              <w:rPr>
                <w:rFonts w:hint="default" w:ascii="宋体" w:hAnsi="宋体" w:eastAsia="宋体" w:cs="宋体"/>
                <w:sz w:val="24"/>
                <w:szCs w:val="24"/>
              </w:rPr>
            </w:pPr>
            <w:r>
              <w:rPr>
                <w:rFonts w:ascii="宋体" w:hAnsi="宋体" w:eastAsia="宋体" w:cs="宋体"/>
                <w:sz w:val="24"/>
                <w:szCs w:val="24"/>
              </w:rPr>
              <w:t>②中标（成交）通知书复印件；</w:t>
            </w:r>
          </w:p>
          <w:p w14:paraId="38B0A44D">
            <w:pPr>
              <w:pStyle w:val="54"/>
              <w:spacing w:line="440" w:lineRule="exact"/>
              <w:rPr>
                <w:rFonts w:hint="default" w:ascii="宋体" w:hAnsi="宋体" w:eastAsia="宋体" w:cs="宋体"/>
                <w:sz w:val="24"/>
                <w:szCs w:val="24"/>
              </w:rPr>
            </w:pPr>
            <w:r>
              <w:rPr>
                <w:rFonts w:ascii="宋体" w:hAnsi="宋体" w:eastAsia="宋体" w:cs="宋体"/>
                <w:sz w:val="24"/>
                <w:szCs w:val="24"/>
              </w:rPr>
              <w:t>③采购合同文本复印件；</w:t>
            </w:r>
          </w:p>
          <w:p w14:paraId="67D8A8B8">
            <w:pPr>
              <w:pStyle w:val="54"/>
              <w:spacing w:line="440" w:lineRule="exact"/>
              <w:rPr>
                <w:rFonts w:hint="default" w:ascii="宋体" w:hAnsi="宋体" w:eastAsia="宋体" w:cs="宋体"/>
                <w:sz w:val="24"/>
                <w:szCs w:val="24"/>
              </w:rPr>
            </w:pPr>
            <w:r>
              <w:rPr>
                <w:rFonts w:ascii="宋体" w:hAnsi="宋体" w:eastAsia="宋体" w:cs="宋体"/>
                <w:sz w:val="24"/>
                <w:szCs w:val="24"/>
              </w:rPr>
              <w:t>④能够证明该业绩项目已经采购人验收合格的相关证明文件复印件（在途的项目可提供服务为业主好评或满意的证明）；</w:t>
            </w:r>
          </w:p>
          <w:p w14:paraId="27FFEBB0">
            <w:pPr>
              <w:pStyle w:val="54"/>
              <w:spacing w:line="440" w:lineRule="exact"/>
              <w:rPr>
                <w:rFonts w:hint="default" w:ascii="宋体" w:hAnsi="宋体" w:eastAsia="宋体" w:cs="宋体"/>
                <w:sz w:val="24"/>
                <w:szCs w:val="24"/>
              </w:rPr>
            </w:pPr>
            <w:r>
              <w:rPr>
                <w:rFonts w:ascii="宋体" w:hAnsi="宋体" w:eastAsia="宋体" w:cs="宋体"/>
                <w:sz w:val="24"/>
                <w:szCs w:val="24"/>
              </w:rPr>
              <w:t>上述证明四项齐全。每提供1份有效业绩得1分，满分3分。未按要求提供完整证明资料的业绩将不予计分。</w:t>
            </w:r>
          </w:p>
          <w:p w14:paraId="7B122C54">
            <w:pPr>
              <w:pStyle w:val="54"/>
              <w:spacing w:line="440" w:lineRule="exact"/>
              <w:rPr>
                <w:rFonts w:ascii="宋体" w:hAnsi="宋体" w:eastAsia="宋体" w:cs="宋体"/>
                <w:sz w:val="24"/>
                <w:szCs w:val="24"/>
              </w:rPr>
            </w:pPr>
            <w:r>
              <w:rPr>
                <w:rFonts w:ascii="宋体" w:hAnsi="宋体" w:eastAsia="宋体" w:cs="宋体"/>
                <w:sz w:val="24"/>
                <w:szCs w:val="24"/>
              </w:rPr>
              <w:t>备注：2</w:t>
            </w:r>
            <w:r>
              <w:rPr>
                <w:rFonts w:hint="default" w:ascii="宋体" w:hAnsi="宋体" w:eastAsia="宋体" w:cs="宋体"/>
                <w:sz w:val="24"/>
                <w:szCs w:val="24"/>
              </w:rPr>
              <w:t>-10</w:t>
            </w:r>
            <w:r>
              <w:rPr>
                <w:rFonts w:ascii="宋体" w:hAnsi="宋体" w:eastAsia="宋体" w:cs="宋体"/>
                <w:sz w:val="24"/>
                <w:szCs w:val="24"/>
              </w:rPr>
              <w:t>与2</w:t>
            </w:r>
            <w:r>
              <w:rPr>
                <w:rFonts w:hint="default" w:ascii="宋体" w:hAnsi="宋体" w:eastAsia="宋体" w:cs="宋体"/>
                <w:sz w:val="24"/>
                <w:szCs w:val="24"/>
              </w:rPr>
              <w:t>-12</w:t>
            </w:r>
            <w:r>
              <w:rPr>
                <w:rFonts w:ascii="宋体" w:hAnsi="宋体" w:eastAsia="宋体" w:cs="宋体"/>
                <w:sz w:val="24"/>
                <w:szCs w:val="24"/>
              </w:rPr>
              <w:t>同一项目不能重复计分。</w:t>
            </w:r>
          </w:p>
        </w:tc>
      </w:tr>
    </w:tbl>
    <w:p w14:paraId="1C6FA9AE">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（3）中标候选人排列规则顺序如下：</w:t>
      </w:r>
    </w:p>
    <w:p w14:paraId="23128B0F">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a.按照评标总得分（FA）由高到低顺序排列。</w:t>
      </w:r>
    </w:p>
    <w:p w14:paraId="2D330424">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b.评标总得分（FA）相同的，按照评标价（即价格扣除后的投标报价）由低到高顺序排列。</w:t>
      </w:r>
    </w:p>
    <w:p w14:paraId="5A5FDB0F">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c.评标总得分（FA）且评标价（即价格扣除后的投标报价）相同的并列。</w:t>
      </w:r>
    </w:p>
    <w:p w14:paraId="3A4F83C9">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8、其他规定</w:t>
      </w:r>
    </w:p>
    <w:p w14:paraId="7A9F878F">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8.1评标应全程保密且不得透露给任一投标人或与评标工作无关的人员。</w:t>
      </w:r>
    </w:p>
    <w:p w14:paraId="64E0BEEB">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8.2评标将进行全程实时录音录像，录音录像资料随采购文件一并存档。</w:t>
      </w:r>
    </w:p>
    <w:p w14:paraId="35072EAD">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8.3若投标人有任何试图干扰具体评标事务，影响评标委员会独立履行职责的行为，其投标无效且不予退还投标保证金。情节严重的，由财政部门列入不良行为记录。</w:t>
      </w:r>
    </w:p>
    <w:p w14:paraId="45E4558E">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8.4其他：无</w:t>
      </w:r>
    </w:p>
    <w:p w14:paraId="083CFF61">
      <w:pPr>
        <w:sectPr>
          <w:pgSz w:w="11906" w:h="16838"/>
          <w:pgMar w:top="1418" w:right="1418" w:bottom="1418" w:left="1418" w:header="851" w:footer="992" w:gutter="0"/>
          <w:cols w:space="425" w:num="1"/>
          <w:docGrid w:type="lines" w:linePitch="312" w:charSpace="0"/>
        </w:sectPr>
      </w:pPr>
    </w:p>
    <w:p w14:paraId="7ED6A290">
      <w:pPr>
        <w:pStyle w:val="2"/>
        <w:keepNext/>
        <w:keepLines/>
        <w:widowControl w:val="0"/>
        <w:spacing w:before="240" w:beforeLines="100" w:beforeAutospacing="0" w:after="240" w:afterLines="100" w:afterAutospacing="0"/>
        <w:jc w:val="center"/>
        <w:rPr>
          <w:rFonts w:ascii="黑体" w:hAnsi="黑体" w:eastAsia="黑体" w:cs="Times New Roman"/>
          <w:kern w:val="0"/>
          <w:sz w:val="32"/>
          <w:szCs w:val="44"/>
        </w:rPr>
      </w:pPr>
      <w:bookmarkStart w:id="20" w:name="_Toc11104"/>
      <w:r>
        <w:rPr>
          <w:rFonts w:ascii="黑体" w:hAnsi="黑体" w:eastAsia="黑体" w:cs="Times New Roman"/>
          <w:kern w:val="0"/>
          <w:sz w:val="32"/>
          <w:szCs w:val="44"/>
        </w:rPr>
        <w:t>第五章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招标内容及要求</w:t>
      </w:r>
      <w:bookmarkEnd w:id="20"/>
    </w:p>
    <w:p w14:paraId="198777FB">
      <w:pPr>
        <w:pStyle w:val="3"/>
        <w:spacing w:before="240" w:beforeLines="100" w:after="240" w:afterLines="100" w:line="240" w:lineRule="auto"/>
        <w:jc w:val="left"/>
        <w:rPr>
          <w:rFonts w:ascii="黑体" w:hAnsi="黑体" w:eastAsia="黑体" w:cs="Times New Roman"/>
          <w:kern w:val="0"/>
          <w:sz w:val="30"/>
        </w:rPr>
      </w:pPr>
      <w:bookmarkStart w:id="21" w:name="_Toc18912"/>
      <w:r>
        <w:rPr>
          <w:rFonts w:ascii="黑体" w:hAnsi="黑体" w:eastAsia="黑体" w:cs="Times New Roman"/>
          <w:kern w:val="0"/>
          <w:sz w:val="30"/>
        </w:rPr>
        <w:t>一、项目概况（采购标的）</w:t>
      </w:r>
      <w:bookmarkEnd w:id="21"/>
    </w:p>
    <w:p w14:paraId="311641C8">
      <w:pPr>
        <w:numPr>
          <w:ilvl w:val="0"/>
          <w:numId w:val="1"/>
        </w:numPr>
        <w:spacing w:before="120" w:beforeLines="50" w:after="120" w:afterLines="50"/>
        <w:rPr>
          <w:rFonts w:ascii="宋体" w:hAnsi="宋体" w:eastAsia="宋体"/>
          <w:b/>
          <w:sz w:val="28"/>
          <w:szCs w:val="28"/>
        </w:rPr>
      </w:pPr>
      <w:r>
        <w:rPr>
          <w:rFonts w:hint="eastAsia" w:ascii="宋体" w:hAnsi="宋体" w:eastAsia="宋体"/>
          <w:b/>
          <w:sz w:val="28"/>
          <w:szCs w:val="28"/>
        </w:rPr>
        <w:t>项目概况</w:t>
      </w:r>
    </w:p>
    <w:p w14:paraId="1184A90F">
      <w:pPr>
        <w:spacing w:line="360" w:lineRule="auto"/>
        <w:ind w:firstLine="480" w:firstLineChars="200"/>
        <w:jc w:val="left"/>
        <w:rPr>
          <w:rFonts w:asciiTheme="minorEastAsia" w:hAnsiTheme="minorEastAsia"/>
          <w:sz w:val="24"/>
        </w:rPr>
      </w:pPr>
      <w:r>
        <w:rPr>
          <w:rFonts w:hint="eastAsia" w:asciiTheme="minorEastAsia" w:hAnsiTheme="minorEastAsia"/>
          <w:sz w:val="24"/>
        </w:rPr>
        <w:t>本项目为厦门市住房和建设局的夜景照明集中控制平台运维服务项目。</w:t>
      </w:r>
    </w:p>
    <w:p w14:paraId="0B9F274C">
      <w:pPr>
        <w:spacing w:line="360" w:lineRule="auto"/>
        <w:ind w:firstLine="480" w:firstLineChars="200"/>
        <w:jc w:val="left"/>
        <w:rPr>
          <w:rFonts w:asciiTheme="minorEastAsia" w:hAnsiTheme="minorEastAsia"/>
          <w:sz w:val="24"/>
        </w:rPr>
      </w:pPr>
      <w:r>
        <w:rPr>
          <w:rFonts w:hint="eastAsia" w:asciiTheme="minorEastAsia" w:hAnsiTheme="minorEastAsia"/>
          <w:sz w:val="24"/>
        </w:rPr>
        <w:t>项目要求：通过夜景照明集中控制平台的运行维护管理，实现对我市“一线三片四带”“四桥一隧”夜景照明亮灯控制、质量管理等技术支持，确保前后端设施、设备技术状态良好，集中控制平台运行安全且运行稳定，夜景照明亮灯按时启闭、故障发现排除高时效目标。</w:t>
      </w:r>
    </w:p>
    <w:p w14:paraId="1A580C41">
      <w:pPr>
        <w:keepNext/>
        <w:keepLines/>
        <w:spacing w:before="240" w:beforeLines="100" w:after="240" w:afterLines="100"/>
        <w:jc w:val="left"/>
        <w:outlineLvl w:val="1"/>
        <w:rPr>
          <w:rFonts w:ascii="黑体" w:hAnsi="黑体" w:eastAsia="黑体" w:cs="Times New Roman"/>
          <w:b/>
          <w:bCs/>
          <w:kern w:val="0"/>
          <w:sz w:val="30"/>
          <w:szCs w:val="32"/>
        </w:rPr>
      </w:pPr>
      <w:bookmarkStart w:id="22" w:name="_Toc130974180"/>
      <w:bookmarkStart w:id="23" w:name="_Toc27845"/>
      <w:r>
        <w:rPr>
          <w:rFonts w:ascii="黑体" w:hAnsi="黑体" w:eastAsia="黑体" w:cs="Times New Roman"/>
          <w:b/>
          <w:bCs/>
          <w:kern w:val="0"/>
          <w:sz w:val="30"/>
          <w:szCs w:val="32"/>
        </w:rPr>
        <w:t>二、技术和服务要求</w:t>
      </w:r>
      <w:bookmarkEnd w:id="22"/>
      <w:bookmarkEnd w:id="23"/>
    </w:p>
    <w:p w14:paraId="09731519">
      <w:pPr>
        <w:rPr>
          <w:rFonts w:asciiTheme="minorEastAsia" w:hAnsiTheme="minorEastAsia"/>
          <w:sz w:val="28"/>
          <w:szCs w:val="28"/>
        </w:rPr>
      </w:pPr>
      <w:r>
        <w:rPr>
          <w:rFonts w:asciiTheme="minorEastAsia" w:hAnsiTheme="minorEastAsia"/>
          <w:sz w:val="28"/>
          <w:szCs w:val="28"/>
        </w:rPr>
        <w:t>（以“</w:t>
      </w:r>
      <w:r>
        <w:rPr>
          <w:rFonts w:hint="eastAsia" w:cs="宋体" w:asciiTheme="minorEastAsia" w:hAnsiTheme="minorEastAsia"/>
          <w:sz w:val="28"/>
          <w:szCs w:val="28"/>
        </w:rPr>
        <w:t>★</w:t>
      </w:r>
      <w:r>
        <w:rPr>
          <w:rFonts w:cs="Calibri" w:asciiTheme="minorEastAsia" w:hAnsiTheme="minorEastAsia"/>
          <w:sz w:val="28"/>
          <w:szCs w:val="28"/>
        </w:rPr>
        <w:t>”</w:t>
      </w:r>
      <w:r>
        <w:rPr>
          <w:rFonts w:asciiTheme="minorEastAsia" w:hAnsiTheme="minorEastAsia"/>
          <w:sz w:val="28"/>
          <w:szCs w:val="28"/>
        </w:rPr>
        <w:t>标示的内容为不允许负偏离的实质性要求）</w:t>
      </w:r>
    </w:p>
    <w:p w14:paraId="65020DE0">
      <w:pPr>
        <w:numPr>
          <w:ilvl w:val="0"/>
          <w:numId w:val="2"/>
        </w:numPr>
        <w:spacing w:before="120" w:beforeLines="50" w:after="120" w:afterLines="50"/>
        <w:rPr>
          <w:rFonts w:ascii="宋体" w:hAnsi="宋体" w:eastAsia="宋体"/>
          <w:b/>
          <w:sz w:val="28"/>
          <w:szCs w:val="28"/>
        </w:rPr>
      </w:pPr>
      <w:r>
        <w:rPr>
          <w:rFonts w:hint="eastAsia" w:ascii="宋体" w:hAnsi="宋体" w:eastAsia="宋体"/>
          <w:b/>
          <w:sz w:val="28"/>
          <w:szCs w:val="28"/>
        </w:rPr>
        <w:t>维护范围</w:t>
      </w:r>
    </w:p>
    <w:p w14:paraId="539F523A">
      <w:pPr>
        <w:numPr>
          <w:ilvl w:val="1"/>
          <w:numId w:val="2"/>
        </w:numPr>
        <w:tabs>
          <w:tab w:val="left" w:pos="993"/>
        </w:tabs>
        <w:spacing w:line="360" w:lineRule="auto"/>
        <w:ind w:left="0" w:firstLine="425"/>
        <w:rPr>
          <w:rFonts w:ascii="宋体" w:hAnsi="宋体" w:eastAsia="宋体"/>
          <w:sz w:val="24"/>
          <w:szCs w:val="28"/>
        </w:rPr>
      </w:pPr>
      <w:r>
        <w:rPr>
          <w:rFonts w:hint="eastAsia" w:ascii="宋体" w:hAnsi="宋体" w:eastAsia="宋体"/>
          <w:sz w:val="24"/>
          <w:szCs w:val="28"/>
        </w:rPr>
        <w:t>运行维护保障范围主要包括厦门市夜景照明市级控制平台和“一线三片四带”“四一桥隧道”的前端楼宇（载体）控制设备、系统软件的运行维护。</w:t>
      </w:r>
    </w:p>
    <w:p w14:paraId="586AB5A6">
      <w:pPr>
        <w:numPr>
          <w:ilvl w:val="1"/>
          <w:numId w:val="2"/>
        </w:numPr>
        <w:tabs>
          <w:tab w:val="left" w:pos="993"/>
        </w:tabs>
        <w:spacing w:line="360" w:lineRule="auto"/>
        <w:ind w:left="0" w:firstLine="425"/>
        <w:rPr>
          <w:rFonts w:ascii="宋体" w:hAnsi="宋体" w:eastAsia="宋体"/>
          <w:sz w:val="24"/>
          <w:szCs w:val="28"/>
        </w:rPr>
      </w:pPr>
      <w:r>
        <w:rPr>
          <w:rFonts w:hint="eastAsia" w:ascii="宋体" w:hAnsi="宋体" w:eastAsia="宋体"/>
          <w:sz w:val="24"/>
          <w:szCs w:val="28"/>
        </w:rPr>
        <w:t>控制中心设备主要包括：市级控制中心的大屏幕显示系统、控制中心音视频、集中控制平台、网络安全设备、服务器、机房基础环境设备等系统软硬件设备。</w:t>
      </w:r>
    </w:p>
    <w:p w14:paraId="338E3A3A">
      <w:pPr>
        <w:numPr>
          <w:ilvl w:val="1"/>
          <w:numId w:val="2"/>
        </w:numPr>
        <w:tabs>
          <w:tab w:val="left" w:pos="993"/>
        </w:tabs>
        <w:spacing w:line="360" w:lineRule="auto"/>
        <w:ind w:left="0" w:firstLine="425"/>
        <w:rPr>
          <w:rFonts w:ascii="宋体" w:hAnsi="宋体" w:eastAsia="宋体"/>
          <w:sz w:val="24"/>
          <w:szCs w:val="28"/>
        </w:rPr>
      </w:pPr>
      <w:r>
        <w:rPr>
          <w:rFonts w:hint="eastAsia" w:ascii="宋体" w:hAnsi="宋体" w:eastAsia="宋体"/>
          <w:sz w:val="24"/>
          <w:szCs w:val="28"/>
        </w:rPr>
        <w:t>前端楼宇(载体)控制设备主要包括：前端网络通讯系统、前端大楼的灯光DMX控制及强电控制系统、智能电表控制系统、全景监控系统等软硬件设备。</w:t>
      </w:r>
    </w:p>
    <w:p w14:paraId="61D8F9FB">
      <w:pPr>
        <w:numPr>
          <w:ilvl w:val="1"/>
          <w:numId w:val="2"/>
        </w:numPr>
        <w:tabs>
          <w:tab w:val="left" w:pos="993"/>
        </w:tabs>
        <w:spacing w:line="360" w:lineRule="auto"/>
        <w:ind w:left="0" w:firstLine="425"/>
        <w:rPr>
          <w:rFonts w:ascii="宋体" w:hAnsi="宋体" w:eastAsia="宋体"/>
          <w:sz w:val="24"/>
          <w:szCs w:val="28"/>
        </w:rPr>
      </w:pPr>
      <w:r>
        <w:rPr>
          <w:rFonts w:hint="eastAsia" w:ascii="宋体" w:hAnsi="宋体" w:eastAsia="宋体"/>
          <w:sz w:val="24"/>
          <w:szCs w:val="28"/>
        </w:rPr>
        <w:t>机房基础环境服务主要包括：控制中心环境监控、UPS电源、精密空调、综合布线日常巡检。</w:t>
      </w:r>
    </w:p>
    <w:p w14:paraId="7D44ABC1">
      <w:pPr>
        <w:spacing w:line="360" w:lineRule="auto"/>
        <w:ind w:firstLine="482" w:firstLineChars="200"/>
        <w:jc w:val="left"/>
        <w:rPr>
          <w:rFonts w:ascii="宋体" w:hAnsi="宋体" w:eastAsia="宋体"/>
          <w:b/>
          <w:bCs/>
          <w:sz w:val="28"/>
          <w:szCs w:val="36"/>
        </w:rPr>
      </w:pPr>
      <w:r>
        <w:rPr>
          <w:rFonts w:hint="eastAsia" w:asciiTheme="minorEastAsia" w:hAnsiTheme="minorEastAsia"/>
          <w:b/>
          <w:bCs/>
          <w:sz w:val="24"/>
          <w:highlight w:val="none"/>
        </w:rPr>
        <w:t>设施设备详见附件</w:t>
      </w:r>
      <w:r>
        <w:rPr>
          <w:rFonts w:asciiTheme="minorEastAsia" w:hAnsiTheme="minorEastAsia"/>
          <w:b/>
          <w:bCs/>
          <w:sz w:val="24"/>
        </w:rPr>
        <w:t>1</w:t>
      </w:r>
      <w:r>
        <w:rPr>
          <w:rFonts w:hint="eastAsia" w:asciiTheme="minorEastAsia" w:hAnsiTheme="minorEastAsia"/>
          <w:b/>
          <w:bCs/>
          <w:sz w:val="24"/>
          <w:highlight w:val="none"/>
        </w:rPr>
        <w:t>、《厦门市夜景照明集中控制平台设备维保清单》</w:t>
      </w:r>
    </w:p>
    <w:p w14:paraId="247739FF">
      <w:pPr>
        <w:numPr>
          <w:ilvl w:val="0"/>
          <w:numId w:val="2"/>
        </w:numPr>
        <w:spacing w:before="120" w:beforeLines="50" w:after="120" w:afterLines="50"/>
        <w:rPr>
          <w:rFonts w:ascii="宋体" w:hAnsi="宋体" w:eastAsia="宋体"/>
          <w:b/>
          <w:sz w:val="28"/>
          <w:szCs w:val="28"/>
        </w:rPr>
      </w:pPr>
      <w:r>
        <w:rPr>
          <w:rFonts w:hint="eastAsia" w:ascii="宋体" w:hAnsi="宋体" w:eastAsia="宋体"/>
          <w:b/>
          <w:sz w:val="28"/>
          <w:szCs w:val="28"/>
        </w:rPr>
        <w:t>维护主要工作内容</w:t>
      </w:r>
    </w:p>
    <w:p w14:paraId="35A9A65C">
      <w:pPr>
        <w:numPr>
          <w:ilvl w:val="1"/>
          <w:numId w:val="2"/>
        </w:numPr>
        <w:tabs>
          <w:tab w:val="left" w:pos="993"/>
        </w:tabs>
        <w:spacing w:line="360" w:lineRule="auto"/>
        <w:ind w:left="0" w:firstLine="425"/>
        <w:rPr>
          <w:rFonts w:ascii="宋体" w:hAnsi="宋体" w:eastAsia="宋体"/>
          <w:sz w:val="24"/>
          <w:szCs w:val="28"/>
        </w:rPr>
      </w:pPr>
      <w:r>
        <w:rPr>
          <w:rFonts w:hint="eastAsia" w:ascii="宋体" w:hAnsi="宋体" w:eastAsia="宋体"/>
          <w:sz w:val="24"/>
          <w:szCs w:val="28"/>
        </w:rPr>
        <w:t>控制中心：每天9：00-23:00驻点服务，按规定时间完成夜景照明亮灯管理。</w:t>
      </w:r>
    </w:p>
    <w:p w14:paraId="4A4EFED8">
      <w:pPr>
        <w:numPr>
          <w:ilvl w:val="1"/>
          <w:numId w:val="2"/>
        </w:numPr>
        <w:tabs>
          <w:tab w:val="left" w:pos="993"/>
        </w:tabs>
        <w:spacing w:line="360" w:lineRule="auto"/>
        <w:ind w:left="0" w:firstLine="425"/>
        <w:rPr>
          <w:rFonts w:ascii="宋体" w:hAnsi="宋体" w:eastAsia="宋体"/>
          <w:sz w:val="24"/>
          <w:szCs w:val="28"/>
        </w:rPr>
      </w:pPr>
      <w:r>
        <w:rPr>
          <w:rFonts w:hint="eastAsia" w:ascii="宋体" w:hAnsi="宋体" w:eastAsia="宋体"/>
          <w:sz w:val="24"/>
          <w:szCs w:val="28"/>
        </w:rPr>
        <w:t>控制中心系统设备、前端控制系统日常例行巡检维护工作。</w:t>
      </w:r>
    </w:p>
    <w:p w14:paraId="22FA257A">
      <w:pPr>
        <w:numPr>
          <w:ilvl w:val="1"/>
          <w:numId w:val="2"/>
        </w:numPr>
        <w:tabs>
          <w:tab w:val="left" w:pos="993"/>
        </w:tabs>
        <w:spacing w:line="360" w:lineRule="auto"/>
        <w:ind w:left="0" w:firstLine="425"/>
        <w:rPr>
          <w:rFonts w:ascii="宋体" w:hAnsi="宋体" w:eastAsia="宋体"/>
          <w:sz w:val="24"/>
          <w:szCs w:val="28"/>
        </w:rPr>
      </w:pPr>
      <w:r>
        <w:rPr>
          <w:rFonts w:hint="eastAsia" w:ascii="宋体" w:hAnsi="宋体" w:eastAsia="宋体"/>
          <w:sz w:val="24"/>
          <w:szCs w:val="28"/>
        </w:rPr>
        <w:t>提供现场或远程故障定位和应急处理，7*24小时响应，7*24小时技术支持。协助新建夜景照明项目控制接入。</w:t>
      </w:r>
    </w:p>
    <w:p w14:paraId="39EC9C3D">
      <w:pPr>
        <w:numPr>
          <w:ilvl w:val="1"/>
          <w:numId w:val="2"/>
        </w:numPr>
        <w:tabs>
          <w:tab w:val="left" w:pos="993"/>
        </w:tabs>
        <w:spacing w:line="360" w:lineRule="auto"/>
        <w:ind w:left="0" w:firstLine="425"/>
        <w:rPr>
          <w:rFonts w:ascii="宋体" w:hAnsi="宋体" w:eastAsia="宋体"/>
          <w:sz w:val="24"/>
          <w:szCs w:val="28"/>
        </w:rPr>
      </w:pPr>
      <w:r>
        <w:rPr>
          <w:rFonts w:hint="eastAsia" w:ascii="宋体" w:hAnsi="宋体" w:eastAsia="宋体"/>
          <w:sz w:val="24"/>
          <w:szCs w:val="28"/>
        </w:rPr>
        <w:t>通过技术手段发现前端亮灯故障，记录亮灯故障原因，根据故障原因派发任务至各维护方（控制设备运维单位和夜景照明维护单位）。配合楼宇（载体）夜景照明维护单位故障排查和检修，以及与区级夜景控制平台的之间故障处置。组织人员对各片区的亮灯情况进行巡查，形成巡查轨迹记录，并将亮灯情况及时通报；定期（每月至少一次）以及结合亮灯情况巡查对前端控制设备进行巡查巡检，并及时通报设备巡查情况。</w:t>
      </w:r>
    </w:p>
    <w:p w14:paraId="26F3EA2B">
      <w:pPr>
        <w:numPr>
          <w:ilvl w:val="1"/>
          <w:numId w:val="2"/>
        </w:numPr>
        <w:tabs>
          <w:tab w:val="left" w:pos="993"/>
        </w:tabs>
        <w:spacing w:line="360" w:lineRule="auto"/>
        <w:ind w:left="0" w:firstLine="425"/>
        <w:rPr>
          <w:rFonts w:ascii="宋体" w:hAnsi="宋体" w:eastAsia="宋体"/>
          <w:sz w:val="24"/>
          <w:szCs w:val="28"/>
        </w:rPr>
      </w:pPr>
      <w:r>
        <w:rPr>
          <w:rFonts w:hint="eastAsia" w:ascii="宋体" w:hAnsi="宋体" w:eastAsia="宋体"/>
          <w:sz w:val="24"/>
          <w:szCs w:val="28"/>
        </w:rPr>
        <w:t>系统软件及应用软件补丁升级更新，软件配置变更，软件优化。</w:t>
      </w:r>
    </w:p>
    <w:p w14:paraId="15ADA121">
      <w:pPr>
        <w:numPr>
          <w:ilvl w:val="1"/>
          <w:numId w:val="2"/>
        </w:numPr>
        <w:tabs>
          <w:tab w:val="left" w:pos="993"/>
        </w:tabs>
        <w:spacing w:line="360" w:lineRule="auto"/>
        <w:ind w:left="0" w:firstLine="425"/>
        <w:rPr>
          <w:rFonts w:ascii="宋体" w:hAnsi="宋体" w:eastAsia="宋体"/>
          <w:sz w:val="24"/>
          <w:szCs w:val="28"/>
        </w:rPr>
      </w:pPr>
      <w:r>
        <w:rPr>
          <w:rFonts w:hint="eastAsia" w:ascii="宋体" w:hAnsi="宋体" w:eastAsia="宋体"/>
          <w:sz w:val="24"/>
          <w:szCs w:val="28"/>
        </w:rPr>
        <w:t>重大活动或极端天气应急保障服务。</w:t>
      </w:r>
    </w:p>
    <w:p w14:paraId="73277AC0">
      <w:pPr>
        <w:numPr>
          <w:ilvl w:val="1"/>
          <w:numId w:val="2"/>
        </w:numPr>
        <w:tabs>
          <w:tab w:val="left" w:pos="993"/>
        </w:tabs>
        <w:spacing w:line="360" w:lineRule="auto"/>
        <w:ind w:left="0" w:firstLine="425"/>
        <w:rPr>
          <w:rFonts w:ascii="宋体" w:hAnsi="宋体" w:eastAsia="宋体"/>
          <w:sz w:val="24"/>
          <w:szCs w:val="28"/>
        </w:rPr>
      </w:pPr>
      <w:r>
        <w:rPr>
          <w:rFonts w:hint="eastAsia" w:ascii="宋体" w:hAnsi="宋体" w:eastAsia="宋体"/>
          <w:sz w:val="24"/>
          <w:szCs w:val="28"/>
        </w:rPr>
        <w:t>信息安全等级保护日常维护工作。</w:t>
      </w:r>
    </w:p>
    <w:p w14:paraId="7DB20C2D">
      <w:pPr>
        <w:numPr>
          <w:ilvl w:val="1"/>
          <w:numId w:val="2"/>
        </w:numPr>
        <w:tabs>
          <w:tab w:val="left" w:pos="993"/>
        </w:tabs>
        <w:spacing w:line="360" w:lineRule="auto"/>
        <w:ind w:left="0" w:firstLine="425"/>
        <w:rPr>
          <w:rFonts w:ascii="宋体" w:hAnsi="宋体" w:eastAsia="宋体"/>
          <w:sz w:val="24"/>
          <w:szCs w:val="28"/>
        </w:rPr>
      </w:pPr>
      <w:r>
        <w:rPr>
          <w:rFonts w:hint="eastAsia" w:ascii="宋体" w:hAnsi="宋体" w:eastAsia="宋体"/>
          <w:sz w:val="24"/>
          <w:szCs w:val="28"/>
          <w:highlight w:val="none"/>
        </w:rPr>
        <w:t>根据招标文件附件</w:t>
      </w:r>
      <w:r>
        <w:rPr>
          <w:rFonts w:hint="eastAsia" w:ascii="宋体" w:hAnsi="宋体" w:eastAsia="宋体"/>
          <w:sz w:val="24"/>
          <w:szCs w:val="28"/>
          <w:highlight w:val="none"/>
          <w:lang w:val="en-US" w:eastAsia="zh-CN"/>
        </w:rPr>
        <w:t>1</w:t>
      </w:r>
      <w:r>
        <w:rPr>
          <w:rFonts w:hint="eastAsia" w:ascii="宋体" w:hAnsi="宋体" w:eastAsia="宋体"/>
          <w:sz w:val="24"/>
          <w:szCs w:val="28"/>
          <w:highlight w:val="none"/>
        </w:rPr>
        <w:t>《厦门市夜景照明集中控制平台设备维保清单》、附件</w:t>
      </w:r>
      <w:r>
        <w:rPr>
          <w:rFonts w:hint="eastAsia" w:ascii="宋体" w:hAnsi="宋体" w:eastAsia="宋体"/>
          <w:sz w:val="24"/>
          <w:szCs w:val="28"/>
          <w:highlight w:val="none"/>
          <w:lang w:val="en-US" w:eastAsia="zh-CN"/>
        </w:rPr>
        <w:t>2</w:t>
      </w:r>
      <w:r>
        <w:rPr>
          <w:rFonts w:hint="eastAsia" w:ascii="宋体" w:hAnsi="宋体" w:eastAsia="宋体"/>
          <w:sz w:val="24"/>
          <w:szCs w:val="28"/>
          <w:highlight w:val="none"/>
        </w:rPr>
        <w:t>《厦门市市夜景照明集控中心设备点位清单》提供完善的备品备件清单。本项目服</w:t>
      </w:r>
      <w:r>
        <w:rPr>
          <w:rFonts w:hint="eastAsia" w:ascii="宋体" w:hAnsi="宋体" w:eastAsia="宋体"/>
          <w:sz w:val="24"/>
          <w:szCs w:val="28"/>
        </w:rPr>
        <w:t>务期限一年，投标人在服务内提供所有硬件设备的维修、维护以及相关配件的更换，并承担所有费用，相关费用，应在投标时充分考虑。</w:t>
      </w:r>
    </w:p>
    <w:p w14:paraId="101619B9">
      <w:pPr>
        <w:numPr>
          <w:ilvl w:val="1"/>
          <w:numId w:val="2"/>
        </w:numPr>
        <w:tabs>
          <w:tab w:val="left" w:pos="993"/>
        </w:tabs>
        <w:spacing w:line="360" w:lineRule="auto"/>
        <w:ind w:left="0" w:firstLine="425"/>
        <w:rPr>
          <w:rFonts w:ascii="宋体" w:hAnsi="宋体" w:eastAsia="宋体"/>
          <w:sz w:val="24"/>
          <w:szCs w:val="28"/>
        </w:rPr>
      </w:pPr>
      <w:r>
        <w:rPr>
          <w:rFonts w:hint="eastAsia" w:ascii="宋体" w:hAnsi="宋体" w:eastAsia="宋体"/>
          <w:sz w:val="24"/>
          <w:szCs w:val="28"/>
        </w:rPr>
        <w:t>系统用电量统计，故障事件统计分析，维护文档整理，应急预案制定和演练。</w:t>
      </w:r>
    </w:p>
    <w:p w14:paraId="46E299C3">
      <w:pPr>
        <w:numPr>
          <w:ilvl w:val="1"/>
          <w:numId w:val="2"/>
        </w:numPr>
        <w:tabs>
          <w:tab w:val="left" w:pos="993"/>
        </w:tabs>
        <w:spacing w:line="360" w:lineRule="auto"/>
        <w:ind w:left="0" w:firstLine="425"/>
        <w:rPr>
          <w:rFonts w:ascii="宋体" w:hAnsi="宋体" w:eastAsia="宋体"/>
          <w:b/>
          <w:bCs/>
          <w:sz w:val="24"/>
          <w:szCs w:val="28"/>
        </w:rPr>
      </w:pPr>
      <w:r>
        <w:rPr>
          <w:rFonts w:hint="eastAsia" w:ascii="宋体" w:hAnsi="宋体" w:eastAsia="宋体"/>
          <w:b/>
          <w:bCs/>
          <w:sz w:val="24"/>
          <w:szCs w:val="28"/>
        </w:rPr>
        <w:t>其他内容及要求：</w:t>
      </w:r>
    </w:p>
    <w:p w14:paraId="14C91F36">
      <w:pPr>
        <w:numPr>
          <w:ilvl w:val="2"/>
          <w:numId w:val="2"/>
        </w:numPr>
        <w:tabs>
          <w:tab w:val="left" w:pos="993"/>
        </w:tabs>
        <w:spacing w:line="360" w:lineRule="auto"/>
        <w:ind w:left="658" w:firstLine="193"/>
        <w:rPr>
          <w:rFonts w:ascii="宋体" w:hAnsi="宋体" w:eastAsia="宋体"/>
          <w:sz w:val="24"/>
          <w:szCs w:val="28"/>
        </w:rPr>
      </w:pPr>
      <w:r>
        <w:rPr>
          <w:rFonts w:hint="eastAsia" w:ascii="宋体" w:hAnsi="宋体" w:eastAsia="宋体"/>
          <w:sz w:val="24"/>
          <w:szCs w:val="28"/>
        </w:rPr>
        <w:t>投标人须提供1460张物联网卡，每张卡每月流量2G及200M广域网光纤链路1条用于厦门市重点片区夜景照明集中控制平台4G网络通讯传输服务。</w:t>
      </w:r>
    </w:p>
    <w:p w14:paraId="724AA6C7">
      <w:pPr>
        <w:numPr>
          <w:ilvl w:val="2"/>
          <w:numId w:val="2"/>
        </w:numPr>
        <w:tabs>
          <w:tab w:val="left" w:pos="993"/>
        </w:tabs>
        <w:spacing w:line="360" w:lineRule="auto"/>
        <w:ind w:left="658" w:firstLine="193"/>
        <w:rPr>
          <w:rFonts w:ascii="宋体" w:hAnsi="宋体" w:eastAsia="宋体"/>
          <w:sz w:val="24"/>
          <w:szCs w:val="28"/>
        </w:rPr>
      </w:pPr>
      <w:r>
        <w:rPr>
          <w:rFonts w:hint="eastAsia" w:ascii="宋体" w:hAnsi="宋体" w:eastAsia="宋体"/>
          <w:sz w:val="24"/>
          <w:szCs w:val="28"/>
        </w:rPr>
        <w:t>投标人须提供109条光纤链路用于厦门市重点片区夜景照明集中控制平台光纤接入通讯传输服务。</w:t>
      </w:r>
    </w:p>
    <w:p w14:paraId="78B7D2F8">
      <w:pPr>
        <w:numPr>
          <w:ilvl w:val="0"/>
          <w:numId w:val="2"/>
        </w:numPr>
        <w:spacing w:before="120" w:beforeLines="50" w:after="120" w:afterLines="50"/>
        <w:rPr>
          <w:rFonts w:ascii="宋体" w:hAnsi="宋体" w:eastAsia="宋体"/>
          <w:b/>
          <w:sz w:val="28"/>
          <w:szCs w:val="28"/>
        </w:rPr>
      </w:pPr>
      <w:r>
        <w:rPr>
          <w:rFonts w:hint="eastAsia" w:ascii="宋体" w:hAnsi="宋体" w:eastAsia="宋体"/>
          <w:b/>
          <w:sz w:val="28"/>
          <w:szCs w:val="28"/>
        </w:rPr>
        <w:t>人员配备及数量要求</w:t>
      </w:r>
    </w:p>
    <w:p w14:paraId="24B91302">
      <w:pPr>
        <w:numPr>
          <w:ilvl w:val="1"/>
          <w:numId w:val="2"/>
        </w:numPr>
        <w:tabs>
          <w:tab w:val="left" w:pos="993"/>
        </w:tabs>
        <w:spacing w:line="360" w:lineRule="auto"/>
        <w:ind w:left="0" w:firstLine="425"/>
        <w:rPr>
          <w:rFonts w:ascii="宋体" w:hAnsi="宋体" w:eastAsia="宋体"/>
          <w:b/>
          <w:bCs/>
          <w:sz w:val="24"/>
          <w:szCs w:val="28"/>
        </w:rPr>
      </w:pPr>
      <w:r>
        <w:rPr>
          <w:rFonts w:hint="eastAsia" w:ascii="宋体" w:hAnsi="宋体" w:eastAsia="宋体"/>
          <w:b/>
          <w:bCs/>
          <w:sz w:val="24"/>
          <w:szCs w:val="28"/>
        </w:rPr>
        <w:t>★投标人应配备驻点服务人员不少于7人，前端巡查人员不少于8人，不可兼职。</w:t>
      </w:r>
    </w:p>
    <w:p w14:paraId="4B1BCB15">
      <w:pPr>
        <w:numPr>
          <w:ilvl w:val="1"/>
          <w:numId w:val="2"/>
        </w:numPr>
        <w:tabs>
          <w:tab w:val="left" w:pos="993"/>
        </w:tabs>
        <w:spacing w:line="360" w:lineRule="auto"/>
        <w:ind w:left="0" w:firstLine="425"/>
        <w:rPr>
          <w:rFonts w:ascii="宋体" w:hAnsi="宋体" w:eastAsia="宋体"/>
          <w:sz w:val="24"/>
          <w:szCs w:val="28"/>
        </w:rPr>
      </w:pPr>
      <w:r>
        <w:rPr>
          <w:rFonts w:hint="eastAsia" w:ascii="宋体" w:hAnsi="宋体" w:eastAsia="宋体"/>
          <w:sz w:val="24"/>
          <w:szCs w:val="28"/>
        </w:rPr>
        <w:t>驻点服务人员要求：其中项目经理（1名），从业年限至少5年；技术负责人（1名），从业年限至少5年；驻点服务人员应具备ITSS-IT服务工程师资质以上资质，其中项目经理还应具备</w:t>
      </w:r>
      <w:r>
        <w:rPr>
          <w:rFonts w:ascii="宋体" w:hAnsi="宋体" w:eastAsia="宋体" w:cs="宋体"/>
          <w:sz w:val="24"/>
          <w:szCs w:val="24"/>
        </w:rPr>
        <w:t>信息系统项目管理师、ITSS IT服务项目经理证书</w:t>
      </w:r>
      <w:r>
        <w:rPr>
          <w:rFonts w:hint="eastAsia" w:ascii="宋体" w:hAnsi="宋体" w:eastAsia="宋体"/>
          <w:sz w:val="24"/>
          <w:szCs w:val="28"/>
        </w:rPr>
        <w:t>。技术负责人</w:t>
      </w:r>
      <w:r>
        <w:rPr>
          <w:rFonts w:ascii="宋体" w:hAnsi="宋体" w:eastAsia="宋体" w:cs="宋体"/>
          <w:sz w:val="24"/>
          <w:szCs w:val="24"/>
        </w:rPr>
        <w:t>具备高级网络工程师（CCIE 或HCIE 或H3CIE）</w:t>
      </w:r>
      <w:r>
        <w:rPr>
          <w:rFonts w:hint="eastAsia" w:ascii="宋体" w:hAnsi="宋体" w:eastAsia="宋体" w:cs="宋体"/>
          <w:sz w:val="24"/>
          <w:szCs w:val="24"/>
          <w:lang w:eastAsia="zh-CN"/>
        </w:rPr>
        <w:t>、</w:t>
      </w:r>
      <w:r>
        <w:rPr>
          <w:rFonts w:ascii="宋体" w:hAnsi="宋体" w:eastAsia="宋体" w:cs="宋体"/>
          <w:sz w:val="24"/>
          <w:szCs w:val="24"/>
        </w:rPr>
        <w:t>ITSS IT服务项目经理证书</w:t>
      </w:r>
      <w:r>
        <w:rPr>
          <w:rFonts w:hint="eastAsia" w:ascii="宋体" w:hAnsi="宋体" w:eastAsia="宋体" w:cs="宋体"/>
          <w:sz w:val="24"/>
          <w:szCs w:val="24"/>
          <w:lang w:eastAsia="zh-CN"/>
        </w:rPr>
        <w:t>、</w:t>
      </w:r>
      <w:r>
        <w:rPr>
          <w:rFonts w:ascii="宋体" w:hAnsi="宋体" w:eastAsia="宋体" w:cs="宋体"/>
          <w:sz w:val="24"/>
          <w:szCs w:val="24"/>
        </w:rPr>
        <w:t>注册信息安全专业人员</w:t>
      </w:r>
      <w:r>
        <w:rPr>
          <w:rFonts w:hint="eastAsia" w:ascii="宋体" w:hAnsi="宋体" w:eastAsia="宋体" w:cs="宋体"/>
          <w:sz w:val="24"/>
          <w:szCs w:val="24"/>
        </w:rPr>
        <w:t>。</w:t>
      </w:r>
      <w:r>
        <w:rPr>
          <w:rFonts w:hint="eastAsia" w:ascii="宋体" w:hAnsi="宋体" w:eastAsia="宋体"/>
          <w:sz w:val="24"/>
          <w:szCs w:val="28"/>
        </w:rPr>
        <w:t>驻点服务人员应具有至少2年工作经验。</w:t>
      </w:r>
    </w:p>
    <w:p w14:paraId="2D8E47FD">
      <w:pPr>
        <w:numPr>
          <w:ilvl w:val="1"/>
          <w:numId w:val="2"/>
        </w:numPr>
        <w:tabs>
          <w:tab w:val="left" w:pos="993"/>
        </w:tabs>
        <w:spacing w:line="360" w:lineRule="auto"/>
        <w:ind w:left="0" w:firstLine="425"/>
        <w:rPr>
          <w:rFonts w:ascii="宋体" w:hAnsi="宋体" w:eastAsia="宋体"/>
          <w:sz w:val="24"/>
          <w:szCs w:val="28"/>
        </w:rPr>
      </w:pPr>
      <w:r>
        <w:rPr>
          <w:rFonts w:hint="eastAsia" w:ascii="宋体" w:hAnsi="宋体" w:eastAsia="宋体"/>
          <w:sz w:val="24"/>
          <w:szCs w:val="28"/>
        </w:rPr>
        <w:t>前端巡查巡检人员（至少8名）：应具有与信息化维保项目相关或类似的工作经验和夜间巡查巡检的能力。</w:t>
      </w:r>
    </w:p>
    <w:p w14:paraId="1FC285A5">
      <w:pPr>
        <w:numPr>
          <w:ilvl w:val="1"/>
          <w:numId w:val="2"/>
        </w:numPr>
        <w:tabs>
          <w:tab w:val="left" w:pos="993"/>
        </w:tabs>
        <w:spacing w:line="360" w:lineRule="auto"/>
        <w:ind w:left="0" w:firstLine="425"/>
        <w:rPr>
          <w:rFonts w:ascii="宋体" w:hAnsi="宋体" w:eastAsia="宋体"/>
          <w:sz w:val="24"/>
          <w:szCs w:val="28"/>
        </w:rPr>
      </w:pPr>
      <w:r>
        <w:rPr>
          <w:rFonts w:hint="eastAsia" w:ascii="宋体" w:hAnsi="宋体" w:eastAsia="宋体"/>
          <w:sz w:val="24"/>
          <w:szCs w:val="28"/>
        </w:rPr>
        <w:t>设备维修和系统软件维护人员，即应急团队（至少5人）：应具备思科认证网络专家（CCIE）或华为认证ICT专家（HCIE）或华三认证互联网络专家（H3CIE）或数据库认证专家（OCP）或ITSS IT服务项目经理或ITSS IT服务工程师或注册信息安全专业人员（CISP）等资质证书，具有为夜景照明前端控制设备、中心控制设备提供维修维护和平台软件系统维护升级提供技术支持能力。</w:t>
      </w:r>
    </w:p>
    <w:p w14:paraId="158850D7">
      <w:pPr>
        <w:numPr>
          <w:ilvl w:val="1"/>
          <w:numId w:val="2"/>
        </w:numPr>
        <w:tabs>
          <w:tab w:val="left" w:pos="993"/>
        </w:tabs>
        <w:spacing w:line="360" w:lineRule="auto"/>
        <w:ind w:left="0" w:firstLine="425"/>
        <w:rPr>
          <w:rFonts w:ascii="宋体" w:hAnsi="宋体" w:eastAsia="宋体"/>
          <w:sz w:val="24"/>
          <w:szCs w:val="28"/>
        </w:rPr>
      </w:pPr>
      <w:r>
        <w:rPr>
          <w:rFonts w:hint="eastAsia"/>
          <w:spacing w:val="1"/>
          <w:sz w:val="24"/>
          <w:szCs w:val="24"/>
        </w:rPr>
        <w:t>投标人中标后，投入本项目的人员应与投标文件响应情况一致</w:t>
      </w:r>
      <w:r>
        <w:rPr>
          <w:rFonts w:hint="eastAsia"/>
          <w:spacing w:val="-1"/>
          <w:sz w:val="24"/>
        </w:rPr>
        <w:t>，</w:t>
      </w:r>
      <w:r>
        <w:rPr>
          <w:rFonts w:hint="eastAsia"/>
          <w:sz w:val="24"/>
        </w:rPr>
        <w:t>除不可抗力外，半年内不得擅自更换，若确需更换人员须经采购人书面同意，且替换人员的资质不得低于原服务人员；否则视为投标人虚假应标，须承担相应责任。</w:t>
      </w:r>
    </w:p>
    <w:p w14:paraId="72FF5952">
      <w:pPr>
        <w:numPr>
          <w:ilvl w:val="1"/>
          <w:numId w:val="2"/>
        </w:numPr>
        <w:tabs>
          <w:tab w:val="left" w:pos="993"/>
        </w:tabs>
        <w:spacing w:line="360" w:lineRule="auto"/>
        <w:ind w:left="0" w:firstLine="425"/>
        <w:rPr>
          <w:rFonts w:ascii="宋体" w:hAnsi="宋体" w:eastAsia="宋体"/>
          <w:sz w:val="24"/>
          <w:szCs w:val="28"/>
        </w:rPr>
      </w:pPr>
      <w:r>
        <w:rPr>
          <w:rFonts w:ascii="宋体" w:hAnsi="宋体" w:eastAsia="宋体" w:cs="宋体"/>
          <w:sz w:val="24"/>
          <w:szCs w:val="24"/>
        </w:rPr>
        <w:t>投标人提供书面承诺：本项目配备的团队成员若不符合要求，采购人有权提出更换，中标人必须无条件予以配合。</w:t>
      </w:r>
    </w:p>
    <w:p w14:paraId="2A60C59E">
      <w:pPr>
        <w:numPr>
          <w:ilvl w:val="0"/>
          <w:numId w:val="2"/>
        </w:numPr>
        <w:spacing w:before="120" w:beforeLines="50" w:after="120" w:afterLines="50"/>
        <w:rPr>
          <w:rFonts w:ascii="宋体" w:hAnsi="宋体" w:eastAsia="宋体"/>
          <w:b/>
          <w:sz w:val="28"/>
          <w:szCs w:val="28"/>
        </w:rPr>
      </w:pPr>
      <w:r>
        <w:rPr>
          <w:rFonts w:hint="eastAsia" w:ascii="宋体" w:hAnsi="宋体" w:eastAsia="宋体"/>
          <w:b/>
          <w:sz w:val="28"/>
          <w:szCs w:val="28"/>
        </w:rPr>
        <w:t>响应要求</w:t>
      </w:r>
    </w:p>
    <w:p w14:paraId="0E722DF2">
      <w:pPr>
        <w:numPr>
          <w:ilvl w:val="1"/>
          <w:numId w:val="2"/>
        </w:numPr>
        <w:tabs>
          <w:tab w:val="left" w:pos="993"/>
        </w:tabs>
        <w:spacing w:line="360" w:lineRule="auto"/>
        <w:ind w:left="0" w:firstLine="425"/>
        <w:rPr>
          <w:rFonts w:ascii="宋体" w:hAnsi="宋体" w:eastAsia="宋体"/>
          <w:sz w:val="24"/>
          <w:szCs w:val="28"/>
        </w:rPr>
      </w:pPr>
      <w:r>
        <w:rPr>
          <w:rFonts w:hint="eastAsia" w:ascii="宋体" w:hAnsi="宋体" w:eastAsia="宋体"/>
          <w:sz w:val="24"/>
          <w:szCs w:val="28"/>
        </w:rPr>
        <w:t>突发情况应急响应。当发生动态演绎内容被插播、被篡改时，第一时间发现、第一时间关闭电源、第一时间报告。</w:t>
      </w:r>
    </w:p>
    <w:p w14:paraId="3E3C1C58">
      <w:pPr>
        <w:numPr>
          <w:ilvl w:val="1"/>
          <w:numId w:val="2"/>
        </w:numPr>
        <w:tabs>
          <w:tab w:val="left" w:pos="993"/>
        </w:tabs>
        <w:spacing w:line="360" w:lineRule="auto"/>
        <w:ind w:left="0" w:firstLine="425"/>
        <w:rPr>
          <w:rFonts w:ascii="宋体" w:hAnsi="宋体" w:eastAsia="宋体"/>
          <w:sz w:val="24"/>
          <w:szCs w:val="28"/>
        </w:rPr>
      </w:pPr>
      <w:r>
        <w:rPr>
          <w:rFonts w:hint="eastAsia" w:ascii="宋体" w:hAnsi="宋体" w:eastAsia="宋体"/>
          <w:sz w:val="24"/>
          <w:szCs w:val="28"/>
        </w:rPr>
        <w:t>恶劣天气应急响应。按市防汛办发布的应急响应等级，实行分级应急响应机制，提供符合项目实际要求的应急响应机制，确保台前运行平稳、资产安全。</w:t>
      </w:r>
    </w:p>
    <w:p w14:paraId="2AE5FD78">
      <w:pPr>
        <w:numPr>
          <w:ilvl w:val="1"/>
          <w:numId w:val="2"/>
        </w:numPr>
        <w:tabs>
          <w:tab w:val="left" w:pos="993"/>
        </w:tabs>
        <w:spacing w:line="360" w:lineRule="auto"/>
        <w:ind w:left="0" w:firstLine="425"/>
        <w:rPr>
          <w:rFonts w:ascii="宋体" w:hAnsi="宋体" w:eastAsia="宋体"/>
          <w:sz w:val="24"/>
          <w:szCs w:val="28"/>
        </w:rPr>
      </w:pPr>
      <w:r>
        <w:rPr>
          <w:rFonts w:hint="eastAsia" w:ascii="宋体" w:hAnsi="宋体" w:eastAsia="宋体"/>
          <w:sz w:val="24"/>
          <w:szCs w:val="28"/>
        </w:rPr>
        <w:t>亮灯故障响应。当发生亮灯故障时，应主动与夜景照明运维单位配合，查找故障原因，属控制设备故障的，应在24小时内恢复。重点区域载体故障响应应在30分钟内。</w:t>
      </w:r>
    </w:p>
    <w:p w14:paraId="68CB1E43">
      <w:pPr>
        <w:numPr>
          <w:ilvl w:val="1"/>
          <w:numId w:val="2"/>
        </w:numPr>
        <w:tabs>
          <w:tab w:val="left" w:pos="993"/>
        </w:tabs>
        <w:spacing w:line="360" w:lineRule="auto"/>
        <w:ind w:left="0" w:firstLine="425"/>
        <w:rPr>
          <w:rFonts w:ascii="宋体" w:hAnsi="宋体" w:eastAsia="宋体"/>
          <w:sz w:val="24"/>
          <w:szCs w:val="28"/>
        </w:rPr>
      </w:pPr>
      <w:r>
        <w:rPr>
          <w:rFonts w:hint="eastAsia" w:ascii="宋体" w:hAnsi="宋体" w:eastAsia="宋体"/>
          <w:sz w:val="24"/>
          <w:szCs w:val="28"/>
        </w:rPr>
        <w:t>结</w:t>
      </w:r>
      <w:r>
        <w:rPr>
          <w:rFonts w:hint="eastAsia" w:ascii="宋体" w:hAnsi="宋体" w:eastAsia="宋体"/>
          <w:sz w:val="24"/>
          <w:szCs w:val="28"/>
          <w:highlight w:val="none"/>
        </w:rPr>
        <w:t>合系统近两年故障情况，为保障响应，供应商备品备件至少包括：</w:t>
      </w:r>
      <w:r>
        <w:rPr>
          <w:rFonts w:ascii="宋体" w:hAnsi="宋体" w:eastAsia="宋体"/>
          <w:sz w:val="24"/>
          <w:szCs w:val="28"/>
          <w:highlight w:val="none"/>
        </w:rPr>
        <w:t>20</w:t>
      </w:r>
      <w:r>
        <w:rPr>
          <w:rFonts w:hint="eastAsia" w:ascii="宋体" w:hAnsi="宋体" w:eastAsia="宋体"/>
          <w:sz w:val="24"/>
          <w:szCs w:val="28"/>
          <w:highlight w:val="none"/>
        </w:rPr>
        <w:t>台欧司朗e:cue灯光控制引擎FX，</w:t>
      </w:r>
      <w:r>
        <w:rPr>
          <w:rFonts w:ascii="宋体" w:hAnsi="宋体" w:eastAsia="宋体"/>
          <w:sz w:val="24"/>
          <w:szCs w:val="28"/>
          <w:highlight w:val="none"/>
        </w:rPr>
        <w:t>20</w:t>
      </w:r>
      <w:r>
        <w:rPr>
          <w:rFonts w:hint="eastAsia" w:ascii="宋体" w:hAnsi="宋体" w:eastAsia="宋体"/>
          <w:sz w:val="24"/>
          <w:szCs w:val="28"/>
          <w:highlight w:val="none"/>
        </w:rPr>
        <w:t>台欧司朗e:cue灯光控制引擎MX、</w:t>
      </w:r>
      <w:r>
        <w:rPr>
          <w:rFonts w:ascii="宋体" w:hAnsi="宋体" w:eastAsia="宋体"/>
          <w:sz w:val="24"/>
          <w:szCs w:val="28"/>
          <w:highlight w:val="none"/>
        </w:rPr>
        <w:t>20</w:t>
      </w:r>
      <w:r>
        <w:rPr>
          <w:rFonts w:hint="eastAsia" w:ascii="宋体" w:hAnsi="宋体" w:eastAsia="宋体"/>
          <w:sz w:val="24"/>
          <w:szCs w:val="28"/>
          <w:highlight w:val="none"/>
        </w:rPr>
        <w:t>台欧司朗 Butler PRO 微型服务器、</w:t>
      </w:r>
      <w:r>
        <w:rPr>
          <w:rFonts w:ascii="宋体" w:hAnsi="宋体" w:eastAsia="宋体"/>
          <w:sz w:val="24"/>
          <w:szCs w:val="28"/>
          <w:highlight w:val="none"/>
        </w:rPr>
        <w:t>20</w:t>
      </w:r>
      <w:r>
        <w:rPr>
          <w:rFonts w:hint="eastAsia" w:ascii="宋体" w:hAnsi="宋体" w:eastAsia="宋体"/>
          <w:sz w:val="24"/>
          <w:szCs w:val="28"/>
          <w:highlight w:val="none"/>
        </w:rPr>
        <w:t>台原厂MOXA 12口DO模块ioLogik 2542、</w:t>
      </w:r>
      <w:r>
        <w:rPr>
          <w:rFonts w:ascii="宋体" w:hAnsi="宋体" w:eastAsia="宋体"/>
          <w:sz w:val="24"/>
          <w:szCs w:val="28"/>
          <w:highlight w:val="none"/>
        </w:rPr>
        <w:t>20</w:t>
      </w:r>
      <w:r>
        <w:rPr>
          <w:rFonts w:hint="eastAsia" w:ascii="宋体" w:hAnsi="宋体" w:eastAsia="宋体"/>
          <w:sz w:val="24"/>
          <w:szCs w:val="28"/>
          <w:highlight w:val="none"/>
        </w:rPr>
        <w:t>台欧司朗 Butler S2微型服务器。备品备件</w:t>
      </w:r>
      <w:r>
        <w:rPr>
          <w:rFonts w:hint="eastAsia" w:ascii="宋体" w:hAnsi="宋体" w:eastAsia="宋体" w:cs="宋体"/>
          <w:sz w:val="24"/>
          <w:szCs w:val="24"/>
          <w:highlight w:val="none"/>
        </w:rPr>
        <w:t>不低于现有清单配置，备件放置于项目所在地。</w:t>
      </w:r>
    </w:p>
    <w:p w14:paraId="48B5ED61">
      <w:pPr>
        <w:numPr>
          <w:ilvl w:val="0"/>
          <w:numId w:val="2"/>
        </w:numPr>
        <w:spacing w:before="120" w:beforeLines="50" w:after="120" w:afterLines="50"/>
        <w:rPr>
          <w:rFonts w:ascii="宋体" w:hAnsi="宋体" w:eastAsia="宋体"/>
          <w:b/>
          <w:sz w:val="28"/>
          <w:szCs w:val="28"/>
        </w:rPr>
      </w:pPr>
      <w:r>
        <w:rPr>
          <w:rFonts w:hint="eastAsia" w:ascii="宋体" w:hAnsi="宋体" w:eastAsia="宋体"/>
          <w:b/>
          <w:sz w:val="28"/>
          <w:szCs w:val="28"/>
        </w:rPr>
        <w:t>现场踏勘及工程竣工资料查阅</w:t>
      </w:r>
    </w:p>
    <w:p w14:paraId="1A070C36">
      <w:pPr>
        <w:numPr>
          <w:ilvl w:val="1"/>
          <w:numId w:val="2"/>
        </w:numPr>
        <w:tabs>
          <w:tab w:val="left" w:pos="993"/>
        </w:tabs>
        <w:spacing w:line="360" w:lineRule="auto"/>
        <w:ind w:left="0" w:firstLine="425"/>
        <w:rPr>
          <w:rFonts w:ascii="宋体" w:hAnsi="宋体" w:eastAsia="宋体"/>
          <w:sz w:val="24"/>
          <w:szCs w:val="28"/>
        </w:rPr>
      </w:pPr>
      <w:r>
        <w:rPr>
          <w:rFonts w:hint="eastAsia" w:ascii="宋体" w:hAnsi="宋体" w:eastAsia="宋体"/>
          <w:sz w:val="24"/>
          <w:szCs w:val="28"/>
        </w:rPr>
        <w:t>由于项目的特殊性，本采购活动不组织现场踏勘及提供竣工资料查阅，如投标人有需求，可向采购人咨询。投标人应考虑可能的风险，并在投标文件中充分考虑各项费用并在投标报价中体现。一旦中标后，不得再就现状向采购人提出增加任何费用。</w:t>
      </w:r>
    </w:p>
    <w:p w14:paraId="28229416">
      <w:pPr>
        <w:numPr>
          <w:ilvl w:val="1"/>
          <w:numId w:val="2"/>
        </w:numPr>
        <w:tabs>
          <w:tab w:val="left" w:pos="993"/>
        </w:tabs>
        <w:spacing w:line="360" w:lineRule="auto"/>
        <w:ind w:left="0" w:firstLine="425"/>
        <w:rPr>
          <w:rFonts w:ascii="宋体" w:hAnsi="宋体" w:eastAsia="宋体"/>
          <w:sz w:val="24"/>
          <w:szCs w:val="28"/>
          <w:highlight w:val="none"/>
        </w:rPr>
      </w:pPr>
      <w:r>
        <w:rPr>
          <w:rFonts w:hint="eastAsia" w:ascii="宋体" w:hAnsi="宋体" w:eastAsia="宋体"/>
          <w:sz w:val="24"/>
          <w:szCs w:val="28"/>
          <w:highlight w:val="none"/>
        </w:rPr>
        <w:t>踏勘现场如需采购单位协助，请联系吴先生（电话：0592-</w:t>
      </w:r>
      <w:r>
        <w:rPr>
          <w:rFonts w:ascii="宋体" w:hAnsi="宋体" w:eastAsia="宋体"/>
          <w:sz w:val="24"/>
          <w:szCs w:val="28"/>
          <w:highlight w:val="none"/>
        </w:rPr>
        <w:t>5186160</w:t>
      </w:r>
      <w:r>
        <w:rPr>
          <w:rFonts w:hint="eastAsia" w:ascii="宋体" w:hAnsi="宋体" w:eastAsia="宋体"/>
          <w:sz w:val="24"/>
          <w:szCs w:val="28"/>
          <w:highlight w:val="none"/>
        </w:rPr>
        <w:t>）</w:t>
      </w:r>
    </w:p>
    <w:p w14:paraId="5FCE0F60">
      <w:pPr>
        <w:numPr>
          <w:ilvl w:val="1"/>
          <w:numId w:val="2"/>
        </w:numPr>
        <w:tabs>
          <w:tab w:val="left" w:pos="993"/>
        </w:tabs>
        <w:spacing w:line="360" w:lineRule="auto"/>
        <w:ind w:left="0" w:firstLine="425"/>
        <w:rPr>
          <w:rFonts w:ascii="宋体" w:hAnsi="宋体" w:eastAsia="宋体"/>
          <w:sz w:val="24"/>
          <w:szCs w:val="28"/>
        </w:rPr>
      </w:pPr>
      <w:r>
        <w:rPr>
          <w:rFonts w:hint="eastAsia" w:ascii="宋体" w:hAnsi="宋体" w:eastAsia="宋体"/>
          <w:sz w:val="24"/>
          <w:szCs w:val="28"/>
        </w:rPr>
        <w:t>采购人向供应商提供的有关现场的资料和数据，是采购人现有的能被供应商利用的资料。采购人对供应商做出的理解、推论和结论均不负责任。</w:t>
      </w:r>
    </w:p>
    <w:p w14:paraId="64911314">
      <w:pPr>
        <w:numPr>
          <w:ilvl w:val="0"/>
          <w:numId w:val="2"/>
        </w:numPr>
        <w:spacing w:before="120" w:beforeLines="50" w:after="120" w:afterLines="50"/>
        <w:rPr>
          <w:rFonts w:ascii="宋体" w:hAnsi="宋体" w:eastAsia="宋体"/>
          <w:b/>
          <w:sz w:val="28"/>
          <w:szCs w:val="28"/>
        </w:rPr>
      </w:pPr>
      <w:r>
        <w:rPr>
          <w:rFonts w:hint="eastAsia" w:ascii="宋体" w:hAnsi="宋体" w:eastAsia="宋体"/>
          <w:b/>
          <w:sz w:val="28"/>
          <w:szCs w:val="28"/>
        </w:rPr>
        <w:t>质量考核要求</w:t>
      </w:r>
    </w:p>
    <w:p w14:paraId="123F67BF">
      <w:pPr>
        <w:numPr>
          <w:ilvl w:val="1"/>
          <w:numId w:val="2"/>
        </w:numPr>
        <w:tabs>
          <w:tab w:val="left" w:pos="993"/>
        </w:tabs>
        <w:spacing w:line="360" w:lineRule="auto"/>
        <w:ind w:left="0" w:firstLine="425"/>
        <w:rPr>
          <w:rFonts w:ascii="宋体" w:hAnsi="宋体" w:eastAsia="宋体"/>
          <w:sz w:val="24"/>
          <w:szCs w:val="28"/>
        </w:rPr>
      </w:pPr>
      <w:r>
        <w:rPr>
          <w:rFonts w:hint="eastAsia" w:ascii="宋体" w:hAnsi="宋体" w:eastAsia="宋体"/>
          <w:sz w:val="24"/>
          <w:szCs w:val="28"/>
        </w:rPr>
        <w:t>采购人按照运维服务质量考核内容每月进行考核，考核结果作为支付依据，考核优秀的（得分90以上），支付当月全额费用；考核结果良好的（得分80-89），支付当月费用的90%，考核结果合格的（得分60-79），支付当月费用的80%，考核结果不合格的（得分60以下），取消支付当月费用。考核办法如下：</w:t>
      </w:r>
    </w:p>
    <w:p w14:paraId="166E733A">
      <w:pPr>
        <w:jc w:val="center"/>
        <w:rPr>
          <w:rFonts w:ascii="宋体" w:hAnsi="宋体" w:eastAsia="宋体"/>
          <w:b/>
          <w:bCs/>
          <w:sz w:val="30"/>
          <w:szCs w:val="30"/>
        </w:rPr>
      </w:pPr>
      <w:r>
        <w:rPr>
          <w:rFonts w:hint="eastAsia" w:ascii="宋体" w:hAnsi="宋体" w:eastAsia="宋体"/>
          <w:b/>
          <w:bCs/>
          <w:sz w:val="30"/>
          <w:szCs w:val="30"/>
        </w:rPr>
        <w:t>运维服务质量考核管理办法</w:t>
      </w:r>
    </w:p>
    <w:p w14:paraId="67080283">
      <w:pPr>
        <w:spacing w:line="300" w:lineRule="auto"/>
        <w:ind w:firstLine="480" w:firstLineChars="200"/>
        <w:rPr>
          <w:rFonts w:ascii="宋体" w:hAnsi="宋体" w:eastAsia="宋体"/>
          <w:sz w:val="24"/>
          <w:szCs w:val="24"/>
        </w:rPr>
      </w:pPr>
      <w:r>
        <w:rPr>
          <w:rFonts w:ascii="宋体" w:hAnsi="宋体" w:eastAsia="宋体"/>
          <w:sz w:val="24"/>
          <w:szCs w:val="24"/>
        </w:rPr>
        <w:t>1.1.考核目的</w:t>
      </w:r>
    </w:p>
    <w:p w14:paraId="3CF1B84F">
      <w:pPr>
        <w:spacing w:line="300" w:lineRule="auto"/>
        <w:ind w:firstLine="480" w:firstLineChars="200"/>
        <w:rPr>
          <w:rFonts w:ascii="宋体" w:hAnsi="宋体" w:eastAsia="宋体"/>
          <w:sz w:val="24"/>
          <w:szCs w:val="24"/>
        </w:rPr>
      </w:pPr>
      <w:r>
        <w:rPr>
          <w:rFonts w:hint="eastAsia" w:ascii="宋体" w:hAnsi="宋体" w:eastAsia="宋体"/>
          <w:sz w:val="24"/>
          <w:szCs w:val="24"/>
        </w:rPr>
        <w:t>根据夜景照明集中控制平台运维服务要求，结合项目各运维管理规定，经过规范化的运维管理，确保夜景照明系统安全稳定运行，维保设备得到有效的维护维修，提高夜景照明系统项目的服务质量，特制订以下绩效考核。</w:t>
      </w:r>
    </w:p>
    <w:p w14:paraId="62783E65">
      <w:pPr>
        <w:spacing w:line="300" w:lineRule="auto"/>
        <w:ind w:firstLine="480" w:firstLineChars="200"/>
        <w:rPr>
          <w:rFonts w:ascii="宋体" w:hAnsi="宋体" w:eastAsia="宋体"/>
          <w:sz w:val="24"/>
          <w:szCs w:val="24"/>
        </w:rPr>
      </w:pPr>
      <w:r>
        <w:rPr>
          <w:rFonts w:ascii="宋体" w:hAnsi="宋体" w:eastAsia="宋体"/>
          <w:sz w:val="24"/>
          <w:szCs w:val="24"/>
        </w:rPr>
        <w:t>1.2.考核对象</w:t>
      </w:r>
    </w:p>
    <w:p w14:paraId="047365A4">
      <w:pPr>
        <w:spacing w:line="300" w:lineRule="auto"/>
        <w:ind w:firstLine="480" w:firstLineChars="200"/>
        <w:rPr>
          <w:rFonts w:ascii="宋体" w:hAnsi="宋体" w:eastAsia="宋体"/>
          <w:sz w:val="24"/>
          <w:szCs w:val="24"/>
        </w:rPr>
      </w:pPr>
      <w:r>
        <w:rPr>
          <w:rFonts w:hint="eastAsia" w:ascii="宋体" w:hAnsi="宋体" w:eastAsia="宋体"/>
          <w:sz w:val="24"/>
          <w:szCs w:val="24"/>
        </w:rPr>
        <w:t>《夜景照明集中控制平台运行维护项目》维护服务单位。</w:t>
      </w:r>
    </w:p>
    <w:p w14:paraId="1473EA11">
      <w:pPr>
        <w:spacing w:line="300" w:lineRule="auto"/>
        <w:ind w:firstLine="480" w:firstLineChars="200"/>
        <w:rPr>
          <w:rFonts w:ascii="宋体" w:hAnsi="宋体" w:eastAsia="宋体"/>
          <w:sz w:val="24"/>
          <w:szCs w:val="24"/>
        </w:rPr>
      </w:pPr>
      <w:r>
        <w:rPr>
          <w:rFonts w:ascii="宋体" w:hAnsi="宋体" w:eastAsia="宋体"/>
          <w:sz w:val="24"/>
          <w:szCs w:val="24"/>
        </w:rPr>
        <w:t>1.3.考核形式</w:t>
      </w:r>
    </w:p>
    <w:p w14:paraId="35E8045E">
      <w:pPr>
        <w:spacing w:line="300" w:lineRule="auto"/>
        <w:ind w:firstLine="480" w:firstLineChars="200"/>
        <w:rPr>
          <w:rFonts w:ascii="宋体" w:hAnsi="宋体" w:eastAsia="宋体"/>
          <w:sz w:val="24"/>
          <w:szCs w:val="24"/>
        </w:rPr>
      </w:pPr>
      <w:r>
        <w:rPr>
          <w:rFonts w:hint="eastAsia" w:ascii="宋体" w:hAnsi="宋体" w:eastAsia="宋体"/>
          <w:sz w:val="24"/>
          <w:szCs w:val="24"/>
        </w:rPr>
        <w:t>控制平台的考核采取定期检查与随机检查的形式进行，定期检查每月进行一次，日常随机检查记入考核记录。</w:t>
      </w:r>
    </w:p>
    <w:p w14:paraId="3A30A19B">
      <w:pPr>
        <w:spacing w:line="300" w:lineRule="auto"/>
        <w:ind w:firstLine="480" w:firstLineChars="200"/>
        <w:rPr>
          <w:rFonts w:ascii="宋体" w:hAnsi="宋体" w:eastAsia="宋体"/>
          <w:sz w:val="24"/>
          <w:szCs w:val="24"/>
        </w:rPr>
      </w:pPr>
      <w:r>
        <w:rPr>
          <w:rFonts w:ascii="宋体" w:hAnsi="宋体" w:eastAsia="宋体"/>
          <w:sz w:val="24"/>
          <w:szCs w:val="24"/>
        </w:rPr>
        <w:t>1.4.考核内容</w:t>
      </w:r>
    </w:p>
    <w:p w14:paraId="2D886D65">
      <w:pPr>
        <w:spacing w:line="300" w:lineRule="auto"/>
        <w:ind w:firstLine="480" w:firstLineChars="200"/>
        <w:rPr>
          <w:rFonts w:ascii="宋体" w:hAnsi="宋体" w:eastAsia="宋体"/>
          <w:sz w:val="24"/>
          <w:szCs w:val="24"/>
        </w:rPr>
      </w:pPr>
      <w:r>
        <w:rPr>
          <w:rFonts w:hint="eastAsia" w:ascii="宋体" w:hAnsi="宋体" w:eastAsia="宋体"/>
          <w:sz w:val="24"/>
          <w:szCs w:val="24"/>
        </w:rPr>
        <w:t>日常巡查规范、日常操作规范、台账管理规范、日常行为规范、应急响应规范和安全管理规范（详见《夜景照明集中控制中心运维服务质量考核登记表》）</w:t>
      </w:r>
    </w:p>
    <w:p w14:paraId="15D4BBD7">
      <w:pPr>
        <w:spacing w:line="300" w:lineRule="auto"/>
        <w:ind w:firstLine="480" w:firstLineChars="200"/>
        <w:rPr>
          <w:rFonts w:ascii="宋体" w:hAnsi="宋体" w:eastAsia="宋体"/>
          <w:sz w:val="24"/>
          <w:szCs w:val="24"/>
        </w:rPr>
      </w:pPr>
      <w:r>
        <w:rPr>
          <w:rFonts w:ascii="宋体" w:hAnsi="宋体" w:eastAsia="宋体"/>
          <w:sz w:val="24"/>
          <w:szCs w:val="24"/>
        </w:rPr>
        <w:t>1.5.考核结论</w:t>
      </w:r>
    </w:p>
    <w:p w14:paraId="0BA2FAC8">
      <w:pPr>
        <w:spacing w:line="300" w:lineRule="auto"/>
        <w:ind w:firstLine="480" w:firstLineChars="200"/>
        <w:rPr>
          <w:rFonts w:ascii="宋体" w:hAnsi="宋体" w:eastAsia="宋体"/>
          <w:sz w:val="24"/>
          <w:szCs w:val="24"/>
        </w:rPr>
      </w:pPr>
      <w:r>
        <w:rPr>
          <w:rFonts w:hint="eastAsia" w:ascii="宋体" w:hAnsi="宋体" w:eastAsia="宋体"/>
          <w:sz w:val="24"/>
          <w:szCs w:val="24"/>
        </w:rPr>
        <w:t>按照本办法进行考核的考核结论，作为平台运行维护服务费的支付依据。采购人将按照运维服务质量考核内容每月进行考核并打分，考核结果作为支付依据，考核优秀的（得分90以上），支付当月全额费用；考核结果良好的（得分80-89），支付当月费用的90%，考核结果合格的（得分60-79），支付当月费用的80%，考核结果不合格的（得分60以下），取消支付当月费用</w:t>
      </w:r>
      <w:r>
        <w:rPr>
          <w:rFonts w:ascii="宋体" w:hAnsi="宋体" w:eastAsia="宋体"/>
          <w:sz w:val="24"/>
          <w:szCs w:val="24"/>
        </w:rPr>
        <w:t>。</w:t>
      </w:r>
    </w:p>
    <w:p w14:paraId="1A730396">
      <w:pPr>
        <w:spacing w:line="300" w:lineRule="auto"/>
        <w:ind w:firstLine="480" w:firstLineChars="200"/>
        <w:rPr>
          <w:rFonts w:ascii="宋体" w:hAnsi="宋体" w:eastAsia="宋体"/>
          <w:sz w:val="24"/>
          <w:szCs w:val="24"/>
        </w:rPr>
      </w:pPr>
      <w:r>
        <w:rPr>
          <w:rFonts w:ascii="宋体" w:hAnsi="宋体" w:eastAsia="宋体"/>
          <w:sz w:val="24"/>
          <w:szCs w:val="24"/>
        </w:rPr>
        <w:t>1.6.考核登记表</w:t>
      </w:r>
    </w:p>
    <w:p w14:paraId="3287BADE">
      <w:pPr>
        <w:spacing w:line="300" w:lineRule="auto"/>
        <w:jc w:val="center"/>
        <w:rPr>
          <w:rFonts w:ascii="宋体" w:hAnsi="宋体" w:eastAsia="宋体"/>
          <w:b/>
          <w:bCs/>
          <w:sz w:val="28"/>
          <w:szCs w:val="28"/>
        </w:rPr>
      </w:pPr>
      <w:r>
        <w:rPr>
          <w:rFonts w:hint="eastAsia" w:ascii="宋体" w:hAnsi="宋体" w:eastAsia="宋体"/>
          <w:b/>
          <w:bCs/>
          <w:sz w:val="28"/>
          <w:szCs w:val="28"/>
        </w:rPr>
        <w:t>夜景照明集中控制中心运维服务质量考核登记表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307"/>
        <w:gridCol w:w="6392"/>
        <w:gridCol w:w="865"/>
      </w:tblGrid>
      <w:tr w14:paraId="59568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14:paraId="5FBE4881">
            <w:pPr>
              <w:spacing w:line="360" w:lineRule="auto"/>
              <w:jc w:val="center"/>
              <w:rPr>
                <w:rFonts w:ascii="宋体" w:hAnsi="宋体" w:eastAsia="宋体"/>
                <w:sz w:val="24"/>
                <w:szCs w:val="24"/>
              </w:rPr>
            </w:pPr>
            <w:r>
              <w:rPr>
                <w:rFonts w:hint="eastAsia" w:ascii="宋体" w:hAnsi="宋体" w:eastAsia="宋体"/>
                <w:sz w:val="24"/>
                <w:szCs w:val="24"/>
              </w:rPr>
              <w:t>序号</w:t>
            </w:r>
          </w:p>
        </w:tc>
        <w:tc>
          <w:tcPr>
            <w:tcW w:w="704" w:type="pct"/>
            <w:vAlign w:val="center"/>
          </w:tcPr>
          <w:p w14:paraId="7A4188B1">
            <w:pPr>
              <w:spacing w:line="360" w:lineRule="auto"/>
              <w:jc w:val="center"/>
              <w:rPr>
                <w:rFonts w:ascii="宋体" w:hAnsi="宋体" w:eastAsia="宋体"/>
                <w:sz w:val="24"/>
                <w:szCs w:val="24"/>
              </w:rPr>
            </w:pPr>
            <w:r>
              <w:rPr>
                <w:rFonts w:hint="eastAsia" w:ascii="宋体" w:hAnsi="宋体" w:eastAsia="宋体"/>
                <w:sz w:val="24"/>
                <w:szCs w:val="24"/>
              </w:rPr>
              <w:t>考核内容</w:t>
            </w:r>
          </w:p>
        </w:tc>
        <w:tc>
          <w:tcPr>
            <w:tcW w:w="3442" w:type="pct"/>
            <w:vAlign w:val="center"/>
          </w:tcPr>
          <w:p w14:paraId="08BF2BB5">
            <w:pPr>
              <w:spacing w:line="360" w:lineRule="auto"/>
              <w:jc w:val="center"/>
              <w:rPr>
                <w:rFonts w:ascii="宋体" w:hAnsi="宋体" w:eastAsia="宋体"/>
                <w:sz w:val="24"/>
                <w:szCs w:val="24"/>
              </w:rPr>
            </w:pPr>
            <w:r>
              <w:rPr>
                <w:rFonts w:hint="eastAsia" w:ascii="宋体" w:hAnsi="宋体" w:eastAsia="宋体"/>
                <w:sz w:val="24"/>
                <w:szCs w:val="24"/>
              </w:rPr>
              <w:t>评分依据</w:t>
            </w:r>
          </w:p>
        </w:tc>
        <w:tc>
          <w:tcPr>
            <w:tcW w:w="465" w:type="pct"/>
            <w:vAlign w:val="center"/>
          </w:tcPr>
          <w:p w14:paraId="47D77ABC">
            <w:pPr>
              <w:spacing w:line="360" w:lineRule="auto"/>
              <w:jc w:val="center"/>
              <w:rPr>
                <w:rFonts w:ascii="宋体" w:hAnsi="宋体" w:eastAsia="宋体"/>
                <w:sz w:val="24"/>
                <w:szCs w:val="24"/>
              </w:rPr>
            </w:pPr>
            <w:r>
              <w:rPr>
                <w:rFonts w:hint="eastAsia" w:ascii="宋体" w:hAnsi="宋体" w:eastAsia="宋体"/>
                <w:sz w:val="24"/>
                <w:szCs w:val="24"/>
              </w:rPr>
              <w:t>扣分</w:t>
            </w:r>
          </w:p>
        </w:tc>
      </w:tr>
      <w:tr w14:paraId="29A58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14:paraId="2F1BB4CF">
            <w:pPr>
              <w:spacing w:line="360" w:lineRule="auto"/>
              <w:jc w:val="center"/>
              <w:rPr>
                <w:rFonts w:ascii="宋体" w:hAnsi="宋体" w:eastAsia="宋体"/>
                <w:sz w:val="24"/>
                <w:szCs w:val="24"/>
              </w:rPr>
            </w:pPr>
            <w:r>
              <w:rPr>
                <w:rFonts w:hint="eastAsia" w:ascii="宋体" w:hAnsi="宋体" w:eastAsia="宋体"/>
                <w:sz w:val="24"/>
                <w:szCs w:val="24"/>
              </w:rPr>
              <w:t>1</w:t>
            </w:r>
          </w:p>
        </w:tc>
        <w:tc>
          <w:tcPr>
            <w:tcW w:w="704" w:type="pct"/>
            <w:vAlign w:val="center"/>
          </w:tcPr>
          <w:p w14:paraId="369D5A06">
            <w:pPr>
              <w:spacing w:line="360" w:lineRule="auto"/>
              <w:jc w:val="center"/>
              <w:rPr>
                <w:rFonts w:ascii="宋体" w:hAnsi="宋体" w:eastAsia="宋体"/>
                <w:sz w:val="24"/>
                <w:szCs w:val="24"/>
              </w:rPr>
            </w:pPr>
            <w:r>
              <w:rPr>
                <w:rFonts w:hint="eastAsia" w:ascii="宋体" w:hAnsi="宋体" w:eastAsia="宋体"/>
                <w:sz w:val="24"/>
                <w:szCs w:val="24"/>
              </w:rPr>
              <w:t>日常巡检规范</w:t>
            </w:r>
          </w:p>
          <w:p w14:paraId="06CDE6C6">
            <w:pPr>
              <w:spacing w:line="360" w:lineRule="auto"/>
              <w:jc w:val="center"/>
              <w:rPr>
                <w:rFonts w:ascii="宋体" w:hAnsi="宋体" w:eastAsia="宋体"/>
                <w:sz w:val="24"/>
                <w:szCs w:val="24"/>
              </w:rPr>
            </w:pPr>
            <w:r>
              <w:rPr>
                <w:rFonts w:hint="eastAsia" w:ascii="宋体" w:hAnsi="宋体" w:eastAsia="宋体"/>
                <w:sz w:val="24"/>
                <w:szCs w:val="24"/>
              </w:rPr>
              <w:t>（30分）</w:t>
            </w:r>
          </w:p>
        </w:tc>
        <w:tc>
          <w:tcPr>
            <w:tcW w:w="3442" w:type="pct"/>
            <w:vAlign w:val="center"/>
          </w:tcPr>
          <w:p w14:paraId="79642FD6">
            <w:pPr>
              <w:spacing w:line="360" w:lineRule="auto"/>
              <w:jc w:val="left"/>
              <w:rPr>
                <w:rFonts w:ascii="宋体" w:hAnsi="宋体" w:eastAsia="宋体"/>
                <w:sz w:val="24"/>
                <w:szCs w:val="24"/>
              </w:rPr>
            </w:pPr>
            <w:r>
              <w:rPr>
                <w:rFonts w:hint="eastAsia" w:ascii="宋体" w:hAnsi="宋体" w:eastAsia="宋体"/>
                <w:sz w:val="24"/>
                <w:szCs w:val="24"/>
              </w:rPr>
              <w:t>平台值班人员和路面巡查人员应落实平台巡检（巡查）、通报（反馈）巡检（巡查）情况，做好记录台帐，加强对设施设备的维护管理，发生或发现以下问题的，记入考核内容：</w:t>
            </w:r>
          </w:p>
          <w:p w14:paraId="7FFFD565">
            <w:pPr>
              <w:spacing w:line="360" w:lineRule="auto"/>
              <w:jc w:val="left"/>
              <w:rPr>
                <w:rFonts w:ascii="宋体" w:hAnsi="宋体" w:eastAsia="宋体"/>
                <w:sz w:val="24"/>
                <w:szCs w:val="24"/>
              </w:rPr>
            </w:pPr>
            <w:r>
              <w:rPr>
                <w:rFonts w:hint="eastAsia" w:ascii="宋体" w:hAnsi="宋体" w:eastAsia="宋体"/>
                <w:sz w:val="24"/>
                <w:szCs w:val="24"/>
              </w:rPr>
              <w:t>1.是否落实平台巡检工作，是否通过平台巡视检查夜景亮灯状况，是否及时通报反馈亮灯异常情况。工作未落实或落实不到位的，每发现一次扣1分；</w:t>
            </w:r>
          </w:p>
          <w:p w14:paraId="3EDD8F51">
            <w:pPr>
              <w:spacing w:line="360" w:lineRule="auto"/>
              <w:jc w:val="left"/>
              <w:rPr>
                <w:rFonts w:ascii="宋体" w:hAnsi="宋体" w:eastAsia="宋体"/>
                <w:sz w:val="24"/>
                <w:szCs w:val="24"/>
              </w:rPr>
            </w:pPr>
            <w:r>
              <w:rPr>
                <w:rFonts w:hint="eastAsia" w:ascii="宋体" w:hAnsi="宋体" w:eastAsia="宋体"/>
                <w:sz w:val="24"/>
                <w:szCs w:val="24"/>
              </w:rPr>
              <w:t>2.《夜景集中控制中心值班记录表》记录内容是否完整，巡检问题记录是否及时，问题(故障)解决（排除）情况是否记录。每发现一次扣1分；</w:t>
            </w:r>
          </w:p>
          <w:p w14:paraId="7F053EE8">
            <w:pPr>
              <w:spacing w:line="360" w:lineRule="auto"/>
              <w:jc w:val="left"/>
              <w:rPr>
                <w:rFonts w:ascii="宋体" w:hAnsi="宋体" w:eastAsia="宋体"/>
                <w:sz w:val="24"/>
                <w:szCs w:val="24"/>
              </w:rPr>
            </w:pPr>
            <w:r>
              <w:rPr>
                <w:rFonts w:hint="eastAsia" w:ascii="宋体" w:hAnsi="宋体" w:eastAsia="宋体"/>
                <w:sz w:val="24"/>
                <w:szCs w:val="24"/>
              </w:rPr>
              <w:t>3.路面巡查工作是否落实，巡查中发现的问题（故障）是否及时反馈控制平台，控制平台是否及时将问题（故障）进行反馈，问题（故障）解决（排除）情况是否记录。每发现一次扣1分；</w:t>
            </w:r>
          </w:p>
          <w:p w14:paraId="4502B258">
            <w:pPr>
              <w:spacing w:line="360" w:lineRule="auto"/>
              <w:jc w:val="left"/>
              <w:rPr>
                <w:rFonts w:ascii="宋体" w:hAnsi="宋体" w:eastAsia="宋体"/>
                <w:sz w:val="24"/>
                <w:szCs w:val="24"/>
              </w:rPr>
            </w:pPr>
            <w:r>
              <w:rPr>
                <w:rFonts w:hint="eastAsia" w:ascii="宋体" w:hAnsi="宋体" w:eastAsia="宋体"/>
                <w:sz w:val="24"/>
                <w:szCs w:val="24"/>
              </w:rPr>
              <w:t>4.控制中心设备维护是否正常并登记，未定期巡检设备及系统安全状态，影响正常亮灯的，每发生一次扣2分。</w:t>
            </w:r>
          </w:p>
        </w:tc>
        <w:tc>
          <w:tcPr>
            <w:tcW w:w="465" w:type="pct"/>
          </w:tcPr>
          <w:p w14:paraId="69071666">
            <w:pPr>
              <w:spacing w:line="360" w:lineRule="auto"/>
              <w:jc w:val="center"/>
              <w:rPr>
                <w:rFonts w:ascii="宋体" w:hAnsi="宋体" w:eastAsia="宋体"/>
                <w:sz w:val="24"/>
                <w:szCs w:val="24"/>
              </w:rPr>
            </w:pPr>
          </w:p>
        </w:tc>
      </w:tr>
      <w:tr w14:paraId="7BA2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14:paraId="171DBB81">
            <w:pPr>
              <w:spacing w:line="360" w:lineRule="auto"/>
              <w:rPr>
                <w:rFonts w:ascii="宋体" w:hAnsi="宋体" w:eastAsia="宋体"/>
                <w:sz w:val="24"/>
                <w:szCs w:val="24"/>
              </w:rPr>
            </w:pPr>
            <w:r>
              <w:rPr>
                <w:rFonts w:hint="eastAsia" w:ascii="宋体" w:hAnsi="宋体" w:eastAsia="宋体" w:cs="宋体"/>
                <w:color w:val="000000"/>
                <w:kern w:val="0"/>
                <w:sz w:val="24"/>
                <w:szCs w:val="24"/>
              </w:rPr>
              <w:t>2</w:t>
            </w:r>
          </w:p>
        </w:tc>
        <w:tc>
          <w:tcPr>
            <w:tcW w:w="704" w:type="pct"/>
            <w:vAlign w:val="center"/>
          </w:tcPr>
          <w:p w14:paraId="584EAB08">
            <w:pPr>
              <w:spacing w:line="360" w:lineRule="auto"/>
              <w:jc w:val="center"/>
              <w:rPr>
                <w:rFonts w:ascii="宋体" w:hAnsi="宋体" w:eastAsia="宋体"/>
                <w:sz w:val="24"/>
                <w:szCs w:val="24"/>
              </w:rPr>
            </w:pPr>
            <w:r>
              <w:rPr>
                <w:rFonts w:hint="eastAsia" w:ascii="宋体" w:hAnsi="宋体" w:eastAsia="宋体"/>
                <w:sz w:val="24"/>
                <w:szCs w:val="24"/>
              </w:rPr>
              <w:t>日常操作规范</w:t>
            </w:r>
          </w:p>
          <w:p w14:paraId="4111B943">
            <w:pPr>
              <w:spacing w:line="360" w:lineRule="auto"/>
              <w:jc w:val="center"/>
              <w:rPr>
                <w:rFonts w:ascii="宋体" w:hAnsi="宋体" w:eastAsia="宋体"/>
                <w:sz w:val="24"/>
                <w:szCs w:val="24"/>
              </w:rPr>
            </w:pPr>
            <w:r>
              <w:rPr>
                <w:rFonts w:hint="eastAsia" w:ascii="宋体" w:hAnsi="宋体" w:eastAsia="宋体"/>
                <w:sz w:val="24"/>
                <w:szCs w:val="24"/>
              </w:rPr>
              <w:t>（15分）</w:t>
            </w:r>
          </w:p>
        </w:tc>
        <w:tc>
          <w:tcPr>
            <w:tcW w:w="3442" w:type="pct"/>
            <w:vAlign w:val="center"/>
          </w:tcPr>
          <w:p w14:paraId="2099B6D4">
            <w:pPr>
              <w:spacing w:line="360" w:lineRule="auto"/>
              <w:jc w:val="left"/>
              <w:rPr>
                <w:rFonts w:ascii="宋体" w:hAnsi="宋体" w:eastAsia="宋体"/>
                <w:sz w:val="24"/>
                <w:szCs w:val="24"/>
              </w:rPr>
            </w:pPr>
            <w:r>
              <w:rPr>
                <w:rFonts w:hint="eastAsia" w:ascii="宋体" w:hAnsi="宋体" w:eastAsia="宋体"/>
                <w:sz w:val="24"/>
                <w:szCs w:val="24"/>
              </w:rPr>
              <w:t>平台的日常管理和操作应严格遵守各项工作制度，发生或发现以下情形的，记入考核内容：</w:t>
            </w:r>
          </w:p>
          <w:p w14:paraId="651ECCBB">
            <w:pPr>
              <w:spacing w:line="360" w:lineRule="auto"/>
              <w:jc w:val="left"/>
              <w:rPr>
                <w:rFonts w:ascii="宋体" w:hAnsi="宋体" w:eastAsia="宋体"/>
                <w:sz w:val="24"/>
                <w:szCs w:val="24"/>
              </w:rPr>
            </w:pPr>
            <w:r>
              <w:rPr>
                <w:rFonts w:hint="eastAsia" w:ascii="宋体" w:hAnsi="宋体" w:eastAsia="宋体"/>
                <w:sz w:val="24"/>
                <w:szCs w:val="24"/>
              </w:rPr>
              <w:t>1.将手机连接平台专用电脑，每发现一次扣5分；</w:t>
            </w:r>
          </w:p>
          <w:p w14:paraId="35D8E3CA">
            <w:pPr>
              <w:spacing w:line="360" w:lineRule="auto"/>
              <w:jc w:val="left"/>
              <w:rPr>
                <w:rFonts w:ascii="宋体" w:hAnsi="宋体" w:eastAsia="宋体"/>
                <w:sz w:val="24"/>
                <w:szCs w:val="24"/>
              </w:rPr>
            </w:pPr>
            <w:r>
              <w:rPr>
                <w:rFonts w:hint="eastAsia" w:ascii="宋体" w:hAnsi="宋体" w:eastAsia="宋体"/>
                <w:sz w:val="24"/>
                <w:szCs w:val="24"/>
              </w:rPr>
              <w:t>2.将控制平台专用电脑接入互联网，每发现一次扣5分；</w:t>
            </w:r>
          </w:p>
          <w:p w14:paraId="06B67771">
            <w:pPr>
              <w:spacing w:line="360" w:lineRule="auto"/>
              <w:jc w:val="left"/>
              <w:rPr>
                <w:rFonts w:ascii="宋体" w:hAnsi="宋体" w:eastAsia="宋体"/>
                <w:sz w:val="24"/>
                <w:szCs w:val="24"/>
              </w:rPr>
            </w:pPr>
            <w:r>
              <w:rPr>
                <w:rFonts w:hint="eastAsia" w:ascii="宋体" w:hAnsi="宋体" w:eastAsia="宋体"/>
                <w:sz w:val="24"/>
                <w:szCs w:val="24"/>
              </w:rPr>
              <w:t>3.未经同意擅自更改开（闭）灯时间的，或未经授权，擅自更改动态演绎内容的，每发生一次扣5分；</w:t>
            </w:r>
          </w:p>
          <w:p w14:paraId="06C75418">
            <w:pPr>
              <w:spacing w:line="360" w:lineRule="auto"/>
              <w:jc w:val="left"/>
              <w:rPr>
                <w:rFonts w:ascii="宋体" w:hAnsi="宋体" w:eastAsia="宋体"/>
                <w:sz w:val="24"/>
                <w:szCs w:val="24"/>
              </w:rPr>
            </w:pPr>
            <w:r>
              <w:rPr>
                <w:rFonts w:hint="eastAsia" w:ascii="宋体" w:hAnsi="宋体" w:eastAsia="宋体"/>
                <w:sz w:val="24"/>
                <w:szCs w:val="24"/>
              </w:rPr>
              <w:t>4.违规操作，导致系统异常，影响正常夜景灯光开（关）的，每发生一起扣5分。</w:t>
            </w:r>
          </w:p>
        </w:tc>
        <w:tc>
          <w:tcPr>
            <w:tcW w:w="465" w:type="pct"/>
          </w:tcPr>
          <w:p w14:paraId="2F5002B4">
            <w:pPr>
              <w:spacing w:line="360" w:lineRule="auto"/>
              <w:rPr>
                <w:rFonts w:ascii="宋体" w:hAnsi="宋体" w:eastAsia="宋体"/>
                <w:sz w:val="24"/>
                <w:szCs w:val="24"/>
              </w:rPr>
            </w:pPr>
          </w:p>
        </w:tc>
      </w:tr>
      <w:tr w14:paraId="2475B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14:paraId="459DB46F">
            <w:pPr>
              <w:spacing w:line="360" w:lineRule="auto"/>
              <w:rPr>
                <w:rFonts w:ascii="宋体" w:hAnsi="宋体" w:eastAsia="宋体"/>
                <w:sz w:val="24"/>
                <w:szCs w:val="24"/>
              </w:rPr>
            </w:pPr>
            <w:r>
              <w:rPr>
                <w:rFonts w:hint="eastAsia" w:ascii="宋体" w:hAnsi="宋体" w:eastAsia="宋体" w:cs="宋体"/>
                <w:color w:val="000000"/>
                <w:kern w:val="0"/>
                <w:sz w:val="24"/>
                <w:szCs w:val="24"/>
              </w:rPr>
              <w:t>3</w:t>
            </w:r>
          </w:p>
        </w:tc>
        <w:tc>
          <w:tcPr>
            <w:tcW w:w="704" w:type="pct"/>
            <w:vAlign w:val="center"/>
          </w:tcPr>
          <w:p w14:paraId="5D7111F5">
            <w:pPr>
              <w:spacing w:line="360" w:lineRule="auto"/>
              <w:jc w:val="center"/>
              <w:rPr>
                <w:rFonts w:ascii="宋体" w:hAnsi="宋体" w:eastAsia="宋体"/>
                <w:sz w:val="24"/>
                <w:szCs w:val="24"/>
              </w:rPr>
            </w:pPr>
            <w:r>
              <w:rPr>
                <w:rFonts w:hint="eastAsia" w:ascii="宋体" w:hAnsi="宋体" w:eastAsia="宋体"/>
                <w:sz w:val="24"/>
                <w:szCs w:val="24"/>
              </w:rPr>
              <w:t>台账管理规范（15分）</w:t>
            </w:r>
          </w:p>
        </w:tc>
        <w:tc>
          <w:tcPr>
            <w:tcW w:w="3442" w:type="pct"/>
            <w:vAlign w:val="center"/>
          </w:tcPr>
          <w:p w14:paraId="3D87DE02">
            <w:pPr>
              <w:spacing w:line="360" w:lineRule="auto"/>
              <w:jc w:val="left"/>
              <w:rPr>
                <w:rFonts w:ascii="宋体" w:hAnsi="宋体" w:eastAsia="宋体"/>
                <w:sz w:val="24"/>
                <w:szCs w:val="24"/>
              </w:rPr>
            </w:pPr>
            <w:r>
              <w:rPr>
                <w:rFonts w:hint="eastAsia" w:ascii="宋体" w:hAnsi="宋体" w:eastAsia="宋体"/>
                <w:sz w:val="24"/>
                <w:szCs w:val="24"/>
              </w:rPr>
              <w:t>1.平台运行维护台账建立是否完整，不完整、有缺失的，每处扣0.5分；</w:t>
            </w:r>
          </w:p>
          <w:p w14:paraId="0DE512F8">
            <w:pPr>
              <w:spacing w:line="360" w:lineRule="auto"/>
              <w:jc w:val="left"/>
              <w:rPr>
                <w:rFonts w:ascii="宋体" w:hAnsi="宋体" w:eastAsia="宋体"/>
                <w:sz w:val="24"/>
                <w:szCs w:val="24"/>
              </w:rPr>
            </w:pPr>
            <w:r>
              <w:rPr>
                <w:rFonts w:hint="eastAsia" w:ascii="宋体" w:hAnsi="宋体" w:eastAsia="宋体"/>
                <w:sz w:val="24"/>
                <w:szCs w:val="24"/>
              </w:rPr>
              <w:t>2.日、月故障统计记录未收入维护台账的，每次扣1分；</w:t>
            </w:r>
          </w:p>
          <w:p w14:paraId="6C52328C">
            <w:pPr>
              <w:spacing w:line="360" w:lineRule="auto"/>
              <w:jc w:val="left"/>
              <w:rPr>
                <w:rFonts w:ascii="宋体" w:hAnsi="宋体" w:eastAsia="宋体"/>
                <w:sz w:val="24"/>
                <w:szCs w:val="24"/>
              </w:rPr>
            </w:pPr>
            <w:r>
              <w:rPr>
                <w:rFonts w:hint="eastAsia" w:ascii="宋体" w:hAnsi="宋体" w:eastAsia="宋体"/>
                <w:sz w:val="24"/>
                <w:szCs w:val="24"/>
              </w:rPr>
              <w:t>3.控制平台应提交月运行维护报告，未提交的，每次扣2分；</w:t>
            </w:r>
          </w:p>
          <w:p w14:paraId="7494B717">
            <w:pPr>
              <w:spacing w:line="360" w:lineRule="auto"/>
              <w:jc w:val="left"/>
              <w:rPr>
                <w:rFonts w:ascii="宋体" w:hAnsi="宋体" w:eastAsia="宋体"/>
                <w:sz w:val="24"/>
                <w:szCs w:val="24"/>
              </w:rPr>
            </w:pPr>
            <w:r>
              <w:rPr>
                <w:rFonts w:hint="eastAsia" w:ascii="宋体" w:hAnsi="宋体" w:eastAsia="宋体"/>
                <w:sz w:val="24"/>
                <w:szCs w:val="24"/>
              </w:rPr>
              <w:t>4.台账管理混乱的，扣2分。</w:t>
            </w:r>
          </w:p>
        </w:tc>
        <w:tc>
          <w:tcPr>
            <w:tcW w:w="465" w:type="pct"/>
          </w:tcPr>
          <w:p w14:paraId="1CF10BF8">
            <w:pPr>
              <w:spacing w:line="360" w:lineRule="auto"/>
              <w:rPr>
                <w:rFonts w:ascii="宋体" w:hAnsi="宋体" w:eastAsia="宋体"/>
                <w:sz w:val="24"/>
                <w:szCs w:val="24"/>
              </w:rPr>
            </w:pPr>
          </w:p>
        </w:tc>
      </w:tr>
      <w:tr w14:paraId="7ABC6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14:paraId="571700BE">
            <w:pPr>
              <w:spacing w:line="360" w:lineRule="auto"/>
              <w:rPr>
                <w:rFonts w:ascii="宋体" w:hAnsi="宋体" w:eastAsia="宋体"/>
                <w:sz w:val="24"/>
                <w:szCs w:val="24"/>
              </w:rPr>
            </w:pPr>
            <w:r>
              <w:rPr>
                <w:rFonts w:hint="eastAsia" w:ascii="宋体" w:hAnsi="宋体" w:eastAsia="宋体" w:cs="宋体"/>
                <w:color w:val="000000"/>
                <w:kern w:val="0"/>
                <w:sz w:val="24"/>
                <w:szCs w:val="24"/>
              </w:rPr>
              <w:t>4</w:t>
            </w:r>
          </w:p>
        </w:tc>
        <w:tc>
          <w:tcPr>
            <w:tcW w:w="704" w:type="pct"/>
            <w:vAlign w:val="center"/>
          </w:tcPr>
          <w:p w14:paraId="7CCE12A9">
            <w:pPr>
              <w:spacing w:line="360" w:lineRule="auto"/>
              <w:jc w:val="center"/>
              <w:rPr>
                <w:rFonts w:ascii="宋体" w:hAnsi="宋体" w:eastAsia="宋体"/>
                <w:sz w:val="24"/>
                <w:szCs w:val="24"/>
              </w:rPr>
            </w:pPr>
            <w:r>
              <w:rPr>
                <w:rFonts w:hint="eastAsia" w:ascii="宋体" w:hAnsi="宋体" w:eastAsia="宋体"/>
                <w:sz w:val="24"/>
                <w:szCs w:val="24"/>
              </w:rPr>
              <w:t>日常行为规范</w:t>
            </w:r>
          </w:p>
          <w:p w14:paraId="4D8CD830">
            <w:pPr>
              <w:spacing w:line="360" w:lineRule="auto"/>
              <w:jc w:val="center"/>
              <w:rPr>
                <w:rFonts w:ascii="宋体" w:hAnsi="宋体" w:eastAsia="宋体"/>
                <w:sz w:val="24"/>
                <w:szCs w:val="24"/>
              </w:rPr>
            </w:pPr>
            <w:r>
              <w:rPr>
                <w:rFonts w:hint="eastAsia" w:ascii="宋体" w:hAnsi="宋体" w:eastAsia="宋体"/>
                <w:sz w:val="24"/>
                <w:szCs w:val="24"/>
              </w:rPr>
              <w:t>（20分）</w:t>
            </w:r>
          </w:p>
        </w:tc>
        <w:tc>
          <w:tcPr>
            <w:tcW w:w="3442" w:type="pct"/>
            <w:vAlign w:val="center"/>
          </w:tcPr>
          <w:p w14:paraId="7EE026E4">
            <w:pPr>
              <w:spacing w:line="360" w:lineRule="auto"/>
              <w:jc w:val="left"/>
              <w:rPr>
                <w:rFonts w:hint="eastAsia" w:ascii="宋体" w:hAnsi="宋体" w:eastAsia="宋体"/>
                <w:sz w:val="24"/>
                <w:szCs w:val="24"/>
              </w:rPr>
            </w:pPr>
            <w:r>
              <w:rPr>
                <w:rFonts w:hint="eastAsia" w:ascii="宋体" w:hAnsi="宋体" w:eastAsia="宋体"/>
                <w:sz w:val="24"/>
                <w:szCs w:val="24"/>
              </w:rPr>
              <w:t>值班人员应加强对控制中心的管理，维护良好的工作秩序和整洁，发现以下问题的，应记入考核内容：</w:t>
            </w:r>
          </w:p>
          <w:p w14:paraId="729A9592">
            <w:pPr>
              <w:spacing w:line="360" w:lineRule="auto"/>
              <w:jc w:val="left"/>
              <w:rPr>
                <w:rFonts w:hint="eastAsia" w:ascii="宋体" w:hAnsi="宋体" w:eastAsia="宋体"/>
                <w:sz w:val="24"/>
                <w:szCs w:val="24"/>
              </w:rPr>
            </w:pPr>
            <w:r>
              <w:rPr>
                <w:rFonts w:hint="eastAsia" w:ascii="宋体" w:hAnsi="宋体" w:eastAsia="宋体"/>
                <w:sz w:val="24"/>
                <w:szCs w:val="24"/>
              </w:rPr>
              <w:t>1.除本单位夜景相关工作人员外，其余人员进出控制中心未进行登记的，</w:t>
            </w:r>
            <w:r>
              <w:rPr>
                <w:rFonts w:hint="eastAsia" w:ascii="宋体" w:hAnsi="宋体" w:eastAsia="宋体"/>
                <w:sz w:val="24"/>
                <w:szCs w:val="24"/>
                <w:lang w:val="en-US" w:eastAsia="zh-CN"/>
              </w:rPr>
              <w:t>每</w:t>
            </w:r>
            <w:r>
              <w:rPr>
                <w:rFonts w:hint="eastAsia" w:ascii="宋体" w:hAnsi="宋体" w:eastAsia="宋体"/>
                <w:sz w:val="24"/>
                <w:szCs w:val="24"/>
              </w:rPr>
              <w:t>发现一次扣1分；</w:t>
            </w:r>
          </w:p>
          <w:p w14:paraId="500C5CE0">
            <w:pPr>
              <w:spacing w:line="360" w:lineRule="auto"/>
              <w:jc w:val="left"/>
              <w:rPr>
                <w:rFonts w:hint="eastAsia" w:ascii="宋体" w:hAnsi="宋体" w:eastAsia="宋体"/>
                <w:sz w:val="24"/>
                <w:szCs w:val="24"/>
              </w:rPr>
            </w:pPr>
            <w:r>
              <w:rPr>
                <w:rFonts w:hint="eastAsia" w:ascii="宋体" w:hAnsi="宋体" w:eastAsia="宋体"/>
                <w:sz w:val="24"/>
                <w:szCs w:val="24"/>
              </w:rPr>
              <w:t>2.除本单位夜景相关工作人员外，其余人员进入服务器设备间的未进行登记的，每发现一次扣5分；</w:t>
            </w:r>
          </w:p>
          <w:p w14:paraId="12B51DF8">
            <w:pPr>
              <w:spacing w:line="360" w:lineRule="auto"/>
              <w:jc w:val="left"/>
              <w:rPr>
                <w:rFonts w:hint="eastAsia" w:ascii="宋体" w:hAnsi="宋体" w:eastAsia="宋体"/>
                <w:sz w:val="24"/>
                <w:szCs w:val="24"/>
              </w:rPr>
            </w:pPr>
            <w:r>
              <w:rPr>
                <w:rFonts w:hint="eastAsia" w:ascii="宋体" w:hAnsi="宋体" w:eastAsia="宋体"/>
                <w:sz w:val="24"/>
                <w:szCs w:val="24"/>
              </w:rPr>
              <w:t>3.严禁值班人员在控制中心从事与工作无关行为，影响工作秩序的每发现一次扣2分；</w:t>
            </w:r>
          </w:p>
          <w:p w14:paraId="4EB02EB0">
            <w:pPr>
              <w:spacing w:line="360" w:lineRule="auto"/>
              <w:jc w:val="left"/>
              <w:rPr>
                <w:rFonts w:hint="eastAsia" w:ascii="宋体" w:hAnsi="宋体" w:eastAsia="宋体"/>
                <w:sz w:val="24"/>
                <w:szCs w:val="24"/>
              </w:rPr>
            </w:pPr>
            <w:r>
              <w:rPr>
                <w:rFonts w:hint="eastAsia" w:ascii="宋体" w:hAnsi="宋体" w:eastAsia="宋体"/>
                <w:sz w:val="24"/>
                <w:szCs w:val="24"/>
              </w:rPr>
              <w:t>4.控制中心是否整洁、物品放置是否有序，每发现一次扣1分。</w:t>
            </w:r>
          </w:p>
        </w:tc>
        <w:tc>
          <w:tcPr>
            <w:tcW w:w="465" w:type="pct"/>
          </w:tcPr>
          <w:p w14:paraId="1C6B8630">
            <w:pPr>
              <w:spacing w:line="360" w:lineRule="auto"/>
              <w:rPr>
                <w:rFonts w:ascii="宋体" w:hAnsi="宋体" w:eastAsia="宋体"/>
                <w:sz w:val="24"/>
                <w:szCs w:val="24"/>
              </w:rPr>
            </w:pPr>
          </w:p>
        </w:tc>
      </w:tr>
      <w:tr w14:paraId="675D9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14:paraId="2210281A">
            <w:pPr>
              <w:spacing w:line="360" w:lineRule="auto"/>
              <w:rPr>
                <w:rFonts w:ascii="宋体" w:hAnsi="宋体" w:eastAsia="宋体"/>
                <w:sz w:val="24"/>
                <w:szCs w:val="24"/>
              </w:rPr>
            </w:pPr>
            <w:r>
              <w:rPr>
                <w:rFonts w:hint="eastAsia" w:ascii="宋体" w:hAnsi="宋体" w:eastAsia="宋体" w:cs="宋体"/>
                <w:color w:val="000000"/>
                <w:kern w:val="0"/>
                <w:sz w:val="24"/>
                <w:szCs w:val="24"/>
              </w:rPr>
              <w:t>5</w:t>
            </w:r>
          </w:p>
        </w:tc>
        <w:tc>
          <w:tcPr>
            <w:tcW w:w="704" w:type="pct"/>
            <w:vAlign w:val="center"/>
          </w:tcPr>
          <w:p w14:paraId="614E2C6C">
            <w:pPr>
              <w:spacing w:line="360" w:lineRule="auto"/>
              <w:jc w:val="center"/>
              <w:rPr>
                <w:rFonts w:ascii="宋体" w:hAnsi="宋体" w:eastAsia="宋体"/>
                <w:sz w:val="24"/>
                <w:szCs w:val="24"/>
              </w:rPr>
            </w:pPr>
            <w:r>
              <w:rPr>
                <w:rFonts w:hint="eastAsia" w:ascii="宋体" w:hAnsi="宋体" w:eastAsia="宋体"/>
                <w:sz w:val="24"/>
                <w:szCs w:val="24"/>
              </w:rPr>
              <w:t>应急响应规范（10分）</w:t>
            </w:r>
          </w:p>
        </w:tc>
        <w:tc>
          <w:tcPr>
            <w:tcW w:w="3442" w:type="pct"/>
            <w:vAlign w:val="center"/>
          </w:tcPr>
          <w:p w14:paraId="5E07A22A">
            <w:pPr>
              <w:spacing w:line="360" w:lineRule="auto"/>
              <w:jc w:val="left"/>
              <w:rPr>
                <w:rFonts w:ascii="宋体" w:hAnsi="宋体" w:eastAsia="宋体"/>
                <w:sz w:val="24"/>
                <w:szCs w:val="24"/>
              </w:rPr>
            </w:pPr>
            <w:r>
              <w:rPr>
                <w:rFonts w:hint="eastAsia" w:ascii="宋体" w:hAnsi="宋体" w:eastAsia="宋体"/>
                <w:sz w:val="24"/>
                <w:szCs w:val="24"/>
              </w:rPr>
              <w:t>1.未应要求完成临时亮灯时间调整的，每次扣1分；</w:t>
            </w:r>
          </w:p>
          <w:p w14:paraId="735D588F">
            <w:pPr>
              <w:spacing w:line="360" w:lineRule="auto"/>
              <w:jc w:val="left"/>
              <w:rPr>
                <w:rFonts w:ascii="宋体" w:hAnsi="宋体" w:eastAsia="宋体"/>
                <w:sz w:val="24"/>
                <w:szCs w:val="24"/>
              </w:rPr>
            </w:pPr>
            <w:r>
              <w:rPr>
                <w:rFonts w:hint="eastAsia" w:ascii="宋体" w:hAnsi="宋体" w:eastAsia="宋体"/>
                <w:sz w:val="24"/>
                <w:szCs w:val="24"/>
              </w:rPr>
              <w:t>2.未按通知要求完成动态演绎内容调整的，每次扣1分；</w:t>
            </w:r>
          </w:p>
          <w:p w14:paraId="4C98762A">
            <w:pPr>
              <w:spacing w:line="360" w:lineRule="auto"/>
              <w:jc w:val="left"/>
              <w:rPr>
                <w:rFonts w:ascii="宋体" w:hAnsi="宋体" w:eastAsia="宋体"/>
                <w:sz w:val="24"/>
                <w:szCs w:val="24"/>
              </w:rPr>
            </w:pPr>
            <w:r>
              <w:rPr>
                <w:rFonts w:hint="eastAsia" w:ascii="宋体" w:hAnsi="宋体" w:eastAsia="宋体"/>
                <w:sz w:val="24"/>
                <w:szCs w:val="24"/>
              </w:rPr>
              <w:t>3.未按规定完成亮灯模式调整的，每次扣1分；</w:t>
            </w:r>
          </w:p>
          <w:p w14:paraId="6E1CE452">
            <w:pPr>
              <w:spacing w:line="360" w:lineRule="auto"/>
              <w:jc w:val="left"/>
              <w:rPr>
                <w:rFonts w:ascii="宋体" w:hAnsi="宋体" w:eastAsia="宋体"/>
                <w:sz w:val="24"/>
                <w:szCs w:val="24"/>
              </w:rPr>
            </w:pPr>
            <w:r>
              <w:rPr>
                <w:rFonts w:hint="eastAsia" w:ascii="宋体" w:hAnsi="宋体" w:eastAsia="宋体"/>
                <w:sz w:val="24"/>
                <w:szCs w:val="24"/>
              </w:rPr>
              <w:t>4.系统运行故障未及时排除，影响灯光开启（关闭）的。每发生一次扣1分。</w:t>
            </w:r>
          </w:p>
        </w:tc>
        <w:tc>
          <w:tcPr>
            <w:tcW w:w="465" w:type="pct"/>
          </w:tcPr>
          <w:p w14:paraId="71BB0DD5">
            <w:pPr>
              <w:spacing w:line="360" w:lineRule="auto"/>
              <w:rPr>
                <w:rFonts w:ascii="宋体" w:hAnsi="宋体" w:eastAsia="宋体"/>
                <w:sz w:val="24"/>
                <w:szCs w:val="24"/>
              </w:rPr>
            </w:pPr>
          </w:p>
        </w:tc>
      </w:tr>
      <w:tr w14:paraId="30DBB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14:paraId="2E2038F6">
            <w:pPr>
              <w:spacing w:line="360" w:lineRule="auto"/>
              <w:rPr>
                <w:rFonts w:ascii="宋体" w:hAnsi="宋体" w:eastAsia="宋体"/>
                <w:sz w:val="24"/>
                <w:szCs w:val="24"/>
              </w:rPr>
            </w:pPr>
            <w:r>
              <w:rPr>
                <w:rFonts w:hint="eastAsia" w:ascii="宋体" w:hAnsi="宋体" w:eastAsia="宋体" w:cs="宋体"/>
                <w:color w:val="000000"/>
                <w:kern w:val="0"/>
                <w:sz w:val="24"/>
                <w:szCs w:val="24"/>
              </w:rPr>
              <w:t>6</w:t>
            </w:r>
          </w:p>
        </w:tc>
        <w:tc>
          <w:tcPr>
            <w:tcW w:w="704" w:type="pct"/>
            <w:vAlign w:val="center"/>
          </w:tcPr>
          <w:p w14:paraId="2031B4CF">
            <w:pPr>
              <w:spacing w:line="360" w:lineRule="auto"/>
              <w:jc w:val="center"/>
              <w:rPr>
                <w:rFonts w:ascii="宋体" w:hAnsi="宋体" w:eastAsia="宋体"/>
                <w:sz w:val="24"/>
                <w:szCs w:val="24"/>
              </w:rPr>
            </w:pPr>
            <w:r>
              <w:rPr>
                <w:rFonts w:hint="eastAsia" w:ascii="宋体" w:hAnsi="宋体" w:eastAsia="宋体"/>
                <w:sz w:val="24"/>
                <w:szCs w:val="24"/>
              </w:rPr>
              <w:t>安全管理规范（10分）</w:t>
            </w:r>
          </w:p>
        </w:tc>
        <w:tc>
          <w:tcPr>
            <w:tcW w:w="3442" w:type="pct"/>
            <w:vAlign w:val="center"/>
          </w:tcPr>
          <w:p w14:paraId="07691D4D">
            <w:pPr>
              <w:spacing w:line="360" w:lineRule="auto"/>
              <w:jc w:val="left"/>
              <w:rPr>
                <w:rFonts w:ascii="宋体" w:hAnsi="宋体" w:eastAsia="宋体"/>
                <w:sz w:val="24"/>
                <w:szCs w:val="24"/>
              </w:rPr>
            </w:pPr>
            <w:r>
              <w:rPr>
                <w:rFonts w:hint="eastAsia" w:ascii="宋体" w:hAnsi="宋体" w:eastAsia="宋体"/>
                <w:sz w:val="24"/>
                <w:szCs w:val="24"/>
              </w:rPr>
              <w:t>驻点人员违规操作导致系统瘫痪或设备损坏、擅自更改（发布）动态演绎内容造成影响的（10分），每发生一次扣10分。</w:t>
            </w:r>
          </w:p>
        </w:tc>
        <w:tc>
          <w:tcPr>
            <w:tcW w:w="465" w:type="pct"/>
          </w:tcPr>
          <w:p w14:paraId="0E8180B2">
            <w:pPr>
              <w:spacing w:line="360" w:lineRule="auto"/>
              <w:rPr>
                <w:rFonts w:ascii="宋体" w:hAnsi="宋体" w:eastAsia="宋体"/>
                <w:sz w:val="24"/>
                <w:szCs w:val="24"/>
              </w:rPr>
            </w:pPr>
          </w:p>
        </w:tc>
      </w:tr>
      <w:tr w14:paraId="2EEF2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14:paraId="2B6CDDEA">
            <w:pPr>
              <w:spacing w:line="360" w:lineRule="auto"/>
              <w:jc w:val="left"/>
              <w:rPr>
                <w:rFonts w:ascii="宋体" w:hAnsi="宋体" w:eastAsia="宋体"/>
                <w:sz w:val="24"/>
                <w:szCs w:val="24"/>
              </w:rPr>
            </w:pPr>
            <w:r>
              <w:rPr>
                <w:rFonts w:hint="eastAsia" w:ascii="宋体" w:hAnsi="宋体" w:eastAsia="宋体" w:cs="宋体"/>
                <w:color w:val="000000"/>
                <w:kern w:val="0"/>
                <w:sz w:val="24"/>
                <w:szCs w:val="24"/>
              </w:rPr>
              <w:t>月度考核总分及情况说明：</w:t>
            </w:r>
          </w:p>
        </w:tc>
      </w:tr>
      <w:tr w14:paraId="69083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14:paraId="42D0EECE">
            <w:pPr>
              <w:spacing w:line="360" w:lineRule="auto"/>
              <w:rPr>
                <w:rFonts w:ascii="宋体" w:hAnsi="宋体" w:eastAsia="宋体"/>
                <w:sz w:val="24"/>
                <w:szCs w:val="24"/>
              </w:rPr>
            </w:pPr>
            <w:r>
              <w:rPr>
                <w:rFonts w:hint="eastAsia" w:ascii="宋体" w:hAnsi="宋体" w:eastAsia="宋体"/>
                <w:sz w:val="24"/>
                <w:szCs w:val="24"/>
              </w:rPr>
              <w:t>甲方（签字）：</w:t>
            </w:r>
            <w:r>
              <w:rPr>
                <w:rFonts w:ascii="宋体" w:hAnsi="宋体" w:eastAsia="宋体"/>
                <w:sz w:val="24"/>
                <w:szCs w:val="24"/>
              </w:rPr>
              <w:tab/>
            </w:r>
            <w:r>
              <w:rPr>
                <w:rFonts w:hint="eastAsia" w:ascii="宋体" w:hAnsi="宋体" w:eastAsia="宋体"/>
                <w:sz w:val="24"/>
                <w:szCs w:val="24"/>
              </w:rPr>
              <w:t xml:space="preserve">                            </w:t>
            </w:r>
            <w:r>
              <w:rPr>
                <w:rFonts w:ascii="宋体" w:hAnsi="宋体" w:eastAsia="宋体"/>
                <w:sz w:val="24"/>
                <w:szCs w:val="24"/>
              </w:rPr>
              <w:t>乙方（签字）：</w:t>
            </w:r>
          </w:p>
        </w:tc>
      </w:tr>
    </w:tbl>
    <w:p w14:paraId="274F497F">
      <w:pPr>
        <w:rPr>
          <w:rFonts w:ascii="宋体" w:hAnsi="宋体" w:eastAsia="宋体"/>
          <w:sz w:val="24"/>
          <w:szCs w:val="24"/>
        </w:rPr>
      </w:pPr>
    </w:p>
    <w:p w14:paraId="28E49C51">
      <w:pPr>
        <w:numPr>
          <w:ilvl w:val="0"/>
          <w:numId w:val="2"/>
        </w:numPr>
        <w:spacing w:before="120" w:beforeLines="50" w:after="120" w:afterLines="50"/>
        <w:rPr>
          <w:rFonts w:ascii="宋体" w:hAnsi="宋体" w:eastAsia="宋体"/>
          <w:b/>
          <w:sz w:val="28"/>
          <w:szCs w:val="28"/>
        </w:rPr>
      </w:pPr>
      <w:r>
        <w:rPr>
          <w:rFonts w:ascii="宋体" w:hAnsi="宋体" w:eastAsia="宋体"/>
          <w:b/>
          <w:sz w:val="28"/>
          <w:szCs w:val="28"/>
        </w:rPr>
        <w:t>技术响应要求</w:t>
      </w:r>
    </w:p>
    <w:p w14:paraId="12016476">
      <w:pPr>
        <w:numPr>
          <w:ilvl w:val="1"/>
          <w:numId w:val="2"/>
        </w:numPr>
        <w:tabs>
          <w:tab w:val="left" w:pos="993"/>
        </w:tabs>
        <w:spacing w:line="360" w:lineRule="auto"/>
        <w:ind w:left="0" w:firstLine="425"/>
        <w:rPr>
          <w:rFonts w:ascii="宋体" w:hAnsi="宋体" w:eastAsia="宋体"/>
          <w:sz w:val="24"/>
          <w:szCs w:val="28"/>
        </w:rPr>
      </w:pPr>
      <w:r>
        <w:rPr>
          <w:rFonts w:hint="eastAsia" w:ascii="宋体" w:hAnsi="宋体" w:eastAsia="宋体"/>
          <w:sz w:val="24"/>
          <w:szCs w:val="28"/>
        </w:rPr>
        <w:t>投标人应根据服务要求，制定相应的服务方案，服务方案具体要求详见服务要求及评分条款。</w:t>
      </w:r>
    </w:p>
    <w:p w14:paraId="36EB20B3">
      <w:pPr>
        <w:numPr>
          <w:ilvl w:val="1"/>
          <w:numId w:val="2"/>
        </w:numPr>
        <w:tabs>
          <w:tab w:val="left" w:pos="993"/>
        </w:tabs>
        <w:spacing w:line="360" w:lineRule="auto"/>
        <w:ind w:left="0" w:firstLine="425"/>
        <w:rPr>
          <w:rFonts w:ascii="宋体" w:hAnsi="宋体" w:eastAsia="宋体"/>
          <w:sz w:val="24"/>
          <w:szCs w:val="28"/>
        </w:rPr>
      </w:pPr>
      <w:r>
        <w:rPr>
          <w:rFonts w:hint="eastAsia" w:ascii="宋体" w:hAnsi="宋体" w:eastAsia="宋体"/>
          <w:sz w:val="24"/>
          <w:szCs w:val="28"/>
        </w:rPr>
        <w:t>本章的要求为基本要求，评分条款若有对优于本章要求进行加分的，投标人符合要求并提供相应证明材料的可获加分，具体详见评分条款。</w:t>
      </w:r>
    </w:p>
    <w:p w14:paraId="5E9772D0">
      <w:pPr>
        <w:numPr>
          <w:ilvl w:val="1"/>
          <w:numId w:val="2"/>
        </w:numPr>
        <w:tabs>
          <w:tab w:val="left" w:pos="993"/>
        </w:tabs>
        <w:spacing w:line="360" w:lineRule="auto"/>
        <w:ind w:left="0" w:firstLine="425"/>
        <w:rPr>
          <w:rFonts w:ascii="宋体" w:hAnsi="宋体" w:eastAsia="宋体"/>
          <w:sz w:val="24"/>
          <w:szCs w:val="28"/>
        </w:rPr>
      </w:pPr>
      <w:r>
        <w:rPr>
          <w:rFonts w:hint="eastAsia" w:ascii="宋体" w:hAnsi="宋体" w:eastAsia="宋体"/>
          <w:sz w:val="24"/>
          <w:szCs w:val="28"/>
        </w:rPr>
        <w:t>投标人应根据服务要求及评分条款的要求明确中标后投入本项目的管理人员、服务人员、技术人员等信息，并提供相应的佐证材料，未按要求提供的将可能导致不得分。</w:t>
      </w:r>
    </w:p>
    <w:p w14:paraId="1ADA8C5C">
      <w:pPr>
        <w:numPr>
          <w:ilvl w:val="1"/>
          <w:numId w:val="2"/>
        </w:numPr>
        <w:tabs>
          <w:tab w:val="left" w:pos="993"/>
        </w:tabs>
        <w:spacing w:line="360" w:lineRule="auto"/>
        <w:ind w:left="0" w:firstLine="425"/>
        <w:rPr>
          <w:rFonts w:ascii="宋体" w:hAnsi="宋体" w:eastAsia="宋体"/>
          <w:sz w:val="24"/>
          <w:szCs w:val="28"/>
        </w:rPr>
      </w:pPr>
      <w:r>
        <w:rPr>
          <w:rFonts w:ascii="宋体" w:hAnsi="宋体" w:eastAsia="宋体"/>
          <w:sz w:val="24"/>
          <w:szCs w:val="28"/>
        </w:rPr>
        <w:t>评分条款中若要求提供人员社保证明的，</w:t>
      </w:r>
      <w:r>
        <w:rPr>
          <w:rFonts w:hint="eastAsia" w:ascii="宋体" w:hAnsi="宋体" w:eastAsia="宋体"/>
          <w:sz w:val="24"/>
          <w:szCs w:val="28"/>
        </w:rPr>
        <w:t>应提供投标截止时间前六个月（不含投标截止时间的当月）中任一月份投标人为人员缴纳社保的凭据或政府部门出具的证明。投标截止时间当月成立或享受社保减免政策的投标人，无法提供相关社保缴纳证明材料的，提供依法缴纳社会保障资金承诺书（格式自拟）即可。未按要求提供的不予认可。</w:t>
      </w:r>
    </w:p>
    <w:p w14:paraId="0572292A">
      <w:pPr>
        <w:numPr>
          <w:ilvl w:val="1"/>
          <w:numId w:val="2"/>
        </w:numPr>
        <w:tabs>
          <w:tab w:val="left" w:pos="993"/>
        </w:tabs>
        <w:spacing w:line="360" w:lineRule="auto"/>
        <w:ind w:left="0" w:firstLine="425"/>
        <w:rPr>
          <w:rFonts w:ascii="宋体" w:hAnsi="宋体" w:eastAsia="宋体"/>
          <w:sz w:val="24"/>
          <w:szCs w:val="28"/>
        </w:rPr>
      </w:pPr>
      <w:r>
        <w:rPr>
          <w:rFonts w:hint="eastAsia" w:ascii="宋体" w:hAnsi="宋体" w:eastAsia="宋体"/>
          <w:sz w:val="24"/>
          <w:szCs w:val="28"/>
        </w:rPr>
        <w:t>投标人中标后不得将本项目转包，否则采购人有权终止合同并追究中标人的违约责任。</w:t>
      </w:r>
    </w:p>
    <w:p w14:paraId="130AFEDE">
      <w:pPr>
        <w:numPr>
          <w:ilvl w:val="1"/>
          <w:numId w:val="2"/>
        </w:numPr>
        <w:tabs>
          <w:tab w:val="left" w:pos="993"/>
        </w:tabs>
        <w:spacing w:line="360" w:lineRule="auto"/>
        <w:ind w:left="0" w:firstLine="425"/>
        <w:rPr>
          <w:rFonts w:ascii="宋体" w:hAnsi="宋体" w:eastAsia="宋体"/>
          <w:sz w:val="24"/>
          <w:szCs w:val="28"/>
        </w:rPr>
      </w:pPr>
      <w:r>
        <w:rPr>
          <w:rFonts w:hint="eastAsia" w:ascii="宋体" w:hAnsi="宋体" w:eastAsia="宋体"/>
          <w:sz w:val="24"/>
          <w:szCs w:val="28"/>
        </w:rPr>
        <w:t>投标人</w:t>
      </w:r>
      <w:r>
        <w:rPr>
          <w:rFonts w:ascii="宋体" w:hAnsi="宋体" w:eastAsia="宋体"/>
          <w:sz w:val="24"/>
          <w:szCs w:val="28"/>
        </w:rPr>
        <w:t>提供的采购标的应符合国家知识产权法律、法规的规定；</w:t>
      </w:r>
      <w:r>
        <w:rPr>
          <w:rFonts w:hint="eastAsia" w:ascii="宋体" w:hAnsi="宋体" w:eastAsia="宋体"/>
          <w:sz w:val="24"/>
          <w:szCs w:val="28"/>
        </w:rPr>
        <w:t>投标人中标</w:t>
      </w:r>
      <w:r>
        <w:rPr>
          <w:rFonts w:ascii="宋体" w:hAnsi="宋体" w:eastAsia="宋体"/>
          <w:sz w:val="24"/>
          <w:szCs w:val="28"/>
        </w:rPr>
        <w:t>后需保证</w:t>
      </w:r>
      <w:r>
        <w:rPr>
          <w:rFonts w:hint="eastAsia" w:ascii="宋体" w:hAnsi="宋体" w:eastAsia="宋体"/>
          <w:sz w:val="24"/>
          <w:szCs w:val="28"/>
        </w:rPr>
        <w:t>采购</w:t>
      </w:r>
      <w:r>
        <w:rPr>
          <w:rFonts w:ascii="宋体" w:hAnsi="宋体" w:eastAsia="宋体"/>
          <w:sz w:val="24"/>
          <w:szCs w:val="28"/>
        </w:rPr>
        <w:t>人不受到第三方关于侵犯知识产权及专利权、商标权或工业设计权等知识产权方面的指控，若任何第三方提出此方面指控均与</w:t>
      </w:r>
      <w:r>
        <w:rPr>
          <w:rFonts w:hint="eastAsia" w:ascii="宋体" w:hAnsi="宋体" w:eastAsia="宋体"/>
          <w:sz w:val="24"/>
          <w:szCs w:val="28"/>
        </w:rPr>
        <w:t>采购人</w:t>
      </w:r>
      <w:r>
        <w:rPr>
          <w:rFonts w:ascii="宋体" w:hAnsi="宋体" w:eastAsia="宋体"/>
          <w:sz w:val="24"/>
          <w:szCs w:val="28"/>
        </w:rPr>
        <w:t>无关，</w:t>
      </w:r>
      <w:r>
        <w:rPr>
          <w:rFonts w:hint="eastAsia" w:ascii="宋体" w:hAnsi="宋体" w:eastAsia="宋体"/>
          <w:sz w:val="24"/>
          <w:szCs w:val="28"/>
        </w:rPr>
        <w:t>中标人</w:t>
      </w:r>
      <w:r>
        <w:rPr>
          <w:rFonts w:ascii="宋体" w:hAnsi="宋体" w:eastAsia="宋体"/>
          <w:sz w:val="24"/>
          <w:szCs w:val="28"/>
        </w:rPr>
        <w:t>应与第三方交涉，并承担可能发生的一切法律责任、费用和后果；若</w:t>
      </w:r>
      <w:r>
        <w:rPr>
          <w:rFonts w:hint="eastAsia" w:ascii="宋体" w:hAnsi="宋体" w:eastAsia="宋体"/>
          <w:sz w:val="24"/>
          <w:szCs w:val="28"/>
        </w:rPr>
        <w:t>采购人</w:t>
      </w:r>
      <w:r>
        <w:rPr>
          <w:rFonts w:ascii="宋体" w:hAnsi="宋体" w:eastAsia="宋体"/>
          <w:sz w:val="24"/>
          <w:szCs w:val="28"/>
        </w:rPr>
        <w:t>因此而遭致损失，则</w:t>
      </w:r>
      <w:r>
        <w:rPr>
          <w:rFonts w:hint="eastAsia" w:ascii="宋体" w:hAnsi="宋体" w:eastAsia="宋体"/>
          <w:sz w:val="24"/>
          <w:szCs w:val="28"/>
        </w:rPr>
        <w:t>中标人</w:t>
      </w:r>
      <w:r>
        <w:rPr>
          <w:rFonts w:ascii="宋体" w:hAnsi="宋体" w:eastAsia="宋体"/>
          <w:sz w:val="24"/>
          <w:szCs w:val="28"/>
        </w:rPr>
        <w:t>应赔偿该损失。</w:t>
      </w:r>
    </w:p>
    <w:p w14:paraId="5D9CF8C6">
      <w:pPr>
        <w:numPr>
          <w:ilvl w:val="1"/>
          <w:numId w:val="2"/>
        </w:numPr>
        <w:tabs>
          <w:tab w:val="left" w:pos="993"/>
        </w:tabs>
        <w:spacing w:line="360" w:lineRule="auto"/>
        <w:ind w:left="0" w:firstLine="425"/>
        <w:rPr>
          <w:rFonts w:ascii="宋体" w:hAnsi="宋体" w:eastAsia="宋体"/>
          <w:sz w:val="24"/>
          <w:szCs w:val="28"/>
        </w:rPr>
      </w:pPr>
      <w:r>
        <w:rPr>
          <w:rFonts w:hint="eastAsia" w:ascii="宋体" w:hAnsi="宋体" w:eastAsia="宋体"/>
          <w:sz w:val="24"/>
          <w:szCs w:val="28"/>
        </w:rPr>
        <w:t>投标人应明确所提供的服务与采购需求存在的正负偏离情况。对照招标文件要求，在《技术和服务要求响应表》中逐条说明所提供的服务对采购需求的响应情况。投标人若未对采购需求进行逐条响应，将可能导致不利的评审后果。</w:t>
      </w:r>
    </w:p>
    <w:p w14:paraId="2C0976D2">
      <w:pPr>
        <w:keepNext/>
        <w:keepLines/>
        <w:spacing w:before="240" w:beforeLines="100" w:after="240" w:afterLines="100"/>
        <w:jc w:val="left"/>
        <w:outlineLvl w:val="1"/>
        <w:rPr>
          <w:rFonts w:ascii="黑体" w:hAnsi="黑体" w:eastAsia="黑体" w:cs="Times New Roman"/>
          <w:b/>
          <w:bCs/>
          <w:kern w:val="0"/>
          <w:sz w:val="30"/>
          <w:szCs w:val="32"/>
        </w:rPr>
      </w:pPr>
      <w:bookmarkStart w:id="24" w:name="_Toc13724"/>
      <w:bookmarkStart w:id="25" w:name="_Toc130974181"/>
      <w:r>
        <w:rPr>
          <w:rFonts w:ascii="黑体" w:hAnsi="黑体" w:eastAsia="黑体" w:cs="Times New Roman"/>
          <w:b/>
          <w:bCs/>
          <w:kern w:val="0"/>
          <w:sz w:val="30"/>
          <w:szCs w:val="32"/>
        </w:rPr>
        <w:t>三、商务要求</w:t>
      </w:r>
      <w:bookmarkEnd w:id="24"/>
      <w:bookmarkEnd w:id="25"/>
    </w:p>
    <w:p w14:paraId="7C30458C">
      <w:pPr>
        <w:rPr>
          <w:rFonts w:asciiTheme="minorEastAsia" w:hAnsiTheme="minorEastAsia"/>
          <w:sz w:val="28"/>
          <w:szCs w:val="28"/>
        </w:rPr>
      </w:pPr>
      <w:r>
        <w:rPr>
          <w:rFonts w:asciiTheme="minorEastAsia" w:hAnsiTheme="minorEastAsia"/>
          <w:sz w:val="28"/>
          <w:szCs w:val="28"/>
        </w:rPr>
        <w:t>（以“★”标示的内容为不允许负偏离的实质性要求）</w:t>
      </w:r>
    </w:p>
    <w:p w14:paraId="5446D8C7">
      <w:pPr>
        <w:spacing w:line="360" w:lineRule="auto"/>
        <w:rPr>
          <w:rFonts w:asciiTheme="minorEastAsia" w:hAnsiTheme="minorEastAsia"/>
          <w:sz w:val="24"/>
          <w:szCs w:val="28"/>
        </w:rPr>
      </w:pPr>
      <w:r>
        <w:rPr>
          <w:rFonts w:asciiTheme="minorEastAsia" w:hAnsiTheme="minorEastAsia"/>
          <w:sz w:val="24"/>
          <w:szCs w:val="28"/>
        </w:rPr>
        <w:t>采购包1：</w:t>
      </w:r>
    </w:p>
    <w:tbl>
      <w:tblPr>
        <w:tblStyle w:val="17"/>
        <w:tblW w:w="9079"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3"/>
        <w:gridCol w:w="1276"/>
        <w:gridCol w:w="1824"/>
        <w:gridCol w:w="5086"/>
      </w:tblGrid>
      <w:tr w14:paraId="54E8B9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43F8053B">
            <w:pPr>
              <w:spacing w:line="360" w:lineRule="auto"/>
              <w:jc w:val="center"/>
              <w:rPr>
                <w:rFonts w:ascii="宋体" w:hAnsi="宋体" w:eastAsia="宋体" w:cs="Times New Roman"/>
                <w:b/>
                <w:bCs/>
                <w:sz w:val="24"/>
                <w:szCs w:val="24"/>
              </w:rPr>
            </w:pPr>
            <w:r>
              <w:rPr>
                <w:rFonts w:ascii="宋体" w:hAnsi="宋体" w:eastAsia="宋体" w:cs="Times New Roman"/>
                <w:b/>
                <w:bCs/>
                <w:sz w:val="24"/>
                <w:szCs w:val="24"/>
              </w:rPr>
              <w:t>序号</w:t>
            </w:r>
          </w:p>
        </w:tc>
        <w:tc>
          <w:tcPr>
            <w:tcW w:w="1276" w:type="dxa"/>
            <w:vAlign w:val="center"/>
          </w:tcPr>
          <w:p w14:paraId="02F7EC9D">
            <w:pPr>
              <w:spacing w:line="360" w:lineRule="auto"/>
              <w:jc w:val="center"/>
              <w:rPr>
                <w:rFonts w:ascii="宋体" w:hAnsi="宋体" w:eastAsia="宋体" w:cs="Times New Roman"/>
                <w:b/>
                <w:bCs/>
                <w:sz w:val="24"/>
                <w:szCs w:val="24"/>
              </w:rPr>
            </w:pPr>
            <w:r>
              <w:rPr>
                <w:rFonts w:ascii="宋体" w:hAnsi="宋体" w:eastAsia="宋体" w:cs="Times New Roman"/>
                <w:b/>
                <w:bCs/>
                <w:sz w:val="24"/>
                <w:szCs w:val="24"/>
              </w:rPr>
              <w:t>参数性质</w:t>
            </w:r>
          </w:p>
        </w:tc>
        <w:tc>
          <w:tcPr>
            <w:tcW w:w="1824" w:type="dxa"/>
            <w:vAlign w:val="center"/>
          </w:tcPr>
          <w:p w14:paraId="2E0DF707">
            <w:pPr>
              <w:spacing w:line="360" w:lineRule="auto"/>
              <w:jc w:val="center"/>
              <w:rPr>
                <w:rFonts w:ascii="宋体" w:hAnsi="宋体" w:eastAsia="宋体" w:cs="Times New Roman"/>
                <w:b/>
                <w:bCs/>
                <w:sz w:val="24"/>
                <w:szCs w:val="24"/>
              </w:rPr>
            </w:pPr>
            <w:r>
              <w:rPr>
                <w:rFonts w:ascii="宋体" w:hAnsi="宋体" w:eastAsia="宋体" w:cs="Times New Roman"/>
                <w:b/>
                <w:bCs/>
                <w:sz w:val="24"/>
                <w:szCs w:val="24"/>
              </w:rPr>
              <w:t>类型</w:t>
            </w:r>
          </w:p>
        </w:tc>
        <w:tc>
          <w:tcPr>
            <w:tcW w:w="5086" w:type="dxa"/>
            <w:vAlign w:val="center"/>
          </w:tcPr>
          <w:p w14:paraId="185CF2B4">
            <w:pPr>
              <w:spacing w:line="360" w:lineRule="auto"/>
              <w:jc w:val="center"/>
              <w:rPr>
                <w:rFonts w:ascii="宋体" w:hAnsi="宋体" w:eastAsia="宋体" w:cs="Times New Roman"/>
                <w:b/>
                <w:bCs/>
                <w:sz w:val="24"/>
                <w:szCs w:val="24"/>
              </w:rPr>
            </w:pPr>
            <w:r>
              <w:rPr>
                <w:rFonts w:ascii="宋体" w:hAnsi="宋体" w:eastAsia="宋体" w:cs="Times New Roman"/>
                <w:b/>
                <w:bCs/>
                <w:sz w:val="24"/>
                <w:szCs w:val="24"/>
              </w:rPr>
              <w:t>要求</w:t>
            </w:r>
          </w:p>
        </w:tc>
      </w:tr>
      <w:tr w14:paraId="190B8B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6BEE9673">
            <w:pPr>
              <w:spacing w:line="360" w:lineRule="auto"/>
              <w:jc w:val="center"/>
              <w:rPr>
                <w:rFonts w:ascii="宋体" w:hAnsi="宋体" w:eastAsia="宋体" w:cs="Times New Roman"/>
                <w:sz w:val="24"/>
                <w:szCs w:val="24"/>
              </w:rPr>
            </w:pPr>
            <w:r>
              <w:rPr>
                <w:rFonts w:ascii="宋体" w:hAnsi="宋体" w:eastAsia="宋体" w:cs="Times New Roman"/>
                <w:sz w:val="24"/>
                <w:szCs w:val="24"/>
              </w:rPr>
              <w:t>1</w:t>
            </w:r>
          </w:p>
        </w:tc>
        <w:tc>
          <w:tcPr>
            <w:tcW w:w="1276" w:type="dxa"/>
            <w:vAlign w:val="center"/>
          </w:tcPr>
          <w:p w14:paraId="01DA442E">
            <w:pPr>
              <w:spacing w:line="360" w:lineRule="auto"/>
              <w:jc w:val="center"/>
              <w:rPr>
                <w:rFonts w:ascii="宋体" w:hAnsi="宋体" w:eastAsia="宋体" w:cs="Times New Roman"/>
                <w:sz w:val="24"/>
                <w:szCs w:val="24"/>
              </w:rPr>
            </w:pPr>
          </w:p>
        </w:tc>
        <w:tc>
          <w:tcPr>
            <w:tcW w:w="1824" w:type="dxa"/>
            <w:vAlign w:val="center"/>
          </w:tcPr>
          <w:p w14:paraId="73DB7967">
            <w:pPr>
              <w:spacing w:line="360" w:lineRule="auto"/>
              <w:jc w:val="center"/>
              <w:rPr>
                <w:rFonts w:ascii="宋体" w:hAnsi="宋体" w:eastAsia="宋体" w:cs="Times New Roman"/>
                <w:sz w:val="24"/>
                <w:szCs w:val="24"/>
              </w:rPr>
            </w:pPr>
            <w:r>
              <w:rPr>
                <w:rFonts w:ascii="宋体" w:hAnsi="宋体" w:eastAsia="宋体" w:cs="Times New Roman"/>
                <w:sz w:val="24"/>
                <w:szCs w:val="24"/>
              </w:rPr>
              <w:t>交货时间</w:t>
            </w:r>
          </w:p>
        </w:tc>
        <w:tc>
          <w:tcPr>
            <w:tcW w:w="5086" w:type="dxa"/>
          </w:tcPr>
          <w:p w14:paraId="4A901CCF">
            <w:pPr>
              <w:spacing w:line="360" w:lineRule="auto"/>
              <w:rPr>
                <w:rFonts w:ascii="宋体" w:hAnsi="宋体" w:eastAsia="宋体" w:cs="Times New Roman"/>
                <w:sz w:val="24"/>
                <w:szCs w:val="24"/>
              </w:rPr>
            </w:pPr>
            <w:r>
              <w:rPr>
                <w:rFonts w:hint="eastAsia" w:ascii="宋体" w:hAnsi="宋体" w:eastAsia="宋体" w:cs="Times New Roman"/>
                <w:sz w:val="24"/>
                <w:szCs w:val="24"/>
              </w:rPr>
              <w:t>本项目服务期限自合同签订之日起365日</w:t>
            </w:r>
          </w:p>
        </w:tc>
      </w:tr>
      <w:tr w14:paraId="32D5AE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12A60418">
            <w:pPr>
              <w:spacing w:line="360" w:lineRule="auto"/>
              <w:jc w:val="center"/>
              <w:rPr>
                <w:rFonts w:ascii="宋体" w:hAnsi="宋体" w:eastAsia="宋体" w:cs="Times New Roman"/>
                <w:sz w:val="24"/>
                <w:szCs w:val="24"/>
              </w:rPr>
            </w:pPr>
            <w:r>
              <w:rPr>
                <w:rFonts w:ascii="宋体" w:hAnsi="宋体" w:eastAsia="宋体" w:cs="Times New Roman"/>
                <w:sz w:val="24"/>
                <w:szCs w:val="24"/>
              </w:rPr>
              <w:t>2</w:t>
            </w:r>
          </w:p>
        </w:tc>
        <w:tc>
          <w:tcPr>
            <w:tcW w:w="1276" w:type="dxa"/>
            <w:vAlign w:val="center"/>
          </w:tcPr>
          <w:p w14:paraId="23F3823B">
            <w:pPr>
              <w:spacing w:line="360" w:lineRule="auto"/>
              <w:jc w:val="center"/>
              <w:rPr>
                <w:rFonts w:ascii="宋体" w:hAnsi="宋体" w:eastAsia="宋体" w:cs="Times New Roman"/>
                <w:sz w:val="24"/>
                <w:szCs w:val="24"/>
              </w:rPr>
            </w:pPr>
          </w:p>
        </w:tc>
        <w:tc>
          <w:tcPr>
            <w:tcW w:w="1824" w:type="dxa"/>
            <w:vAlign w:val="center"/>
          </w:tcPr>
          <w:p w14:paraId="273753B1">
            <w:pPr>
              <w:spacing w:line="360" w:lineRule="auto"/>
              <w:jc w:val="center"/>
              <w:rPr>
                <w:rFonts w:ascii="宋体" w:hAnsi="宋体" w:eastAsia="宋体" w:cs="Times New Roman"/>
                <w:sz w:val="24"/>
                <w:szCs w:val="24"/>
              </w:rPr>
            </w:pPr>
            <w:r>
              <w:rPr>
                <w:rFonts w:ascii="宋体" w:hAnsi="宋体" w:eastAsia="宋体" w:cs="Times New Roman"/>
                <w:sz w:val="24"/>
                <w:szCs w:val="24"/>
              </w:rPr>
              <w:t>交货地点</w:t>
            </w:r>
          </w:p>
        </w:tc>
        <w:tc>
          <w:tcPr>
            <w:tcW w:w="5086" w:type="dxa"/>
          </w:tcPr>
          <w:p w14:paraId="1273E14F">
            <w:pPr>
              <w:spacing w:line="360" w:lineRule="auto"/>
              <w:rPr>
                <w:rFonts w:ascii="宋体" w:hAnsi="宋体" w:eastAsia="宋体" w:cs="Times New Roman"/>
                <w:sz w:val="24"/>
                <w:szCs w:val="24"/>
              </w:rPr>
            </w:pPr>
            <w:r>
              <w:rPr>
                <w:rFonts w:hint="eastAsia" w:ascii="宋体" w:hAnsi="宋体" w:eastAsia="宋体" w:cs="Times New Roman"/>
                <w:sz w:val="24"/>
                <w:szCs w:val="24"/>
              </w:rPr>
              <w:t>福建省厦门市采购人指定地点</w:t>
            </w:r>
          </w:p>
        </w:tc>
      </w:tr>
      <w:tr w14:paraId="07CB14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2B6147C1">
            <w:pPr>
              <w:spacing w:line="360" w:lineRule="auto"/>
              <w:jc w:val="center"/>
              <w:rPr>
                <w:rFonts w:ascii="宋体" w:hAnsi="宋体" w:eastAsia="宋体" w:cs="Times New Roman"/>
                <w:sz w:val="24"/>
                <w:szCs w:val="24"/>
              </w:rPr>
            </w:pPr>
            <w:r>
              <w:rPr>
                <w:rFonts w:ascii="宋体" w:hAnsi="宋体" w:eastAsia="宋体" w:cs="Times New Roman"/>
                <w:sz w:val="24"/>
                <w:szCs w:val="24"/>
              </w:rPr>
              <w:t>3</w:t>
            </w:r>
          </w:p>
        </w:tc>
        <w:tc>
          <w:tcPr>
            <w:tcW w:w="1276" w:type="dxa"/>
            <w:vAlign w:val="center"/>
          </w:tcPr>
          <w:p w14:paraId="15AAE17D">
            <w:pPr>
              <w:spacing w:line="360" w:lineRule="auto"/>
              <w:jc w:val="center"/>
              <w:rPr>
                <w:rFonts w:ascii="宋体" w:hAnsi="宋体" w:eastAsia="宋体" w:cs="Times New Roman"/>
                <w:sz w:val="24"/>
                <w:szCs w:val="24"/>
              </w:rPr>
            </w:pPr>
          </w:p>
        </w:tc>
        <w:tc>
          <w:tcPr>
            <w:tcW w:w="1824" w:type="dxa"/>
            <w:vAlign w:val="center"/>
          </w:tcPr>
          <w:p w14:paraId="52BA5060">
            <w:pPr>
              <w:spacing w:line="360" w:lineRule="auto"/>
              <w:jc w:val="center"/>
              <w:rPr>
                <w:rFonts w:ascii="宋体" w:hAnsi="宋体" w:eastAsia="宋体" w:cs="Times New Roman"/>
                <w:sz w:val="24"/>
                <w:szCs w:val="24"/>
              </w:rPr>
            </w:pPr>
            <w:r>
              <w:rPr>
                <w:rFonts w:ascii="宋体" w:hAnsi="宋体" w:eastAsia="宋体" w:cs="Times New Roman"/>
                <w:sz w:val="24"/>
                <w:szCs w:val="24"/>
              </w:rPr>
              <w:t>交货条件</w:t>
            </w:r>
          </w:p>
        </w:tc>
        <w:tc>
          <w:tcPr>
            <w:tcW w:w="5086" w:type="dxa"/>
            <w:vAlign w:val="center"/>
          </w:tcPr>
          <w:p w14:paraId="5FF41EBB">
            <w:pPr>
              <w:spacing w:line="360" w:lineRule="auto"/>
              <w:rPr>
                <w:rFonts w:ascii="宋体" w:hAnsi="宋体" w:eastAsia="宋体" w:cs="Times New Roman"/>
                <w:sz w:val="24"/>
                <w:szCs w:val="24"/>
              </w:rPr>
            </w:pPr>
            <w:r>
              <w:rPr>
                <w:rFonts w:hint="eastAsia" w:ascii="宋体" w:hAnsi="宋体" w:eastAsia="宋体" w:cs="Times New Roman"/>
                <w:sz w:val="24"/>
                <w:szCs w:val="24"/>
              </w:rPr>
              <w:t>项目服务期满并通过验收</w:t>
            </w:r>
          </w:p>
        </w:tc>
      </w:tr>
      <w:tr w14:paraId="65BD5E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41ACF584">
            <w:pPr>
              <w:spacing w:line="360" w:lineRule="auto"/>
              <w:jc w:val="center"/>
              <w:rPr>
                <w:rFonts w:ascii="宋体" w:hAnsi="宋体" w:eastAsia="宋体" w:cs="Times New Roman"/>
                <w:sz w:val="24"/>
                <w:szCs w:val="24"/>
              </w:rPr>
            </w:pPr>
            <w:r>
              <w:rPr>
                <w:rFonts w:ascii="宋体" w:hAnsi="宋体" w:eastAsia="宋体" w:cs="Times New Roman"/>
                <w:sz w:val="24"/>
                <w:szCs w:val="24"/>
              </w:rPr>
              <w:t>4</w:t>
            </w:r>
          </w:p>
        </w:tc>
        <w:tc>
          <w:tcPr>
            <w:tcW w:w="1276" w:type="dxa"/>
            <w:vAlign w:val="center"/>
          </w:tcPr>
          <w:p w14:paraId="72783EF0">
            <w:pPr>
              <w:spacing w:line="360" w:lineRule="auto"/>
              <w:jc w:val="center"/>
              <w:rPr>
                <w:rFonts w:ascii="宋体" w:hAnsi="宋体" w:eastAsia="宋体" w:cs="Times New Roman"/>
                <w:sz w:val="24"/>
                <w:szCs w:val="24"/>
              </w:rPr>
            </w:pPr>
          </w:p>
        </w:tc>
        <w:tc>
          <w:tcPr>
            <w:tcW w:w="1824" w:type="dxa"/>
            <w:vAlign w:val="center"/>
          </w:tcPr>
          <w:p w14:paraId="5B8CF629">
            <w:pPr>
              <w:spacing w:line="360" w:lineRule="auto"/>
              <w:jc w:val="center"/>
              <w:rPr>
                <w:rFonts w:ascii="宋体" w:hAnsi="宋体" w:eastAsia="宋体" w:cs="Times New Roman"/>
                <w:sz w:val="24"/>
                <w:szCs w:val="24"/>
              </w:rPr>
            </w:pPr>
            <w:r>
              <w:rPr>
                <w:rFonts w:ascii="宋体" w:hAnsi="宋体" w:eastAsia="宋体" w:cs="Times New Roman"/>
                <w:sz w:val="24"/>
                <w:szCs w:val="24"/>
              </w:rPr>
              <w:t>是否邀请投标人验收</w:t>
            </w:r>
          </w:p>
        </w:tc>
        <w:tc>
          <w:tcPr>
            <w:tcW w:w="5086" w:type="dxa"/>
            <w:vAlign w:val="center"/>
          </w:tcPr>
          <w:p w14:paraId="1B1DC7C6">
            <w:pPr>
              <w:spacing w:line="360" w:lineRule="auto"/>
              <w:rPr>
                <w:rFonts w:ascii="宋体" w:hAnsi="宋体" w:eastAsia="宋体" w:cs="Times New Roman"/>
                <w:sz w:val="24"/>
                <w:szCs w:val="24"/>
              </w:rPr>
            </w:pPr>
            <w:r>
              <w:rPr>
                <w:rFonts w:hint="eastAsia" w:ascii="宋体" w:hAnsi="宋体" w:eastAsia="宋体" w:cs="Times New Roman"/>
                <w:sz w:val="24"/>
                <w:szCs w:val="24"/>
              </w:rPr>
              <w:t>不邀请</w:t>
            </w:r>
          </w:p>
        </w:tc>
      </w:tr>
      <w:tr w14:paraId="0B52CC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2877F208">
            <w:pPr>
              <w:spacing w:line="360" w:lineRule="auto"/>
              <w:jc w:val="center"/>
              <w:rPr>
                <w:rFonts w:ascii="宋体" w:hAnsi="宋体" w:eastAsia="宋体" w:cs="Times New Roman"/>
                <w:sz w:val="24"/>
                <w:szCs w:val="24"/>
              </w:rPr>
            </w:pPr>
            <w:r>
              <w:rPr>
                <w:rFonts w:ascii="宋体" w:hAnsi="宋体" w:eastAsia="宋体" w:cs="Times New Roman"/>
                <w:sz w:val="24"/>
                <w:szCs w:val="24"/>
              </w:rPr>
              <w:t>5</w:t>
            </w:r>
          </w:p>
        </w:tc>
        <w:tc>
          <w:tcPr>
            <w:tcW w:w="1276" w:type="dxa"/>
            <w:vAlign w:val="center"/>
          </w:tcPr>
          <w:p w14:paraId="078234DC">
            <w:pPr>
              <w:spacing w:line="360" w:lineRule="auto"/>
              <w:jc w:val="center"/>
              <w:rPr>
                <w:rFonts w:ascii="宋体" w:hAnsi="宋体" w:eastAsia="宋体" w:cs="Times New Roman"/>
                <w:sz w:val="24"/>
                <w:szCs w:val="24"/>
              </w:rPr>
            </w:pPr>
          </w:p>
        </w:tc>
        <w:tc>
          <w:tcPr>
            <w:tcW w:w="1824" w:type="dxa"/>
            <w:vAlign w:val="center"/>
          </w:tcPr>
          <w:p w14:paraId="78F9BE09">
            <w:pPr>
              <w:spacing w:line="360" w:lineRule="auto"/>
              <w:jc w:val="center"/>
              <w:rPr>
                <w:rFonts w:ascii="宋体" w:hAnsi="宋体" w:eastAsia="宋体" w:cs="Times New Roman"/>
                <w:sz w:val="24"/>
                <w:szCs w:val="24"/>
              </w:rPr>
            </w:pPr>
            <w:r>
              <w:rPr>
                <w:rFonts w:ascii="宋体" w:hAnsi="宋体" w:eastAsia="宋体" w:cs="Times New Roman"/>
                <w:sz w:val="24"/>
                <w:szCs w:val="24"/>
              </w:rPr>
              <w:t>履约验收方式</w:t>
            </w:r>
          </w:p>
        </w:tc>
        <w:tc>
          <w:tcPr>
            <w:tcW w:w="5086" w:type="dxa"/>
            <w:vAlign w:val="center"/>
          </w:tcPr>
          <w:p w14:paraId="55A8F8D9">
            <w:pPr>
              <w:spacing w:line="360" w:lineRule="auto"/>
              <w:rPr>
                <w:rFonts w:ascii="宋体" w:hAnsi="宋体" w:eastAsia="宋体" w:cs="Times New Roman"/>
                <w:sz w:val="24"/>
                <w:szCs w:val="24"/>
              </w:rPr>
            </w:pPr>
            <w:r>
              <w:rPr>
                <w:rFonts w:hint="eastAsia" w:ascii="宋体" w:hAnsi="宋体" w:eastAsia="宋体" w:cs="Times New Roman"/>
                <w:sz w:val="24"/>
                <w:szCs w:val="24"/>
              </w:rPr>
              <w:t>1、期次1，说明：【按月考核验收，详见《运维服务质量考核管理办法》】</w:t>
            </w:r>
          </w:p>
        </w:tc>
      </w:tr>
      <w:tr w14:paraId="4CDC91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31F6AAD0">
            <w:pPr>
              <w:spacing w:line="360" w:lineRule="auto"/>
              <w:jc w:val="center"/>
              <w:rPr>
                <w:rFonts w:ascii="宋体" w:hAnsi="宋体" w:eastAsia="宋体" w:cs="Times New Roman"/>
                <w:sz w:val="24"/>
                <w:szCs w:val="24"/>
              </w:rPr>
            </w:pPr>
            <w:r>
              <w:rPr>
                <w:rFonts w:ascii="宋体" w:hAnsi="宋体" w:eastAsia="宋体" w:cs="Times New Roman"/>
                <w:sz w:val="24"/>
                <w:szCs w:val="24"/>
              </w:rPr>
              <w:t>6</w:t>
            </w:r>
          </w:p>
        </w:tc>
        <w:tc>
          <w:tcPr>
            <w:tcW w:w="1276" w:type="dxa"/>
            <w:vAlign w:val="center"/>
          </w:tcPr>
          <w:p w14:paraId="1C62AB8A">
            <w:pPr>
              <w:spacing w:line="360" w:lineRule="auto"/>
              <w:jc w:val="center"/>
              <w:rPr>
                <w:rFonts w:ascii="宋体" w:hAnsi="宋体" w:eastAsia="宋体" w:cs="Times New Roman"/>
                <w:sz w:val="24"/>
                <w:szCs w:val="24"/>
              </w:rPr>
            </w:pPr>
          </w:p>
        </w:tc>
        <w:tc>
          <w:tcPr>
            <w:tcW w:w="1824" w:type="dxa"/>
            <w:vAlign w:val="center"/>
          </w:tcPr>
          <w:p w14:paraId="509CB37A">
            <w:pPr>
              <w:spacing w:line="360" w:lineRule="auto"/>
              <w:jc w:val="center"/>
              <w:rPr>
                <w:rFonts w:ascii="宋体" w:hAnsi="宋体" w:eastAsia="宋体" w:cs="Times New Roman"/>
                <w:sz w:val="24"/>
                <w:szCs w:val="24"/>
              </w:rPr>
            </w:pPr>
            <w:r>
              <w:rPr>
                <w:rFonts w:ascii="宋体" w:hAnsi="宋体" w:eastAsia="宋体" w:cs="Times New Roman"/>
                <w:sz w:val="24"/>
                <w:szCs w:val="24"/>
              </w:rPr>
              <w:t>合同</w:t>
            </w:r>
            <w:bookmarkStart w:id="38" w:name="_GoBack"/>
            <w:r>
              <w:rPr>
                <w:rFonts w:ascii="宋体" w:hAnsi="宋体" w:eastAsia="宋体" w:cs="Times New Roman"/>
                <w:sz w:val="24"/>
                <w:szCs w:val="24"/>
              </w:rPr>
              <w:t>支付</w:t>
            </w:r>
            <w:bookmarkEnd w:id="38"/>
            <w:r>
              <w:rPr>
                <w:rFonts w:ascii="宋体" w:hAnsi="宋体" w:eastAsia="宋体" w:cs="Times New Roman"/>
                <w:sz w:val="24"/>
                <w:szCs w:val="24"/>
              </w:rPr>
              <w:t>方式</w:t>
            </w:r>
          </w:p>
        </w:tc>
        <w:tc>
          <w:tcPr>
            <w:tcW w:w="5086" w:type="dxa"/>
            <w:vAlign w:val="center"/>
          </w:tcPr>
          <w:p w14:paraId="2FB39A07">
            <w:pPr>
              <w:spacing w:line="360" w:lineRule="auto"/>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cs="宋体"/>
                <w:color w:val="auto"/>
                <w:kern w:val="0"/>
                <w:sz w:val="24"/>
                <w:highlight w:val="none"/>
              </w:rPr>
              <w:t>合同签订生效后，采购人在收到</w:t>
            </w:r>
            <w:r>
              <w:rPr>
                <w:rFonts w:hint="eastAsia" w:ascii="宋体" w:hAnsi="宋体" w:cs="宋体"/>
                <w:color w:val="auto"/>
                <w:kern w:val="0"/>
                <w:sz w:val="24"/>
                <w:highlight w:val="none"/>
                <w:lang w:val="en-US" w:eastAsia="zh-CN"/>
              </w:rPr>
              <w:t>中标人</w:t>
            </w:r>
            <w:r>
              <w:rPr>
                <w:rFonts w:hint="eastAsia" w:ascii="宋体" w:hAnsi="宋体" w:cs="宋体"/>
                <w:color w:val="auto"/>
                <w:kern w:val="0"/>
                <w:sz w:val="24"/>
                <w:highlight w:val="none"/>
              </w:rPr>
              <w:t>正式发票后</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采购人支付中标人合同总价50%款项作为预付款</w:t>
            </w:r>
            <w:r>
              <w:rPr>
                <w:rFonts w:hint="eastAsia" w:ascii="宋体" w:hAnsi="宋体" w:eastAsia="宋体" w:cs="Times New Roman"/>
                <w:sz w:val="24"/>
                <w:szCs w:val="24"/>
              </w:rPr>
              <w:t>】，达到付款条件起【7】日，支付合同总金额的【</w:t>
            </w: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0】%。</w:t>
            </w:r>
          </w:p>
          <w:p w14:paraId="3FB38033">
            <w:pPr>
              <w:spacing w:line="360" w:lineRule="auto"/>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lang w:val="en-US" w:eastAsia="zh-CN"/>
              </w:rPr>
              <w:t>服务期满6个月</w:t>
            </w:r>
            <w:r>
              <w:rPr>
                <w:rFonts w:hint="eastAsia" w:ascii="宋体" w:hAnsi="宋体" w:cs="宋体"/>
                <w:color w:val="auto"/>
                <w:kern w:val="0"/>
                <w:sz w:val="24"/>
                <w:highlight w:val="none"/>
              </w:rPr>
              <w:t>，采购人在收到</w:t>
            </w:r>
            <w:r>
              <w:rPr>
                <w:rFonts w:hint="eastAsia" w:ascii="宋体" w:hAnsi="宋体" w:cs="宋体"/>
                <w:color w:val="auto"/>
                <w:kern w:val="0"/>
                <w:sz w:val="24"/>
                <w:highlight w:val="none"/>
                <w:lang w:val="en-US" w:eastAsia="zh-CN"/>
              </w:rPr>
              <w:t>中标人</w:t>
            </w:r>
            <w:r>
              <w:rPr>
                <w:rFonts w:hint="eastAsia" w:ascii="宋体" w:hAnsi="宋体" w:cs="宋体"/>
                <w:color w:val="auto"/>
                <w:kern w:val="0"/>
                <w:sz w:val="24"/>
                <w:highlight w:val="none"/>
              </w:rPr>
              <w:t>正式发票后</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支付至合同总价的90%。</w:t>
            </w:r>
            <w:r>
              <w:rPr>
                <w:rFonts w:hint="eastAsia" w:ascii="宋体" w:hAnsi="宋体" w:eastAsia="宋体" w:cs="Times New Roman"/>
                <w:sz w:val="24"/>
                <w:szCs w:val="24"/>
                <w:lang w:val="en-US" w:eastAsia="zh-CN"/>
              </w:rPr>
              <w:t>若此之前服务期内有发生扣款的则先从本次应付款项中扣款后进行支付。</w:t>
            </w:r>
            <w:r>
              <w:rPr>
                <w:rFonts w:hint="eastAsia" w:ascii="宋体" w:hAnsi="宋体" w:eastAsia="宋体" w:cs="Times New Roman"/>
                <w:sz w:val="24"/>
                <w:szCs w:val="24"/>
              </w:rPr>
              <w:t>】，达到付款条件起【7】日，支付合同总金额的【</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0】%。</w:t>
            </w:r>
          </w:p>
          <w:p w14:paraId="7709906E">
            <w:pPr>
              <w:spacing w:line="360" w:lineRule="auto"/>
              <w:rPr>
                <w:rFonts w:ascii="宋体" w:hAnsi="宋体" w:eastAsia="宋体" w:cs="Times New Roman"/>
                <w:sz w:val="24"/>
                <w:szCs w:val="24"/>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、【根据本项目安全和涉密工作需要，中标人下一年度过渡衔接与移交工作完成，获得采购人认可和考核后</w:t>
            </w:r>
            <w:r>
              <w:rPr>
                <w:rFonts w:hint="eastAsia" w:ascii="宋体" w:hAnsi="宋体" w:eastAsia="宋体" w:cs="Times New Roman"/>
                <w:sz w:val="24"/>
                <w:szCs w:val="24"/>
                <w:lang w:eastAsia="zh-CN"/>
              </w:rPr>
              <w:t>。</w:t>
            </w:r>
            <w:r>
              <w:rPr>
                <w:rFonts w:hint="eastAsia" w:ascii="宋体" w:hAnsi="宋体" w:cs="宋体"/>
                <w:color w:val="auto"/>
                <w:kern w:val="0"/>
                <w:sz w:val="24"/>
                <w:highlight w:val="none"/>
              </w:rPr>
              <w:t>采购人在收到</w:t>
            </w:r>
            <w:r>
              <w:rPr>
                <w:rFonts w:hint="eastAsia" w:ascii="宋体" w:hAnsi="宋体" w:cs="宋体"/>
                <w:color w:val="auto"/>
                <w:kern w:val="0"/>
                <w:sz w:val="24"/>
                <w:highlight w:val="none"/>
                <w:lang w:val="en-US" w:eastAsia="zh-CN"/>
              </w:rPr>
              <w:t>中标人</w:t>
            </w:r>
            <w:r>
              <w:rPr>
                <w:rFonts w:hint="eastAsia" w:ascii="宋体" w:hAnsi="宋体" w:cs="宋体"/>
                <w:color w:val="auto"/>
                <w:kern w:val="0"/>
                <w:sz w:val="24"/>
                <w:highlight w:val="none"/>
              </w:rPr>
              <w:t>正式发票后</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支付至合同总价的100%。</w:t>
            </w:r>
            <w:r>
              <w:rPr>
                <w:rFonts w:hint="eastAsia" w:ascii="宋体" w:hAnsi="宋体" w:eastAsia="宋体" w:cs="Times New Roman"/>
                <w:sz w:val="24"/>
                <w:szCs w:val="24"/>
                <w:lang w:val="en-US" w:eastAsia="zh-CN"/>
              </w:rPr>
              <w:t>若有发生扣款的则先从本次应付款项中进行扣款后进行支付，若发生扣款额大于10%的，中标人须返还采购人已支付款项。</w:t>
            </w:r>
            <w:r>
              <w:rPr>
                <w:rFonts w:hint="eastAsia" w:ascii="宋体" w:hAnsi="宋体" w:eastAsia="宋体" w:cs="Times New Roman"/>
                <w:sz w:val="24"/>
                <w:szCs w:val="24"/>
              </w:rPr>
              <w:t>】，达到付款条件起【7】日，支付合同总金额的【</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0】%。</w:t>
            </w:r>
          </w:p>
        </w:tc>
      </w:tr>
      <w:tr w14:paraId="508493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7111AEC3">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7</w:t>
            </w:r>
          </w:p>
        </w:tc>
        <w:tc>
          <w:tcPr>
            <w:tcW w:w="1276" w:type="dxa"/>
            <w:vAlign w:val="center"/>
          </w:tcPr>
          <w:p w14:paraId="7B47F923">
            <w:pPr>
              <w:spacing w:line="360" w:lineRule="auto"/>
              <w:jc w:val="center"/>
              <w:rPr>
                <w:rFonts w:ascii="宋体" w:hAnsi="宋体" w:eastAsia="宋体" w:cs="Times New Roman"/>
                <w:sz w:val="24"/>
                <w:szCs w:val="24"/>
              </w:rPr>
            </w:pPr>
          </w:p>
        </w:tc>
        <w:tc>
          <w:tcPr>
            <w:tcW w:w="1824" w:type="dxa"/>
            <w:vAlign w:val="center"/>
          </w:tcPr>
          <w:p w14:paraId="40E25909">
            <w:pPr>
              <w:spacing w:line="360" w:lineRule="auto"/>
              <w:jc w:val="center"/>
              <w:rPr>
                <w:rFonts w:ascii="宋体" w:hAnsi="宋体" w:eastAsia="宋体" w:cs="Times New Roman"/>
                <w:sz w:val="24"/>
                <w:szCs w:val="24"/>
              </w:rPr>
            </w:pPr>
            <w:r>
              <w:rPr>
                <w:rFonts w:ascii="宋体" w:hAnsi="宋体" w:eastAsia="宋体" w:cs="Times New Roman"/>
                <w:sz w:val="24"/>
                <w:szCs w:val="24"/>
              </w:rPr>
              <w:t>履约保证金</w:t>
            </w:r>
          </w:p>
        </w:tc>
        <w:tc>
          <w:tcPr>
            <w:tcW w:w="5086" w:type="dxa"/>
            <w:vAlign w:val="center"/>
          </w:tcPr>
          <w:p w14:paraId="3E7AD159">
            <w:pPr>
              <w:spacing w:line="360" w:lineRule="auto"/>
              <w:rPr>
                <w:rFonts w:ascii="宋体" w:hAnsi="宋体" w:eastAsia="宋体" w:cs="Times New Roman"/>
                <w:sz w:val="24"/>
                <w:szCs w:val="24"/>
              </w:rPr>
            </w:pPr>
            <w:r>
              <w:rPr>
                <w:rFonts w:hint="eastAsia" w:ascii="宋体" w:hAnsi="宋体" w:eastAsia="宋体" w:cs="Times New Roman"/>
                <w:sz w:val="24"/>
                <w:szCs w:val="24"/>
              </w:rPr>
              <w:t>不缴纳</w:t>
            </w:r>
          </w:p>
        </w:tc>
      </w:tr>
      <w:tr w14:paraId="66AB99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39040DC5">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8</w:t>
            </w:r>
          </w:p>
        </w:tc>
        <w:tc>
          <w:tcPr>
            <w:tcW w:w="1276" w:type="dxa"/>
            <w:vAlign w:val="center"/>
          </w:tcPr>
          <w:p w14:paraId="34B81ABB">
            <w:pPr>
              <w:spacing w:line="360" w:lineRule="auto"/>
              <w:jc w:val="center"/>
              <w:rPr>
                <w:rFonts w:ascii="宋体" w:hAnsi="宋体" w:eastAsia="宋体" w:cs="Times New Roman"/>
                <w:sz w:val="24"/>
                <w:szCs w:val="24"/>
              </w:rPr>
            </w:pPr>
          </w:p>
        </w:tc>
        <w:tc>
          <w:tcPr>
            <w:tcW w:w="1824" w:type="dxa"/>
            <w:vAlign w:val="center"/>
          </w:tcPr>
          <w:p w14:paraId="4CD6CBD2">
            <w:pPr>
              <w:spacing w:line="360" w:lineRule="auto"/>
              <w:jc w:val="center"/>
              <w:rPr>
                <w:rFonts w:ascii="宋体" w:hAnsi="宋体" w:eastAsia="宋体" w:cs="Times New Roman"/>
                <w:sz w:val="24"/>
                <w:szCs w:val="24"/>
              </w:rPr>
            </w:pPr>
            <w:r>
              <w:rPr>
                <w:rFonts w:ascii="宋体" w:hAnsi="宋体" w:eastAsia="宋体" w:cs="Times New Roman"/>
                <w:sz w:val="24"/>
                <w:szCs w:val="24"/>
              </w:rPr>
              <w:t>其他</w:t>
            </w:r>
          </w:p>
        </w:tc>
        <w:tc>
          <w:tcPr>
            <w:tcW w:w="5086" w:type="dxa"/>
            <w:vAlign w:val="center"/>
          </w:tcPr>
          <w:p w14:paraId="02C5D74C">
            <w:pPr>
              <w:spacing w:line="360" w:lineRule="auto"/>
              <w:rPr>
                <w:rFonts w:ascii="宋体" w:hAnsi="宋体" w:eastAsia="宋体" w:cs="Times New Roman"/>
                <w:sz w:val="24"/>
                <w:szCs w:val="24"/>
              </w:rPr>
            </w:pPr>
            <w:r>
              <w:rPr>
                <w:rFonts w:hint="eastAsia" w:ascii="宋体" w:hAnsi="宋体" w:eastAsia="宋体" w:cs="Times New Roman"/>
                <w:sz w:val="24"/>
                <w:szCs w:val="24"/>
              </w:rPr>
              <w:t>本表由于系统限制编辑，若本章其他地方内容与本表内容不一致的，以其他地方表述内容为准。</w:t>
            </w:r>
          </w:p>
        </w:tc>
      </w:tr>
    </w:tbl>
    <w:p w14:paraId="7E1820B6">
      <w:pPr>
        <w:spacing w:line="360" w:lineRule="auto"/>
        <w:ind w:firstLine="480" w:firstLineChars="200"/>
        <w:rPr>
          <w:rFonts w:asciiTheme="minorEastAsia" w:hAnsiTheme="minorEastAsia"/>
          <w:sz w:val="24"/>
          <w:szCs w:val="28"/>
        </w:rPr>
      </w:pPr>
    </w:p>
    <w:p w14:paraId="5F206038">
      <w:pPr>
        <w:spacing w:line="360" w:lineRule="auto"/>
        <w:ind w:firstLine="482" w:firstLineChars="200"/>
        <w:rPr>
          <w:rFonts w:asciiTheme="minorEastAsia" w:hAnsiTheme="minorEastAsia"/>
          <w:b/>
          <w:sz w:val="24"/>
          <w:szCs w:val="28"/>
        </w:rPr>
      </w:pPr>
      <w:r>
        <w:rPr>
          <w:rFonts w:asciiTheme="minorEastAsia" w:hAnsiTheme="minorEastAsia"/>
          <w:b/>
          <w:sz w:val="24"/>
          <w:szCs w:val="28"/>
        </w:rPr>
        <w:t>其他商务要求</w:t>
      </w:r>
    </w:p>
    <w:p w14:paraId="040164F4">
      <w:pPr>
        <w:spacing w:line="360" w:lineRule="auto"/>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8、报价要求</w:t>
      </w:r>
    </w:p>
    <w:p w14:paraId="315AFA0D">
      <w:pPr>
        <w:spacing w:line="360" w:lineRule="auto"/>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8.1、本项目为整体采购，投标人必须对采购项目的所有内容进行报价响应，不得对采购内容拆分报价，不完整响应或拆分报价的将导致投标无效。</w:t>
      </w:r>
    </w:p>
    <w:p w14:paraId="6DC34540">
      <w:pPr>
        <w:spacing w:line="360" w:lineRule="auto"/>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8.2、报价以人民币为货币单位，应分别报出服务的每人每月单价、月合计、年总价和投标总报价。</w:t>
      </w:r>
    </w:p>
    <w:p w14:paraId="3D45D9E3">
      <w:pPr>
        <w:spacing w:line="360" w:lineRule="auto"/>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8.3、本项目为总价包干项目，报价为中标人在项目服务期限内提供服务经采购人考核合格所发生的一切费用，其包括但不限于：《厦门市夜景照明集中控制平台设备清单》内所有系统及设施（设备）维护、损坏设备更换费用、备品备件费用、平台运行管理维护费用、员工工资、行政办公费用、员工保险费、福利费、加班费、设备工具折旧费、人员培训费、临时任务等突击费、物联网卡所涉及的费用、光纤链路费用、税收、保险、企业提取的管理费用、招标代理服务费及不可预见费等所有费用。</w:t>
      </w:r>
    </w:p>
    <w:p w14:paraId="0E0DE55F">
      <w:pPr>
        <w:spacing w:line="360" w:lineRule="auto"/>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8.4、投标人漏报的单价或报价中漏报、少报的费用，视为此项费用已隐含在总报价中，中标后不得再向采购人收取任何费用。</w:t>
      </w:r>
    </w:p>
    <w:p w14:paraId="5834B315">
      <w:pPr>
        <w:spacing w:line="360" w:lineRule="auto"/>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8.5、投标人的投标报价超出最高限价的投标无效。</w:t>
      </w:r>
    </w:p>
    <w:p w14:paraId="7B6A1745">
      <w:pPr>
        <w:spacing w:line="360" w:lineRule="auto"/>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8.6、投标人对本项目只能有一个报价，采购人不接受有选择的报价。</w:t>
      </w:r>
    </w:p>
    <w:p w14:paraId="57080194">
      <w:pPr>
        <w:spacing w:line="360" w:lineRule="auto"/>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8.7、投标人对项目投入人员发放的月基本工资不得低于厦门市政府公布的最新最低工资标准，并做好职工社保、医保的缴纳、岗位津贴、高温补贴、加班工资（应根据《中华人民共和国劳动法》规定）、劳保与其他福利的发放。</w:t>
      </w:r>
    </w:p>
    <w:p w14:paraId="4FD9F605">
      <w:pPr>
        <w:spacing w:line="360" w:lineRule="auto"/>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8.8、采购人不承担政府政策性调整最低工资标准产生的任何费用。</w:t>
      </w:r>
    </w:p>
    <w:p w14:paraId="68BCE1F7">
      <w:pPr>
        <w:spacing w:line="360" w:lineRule="auto"/>
        <w:ind w:firstLine="480" w:firstLineChars="200"/>
        <w:jc w:val="left"/>
        <w:rPr>
          <w:rFonts w:ascii="宋体" w:hAnsi="宋体" w:eastAsia="宋体"/>
          <w:color w:val="auto"/>
          <w:sz w:val="24"/>
          <w:szCs w:val="28"/>
        </w:rPr>
      </w:pPr>
      <w:r>
        <w:rPr>
          <w:rFonts w:hint="eastAsia" w:ascii="宋体" w:hAnsi="宋体" w:eastAsia="宋体"/>
          <w:sz w:val="24"/>
          <w:szCs w:val="28"/>
        </w:rPr>
        <w:t>8.9、重点片区夜景照明集中控制平台运行管理和设施（设备）维护实行包干制、投标人可根据平台运</w:t>
      </w:r>
      <w:r>
        <w:rPr>
          <w:rFonts w:hint="eastAsia" w:ascii="宋体" w:hAnsi="宋体" w:eastAsia="宋体"/>
          <w:sz w:val="24"/>
          <w:szCs w:val="28"/>
          <w:highlight w:val="none"/>
        </w:rPr>
        <w:t>行维护内容和设备清单（可参考下表）进行报价，中标人报价</w:t>
      </w:r>
      <w:r>
        <w:rPr>
          <w:rFonts w:hint="eastAsia" w:ascii="宋体" w:hAnsi="宋体" w:eastAsia="宋体"/>
          <w:sz w:val="24"/>
          <w:szCs w:val="28"/>
        </w:rPr>
        <w:t>（亦即采购中标价）即为合同价。</w:t>
      </w:r>
    </w:p>
    <w:p w14:paraId="670B6098">
      <w:pPr>
        <w:spacing w:line="360" w:lineRule="auto"/>
        <w:ind w:firstLine="480" w:firstLineChars="200"/>
        <w:jc w:val="left"/>
        <w:rPr>
          <w:rFonts w:ascii="宋体" w:hAnsi="宋体" w:eastAsia="宋体" w:cs="宋体"/>
          <w:bCs/>
          <w:color w:val="auto"/>
          <w:kern w:val="0"/>
          <w:sz w:val="24"/>
          <w:szCs w:val="24"/>
        </w:rPr>
      </w:pPr>
      <w:r>
        <w:rPr>
          <w:rFonts w:hint="eastAsia" w:ascii="宋体" w:hAnsi="宋体" w:eastAsia="宋体" w:cs="宋体"/>
          <w:bCs/>
          <w:color w:val="auto"/>
          <w:kern w:val="0"/>
          <w:sz w:val="24"/>
          <w:szCs w:val="24"/>
        </w:rPr>
        <w:t>8.10、投标人可参照下表内容进行报价：</w:t>
      </w:r>
    </w:p>
    <w:tbl>
      <w:tblPr>
        <w:tblStyle w:val="17"/>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076"/>
        <w:gridCol w:w="2076"/>
        <w:gridCol w:w="2076"/>
        <w:gridCol w:w="2076"/>
      </w:tblGrid>
      <w:tr w14:paraId="0ED7E8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07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393362F6">
            <w:pPr>
              <w:pStyle w:val="54"/>
              <w:spacing w:line="360" w:lineRule="auto"/>
              <w:jc w:val="center"/>
              <w:rPr>
                <w:rFonts w:hint="default"/>
                <w:b/>
                <w:bCs/>
                <w:color w:val="auto"/>
                <w:sz w:val="24"/>
                <w:szCs w:val="24"/>
              </w:rPr>
            </w:pPr>
            <w:r>
              <w:rPr>
                <w:rFonts w:ascii="宋体" w:hAnsi="宋体" w:eastAsia="宋体" w:cs="宋体"/>
                <w:b/>
                <w:bCs/>
                <w:color w:val="auto"/>
                <w:sz w:val="24"/>
                <w:szCs w:val="24"/>
              </w:rPr>
              <w:t>服务名称</w:t>
            </w:r>
          </w:p>
        </w:tc>
        <w:tc>
          <w:tcPr>
            <w:tcW w:w="2076"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5461278F">
            <w:pPr>
              <w:pStyle w:val="54"/>
              <w:spacing w:line="360" w:lineRule="auto"/>
              <w:jc w:val="center"/>
              <w:rPr>
                <w:rFonts w:hint="default"/>
                <w:b/>
                <w:bCs/>
                <w:color w:val="auto"/>
                <w:sz w:val="24"/>
                <w:szCs w:val="24"/>
              </w:rPr>
            </w:pPr>
            <w:r>
              <w:rPr>
                <w:rFonts w:ascii="宋体" w:hAnsi="宋体" w:eastAsia="宋体" w:cs="宋体"/>
                <w:b/>
                <w:bCs/>
                <w:color w:val="auto"/>
                <w:sz w:val="24"/>
                <w:szCs w:val="24"/>
              </w:rPr>
              <w:t>项目</w:t>
            </w:r>
          </w:p>
        </w:tc>
        <w:tc>
          <w:tcPr>
            <w:tcW w:w="2076"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4B49706B">
            <w:pPr>
              <w:pStyle w:val="54"/>
              <w:spacing w:line="360" w:lineRule="auto"/>
              <w:jc w:val="center"/>
              <w:rPr>
                <w:rFonts w:hint="default"/>
                <w:b/>
                <w:bCs/>
                <w:color w:val="auto"/>
                <w:sz w:val="24"/>
                <w:szCs w:val="24"/>
              </w:rPr>
            </w:pPr>
            <w:r>
              <w:rPr>
                <w:rFonts w:ascii="宋体" w:hAnsi="宋体" w:eastAsia="宋体" w:cs="宋体"/>
                <w:b/>
                <w:bCs/>
                <w:color w:val="auto"/>
                <w:sz w:val="24"/>
                <w:szCs w:val="24"/>
              </w:rPr>
              <w:t>支出内容</w:t>
            </w:r>
          </w:p>
        </w:tc>
        <w:tc>
          <w:tcPr>
            <w:tcW w:w="2076"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05256A94">
            <w:pPr>
              <w:pStyle w:val="54"/>
              <w:spacing w:line="360" w:lineRule="auto"/>
              <w:jc w:val="center"/>
              <w:rPr>
                <w:rFonts w:hint="default"/>
                <w:b/>
                <w:bCs/>
                <w:color w:val="auto"/>
                <w:sz w:val="24"/>
                <w:szCs w:val="24"/>
              </w:rPr>
            </w:pPr>
            <w:r>
              <w:rPr>
                <w:rFonts w:ascii="宋体" w:hAnsi="宋体" w:eastAsia="宋体" w:cs="宋体"/>
                <w:b/>
                <w:bCs/>
                <w:color w:val="auto"/>
                <w:sz w:val="24"/>
                <w:szCs w:val="24"/>
              </w:rPr>
              <w:t>报价（万元）</w:t>
            </w:r>
          </w:p>
        </w:tc>
      </w:tr>
      <w:tr w14:paraId="793BC0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07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9BF3AD2">
            <w:pPr>
              <w:pStyle w:val="54"/>
              <w:spacing w:line="360" w:lineRule="auto"/>
              <w:jc w:val="center"/>
              <w:rPr>
                <w:rFonts w:hint="default"/>
                <w:color w:val="auto"/>
                <w:sz w:val="24"/>
                <w:szCs w:val="24"/>
              </w:rPr>
            </w:pPr>
            <w:r>
              <w:rPr>
                <w:rFonts w:ascii="宋体" w:hAnsi="宋体" w:eastAsia="宋体" w:cs="宋体"/>
                <w:color w:val="auto"/>
                <w:sz w:val="24"/>
                <w:szCs w:val="24"/>
              </w:rPr>
              <w:t>系统及设施、设备维护</w:t>
            </w:r>
          </w:p>
        </w:tc>
        <w:tc>
          <w:tcPr>
            <w:tcW w:w="2076" w:type="dxa"/>
            <w:tcBorders>
              <w:top w:val="nil"/>
              <w:left w:val="nil"/>
              <w:bottom w:val="single" w:color="000000" w:sz="4" w:space="0"/>
              <w:right w:val="single" w:color="000000" w:sz="4" w:space="0"/>
            </w:tcBorders>
            <w:tcMar>
              <w:top w:w="0" w:type="dxa"/>
              <w:left w:w="105" w:type="dxa"/>
              <w:bottom w:w="0" w:type="dxa"/>
              <w:right w:w="105" w:type="dxa"/>
            </w:tcMar>
          </w:tcPr>
          <w:p w14:paraId="280477A6">
            <w:pPr>
              <w:pStyle w:val="54"/>
              <w:spacing w:line="360" w:lineRule="auto"/>
              <w:jc w:val="center"/>
              <w:rPr>
                <w:rFonts w:hint="default"/>
                <w:color w:val="auto"/>
                <w:sz w:val="24"/>
                <w:szCs w:val="24"/>
              </w:rPr>
            </w:pPr>
            <w:r>
              <w:rPr>
                <w:rFonts w:ascii="宋体" w:hAnsi="宋体" w:eastAsia="宋体" w:cs="宋体"/>
                <w:color w:val="auto"/>
                <w:sz w:val="24"/>
                <w:szCs w:val="24"/>
              </w:rPr>
              <w:t>设施（设备）维修、备件更换</w:t>
            </w:r>
          </w:p>
        </w:tc>
        <w:tc>
          <w:tcPr>
            <w:tcW w:w="2076" w:type="dxa"/>
            <w:tcBorders>
              <w:top w:val="nil"/>
              <w:left w:val="nil"/>
              <w:bottom w:val="single" w:color="000000" w:sz="4" w:space="0"/>
              <w:right w:val="single" w:color="000000" w:sz="4" w:space="0"/>
            </w:tcBorders>
            <w:tcMar>
              <w:top w:w="0" w:type="dxa"/>
              <w:left w:w="105" w:type="dxa"/>
              <w:bottom w:w="0" w:type="dxa"/>
              <w:right w:w="105" w:type="dxa"/>
            </w:tcMar>
          </w:tcPr>
          <w:p w14:paraId="7EC56461">
            <w:pPr>
              <w:pStyle w:val="54"/>
              <w:spacing w:line="360" w:lineRule="auto"/>
              <w:jc w:val="center"/>
              <w:rPr>
                <w:rFonts w:hint="default"/>
                <w:color w:val="auto"/>
                <w:sz w:val="24"/>
                <w:szCs w:val="24"/>
              </w:rPr>
            </w:pPr>
          </w:p>
        </w:tc>
        <w:tc>
          <w:tcPr>
            <w:tcW w:w="2076" w:type="dxa"/>
            <w:tcBorders>
              <w:top w:val="nil"/>
              <w:left w:val="nil"/>
              <w:bottom w:val="single" w:color="000000" w:sz="4" w:space="0"/>
              <w:right w:val="single" w:color="000000" w:sz="4" w:space="0"/>
            </w:tcBorders>
            <w:tcMar>
              <w:top w:w="0" w:type="dxa"/>
              <w:left w:w="105" w:type="dxa"/>
              <w:bottom w:w="0" w:type="dxa"/>
              <w:right w:w="105" w:type="dxa"/>
            </w:tcMar>
          </w:tcPr>
          <w:p w14:paraId="0D1CA130">
            <w:pPr>
              <w:spacing w:line="360" w:lineRule="auto"/>
              <w:rPr>
                <w:color w:val="auto"/>
                <w:sz w:val="24"/>
                <w:szCs w:val="24"/>
              </w:rPr>
            </w:pPr>
          </w:p>
        </w:tc>
      </w:tr>
      <w:tr w14:paraId="4F460C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076" w:type="dxa"/>
            <w:vMerge w:val="continue"/>
            <w:tcBorders>
              <w:top w:val="nil"/>
              <w:left w:val="single" w:color="000000" w:sz="4" w:space="0"/>
              <w:bottom w:val="single" w:color="000000" w:sz="4" w:space="0"/>
              <w:right w:val="single" w:color="000000" w:sz="4" w:space="0"/>
            </w:tcBorders>
          </w:tcPr>
          <w:p w14:paraId="42B2AF93">
            <w:pPr>
              <w:spacing w:line="360" w:lineRule="auto"/>
              <w:rPr>
                <w:color w:val="auto"/>
                <w:sz w:val="24"/>
                <w:szCs w:val="24"/>
              </w:rPr>
            </w:pPr>
          </w:p>
        </w:tc>
        <w:tc>
          <w:tcPr>
            <w:tcW w:w="2076" w:type="dxa"/>
            <w:tcBorders>
              <w:top w:val="nil"/>
              <w:left w:val="nil"/>
              <w:bottom w:val="single" w:color="000000" w:sz="4" w:space="0"/>
              <w:right w:val="single" w:color="000000" w:sz="4" w:space="0"/>
            </w:tcBorders>
            <w:tcMar>
              <w:top w:w="0" w:type="dxa"/>
              <w:left w:w="105" w:type="dxa"/>
              <w:bottom w:w="0" w:type="dxa"/>
              <w:right w:w="105" w:type="dxa"/>
            </w:tcMar>
          </w:tcPr>
          <w:p w14:paraId="00DF1602">
            <w:pPr>
              <w:pStyle w:val="54"/>
              <w:spacing w:line="360" w:lineRule="auto"/>
              <w:jc w:val="center"/>
              <w:rPr>
                <w:rFonts w:hint="default"/>
                <w:color w:val="auto"/>
                <w:sz w:val="24"/>
                <w:szCs w:val="24"/>
              </w:rPr>
            </w:pPr>
            <w:r>
              <w:rPr>
                <w:rFonts w:ascii="宋体" w:hAnsi="宋体" w:eastAsia="宋体" w:cs="宋体"/>
                <w:color w:val="auto"/>
                <w:sz w:val="24"/>
                <w:szCs w:val="24"/>
              </w:rPr>
              <w:t>应用软件维护</w:t>
            </w:r>
          </w:p>
        </w:tc>
        <w:tc>
          <w:tcPr>
            <w:tcW w:w="2076" w:type="dxa"/>
            <w:tcBorders>
              <w:top w:val="nil"/>
              <w:left w:val="nil"/>
              <w:bottom w:val="single" w:color="000000" w:sz="4" w:space="0"/>
              <w:right w:val="single" w:color="000000" w:sz="4" w:space="0"/>
            </w:tcBorders>
            <w:tcMar>
              <w:top w:w="0" w:type="dxa"/>
              <w:left w:w="105" w:type="dxa"/>
              <w:bottom w:w="0" w:type="dxa"/>
              <w:right w:w="105" w:type="dxa"/>
            </w:tcMar>
          </w:tcPr>
          <w:p w14:paraId="18CFD576">
            <w:pPr>
              <w:pStyle w:val="54"/>
              <w:spacing w:line="360" w:lineRule="auto"/>
              <w:jc w:val="center"/>
              <w:rPr>
                <w:rFonts w:hint="default"/>
                <w:color w:val="auto"/>
                <w:sz w:val="24"/>
                <w:szCs w:val="24"/>
              </w:rPr>
            </w:pPr>
          </w:p>
        </w:tc>
        <w:tc>
          <w:tcPr>
            <w:tcW w:w="2076" w:type="dxa"/>
            <w:tcBorders>
              <w:top w:val="nil"/>
              <w:left w:val="nil"/>
              <w:bottom w:val="single" w:color="000000" w:sz="4" w:space="0"/>
              <w:right w:val="single" w:color="000000" w:sz="4" w:space="0"/>
            </w:tcBorders>
            <w:tcMar>
              <w:top w:w="0" w:type="dxa"/>
              <w:left w:w="105" w:type="dxa"/>
              <w:bottom w:w="0" w:type="dxa"/>
              <w:right w:w="105" w:type="dxa"/>
            </w:tcMar>
          </w:tcPr>
          <w:p w14:paraId="759701EE">
            <w:pPr>
              <w:spacing w:line="360" w:lineRule="auto"/>
              <w:rPr>
                <w:color w:val="auto"/>
                <w:sz w:val="24"/>
                <w:szCs w:val="24"/>
              </w:rPr>
            </w:pPr>
          </w:p>
        </w:tc>
      </w:tr>
      <w:tr w14:paraId="222D01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076" w:type="dxa"/>
            <w:vMerge w:val="continue"/>
            <w:tcBorders>
              <w:top w:val="nil"/>
              <w:left w:val="single" w:color="000000" w:sz="4" w:space="0"/>
              <w:bottom w:val="single" w:color="000000" w:sz="4" w:space="0"/>
              <w:right w:val="single" w:color="000000" w:sz="4" w:space="0"/>
            </w:tcBorders>
          </w:tcPr>
          <w:p w14:paraId="469CF3EC">
            <w:pPr>
              <w:spacing w:line="360" w:lineRule="auto"/>
              <w:rPr>
                <w:color w:val="auto"/>
                <w:sz w:val="24"/>
                <w:szCs w:val="24"/>
              </w:rPr>
            </w:pPr>
          </w:p>
        </w:tc>
        <w:tc>
          <w:tcPr>
            <w:tcW w:w="2076" w:type="dxa"/>
            <w:tcBorders>
              <w:top w:val="nil"/>
              <w:left w:val="nil"/>
              <w:bottom w:val="single" w:color="000000" w:sz="4" w:space="0"/>
              <w:right w:val="single" w:color="000000" w:sz="4" w:space="0"/>
            </w:tcBorders>
            <w:tcMar>
              <w:top w:w="0" w:type="dxa"/>
              <w:left w:w="105" w:type="dxa"/>
              <w:bottom w:w="0" w:type="dxa"/>
              <w:right w:w="105" w:type="dxa"/>
            </w:tcMar>
          </w:tcPr>
          <w:p w14:paraId="64BCA1C4">
            <w:pPr>
              <w:pStyle w:val="54"/>
              <w:spacing w:line="360" w:lineRule="auto"/>
              <w:jc w:val="center"/>
              <w:rPr>
                <w:rFonts w:hint="default"/>
                <w:color w:val="auto"/>
                <w:sz w:val="24"/>
                <w:szCs w:val="24"/>
              </w:rPr>
            </w:pPr>
            <w:r>
              <w:rPr>
                <w:rFonts w:ascii="宋体" w:hAnsi="宋体" w:eastAsia="宋体" w:cs="宋体"/>
                <w:color w:val="auto"/>
                <w:sz w:val="24"/>
                <w:szCs w:val="24"/>
              </w:rPr>
              <w:t>前端巡查巡检</w:t>
            </w:r>
          </w:p>
        </w:tc>
        <w:tc>
          <w:tcPr>
            <w:tcW w:w="2076" w:type="dxa"/>
            <w:tcBorders>
              <w:top w:val="nil"/>
              <w:left w:val="nil"/>
              <w:bottom w:val="single" w:color="000000" w:sz="4" w:space="0"/>
              <w:right w:val="single" w:color="000000" w:sz="4" w:space="0"/>
            </w:tcBorders>
            <w:tcMar>
              <w:top w:w="0" w:type="dxa"/>
              <w:left w:w="105" w:type="dxa"/>
              <w:bottom w:w="0" w:type="dxa"/>
              <w:right w:w="105" w:type="dxa"/>
            </w:tcMar>
          </w:tcPr>
          <w:p w14:paraId="0012D831">
            <w:pPr>
              <w:pStyle w:val="54"/>
              <w:spacing w:line="360" w:lineRule="auto"/>
              <w:jc w:val="center"/>
              <w:rPr>
                <w:rFonts w:hint="default"/>
                <w:color w:val="auto"/>
                <w:sz w:val="24"/>
                <w:szCs w:val="24"/>
              </w:rPr>
            </w:pPr>
          </w:p>
        </w:tc>
        <w:tc>
          <w:tcPr>
            <w:tcW w:w="2076" w:type="dxa"/>
            <w:tcBorders>
              <w:top w:val="nil"/>
              <w:left w:val="nil"/>
              <w:bottom w:val="single" w:color="000000" w:sz="4" w:space="0"/>
              <w:right w:val="single" w:color="000000" w:sz="4" w:space="0"/>
            </w:tcBorders>
            <w:tcMar>
              <w:top w:w="0" w:type="dxa"/>
              <w:left w:w="105" w:type="dxa"/>
              <w:bottom w:w="0" w:type="dxa"/>
              <w:right w:w="105" w:type="dxa"/>
            </w:tcMar>
          </w:tcPr>
          <w:p w14:paraId="532C593E">
            <w:pPr>
              <w:spacing w:line="360" w:lineRule="auto"/>
              <w:rPr>
                <w:color w:val="auto"/>
                <w:sz w:val="24"/>
                <w:szCs w:val="24"/>
              </w:rPr>
            </w:pPr>
          </w:p>
        </w:tc>
      </w:tr>
      <w:tr w14:paraId="377BB8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07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DCDF84C">
            <w:pPr>
              <w:pStyle w:val="54"/>
              <w:spacing w:line="360" w:lineRule="auto"/>
              <w:jc w:val="center"/>
              <w:rPr>
                <w:rFonts w:hint="default"/>
                <w:color w:val="auto"/>
                <w:sz w:val="24"/>
                <w:szCs w:val="24"/>
              </w:rPr>
            </w:pPr>
            <w:r>
              <w:rPr>
                <w:rFonts w:ascii="宋体" w:hAnsi="宋体" w:eastAsia="宋体" w:cs="宋体"/>
                <w:color w:val="auto"/>
                <w:sz w:val="24"/>
                <w:szCs w:val="24"/>
              </w:rPr>
              <w:t>平台运行管理</w:t>
            </w:r>
          </w:p>
        </w:tc>
        <w:tc>
          <w:tcPr>
            <w:tcW w:w="2076" w:type="dxa"/>
            <w:tcBorders>
              <w:top w:val="nil"/>
              <w:left w:val="nil"/>
              <w:bottom w:val="single" w:color="000000" w:sz="4" w:space="0"/>
              <w:right w:val="single" w:color="000000" w:sz="4" w:space="0"/>
            </w:tcBorders>
            <w:tcMar>
              <w:top w:w="0" w:type="dxa"/>
              <w:left w:w="105" w:type="dxa"/>
              <w:bottom w:w="0" w:type="dxa"/>
              <w:right w:w="105" w:type="dxa"/>
            </w:tcMar>
          </w:tcPr>
          <w:p w14:paraId="111E8A50">
            <w:pPr>
              <w:pStyle w:val="54"/>
              <w:spacing w:line="360" w:lineRule="auto"/>
              <w:jc w:val="center"/>
              <w:rPr>
                <w:rFonts w:hint="default"/>
                <w:color w:val="auto"/>
                <w:sz w:val="24"/>
                <w:szCs w:val="24"/>
              </w:rPr>
            </w:pPr>
            <w:r>
              <w:rPr>
                <w:rFonts w:ascii="宋体" w:hAnsi="宋体" w:eastAsia="宋体" w:cs="宋体"/>
                <w:color w:val="auto"/>
                <w:sz w:val="24"/>
                <w:szCs w:val="24"/>
              </w:rPr>
              <w:t>控制中心值守</w:t>
            </w:r>
          </w:p>
        </w:tc>
        <w:tc>
          <w:tcPr>
            <w:tcW w:w="2076" w:type="dxa"/>
            <w:tcBorders>
              <w:top w:val="nil"/>
              <w:left w:val="nil"/>
              <w:bottom w:val="single" w:color="000000" w:sz="4" w:space="0"/>
              <w:right w:val="single" w:color="000000" w:sz="4" w:space="0"/>
            </w:tcBorders>
            <w:tcMar>
              <w:top w:w="0" w:type="dxa"/>
              <w:left w:w="105" w:type="dxa"/>
              <w:bottom w:w="0" w:type="dxa"/>
              <w:right w:w="105" w:type="dxa"/>
            </w:tcMar>
          </w:tcPr>
          <w:p w14:paraId="1F2E0FFB">
            <w:pPr>
              <w:pStyle w:val="54"/>
              <w:spacing w:line="360" w:lineRule="auto"/>
              <w:jc w:val="center"/>
              <w:rPr>
                <w:rFonts w:hint="default"/>
                <w:color w:val="auto"/>
                <w:sz w:val="24"/>
                <w:szCs w:val="24"/>
              </w:rPr>
            </w:pPr>
          </w:p>
        </w:tc>
        <w:tc>
          <w:tcPr>
            <w:tcW w:w="2076" w:type="dxa"/>
            <w:tcBorders>
              <w:top w:val="nil"/>
              <w:left w:val="nil"/>
              <w:bottom w:val="single" w:color="000000" w:sz="4" w:space="0"/>
              <w:right w:val="single" w:color="000000" w:sz="4" w:space="0"/>
            </w:tcBorders>
            <w:tcMar>
              <w:top w:w="0" w:type="dxa"/>
              <w:left w:w="105" w:type="dxa"/>
              <w:bottom w:w="0" w:type="dxa"/>
              <w:right w:w="105" w:type="dxa"/>
            </w:tcMar>
          </w:tcPr>
          <w:p w14:paraId="6DB91E29">
            <w:pPr>
              <w:spacing w:line="360" w:lineRule="auto"/>
              <w:rPr>
                <w:color w:val="auto"/>
                <w:sz w:val="24"/>
                <w:szCs w:val="24"/>
              </w:rPr>
            </w:pPr>
          </w:p>
        </w:tc>
      </w:tr>
      <w:tr w14:paraId="6A044C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07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3447ECD">
            <w:pPr>
              <w:pStyle w:val="54"/>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物联网卡</w:t>
            </w:r>
          </w:p>
        </w:tc>
        <w:tc>
          <w:tcPr>
            <w:tcW w:w="4152" w:type="dxa"/>
            <w:gridSpan w:val="2"/>
            <w:tcBorders>
              <w:top w:val="nil"/>
              <w:left w:val="nil"/>
              <w:bottom w:val="single" w:color="000000" w:sz="4" w:space="0"/>
              <w:right w:val="single" w:color="000000" w:sz="4" w:space="0"/>
            </w:tcBorders>
            <w:tcMar>
              <w:top w:w="0" w:type="dxa"/>
              <w:left w:w="105" w:type="dxa"/>
              <w:bottom w:w="0" w:type="dxa"/>
              <w:right w:w="105" w:type="dxa"/>
            </w:tcMar>
          </w:tcPr>
          <w:p w14:paraId="40F31CEA">
            <w:pPr>
              <w:pStyle w:val="54"/>
              <w:spacing w:line="360" w:lineRule="auto"/>
              <w:jc w:val="center"/>
              <w:rPr>
                <w:rFonts w:hint="default"/>
                <w:color w:val="auto"/>
                <w:sz w:val="24"/>
                <w:szCs w:val="24"/>
              </w:rPr>
            </w:pPr>
            <w:r>
              <w:rPr>
                <w:rFonts w:ascii="宋体" w:hAnsi="宋体" w:eastAsia="宋体" w:cs="宋体"/>
                <w:color w:val="auto"/>
                <w:sz w:val="24"/>
                <w:szCs w:val="24"/>
              </w:rPr>
              <w:t>提供1460张物联网卡每张卡每月流量2G及200M广域网光纤链路1条用于厦门市重点片区夜景照明集中控制平台4G网络通讯传输服务</w:t>
            </w:r>
          </w:p>
        </w:tc>
        <w:tc>
          <w:tcPr>
            <w:tcW w:w="2076" w:type="dxa"/>
            <w:tcBorders>
              <w:top w:val="nil"/>
              <w:left w:val="nil"/>
              <w:bottom w:val="single" w:color="000000" w:sz="4" w:space="0"/>
              <w:right w:val="single" w:color="000000" w:sz="4" w:space="0"/>
            </w:tcBorders>
            <w:tcMar>
              <w:top w:w="0" w:type="dxa"/>
              <w:left w:w="105" w:type="dxa"/>
              <w:bottom w:w="0" w:type="dxa"/>
              <w:right w:w="105" w:type="dxa"/>
            </w:tcMar>
          </w:tcPr>
          <w:p w14:paraId="0664A23B">
            <w:pPr>
              <w:spacing w:line="360" w:lineRule="auto"/>
              <w:rPr>
                <w:color w:val="auto"/>
                <w:sz w:val="24"/>
                <w:szCs w:val="24"/>
              </w:rPr>
            </w:pPr>
          </w:p>
        </w:tc>
      </w:tr>
      <w:tr w14:paraId="511D5E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07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55B655F">
            <w:pPr>
              <w:pStyle w:val="54"/>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光纤链路</w:t>
            </w:r>
          </w:p>
        </w:tc>
        <w:tc>
          <w:tcPr>
            <w:tcW w:w="4152" w:type="dxa"/>
            <w:gridSpan w:val="2"/>
            <w:tcBorders>
              <w:top w:val="nil"/>
              <w:left w:val="nil"/>
              <w:bottom w:val="single" w:color="000000" w:sz="4" w:space="0"/>
              <w:right w:val="single" w:color="000000" w:sz="4" w:space="0"/>
            </w:tcBorders>
            <w:tcMar>
              <w:top w:w="0" w:type="dxa"/>
              <w:left w:w="105" w:type="dxa"/>
              <w:bottom w:w="0" w:type="dxa"/>
              <w:right w:w="105" w:type="dxa"/>
            </w:tcMar>
          </w:tcPr>
          <w:p w14:paraId="14A50400">
            <w:pPr>
              <w:pStyle w:val="54"/>
              <w:spacing w:line="360" w:lineRule="auto"/>
              <w:jc w:val="center"/>
              <w:rPr>
                <w:rFonts w:hint="default"/>
                <w:color w:val="auto"/>
                <w:sz w:val="24"/>
                <w:szCs w:val="24"/>
              </w:rPr>
            </w:pPr>
            <w:r>
              <w:rPr>
                <w:rFonts w:ascii="宋体" w:hAnsi="宋体" w:eastAsia="宋体" w:cs="宋体"/>
                <w:color w:val="auto"/>
                <w:sz w:val="24"/>
                <w:szCs w:val="24"/>
              </w:rPr>
              <w:t xml:space="preserve"> 提供109条光纤链路用于厦门市重点片区夜景照明集中控制平台光纤接入通讯传输服务</w:t>
            </w:r>
          </w:p>
        </w:tc>
        <w:tc>
          <w:tcPr>
            <w:tcW w:w="2076" w:type="dxa"/>
            <w:tcBorders>
              <w:top w:val="nil"/>
              <w:left w:val="nil"/>
              <w:bottom w:val="single" w:color="000000" w:sz="4" w:space="0"/>
              <w:right w:val="single" w:color="000000" w:sz="4" w:space="0"/>
            </w:tcBorders>
            <w:tcMar>
              <w:top w:w="0" w:type="dxa"/>
              <w:left w:w="105" w:type="dxa"/>
              <w:bottom w:w="0" w:type="dxa"/>
              <w:right w:w="105" w:type="dxa"/>
            </w:tcMar>
          </w:tcPr>
          <w:p w14:paraId="022FA8A6">
            <w:pPr>
              <w:spacing w:line="360" w:lineRule="auto"/>
              <w:rPr>
                <w:color w:val="auto"/>
                <w:sz w:val="24"/>
                <w:szCs w:val="24"/>
              </w:rPr>
            </w:pPr>
          </w:p>
        </w:tc>
      </w:tr>
      <w:tr w14:paraId="71FA49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22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0F41A71">
            <w:pPr>
              <w:pStyle w:val="54"/>
              <w:spacing w:line="360" w:lineRule="auto"/>
              <w:jc w:val="right"/>
              <w:rPr>
                <w:rFonts w:hint="default"/>
                <w:color w:val="auto"/>
                <w:sz w:val="24"/>
                <w:szCs w:val="24"/>
              </w:rPr>
            </w:pPr>
            <w:r>
              <w:rPr>
                <w:rFonts w:ascii="宋体" w:hAnsi="宋体" w:eastAsia="宋体" w:cs="宋体"/>
                <w:color w:val="auto"/>
                <w:sz w:val="24"/>
                <w:szCs w:val="24"/>
              </w:rPr>
              <w:t>合计</w:t>
            </w:r>
          </w:p>
        </w:tc>
        <w:tc>
          <w:tcPr>
            <w:tcW w:w="2076" w:type="dxa"/>
            <w:tcBorders>
              <w:top w:val="nil"/>
              <w:left w:val="nil"/>
              <w:bottom w:val="single" w:color="000000" w:sz="4" w:space="0"/>
              <w:right w:val="single" w:color="000000" w:sz="4" w:space="0"/>
            </w:tcBorders>
            <w:tcMar>
              <w:top w:w="0" w:type="dxa"/>
              <w:left w:w="105" w:type="dxa"/>
              <w:bottom w:w="0" w:type="dxa"/>
              <w:right w:w="105" w:type="dxa"/>
            </w:tcMar>
          </w:tcPr>
          <w:p w14:paraId="053A2CD3">
            <w:pPr>
              <w:pStyle w:val="54"/>
              <w:spacing w:line="360" w:lineRule="auto"/>
              <w:jc w:val="center"/>
              <w:rPr>
                <w:rFonts w:hint="default"/>
                <w:color w:val="auto"/>
                <w:sz w:val="24"/>
                <w:szCs w:val="24"/>
              </w:rPr>
            </w:pPr>
          </w:p>
        </w:tc>
      </w:tr>
    </w:tbl>
    <w:p w14:paraId="7D7E8C0A">
      <w:pPr>
        <w:spacing w:line="360" w:lineRule="auto"/>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9、商务条件响应要求</w:t>
      </w:r>
    </w:p>
    <w:p w14:paraId="6EF48BA9">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9.1、投标人应具有质量管理体系认证，证书应在全国认证认可信息公共服务平台可查询，且在提交投标文件时证书应处于有效状态，投标人须提供证书扫描件，若未提供扫描件，也可提供全国认证认可信息公共服务平台（cx.cnca.cn）的证书信息查询截图。</w:t>
      </w:r>
    </w:p>
    <w:p w14:paraId="24BC44E9">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9.2、投标人具有国家部委行政主管部门或国家质量测评机构颁发的与本项目服务、履约等有关的信息化维保获奖证书的，将获优势评审。</w:t>
      </w:r>
    </w:p>
    <w:p w14:paraId="6288105E">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9.3、投标人应具有运维项目服务人员管理制度、奖惩制度。</w:t>
      </w:r>
    </w:p>
    <w:p w14:paraId="33BDBD39">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9.4、投标人具有为全国性或国家级信息化维保活动提供技术支持或保障服务的相关经验或获得表彰的，将获优势评审。</w:t>
      </w:r>
    </w:p>
    <w:p w14:paraId="04AB32C8">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9.5、投标人应提供企业服务和履约能力基本情况的说明，及其自2019年1月1日至今（以合同签订时间为准）类似本项目的经营业绩、经验的有效证明文件。</w:t>
      </w:r>
    </w:p>
    <w:p w14:paraId="5F26CCDF">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9.6、投标人应提供自2019年1月1日至今承接类似业绩项目获得业主单位出具的满意度证明，并提供相关证明材料。</w:t>
      </w:r>
    </w:p>
    <w:p w14:paraId="7D16F28D">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9.7、投标人独立取得夜景照明集中控制平台相关软件著作权并提供计算机软件著作权登记证书的，将获优势评审。</w:t>
      </w:r>
    </w:p>
    <w:p w14:paraId="796BF1AF">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9.8、投标人应为本项目提供本地化服务保障，投标人为本地注册企业或在项目所在地设有分支机构或服务办事处的，提供有效营业执照扫描件；有合作单位的须提供专项合作协议及合作单位营业执照有效扫描件；或者承诺合同签订后5个工作日内设立本地售后服务机构。须提供书面承诺（格式自拟）。</w:t>
      </w:r>
    </w:p>
    <w:p w14:paraId="62F9F9D8">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9.9、投标人应根据商务条件要求及商务项评分条款提供相应材料，并按要求提供相应的佐证材料，未按要求提供的将可能导致不得分。</w:t>
      </w:r>
    </w:p>
    <w:p w14:paraId="5A3DF2F9">
      <w:pPr>
        <w:spacing w:line="360" w:lineRule="auto"/>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10、保密要求</w:t>
      </w:r>
    </w:p>
    <w:p w14:paraId="5C2DB564">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10.1中标人承担本采购项目下保密义务，不得将因本次中标获得的任何信息向任何未经允许的第三人外传。</w:t>
      </w:r>
    </w:p>
    <w:p w14:paraId="5087E009">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10.2采购人有权将中标人提供的所有资料向其他政府部门或有关的非政府机构负责评审的人员或与评审有关的人员披露。</w:t>
      </w:r>
    </w:p>
    <w:p w14:paraId="301C288D">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10.3中标人必须对合作过程中涉及的工作秘密、业务需求、协议、各类成果资料等内容和相关事务保密。</w:t>
      </w:r>
    </w:p>
    <w:p w14:paraId="76BF47DE">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10.4中标人及其服务人员应绝对保证经手资料的保密和安全，不得以任何方式泄露工作过程中知悉的资料信息。</w:t>
      </w:r>
    </w:p>
    <w:p w14:paraId="3186B97E">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10.5任何因中标人泄密引起的不良社会影响和法律责任均由中标人承担。</w:t>
      </w:r>
    </w:p>
    <w:p w14:paraId="621EE993">
      <w:pPr>
        <w:spacing w:line="360" w:lineRule="auto"/>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11、专利、技术转让和知识产权要求</w:t>
      </w:r>
    </w:p>
    <w:p w14:paraId="426A2147">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中标人提供的采购标的应符合国家知识产权法律、法规的规定且非假冒伪劣品；中标人还应保证采购人不受到第三方关于侵犯知识产权及专利权、商标权或工业设计权等知识产权方面的指控，任何第三方如果提出此方面指控均与采购人无关，中标人应与第三方交涉，并承担可能发生的一切法律责任、费用和后果；若采购人因此而遭致损失，则中标人应赔偿该损失。</w:t>
      </w:r>
    </w:p>
    <w:p w14:paraId="56267E95">
      <w:pPr>
        <w:spacing w:line="360" w:lineRule="auto"/>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12、风险承担与责任认定机制</w:t>
      </w:r>
    </w:p>
    <w:p w14:paraId="7F38D437">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12.1、中标人的服务人员的工伤风险及相关费用，由中标人自行承担。</w:t>
      </w:r>
    </w:p>
    <w:p w14:paraId="57239951">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12.2、因意外事故或作业安全问题引发的人身伤亡和财产损失，中标人依法承担赔偿责任。</w:t>
      </w:r>
    </w:p>
    <w:p w14:paraId="1B92E187">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12.3、治安事件的责任认定，以公安部门裁定为准；非治安事件的责任认定，由双方协商，协商不成的，以诉讼方式认定。</w:t>
      </w:r>
    </w:p>
    <w:p w14:paraId="2A03DE94"/>
    <w:p w14:paraId="306D24E7">
      <w:pPr>
        <w:spacing w:line="360" w:lineRule="auto"/>
        <w:jc w:val="left"/>
        <w:rPr>
          <w:rFonts w:ascii="黑体" w:hAnsi="黑体" w:eastAsia="黑体" w:cs="宋体"/>
          <w:b/>
          <w:kern w:val="0"/>
          <w:sz w:val="32"/>
          <w:szCs w:val="24"/>
        </w:rPr>
      </w:pPr>
      <w:r>
        <w:rPr>
          <w:rFonts w:hint="eastAsia" w:ascii="黑体" w:hAnsi="黑体" w:eastAsia="黑体" w:cs="宋体"/>
          <w:b/>
          <w:kern w:val="0"/>
          <w:sz w:val="32"/>
          <w:szCs w:val="24"/>
        </w:rPr>
        <w:t>补充条款：</w:t>
      </w:r>
    </w:p>
    <w:p w14:paraId="5A6EBDDA">
      <w:pPr>
        <w:spacing w:line="360" w:lineRule="auto"/>
        <w:jc w:val="left"/>
        <w:rPr>
          <w:rFonts w:ascii="楷体" w:hAnsi="楷体" w:eastAsia="楷体" w:cs="宋体"/>
          <w:b/>
          <w:kern w:val="0"/>
          <w:sz w:val="32"/>
          <w:szCs w:val="24"/>
        </w:rPr>
      </w:pPr>
      <w:r>
        <w:rPr>
          <w:rFonts w:hint="eastAsia" w:ascii="楷体" w:hAnsi="楷体" w:eastAsia="楷体" w:cs="宋体"/>
          <w:b/>
          <w:kern w:val="0"/>
          <w:sz w:val="32"/>
          <w:szCs w:val="24"/>
        </w:rPr>
        <w:t>说明：本补充条款为招标文件组成部分，补充条款内容与招标文件其他地方内容不一致的，以本补充条款内容为准。请投标人仔细阅读。</w:t>
      </w:r>
      <w:r>
        <w:rPr>
          <w:rFonts w:ascii="楷体" w:hAnsi="楷体" w:eastAsia="楷体" w:cs="宋体"/>
          <w:b/>
          <w:kern w:val="0"/>
          <w:sz w:val="32"/>
          <w:szCs w:val="24"/>
        </w:rPr>
        <w:t xml:space="preserve"> </w:t>
      </w:r>
    </w:p>
    <w:p w14:paraId="01F070FF">
      <w:pPr>
        <w:spacing w:line="360" w:lineRule="auto"/>
        <w:rPr>
          <w:rFonts w:ascii="黑体" w:hAnsi="黑体" w:eastAsia="黑体"/>
          <w:b/>
          <w:sz w:val="32"/>
          <w:szCs w:val="32"/>
        </w:rPr>
      </w:pPr>
      <w:bookmarkStart w:id="26" w:name="_Toc100307865"/>
      <w:r>
        <w:rPr>
          <w:rFonts w:hint="eastAsia" w:ascii="黑体" w:hAnsi="黑体" w:eastAsia="黑体"/>
          <w:b/>
          <w:sz w:val="32"/>
          <w:szCs w:val="32"/>
        </w:rPr>
        <w:t>一、对《第二章  投标人须知前附表》的内容补充如下：</w:t>
      </w:r>
      <w:bookmarkEnd w:id="26"/>
    </w:p>
    <w:p w14:paraId="1657F420">
      <w:pPr>
        <w:spacing w:line="360" w:lineRule="auto"/>
        <w:jc w:val="center"/>
        <w:rPr>
          <w:rFonts w:ascii="黑体" w:hAnsi="黑体" w:eastAsia="黑体" w:cs="宋体"/>
          <w:b/>
          <w:kern w:val="0"/>
          <w:sz w:val="28"/>
          <w:szCs w:val="24"/>
        </w:rPr>
      </w:pPr>
      <w:r>
        <w:rPr>
          <w:rFonts w:hint="eastAsia" w:ascii="黑体" w:hAnsi="黑体" w:eastAsia="黑体" w:cs="宋体"/>
          <w:b/>
          <w:kern w:val="0"/>
          <w:sz w:val="28"/>
          <w:szCs w:val="24"/>
        </w:rPr>
        <w:t>一、投标人须知前附表1</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401"/>
        <w:gridCol w:w="6999"/>
      </w:tblGrid>
      <w:tr w14:paraId="1C988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562F84A6">
            <w:pPr>
              <w:spacing w:line="360" w:lineRule="auto"/>
              <w:jc w:val="center"/>
              <w:rPr>
                <w:rFonts w:ascii="宋体" w:hAnsi="宋体" w:eastAsia="宋体" w:cs="宋体"/>
                <w:kern w:val="0"/>
                <w:sz w:val="24"/>
                <w:szCs w:val="20"/>
              </w:rPr>
            </w:pPr>
            <w:r>
              <w:rPr>
                <w:rFonts w:ascii="宋体" w:hAnsi="宋体" w:eastAsia="宋体" w:cs="宋体"/>
                <w:kern w:val="0"/>
                <w:sz w:val="24"/>
                <w:szCs w:val="20"/>
              </w:rPr>
              <w:t>项号</w:t>
            </w:r>
          </w:p>
        </w:tc>
        <w:tc>
          <w:tcPr>
            <w:tcW w:w="1401" w:type="dxa"/>
            <w:vAlign w:val="center"/>
          </w:tcPr>
          <w:p w14:paraId="20E0553A">
            <w:pPr>
              <w:spacing w:line="360" w:lineRule="auto"/>
              <w:jc w:val="center"/>
              <w:rPr>
                <w:rFonts w:ascii="宋体" w:hAnsi="宋体" w:eastAsia="宋体" w:cs="宋体"/>
                <w:kern w:val="0"/>
                <w:sz w:val="24"/>
                <w:szCs w:val="20"/>
              </w:rPr>
            </w:pPr>
            <w:r>
              <w:rPr>
                <w:rFonts w:ascii="宋体" w:hAnsi="宋体" w:eastAsia="宋体" w:cs="宋体"/>
                <w:kern w:val="0"/>
                <w:sz w:val="24"/>
                <w:szCs w:val="20"/>
              </w:rPr>
              <w:t>招标文件</w:t>
            </w:r>
          </w:p>
          <w:p w14:paraId="6EF0BEBF">
            <w:pPr>
              <w:spacing w:line="360" w:lineRule="auto"/>
              <w:jc w:val="center"/>
              <w:rPr>
                <w:rFonts w:ascii="宋体" w:hAnsi="宋体" w:eastAsia="宋体" w:cs="宋体"/>
                <w:kern w:val="0"/>
                <w:sz w:val="24"/>
                <w:szCs w:val="20"/>
              </w:rPr>
            </w:pPr>
            <w:r>
              <w:rPr>
                <w:rFonts w:ascii="宋体" w:hAnsi="宋体" w:eastAsia="宋体" w:cs="宋体"/>
                <w:kern w:val="0"/>
                <w:sz w:val="24"/>
                <w:szCs w:val="20"/>
              </w:rPr>
              <w:t>（第三章）</w:t>
            </w:r>
          </w:p>
        </w:tc>
        <w:tc>
          <w:tcPr>
            <w:tcW w:w="6999" w:type="dxa"/>
            <w:vAlign w:val="center"/>
          </w:tcPr>
          <w:p w14:paraId="368575BD">
            <w:pPr>
              <w:spacing w:line="360" w:lineRule="auto"/>
              <w:jc w:val="center"/>
              <w:rPr>
                <w:rFonts w:ascii="宋体" w:hAnsi="宋体" w:eastAsia="宋体" w:cs="宋体"/>
                <w:kern w:val="0"/>
                <w:sz w:val="24"/>
                <w:szCs w:val="20"/>
              </w:rPr>
            </w:pPr>
            <w:r>
              <w:rPr>
                <w:rFonts w:ascii="宋体" w:hAnsi="宋体" w:eastAsia="宋体" w:cs="宋体"/>
                <w:kern w:val="0"/>
                <w:sz w:val="24"/>
                <w:szCs w:val="20"/>
              </w:rPr>
              <w:t>编列内容</w:t>
            </w:r>
          </w:p>
        </w:tc>
      </w:tr>
      <w:tr w14:paraId="2371F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62862409">
            <w:pPr>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8</w:t>
            </w:r>
          </w:p>
        </w:tc>
        <w:tc>
          <w:tcPr>
            <w:tcW w:w="1401" w:type="dxa"/>
            <w:vAlign w:val="center"/>
          </w:tcPr>
          <w:p w14:paraId="6DA15EA1">
            <w:pPr>
              <w:spacing w:line="360" w:lineRule="auto"/>
              <w:jc w:val="center"/>
              <w:rPr>
                <w:rFonts w:ascii="宋体" w:hAnsi="宋体" w:eastAsia="宋体" w:cs="宋体"/>
                <w:kern w:val="0"/>
                <w:sz w:val="24"/>
                <w:szCs w:val="20"/>
              </w:rPr>
            </w:pPr>
            <w:r>
              <w:rPr>
                <w:rFonts w:ascii="宋体" w:hAnsi="宋体" w:eastAsia="宋体" w:cs="宋体"/>
                <w:kern w:val="0"/>
                <w:sz w:val="24"/>
                <w:szCs w:val="20"/>
              </w:rPr>
              <w:t>15.1-（2）</w:t>
            </w:r>
          </w:p>
        </w:tc>
        <w:tc>
          <w:tcPr>
            <w:tcW w:w="6999" w:type="dxa"/>
          </w:tcPr>
          <w:p w14:paraId="4C992E19">
            <w:pPr>
              <w:spacing w:line="360" w:lineRule="auto"/>
              <w:jc w:val="left"/>
              <w:rPr>
                <w:rFonts w:ascii="宋体" w:hAnsi="宋体" w:eastAsia="宋体" w:cs="宋体"/>
                <w:b/>
                <w:bCs/>
                <w:kern w:val="0"/>
                <w:sz w:val="24"/>
                <w:szCs w:val="20"/>
              </w:rPr>
            </w:pPr>
            <w:r>
              <w:rPr>
                <w:rFonts w:ascii="宋体" w:hAnsi="宋体" w:eastAsia="宋体" w:cs="宋体"/>
                <w:b/>
                <w:bCs/>
                <w:kern w:val="0"/>
                <w:sz w:val="24"/>
                <w:szCs w:val="20"/>
              </w:rPr>
              <w:t>质疑函应采用下列方式之一提交：</w:t>
            </w:r>
          </w:p>
          <w:p w14:paraId="4AFAB07E">
            <w:pPr>
              <w:spacing w:line="360" w:lineRule="auto"/>
              <w:jc w:val="left"/>
              <w:rPr>
                <w:rFonts w:ascii="宋体" w:hAnsi="宋体" w:eastAsia="宋体" w:cs="宋体"/>
                <w:bCs/>
                <w:kern w:val="0"/>
                <w:sz w:val="24"/>
                <w:szCs w:val="20"/>
              </w:rPr>
            </w:pPr>
            <w:r>
              <w:rPr>
                <w:rFonts w:hint="eastAsia" w:ascii="宋体" w:hAnsi="宋体" w:eastAsia="宋体" w:cs="宋体"/>
                <w:bCs/>
                <w:kern w:val="0"/>
                <w:sz w:val="24"/>
                <w:szCs w:val="20"/>
              </w:rPr>
              <w:t>（1）邮件形式：将质疑函原件扫描发送至邮箱：</w:t>
            </w:r>
            <w:r>
              <w:rPr>
                <w:rFonts w:hint="eastAsia" w:ascii="宋体" w:hAnsi="宋体" w:eastAsia="宋体" w:cs="Times New Roman"/>
                <w:kern w:val="0"/>
                <w:sz w:val="24"/>
                <w:szCs w:val="20"/>
              </w:rPr>
              <w:t>xmgwcgzy@163.com。收到质疑函的时间以邮箱显示的收到时间为准。质疑答复过程中需要核对原件的，质疑人应提供原件核查，否则相关资料可能不被认可。</w:t>
            </w:r>
          </w:p>
          <w:p w14:paraId="1D9A295D">
            <w:pPr>
              <w:spacing w:line="360" w:lineRule="auto"/>
              <w:jc w:val="left"/>
              <w:rPr>
                <w:rFonts w:ascii="宋体" w:hAnsi="宋体" w:eastAsia="宋体" w:cs="宋体"/>
                <w:kern w:val="0"/>
                <w:sz w:val="24"/>
                <w:szCs w:val="20"/>
              </w:rPr>
            </w:pPr>
            <w:r>
              <w:rPr>
                <w:rFonts w:hint="eastAsia" w:ascii="宋体" w:hAnsi="宋体" w:eastAsia="宋体" w:cs="宋体"/>
                <w:kern w:val="0"/>
                <w:sz w:val="24"/>
                <w:szCs w:val="20"/>
              </w:rPr>
              <w:t>（2）快递形式：</w:t>
            </w:r>
            <w:r>
              <w:rPr>
                <w:rFonts w:hint="eastAsia" w:ascii="宋体" w:hAnsi="宋体" w:eastAsia="宋体" w:cs="宋体"/>
                <w:bCs/>
                <w:kern w:val="0"/>
                <w:sz w:val="24"/>
                <w:szCs w:val="20"/>
              </w:rPr>
              <w:t>将质疑函原件快递至厦门市湖滨南路81号光大银行大厦21楼前台，收件人：程小姐，电话：0592-2230888。</w:t>
            </w:r>
            <w:r>
              <w:rPr>
                <w:rFonts w:hint="eastAsia" w:ascii="宋体" w:hAnsi="宋体" w:eastAsia="宋体" w:cs="Times New Roman"/>
                <w:kern w:val="0"/>
                <w:sz w:val="24"/>
                <w:szCs w:val="20"/>
              </w:rPr>
              <w:t>收到质疑函的时间以快递签收时间为准。</w:t>
            </w:r>
          </w:p>
          <w:p w14:paraId="020B5BAD">
            <w:pPr>
              <w:spacing w:line="360" w:lineRule="auto"/>
              <w:jc w:val="left"/>
              <w:rPr>
                <w:rFonts w:ascii="宋体" w:hAnsi="宋体" w:eastAsia="宋体" w:cs="Times New Roman"/>
                <w:kern w:val="0"/>
                <w:sz w:val="24"/>
                <w:szCs w:val="20"/>
              </w:rPr>
            </w:pPr>
            <w:r>
              <w:rPr>
                <w:rFonts w:hint="eastAsia" w:ascii="宋体" w:hAnsi="宋体" w:eastAsia="宋体" w:cs="宋体"/>
                <w:kern w:val="0"/>
                <w:sz w:val="24"/>
                <w:szCs w:val="20"/>
              </w:rPr>
              <w:t>（3）现场送达：</w:t>
            </w:r>
            <w:r>
              <w:rPr>
                <w:rFonts w:hint="eastAsia" w:ascii="宋体" w:hAnsi="宋体" w:eastAsia="宋体" w:cs="宋体"/>
                <w:bCs/>
                <w:kern w:val="0"/>
                <w:sz w:val="24"/>
                <w:szCs w:val="20"/>
              </w:rPr>
              <w:t>将质疑函原件现场送至厦门市湖滨南路81号光大银行大厦21楼前台。</w:t>
            </w:r>
            <w:r>
              <w:rPr>
                <w:rFonts w:hint="eastAsia" w:ascii="宋体" w:hAnsi="宋体" w:eastAsia="宋体" w:cs="Times New Roman"/>
                <w:kern w:val="0"/>
                <w:sz w:val="24"/>
                <w:szCs w:val="20"/>
              </w:rPr>
              <w:t>收到质疑函的时间以前台签收时间为准。</w:t>
            </w:r>
          </w:p>
          <w:p w14:paraId="597334DD">
            <w:pPr>
              <w:spacing w:line="360" w:lineRule="auto"/>
              <w:jc w:val="left"/>
              <w:rPr>
                <w:rFonts w:ascii="宋体" w:hAnsi="宋体" w:eastAsia="宋体" w:cs="宋体"/>
                <w:kern w:val="0"/>
                <w:sz w:val="24"/>
                <w:szCs w:val="20"/>
              </w:rPr>
            </w:pPr>
            <w:r>
              <w:rPr>
                <w:rFonts w:hint="eastAsia" w:ascii="宋体" w:hAnsi="宋体" w:eastAsia="宋体" w:cs="宋体"/>
                <w:kern w:val="0"/>
                <w:sz w:val="24"/>
                <w:szCs w:val="20"/>
              </w:rPr>
              <w:t>注：提交质疑函须附上系统报名截图，质疑函须符合第三章第15条质疑的要求。</w:t>
            </w:r>
          </w:p>
        </w:tc>
      </w:tr>
    </w:tbl>
    <w:p w14:paraId="79C00961">
      <w:pPr>
        <w:spacing w:line="360" w:lineRule="auto"/>
        <w:jc w:val="left"/>
        <w:rPr>
          <w:rFonts w:ascii="宋体" w:hAnsi="宋体" w:eastAsia="宋体" w:cs="宋体"/>
          <w:kern w:val="0"/>
          <w:sz w:val="18"/>
          <w:szCs w:val="18"/>
        </w:rPr>
      </w:pPr>
    </w:p>
    <w:p w14:paraId="5DFADD95">
      <w:pPr>
        <w:spacing w:line="360" w:lineRule="auto"/>
        <w:rPr>
          <w:rFonts w:ascii="黑体" w:hAnsi="黑体" w:eastAsia="黑体"/>
          <w:b/>
          <w:sz w:val="32"/>
          <w:szCs w:val="32"/>
        </w:rPr>
      </w:pPr>
      <w:bookmarkStart w:id="27" w:name="_Toc100307866"/>
      <w:r>
        <w:rPr>
          <w:rFonts w:hint="eastAsia" w:ascii="黑体" w:hAnsi="黑体" w:eastAsia="黑体"/>
          <w:b/>
          <w:sz w:val="32"/>
          <w:szCs w:val="32"/>
        </w:rPr>
        <w:t>二、对《第三章  投标人须知》的内容补充如下：</w:t>
      </w:r>
      <w:bookmarkEnd w:id="27"/>
    </w:p>
    <w:p w14:paraId="2C5C784E">
      <w:pPr>
        <w:spacing w:line="360" w:lineRule="auto"/>
        <w:rPr>
          <w:rFonts w:ascii="黑体" w:hAnsi="黑体" w:eastAsia="黑体"/>
          <w:b/>
          <w:sz w:val="32"/>
          <w:szCs w:val="32"/>
        </w:rPr>
      </w:pPr>
      <w:bookmarkStart w:id="28" w:name="_Toc100307867"/>
      <w:r>
        <w:rPr>
          <w:rFonts w:hint="eastAsia" w:ascii="黑体" w:hAnsi="黑体" w:eastAsia="黑体"/>
          <w:b/>
          <w:sz w:val="32"/>
          <w:szCs w:val="32"/>
        </w:rPr>
        <w:t>（一）《八、政府采购政策》内容补充如下：</w:t>
      </w:r>
      <w:bookmarkEnd w:id="28"/>
    </w:p>
    <w:p w14:paraId="14CF0B65">
      <w:pPr>
        <w:spacing w:line="360" w:lineRule="auto"/>
        <w:rPr>
          <w:rFonts w:ascii="宋体" w:hAnsi="宋体" w:eastAsia="宋体" w:cs="Times New Roman"/>
          <w:sz w:val="24"/>
          <w:szCs w:val="28"/>
        </w:rPr>
      </w:pPr>
      <w:r>
        <w:rPr>
          <w:rFonts w:hint="eastAsia" w:ascii="宋体" w:hAnsi="宋体" w:eastAsia="宋体" w:cs="Times New Roman"/>
          <w:sz w:val="24"/>
          <w:szCs w:val="28"/>
          <w:highlight w:val="none"/>
        </w:rPr>
        <w:t>预留份额专门面向中小企业采购要求：</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7193"/>
      </w:tblGrid>
      <w:tr w14:paraId="7E403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32C0DAFB">
            <w:pPr>
              <w:spacing w:line="360" w:lineRule="auto"/>
              <w:jc w:val="center"/>
              <w:rPr>
                <w:rFonts w:ascii="宋体" w:hAnsi="宋体" w:eastAsia="宋体" w:cs="Times New Roman"/>
                <w:sz w:val="24"/>
                <w:szCs w:val="28"/>
              </w:rPr>
            </w:pPr>
            <w:r>
              <w:rPr>
                <w:rFonts w:hint="eastAsia" w:ascii="宋体" w:hAnsi="宋体" w:eastAsia="宋体" w:cs="Times New Roman"/>
                <w:sz w:val="24"/>
                <w:szCs w:val="28"/>
              </w:rPr>
              <w:t>中型、小型、微型企业界定</w:t>
            </w:r>
          </w:p>
        </w:tc>
        <w:tc>
          <w:tcPr>
            <w:tcW w:w="7193" w:type="dxa"/>
            <w:vAlign w:val="center"/>
          </w:tcPr>
          <w:p w14:paraId="32D5B537">
            <w:pPr>
              <w:spacing w:line="360" w:lineRule="auto"/>
              <w:rPr>
                <w:rFonts w:ascii="宋体" w:hAnsi="宋体" w:eastAsia="宋体" w:cs="Times New Roman"/>
                <w:sz w:val="24"/>
                <w:szCs w:val="28"/>
              </w:rPr>
            </w:pPr>
            <w:r>
              <w:rPr>
                <w:rFonts w:hint="eastAsia" w:ascii="宋体" w:hAnsi="宋体" w:eastAsia="宋体" w:cs="Times New Roman"/>
                <w:sz w:val="24"/>
                <w:szCs w:val="28"/>
              </w:rPr>
              <w:t>详见第三章第17.3条的相关规定。</w:t>
            </w:r>
          </w:p>
        </w:tc>
      </w:tr>
      <w:tr w14:paraId="1BA1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11194389">
            <w:pPr>
              <w:spacing w:line="360" w:lineRule="auto"/>
              <w:jc w:val="center"/>
              <w:rPr>
                <w:rFonts w:ascii="宋体" w:hAnsi="宋体" w:eastAsia="宋体" w:cs="Times New Roman"/>
                <w:sz w:val="24"/>
                <w:szCs w:val="28"/>
              </w:rPr>
            </w:pPr>
            <w:r>
              <w:rPr>
                <w:rFonts w:hint="eastAsia" w:ascii="宋体" w:hAnsi="宋体" w:eastAsia="宋体" w:cs="Times New Roman"/>
                <w:sz w:val="24"/>
                <w:szCs w:val="28"/>
              </w:rPr>
              <w:t>需满足的条件</w:t>
            </w:r>
          </w:p>
        </w:tc>
        <w:tc>
          <w:tcPr>
            <w:tcW w:w="7193" w:type="dxa"/>
            <w:vAlign w:val="center"/>
          </w:tcPr>
          <w:p w14:paraId="6D38C7CD">
            <w:pPr>
              <w:spacing w:line="360" w:lineRule="auto"/>
              <w:rPr>
                <w:rFonts w:ascii="宋体" w:hAnsi="宋体" w:eastAsia="宋体" w:cs="Times New Roman"/>
                <w:sz w:val="24"/>
                <w:szCs w:val="28"/>
              </w:rPr>
            </w:pPr>
            <w:r>
              <w:rPr>
                <w:rFonts w:hint="eastAsia" w:ascii="宋体" w:hAnsi="宋体" w:eastAsia="宋体" w:cs="Times New Roman"/>
                <w:sz w:val="24"/>
                <w:szCs w:val="28"/>
              </w:rPr>
              <w:t>1、服务由中型、小型、微型企业承接的部分需达到特定资格条件要求的比例，否则投标无效。</w:t>
            </w:r>
          </w:p>
          <w:p w14:paraId="680A4E24">
            <w:pPr>
              <w:spacing w:line="360" w:lineRule="auto"/>
              <w:rPr>
                <w:rFonts w:ascii="宋体" w:hAnsi="宋体" w:eastAsia="宋体" w:cs="Times New Roman"/>
                <w:sz w:val="24"/>
                <w:szCs w:val="28"/>
              </w:rPr>
            </w:pPr>
            <w:r>
              <w:rPr>
                <w:rFonts w:hint="eastAsia" w:ascii="宋体" w:hAnsi="宋体" w:eastAsia="宋体" w:cs="Times New Roman"/>
                <w:sz w:val="24"/>
                <w:szCs w:val="28"/>
              </w:rPr>
              <w:t>2、若本项目接受联合体投标的：①若投标人为大型企业，则应联合一家或者多家中小企业投标，且中小企业承接部分的金额占比需达到特定资格条件要求的比例。②若投标人为中型企业，则应联合一家或者多家小微企业投标，且中小企业承接部分的金额占比需达到特定资格条件要求的比例。③若投标人为小微企业，则可以自己单独投标即可。</w:t>
            </w:r>
          </w:p>
          <w:p w14:paraId="799E7292">
            <w:pPr>
              <w:spacing w:line="360" w:lineRule="auto"/>
              <w:rPr>
                <w:rFonts w:ascii="宋体" w:hAnsi="宋体" w:eastAsia="宋体" w:cs="Times New Roman"/>
                <w:sz w:val="24"/>
                <w:szCs w:val="28"/>
              </w:rPr>
            </w:pPr>
            <w:r>
              <w:rPr>
                <w:rFonts w:hint="eastAsia" w:ascii="宋体" w:hAnsi="宋体" w:eastAsia="宋体" w:cs="Times New Roman"/>
                <w:sz w:val="24"/>
                <w:szCs w:val="28"/>
              </w:rPr>
              <w:t>3、若本项目允许分包的：①若投标人为大型企业，则中标后需将部分内容分包给一家或者多家中小企业承接，且中小企业承接部分的金额占比需达到特定资格条件要求的比例。②若投标人为中型企业，则中标后需将部分内容分包给一家或者多家小微企业承接，且中小企业承接部分的金额占比需达到特定资格条件要求的比例。③若投标人为小微企业，则中标后无需再分包。</w:t>
            </w:r>
          </w:p>
        </w:tc>
      </w:tr>
      <w:tr w14:paraId="3E5E1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581E2577">
            <w:pPr>
              <w:spacing w:line="360" w:lineRule="auto"/>
              <w:jc w:val="center"/>
              <w:rPr>
                <w:rFonts w:ascii="宋体" w:hAnsi="宋体" w:eastAsia="宋体" w:cs="Times New Roman"/>
                <w:sz w:val="24"/>
                <w:szCs w:val="28"/>
              </w:rPr>
            </w:pPr>
            <w:r>
              <w:rPr>
                <w:rFonts w:hint="eastAsia" w:ascii="宋体" w:hAnsi="宋体" w:eastAsia="宋体" w:cs="Times New Roman"/>
                <w:sz w:val="24"/>
                <w:szCs w:val="28"/>
              </w:rPr>
              <w:t>需提供的材料</w:t>
            </w:r>
          </w:p>
        </w:tc>
        <w:tc>
          <w:tcPr>
            <w:tcW w:w="7193" w:type="dxa"/>
            <w:vAlign w:val="center"/>
          </w:tcPr>
          <w:p w14:paraId="3491E0ED">
            <w:pPr>
              <w:spacing w:line="360" w:lineRule="auto"/>
              <w:rPr>
                <w:rFonts w:ascii="宋体" w:hAnsi="宋体" w:eastAsia="宋体" w:cs="Times New Roman"/>
                <w:sz w:val="24"/>
                <w:szCs w:val="28"/>
              </w:rPr>
            </w:pPr>
            <w:r>
              <w:rPr>
                <w:rFonts w:hint="eastAsia" w:ascii="宋体" w:hAnsi="宋体" w:eastAsia="宋体" w:cs="Times New Roman"/>
                <w:sz w:val="24"/>
                <w:szCs w:val="28"/>
              </w:rPr>
              <w:t>投标文件中需提供《中小企业声明函》。若服务承接企业为监狱企业、残疾人福利性单位的，可不填写《中小企业声明函》，按第三章第17.3条的相关要求提供相应材料即可。</w:t>
            </w:r>
          </w:p>
        </w:tc>
      </w:tr>
      <w:tr w14:paraId="41B70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48599C6B">
            <w:pPr>
              <w:spacing w:line="360" w:lineRule="auto"/>
              <w:jc w:val="center"/>
              <w:rPr>
                <w:rFonts w:ascii="宋体" w:hAnsi="宋体" w:eastAsia="宋体" w:cs="Times New Roman"/>
                <w:sz w:val="24"/>
                <w:szCs w:val="28"/>
              </w:rPr>
            </w:pPr>
            <w:r>
              <w:rPr>
                <w:rFonts w:hint="eastAsia" w:ascii="宋体" w:hAnsi="宋体" w:eastAsia="宋体" w:cs="Times New Roman"/>
                <w:sz w:val="24"/>
                <w:szCs w:val="28"/>
              </w:rPr>
              <w:t>注意事项</w:t>
            </w:r>
          </w:p>
        </w:tc>
        <w:tc>
          <w:tcPr>
            <w:tcW w:w="7193" w:type="dxa"/>
            <w:vAlign w:val="center"/>
          </w:tcPr>
          <w:p w14:paraId="0627C821">
            <w:pPr>
              <w:spacing w:line="360" w:lineRule="auto"/>
              <w:rPr>
                <w:rFonts w:ascii="宋体" w:hAnsi="宋体" w:eastAsia="宋体" w:cs="Times New Roman"/>
                <w:sz w:val="24"/>
                <w:szCs w:val="28"/>
              </w:rPr>
            </w:pPr>
            <w:r>
              <w:rPr>
                <w:rFonts w:hint="eastAsia" w:ascii="宋体" w:hAnsi="宋体" w:eastAsia="宋体" w:cs="Times New Roman"/>
                <w:sz w:val="24"/>
                <w:szCs w:val="28"/>
              </w:rPr>
              <w:t>1、请投标人根据《关于印发中小企业划型标准规定的通知》（工信部联企业〔2011〕300号）规定的标准对企业规模进行认定。</w:t>
            </w:r>
          </w:p>
          <w:p w14:paraId="1805BFC3">
            <w:pPr>
              <w:spacing w:line="360" w:lineRule="auto"/>
              <w:rPr>
                <w:rFonts w:ascii="宋体" w:hAnsi="宋体" w:eastAsia="宋体" w:cs="Times New Roman"/>
                <w:sz w:val="24"/>
                <w:szCs w:val="28"/>
              </w:rPr>
            </w:pPr>
            <w:r>
              <w:rPr>
                <w:rFonts w:hint="eastAsia" w:ascii="宋体" w:hAnsi="宋体" w:eastAsia="宋体" w:cs="Times New Roman"/>
                <w:sz w:val="24"/>
                <w:szCs w:val="28"/>
              </w:rPr>
              <w:t>2、投标人需对声明的真实性负责，中标结果将同时公告中标供应商的《中小企业声明函》，投标人提供的声明函内容不实的，则属于提供虚假材料谋取中标情形，依照《政府采购法》等国家有关规定追究相应责任。</w:t>
            </w:r>
          </w:p>
        </w:tc>
      </w:tr>
      <w:tr w14:paraId="3B9A6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2"/>
            <w:vAlign w:val="center"/>
          </w:tcPr>
          <w:p w14:paraId="03F35D06">
            <w:pPr>
              <w:spacing w:line="360" w:lineRule="auto"/>
              <w:rPr>
                <w:rFonts w:ascii="宋体" w:hAnsi="宋体" w:eastAsia="宋体" w:cs="Times New Roman"/>
                <w:kern w:val="0"/>
                <w:sz w:val="24"/>
                <w:szCs w:val="28"/>
              </w:rPr>
            </w:pPr>
            <w:r>
              <w:rPr>
                <w:rFonts w:hint="eastAsia" w:ascii="宋体" w:hAnsi="宋体" w:eastAsia="宋体" w:cs="Times New Roman"/>
                <w:kern w:val="0"/>
                <w:sz w:val="24"/>
                <w:szCs w:val="28"/>
              </w:rPr>
              <w:t>注：1、中小企业包括中型企业、小型企业、微型企业。</w:t>
            </w:r>
          </w:p>
          <w:p w14:paraId="14178EB4">
            <w:pPr>
              <w:spacing w:line="360" w:lineRule="auto"/>
              <w:rPr>
                <w:rFonts w:ascii="宋体" w:hAnsi="宋体" w:eastAsia="宋体" w:cs="Times New Roman"/>
                <w:sz w:val="24"/>
                <w:szCs w:val="28"/>
              </w:rPr>
            </w:pPr>
            <w:r>
              <w:rPr>
                <w:rFonts w:hint="eastAsia" w:ascii="宋体" w:hAnsi="宋体" w:eastAsia="宋体" w:cs="Times New Roman"/>
                <w:kern w:val="0"/>
                <w:sz w:val="24"/>
                <w:szCs w:val="28"/>
              </w:rPr>
              <w:t>2、根据财政部、工信部《政府采购促进中小企业发展管理办法》、《福建省财政厅关于促进中小企业政府采购合同融资健康开展的通知》等政策，投标人中标后如需融资，可通过“福建省政府采购金融服务网”（网址：https://zfcg.czt.fujian.gov.cn/zcdservice/zcd/home/index）办理合同融资。</w:t>
            </w:r>
          </w:p>
        </w:tc>
      </w:tr>
    </w:tbl>
    <w:p w14:paraId="2F585982">
      <w:pPr>
        <w:spacing w:line="360" w:lineRule="auto"/>
        <w:jc w:val="left"/>
        <w:rPr>
          <w:rFonts w:ascii="宋体" w:hAnsi="宋体" w:eastAsia="宋体" w:cs="宋体"/>
          <w:kern w:val="0"/>
          <w:sz w:val="24"/>
          <w:szCs w:val="24"/>
        </w:rPr>
      </w:pPr>
    </w:p>
    <w:p w14:paraId="61BE724B">
      <w:pPr>
        <w:spacing w:line="360" w:lineRule="auto"/>
        <w:rPr>
          <w:rFonts w:ascii="宋体" w:hAnsi="宋体" w:eastAsia="宋体" w:cs="Times New Roman"/>
          <w:sz w:val="24"/>
          <w:szCs w:val="28"/>
        </w:rPr>
      </w:pPr>
    </w:p>
    <w:p w14:paraId="0AC1D364">
      <w:pPr>
        <w:spacing w:line="360" w:lineRule="auto"/>
        <w:rPr>
          <w:rFonts w:ascii="宋体" w:hAnsi="宋体" w:eastAsia="宋体" w:cs="宋体"/>
          <w:kern w:val="0"/>
          <w:sz w:val="24"/>
          <w:szCs w:val="24"/>
        </w:rPr>
        <w:sectPr>
          <w:footerReference r:id="rId5" w:type="first"/>
          <w:footerReference r:id="rId4" w:type="default"/>
          <w:pgSz w:w="11906" w:h="16838"/>
          <w:pgMar w:top="1418" w:right="1418" w:bottom="1418" w:left="1418" w:header="851" w:footer="992" w:gutter="0"/>
          <w:cols w:space="720" w:num="1"/>
          <w:titlePg/>
          <w:docGrid w:linePitch="312" w:charSpace="0"/>
        </w:sectPr>
      </w:pPr>
    </w:p>
    <w:p w14:paraId="5BF1F7AA">
      <w:pPr>
        <w:spacing w:line="360" w:lineRule="auto"/>
        <w:rPr>
          <w:rFonts w:ascii="黑体" w:hAnsi="黑体" w:eastAsia="黑体" w:cs="宋体"/>
          <w:b/>
          <w:kern w:val="0"/>
          <w:sz w:val="32"/>
          <w:szCs w:val="24"/>
        </w:rPr>
      </w:pPr>
      <w:r>
        <w:rPr>
          <w:rFonts w:hint="eastAsia" w:ascii="黑体" w:hAnsi="黑体" w:eastAsia="黑体" w:cs="宋体"/>
          <w:b/>
          <w:kern w:val="0"/>
          <w:sz w:val="32"/>
          <w:szCs w:val="24"/>
        </w:rPr>
        <w:t>三、对《第七章  电子投标文件格式》的内容补充如下：</w:t>
      </w:r>
    </w:p>
    <w:p w14:paraId="5B5688F7">
      <w:pPr>
        <w:spacing w:line="360" w:lineRule="auto"/>
        <w:rPr>
          <w:rFonts w:ascii="黑体" w:hAnsi="黑体" w:eastAsia="黑体" w:cs="宋体"/>
          <w:b/>
          <w:kern w:val="0"/>
          <w:sz w:val="32"/>
          <w:szCs w:val="24"/>
        </w:rPr>
      </w:pPr>
      <w:r>
        <w:rPr>
          <w:rFonts w:hint="eastAsia" w:ascii="黑体" w:hAnsi="黑体" w:eastAsia="黑体" w:cs="宋体"/>
          <w:b/>
          <w:kern w:val="0"/>
          <w:sz w:val="32"/>
          <w:szCs w:val="24"/>
        </w:rPr>
        <w:t>（一）《资格及资信证明部分》的格式补充如下：</w:t>
      </w:r>
    </w:p>
    <w:p w14:paraId="67F3B74A">
      <w:pPr>
        <w:spacing w:line="360" w:lineRule="auto"/>
        <w:jc w:val="center"/>
        <w:rPr>
          <w:rFonts w:ascii="黑体" w:hAnsi="黑体" w:eastAsia="黑体" w:cs="宋体"/>
          <w:b/>
          <w:bCs/>
          <w:kern w:val="0"/>
          <w:sz w:val="28"/>
          <w:szCs w:val="18"/>
        </w:rPr>
      </w:pPr>
      <w:r>
        <w:rPr>
          <w:rFonts w:ascii="黑体" w:hAnsi="黑体" w:eastAsia="黑体" w:cs="宋体"/>
          <w:b/>
          <w:bCs/>
          <w:kern w:val="0"/>
          <w:sz w:val="28"/>
          <w:szCs w:val="18"/>
        </w:rPr>
        <w:t>二-</w:t>
      </w:r>
      <w:r>
        <w:rPr>
          <w:rFonts w:hint="eastAsia" w:ascii="黑体" w:hAnsi="黑体" w:eastAsia="黑体" w:cs="宋体"/>
          <w:b/>
          <w:bCs/>
          <w:kern w:val="0"/>
          <w:sz w:val="28"/>
          <w:szCs w:val="18"/>
        </w:rPr>
        <w:t>9</w:t>
      </w:r>
      <w:r>
        <w:rPr>
          <w:rFonts w:ascii="黑体" w:hAnsi="黑体" w:eastAsia="黑体" w:cs="宋体"/>
          <w:b/>
          <w:bCs/>
          <w:kern w:val="0"/>
          <w:sz w:val="28"/>
          <w:szCs w:val="18"/>
        </w:rPr>
        <w:t>中小企业声明函</w:t>
      </w:r>
    </w:p>
    <w:p w14:paraId="79C3965D">
      <w:pPr>
        <w:spacing w:line="360" w:lineRule="auto"/>
        <w:jc w:val="center"/>
        <w:rPr>
          <w:rFonts w:ascii="黑体" w:hAnsi="黑体" w:eastAsia="黑体" w:cs="宋体"/>
          <w:b/>
          <w:bCs/>
          <w:kern w:val="0"/>
          <w:sz w:val="28"/>
          <w:szCs w:val="18"/>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整个采购包专门面向中小企业采购</w:t>
      </w:r>
      <w:r>
        <w:rPr>
          <w:rFonts w:ascii="Times New Roman" w:hAnsi="Times New Roman" w:eastAsia="宋体" w:cs="Times New Roman"/>
          <w:sz w:val="24"/>
          <w:szCs w:val="24"/>
        </w:rPr>
        <w:t>项目适用）</w:t>
      </w:r>
    </w:p>
    <w:p w14:paraId="0D8F1B71">
      <w:pPr>
        <w:spacing w:before="312" w:beforeLines="100" w:after="312" w:afterLines="100"/>
        <w:jc w:val="center"/>
        <w:rPr>
          <w:rFonts w:ascii="宋体" w:hAnsi="宋体" w:eastAsia="宋体" w:cs="Times New Roman"/>
          <w:b/>
          <w:spacing w:val="6"/>
          <w:sz w:val="32"/>
          <w:szCs w:val="32"/>
        </w:rPr>
      </w:pPr>
      <w:r>
        <w:rPr>
          <w:rFonts w:hint="eastAsia" w:ascii="宋体" w:hAnsi="宋体" w:eastAsia="宋体" w:cs="Times New Roman"/>
          <w:b/>
          <w:spacing w:val="6"/>
          <w:sz w:val="32"/>
          <w:szCs w:val="32"/>
        </w:rPr>
        <w:t>中小企业声明函（服务）</w:t>
      </w:r>
    </w:p>
    <w:p w14:paraId="5A4F118F">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本公司（联合体）郑重声明，根据《政府采购促进中小企业发展管理办法》（财库〔2020〕46 号）的规定，本公司（联合体）参加【厦门市住房和建设局】的【夜景照明集中控制平台运维服务】采购活动，服务全部由符合政策要求的中小企业承接。相关企业（含联合体中的中小企业、签订分包意向协议的中小企业）的具体情况如下：</w:t>
      </w:r>
    </w:p>
    <w:p w14:paraId="0AC8A8D6">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1.【夜景照明集中控制平台运维服务】，属于【软件和信息技术服务业】；承接企业为【  】，从业人员【  】人，营业收入为【  】万元，资产总额为【  】万元，属于【中型企业、小型企业、微型企业】（根据情况选择一项填写）；</w:t>
      </w:r>
    </w:p>
    <w:p w14:paraId="661E167E">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以上企业，不属于大企业的分支机构，不存在控股股东为大企业的情形，也不存在与大企业的负责人为同一人的情形。</w:t>
      </w:r>
    </w:p>
    <w:p w14:paraId="5A63CE77">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本企业对上述声明内容的真实性负责。如有虚假，将依法承担相应责任。</w:t>
      </w:r>
    </w:p>
    <w:p w14:paraId="0F8DD7DE">
      <w:pPr>
        <w:ind w:firstLine="4080" w:firstLineChars="1700"/>
        <w:rPr>
          <w:rFonts w:ascii="宋体" w:hAnsi="宋体" w:eastAsia="宋体" w:cs="Times New Roman"/>
          <w:sz w:val="24"/>
          <w:szCs w:val="32"/>
          <w:u w:val="single"/>
        </w:rPr>
      </w:pPr>
      <w:r>
        <w:rPr>
          <w:rFonts w:hint="eastAsia" w:ascii="宋体" w:hAnsi="宋体" w:eastAsia="宋体" w:cs="Times New Roman"/>
          <w:sz w:val="24"/>
          <w:szCs w:val="32"/>
        </w:rPr>
        <w:t>企业名称（盖章）：</w:t>
      </w:r>
      <w:r>
        <w:rPr>
          <w:rFonts w:hint="eastAsia" w:ascii="宋体" w:hAnsi="宋体" w:eastAsia="宋体" w:cs="Times New Roman"/>
          <w:sz w:val="24"/>
          <w:szCs w:val="32"/>
          <w:u w:val="single"/>
        </w:rPr>
        <w:t xml:space="preserve">              </w:t>
      </w:r>
    </w:p>
    <w:p w14:paraId="786A098B">
      <w:pPr>
        <w:ind w:firstLine="4080" w:firstLineChars="1700"/>
        <w:rPr>
          <w:rFonts w:ascii="宋体" w:hAnsi="宋体" w:eastAsia="宋体" w:cs="Times New Roman"/>
          <w:sz w:val="24"/>
          <w:szCs w:val="32"/>
          <w:u w:val="single"/>
        </w:rPr>
      </w:pPr>
      <w:r>
        <w:rPr>
          <w:rFonts w:hint="eastAsia" w:ascii="宋体" w:hAnsi="宋体" w:eastAsia="宋体" w:cs="Times New Roman"/>
          <w:sz w:val="24"/>
          <w:szCs w:val="32"/>
        </w:rPr>
        <w:t>日期：</w:t>
      </w:r>
      <w:r>
        <w:rPr>
          <w:rFonts w:hint="eastAsia" w:ascii="宋体" w:hAnsi="宋体" w:eastAsia="宋体" w:cs="Times New Roman"/>
          <w:sz w:val="24"/>
          <w:szCs w:val="32"/>
          <w:u w:val="single"/>
        </w:rPr>
        <w:t xml:space="preserve">                         </w:t>
      </w:r>
    </w:p>
    <w:p w14:paraId="3B622371">
      <w:pPr>
        <w:spacing w:line="360" w:lineRule="auto"/>
        <w:rPr>
          <w:rFonts w:ascii="宋体" w:hAnsi="宋体" w:eastAsia="宋体" w:cs="Times New Roman"/>
          <w:sz w:val="24"/>
          <w:szCs w:val="24"/>
        </w:rPr>
      </w:pPr>
      <w:r>
        <w:rPr>
          <w:rFonts w:hint="eastAsia" w:ascii="宋体" w:hAnsi="宋体" w:eastAsia="宋体" w:cs="Times New Roman"/>
          <w:sz w:val="24"/>
          <w:szCs w:val="24"/>
        </w:rPr>
        <w:t>填写说明：</w:t>
      </w:r>
    </w:p>
    <w:p w14:paraId="12BDBA2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1、填报的企业类型与划型标准不对应的，将可能导致投标无效。</w:t>
      </w:r>
    </w:p>
    <w:p w14:paraId="23B363D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2、从业人员、营业收入、资产总额填报上一年度数据，无上一年度数据的新成立企业可不填报，在【】内填“\”即可。</w:t>
      </w:r>
    </w:p>
    <w:p w14:paraId="4BCDE43D">
      <w:pPr>
        <w:spacing w:line="360" w:lineRule="auto"/>
        <w:ind w:firstLine="480" w:firstLineChars="200"/>
        <w:rPr>
          <w:rFonts w:ascii="宋体" w:hAnsi="宋体"/>
          <w:sz w:val="24"/>
        </w:rPr>
      </w:pPr>
      <w:r>
        <w:rPr>
          <w:rFonts w:hint="eastAsia" w:ascii="宋体" w:hAnsi="宋体"/>
          <w:sz w:val="24"/>
        </w:rPr>
        <w:t>3、营业收入、资产总额应按财务审计报告上的数据填写，可填写完整数值，也可填写取整至万元的数值，如1234.56789万元可填写为1234万元。</w:t>
      </w:r>
      <w:r>
        <w:rPr>
          <w:rFonts w:hint="eastAsia" w:ascii="宋体" w:hAnsi="宋体" w:eastAsia="宋体" w:cs="Times New Roman"/>
          <w:sz w:val="24"/>
          <w:szCs w:val="24"/>
        </w:rPr>
        <w:t>若填报的数据与投标人自己提供的上一年度财务审计报告数据有出入的，将可能导致投标无效。</w:t>
      </w:r>
    </w:p>
    <w:p w14:paraId="34E50276">
      <w:pPr>
        <w:spacing w:line="360" w:lineRule="auto"/>
        <w:ind w:firstLine="480" w:firstLineChars="200"/>
        <w:rPr>
          <w:rFonts w:ascii="宋体" w:hAnsi="宋体" w:eastAsia="宋体" w:cs="Times New Roman"/>
          <w:sz w:val="24"/>
          <w:szCs w:val="24"/>
        </w:rPr>
      </w:pPr>
      <w:r>
        <w:rPr>
          <w:rFonts w:hint="eastAsia" w:ascii="宋体" w:hAnsi="宋体"/>
          <w:sz w:val="24"/>
        </w:rPr>
        <w:t>4、从业人员数量建议按企业在国家企业信用信息公示系统中填报的上一年度年报数据填写。</w:t>
      </w:r>
    </w:p>
    <w:p w14:paraId="2AECE36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5、带【】的地方都要填写，同时不得删减、更改内容，否则将可能导致投标无效。</w:t>
      </w:r>
    </w:p>
    <w:p w14:paraId="3CCD82F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6、若对填写本声明函有疑问的，请及时联系代理机构咨询，否则由此导致的不利后果由投标人自行承担。</w:t>
      </w:r>
    </w:p>
    <w:p w14:paraId="0407C7C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7、各行业划型标准为：</w:t>
      </w:r>
    </w:p>
    <w:p w14:paraId="3B2DAE4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（一）农、林、牧、渔业。营业收入20000万元以下的为中小微型企业。其中，营业收入500万元及以上的为中型企业，营业收入50万元及以上的为小型企业，营业收入50万元以下的为微型企业。</w:t>
      </w:r>
    </w:p>
    <w:p w14:paraId="2233A19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5D59A9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AD924C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5163B8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2CC657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A228A8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296224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80534C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335FD3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CA6B52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3D28DF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23083C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FC6CF5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B450FB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B0E8D7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（十六）其他未列明行业。从业人员300人以下的为中小微型企业。其中，从业人员100人及以上的为中型企业；从业人员10人及以上的为小型企业；从业人员10人以下的为微型企业。</w:t>
      </w:r>
    </w:p>
    <w:p w14:paraId="7B6C680C">
      <w:pPr>
        <w:spacing w:line="360" w:lineRule="auto"/>
        <w:jc w:val="center"/>
        <w:rPr>
          <w:rFonts w:ascii="宋体" w:hAnsi="宋体" w:eastAsia="宋体" w:cs="Times New Roman"/>
          <w:sz w:val="24"/>
          <w:szCs w:val="24"/>
        </w:rPr>
      </w:pPr>
    </w:p>
    <w:p w14:paraId="1545909D">
      <w:pPr>
        <w:spacing w:line="360" w:lineRule="auto"/>
        <w:rPr>
          <w:rFonts w:ascii="黑体" w:hAnsi="黑体" w:eastAsia="黑体" w:cs="宋体"/>
          <w:b/>
          <w:kern w:val="0"/>
          <w:sz w:val="32"/>
          <w:szCs w:val="24"/>
        </w:rPr>
      </w:pPr>
      <w:r>
        <w:rPr>
          <w:rFonts w:hint="eastAsia" w:ascii="黑体" w:hAnsi="黑体" w:eastAsia="黑体" w:cs="宋体"/>
          <w:b/>
          <w:kern w:val="0"/>
          <w:sz w:val="32"/>
          <w:szCs w:val="24"/>
        </w:rPr>
        <w:t>（二）《技术商务部分》的格式补充如下：</w:t>
      </w:r>
    </w:p>
    <w:p w14:paraId="3E47A1D8">
      <w:pPr>
        <w:spacing w:line="360" w:lineRule="auto"/>
        <w:jc w:val="center"/>
        <w:rPr>
          <w:rFonts w:ascii="黑体" w:hAnsi="黑体" w:eastAsia="黑体" w:cs="宋体"/>
          <w:b/>
          <w:bCs/>
          <w:kern w:val="0"/>
          <w:sz w:val="28"/>
          <w:szCs w:val="18"/>
        </w:rPr>
      </w:pPr>
    </w:p>
    <w:p w14:paraId="5404CCA5">
      <w:pPr>
        <w:spacing w:line="360" w:lineRule="auto"/>
        <w:jc w:val="center"/>
        <w:rPr>
          <w:rFonts w:ascii="黑体" w:hAnsi="黑体" w:eastAsia="黑体" w:cs="宋体"/>
          <w:b/>
          <w:bCs/>
          <w:kern w:val="0"/>
          <w:sz w:val="28"/>
          <w:szCs w:val="18"/>
        </w:rPr>
      </w:pPr>
      <w:r>
        <w:rPr>
          <w:rFonts w:ascii="黑体" w:hAnsi="黑体" w:eastAsia="黑体" w:cs="宋体"/>
          <w:b/>
          <w:bCs/>
          <w:kern w:val="0"/>
          <w:sz w:val="28"/>
          <w:szCs w:val="18"/>
        </w:rPr>
        <w:t>四、投标人提交的其他资料</w:t>
      </w:r>
    </w:p>
    <w:p w14:paraId="565EC113">
      <w:pPr>
        <w:spacing w:line="360" w:lineRule="auto"/>
        <w:jc w:val="center"/>
        <w:rPr>
          <w:rFonts w:ascii="黑体" w:hAnsi="黑体" w:eastAsia="黑体" w:cs="宋体"/>
          <w:b/>
          <w:bCs/>
          <w:kern w:val="0"/>
          <w:sz w:val="28"/>
          <w:szCs w:val="18"/>
        </w:rPr>
      </w:pPr>
      <w:r>
        <w:rPr>
          <w:rFonts w:hint="eastAsia" w:ascii="黑体" w:hAnsi="黑体" w:eastAsia="黑体" w:cs="宋体"/>
          <w:b/>
          <w:bCs/>
          <w:kern w:val="0"/>
          <w:sz w:val="28"/>
          <w:szCs w:val="18"/>
        </w:rPr>
        <w:t>（一）带“★”号条款逐条响应情况表</w:t>
      </w:r>
    </w:p>
    <w:p w14:paraId="7EBF45FA">
      <w:pPr>
        <w:spacing w:line="360" w:lineRule="auto"/>
        <w:rPr>
          <w:rFonts w:ascii="宋体" w:hAnsi="宋体" w:eastAsia="宋体" w:cs="Times New Roman"/>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Times New Roman"/>
          <w:sz w:val="24"/>
          <w:szCs w:val="24"/>
        </w:rPr>
        <w:t xml:space="preserve">     招标编号</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8"/>
        <w:gridCol w:w="3333"/>
        <w:gridCol w:w="1836"/>
        <w:gridCol w:w="2627"/>
      </w:tblGrid>
      <w:tr w14:paraId="6267D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968" w:type="dxa"/>
            <w:vAlign w:val="center"/>
          </w:tcPr>
          <w:p w14:paraId="62464054">
            <w:pPr>
              <w:spacing w:line="360" w:lineRule="auto"/>
              <w:jc w:val="center"/>
              <w:rPr>
                <w:rFonts w:ascii="宋体" w:hAnsi="宋体" w:eastAsia="宋体" w:cs="Times New Roman"/>
                <w:kern w:val="0"/>
                <w:sz w:val="20"/>
                <w:szCs w:val="24"/>
              </w:rPr>
            </w:pPr>
            <w:r>
              <w:rPr>
                <w:rFonts w:hint="eastAsia" w:ascii="宋体" w:hAnsi="宋体" w:eastAsia="宋体" w:cs="Times New Roman"/>
                <w:kern w:val="0"/>
                <w:sz w:val="20"/>
                <w:szCs w:val="24"/>
              </w:rPr>
              <w:t>条款号</w:t>
            </w:r>
          </w:p>
        </w:tc>
        <w:tc>
          <w:tcPr>
            <w:tcW w:w="3333" w:type="dxa"/>
            <w:vAlign w:val="center"/>
          </w:tcPr>
          <w:p w14:paraId="5596E434">
            <w:pPr>
              <w:spacing w:line="360" w:lineRule="auto"/>
              <w:jc w:val="center"/>
              <w:rPr>
                <w:rFonts w:ascii="宋体" w:hAnsi="宋体" w:eastAsia="宋体" w:cs="Times New Roman"/>
                <w:kern w:val="0"/>
                <w:sz w:val="20"/>
                <w:szCs w:val="24"/>
              </w:rPr>
            </w:pPr>
            <w:r>
              <w:rPr>
                <w:rFonts w:hint="eastAsia" w:ascii="宋体" w:hAnsi="宋体" w:eastAsia="宋体" w:cs="Times New Roman"/>
                <w:kern w:val="0"/>
                <w:sz w:val="20"/>
                <w:szCs w:val="24"/>
              </w:rPr>
              <w:t>招标文件中带“★”号的条款</w:t>
            </w:r>
          </w:p>
        </w:tc>
        <w:tc>
          <w:tcPr>
            <w:tcW w:w="1836" w:type="dxa"/>
            <w:vAlign w:val="center"/>
          </w:tcPr>
          <w:p w14:paraId="01F6A353">
            <w:pPr>
              <w:spacing w:line="360" w:lineRule="auto"/>
              <w:jc w:val="center"/>
              <w:rPr>
                <w:rFonts w:ascii="宋体" w:hAnsi="宋体" w:eastAsia="宋体" w:cs="Times New Roman"/>
                <w:kern w:val="0"/>
                <w:sz w:val="20"/>
                <w:szCs w:val="24"/>
              </w:rPr>
            </w:pPr>
            <w:r>
              <w:rPr>
                <w:rFonts w:ascii="宋体" w:hAnsi="宋体" w:eastAsia="宋体" w:cs="Times New Roman"/>
                <w:kern w:val="0"/>
                <w:sz w:val="20"/>
                <w:szCs w:val="24"/>
              </w:rPr>
              <w:t>投标响应</w:t>
            </w:r>
            <w:r>
              <w:rPr>
                <w:rFonts w:hint="eastAsia" w:ascii="宋体" w:hAnsi="宋体" w:eastAsia="宋体" w:cs="Times New Roman"/>
                <w:kern w:val="0"/>
                <w:sz w:val="20"/>
                <w:szCs w:val="24"/>
              </w:rPr>
              <w:t>内容</w:t>
            </w:r>
          </w:p>
        </w:tc>
        <w:tc>
          <w:tcPr>
            <w:tcW w:w="2627" w:type="dxa"/>
            <w:vAlign w:val="center"/>
          </w:tcPr>
          <w:p w14:paraId="6CD5B55D">
            <w:pPr>
              <w:spacing w:line="360" w:lineRule="auto"/>
              <w:jc w:val="center"/>
              <w:rPr>
                <w:rFonts w:ascii="宋体" w:hAnsi="宋体" w:eastAsia="宋体" w:cs="Times New Roman"/>
                <w:kern w:val="0"/>
                <w:sz w:val="20"/>
                <w:szCs w:val="24"/>
              </w:rPr>
            </w:pPr>
            <w:r>
              <w:rPr>
                <w:rFonts w:hint="eastAsia" w:ascii="宋体" w:hAnsi="宋体" w:eastAsia="宋体" w:cs="Times New Roman"/>
                <w:kern w:val="0"/>
                <w:sz w:val="20"/>
                <w:szCs w:val="24"/>
              </w:rPr>
              <w:t>对应投标文件页码</w:t>
            </w:r>
          </w:p>
        </w:tc>
      </w:tr>
      <w:tr w14:paraId="6306C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77A6A8DE">
            <w:pPr>
              <w:spacing w:line="360" w:lineRule="auto"/>
              <w:jc w:val="center"/>
              <w:rPr>
                <w:rFonts w:ascii="宋体" w:hAnsi="宋体" w:eastAsia="宋体" w:cs="Times New Roman"/>
                <w:kern w:val="0"/>
                <w:sz w:val="20"/>
                <w:szCs w:val="24"/>
              </w:rPr>
            </w:pPr>
          </w:p>
        </w:tc>
        <w:tc>
          <w:tcPr>
            <w:tcW w:w="3333" w:type="dxa"/>
            <w:vAlign w:val="center"/>
          </w:tcPr>
          <w:p w14:paraId="480169AE">
            <w:pPr>
              <w:spacing w:line="360" w:lineRule="auto"/>
              <w:jc w:val="center"/>
              <w:rPr>
                <w:rFonts w:ascii="宋体" w:hAnsi="宋体" w:eastAsia="宋体" w:cs="宋体"/>
                <w:bCs/>
                <w:kern w:val="0"/>
                <w:sz w:val="20"/>
                <w:szCs w:val="24"/>
              </w:rPr>
            </w:pPr>
          </w:p>
        </w:tc>
        <w:tc>
          <w:tcPr>
            <w:tcW w:w="1836" w:type="dxa"/>
            <w:vAlign w:val="center"/>
          </w:tcPr>
          <w:p w14:paraId="21E39E0A">
            <w:pPr>
              <w:spacing w:line="360" w:lineRule="auto"/>
              <w:jc w:val="center"/>
              <w:rPr>
                <w:rFonts w:ascii="宋体" w:hAnsi="宋体" w:eastAsia="宋体" w:cs="Times New Roman"/>
                <w:kern w:val="0"/>
                <w:sz w:val="20"/>
                <w:szCs w:val="24"/>
              </w:rPr>
            </w:pPr>
          </w:p>
        </w:tc>
        <w:tc>
          <w:tcPr>
            <w:tcW w:w="2627" w:type="dxa"/>
            <w:vAlign w:val="center"/>
          </w:tcPr>
          <w:p w14:paraId="3621146A">
            <w:pPr>
              <w:spacing w:line="360" w:lineRule="auto"/>
              <w:jc w:val="center"/>
              <w:rPr>
                <w:rFonts w:ascii="宋体" w:hAnsi="宋体" w:eastAsia="宋体" w:cs="Times New Roman"/>
                <w:kern w:val="0"/>
                <w:sz w:val="20"/>
                <w:szCs w:val="24"/>
              </w:rPr>
            </w:pPr>
          </w:p>
        </w:tc>
      </w:tr>
      <w:tr w14:paraId="5293B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7F267C2C">
            <w:pPr>
              <w:spacing w:line="360" w:lineRule="auto"/>
              <w:jc w:val="center"/>
              <w:rPr>
                <w:rFonts w:ascii="宋体" w:hAnsi="宋体" w:eastAsia="宋体" w:cs="Times New Roman"/>
                <w:kern w:val="0"/>
                <w:sz w:val="20"/>
                <w:szCs w:val="24"/>
              </w:rPr>
            </w:pPr>
          </w:p>
        </w:tc>
        <w:tc>
          <w:tcPr>
            <w:tcW w:w="3333" w:type="dxa"/>
            <w:vAlign w:val="center"/>
          </w:tcPr>
          <w:p w14:paraId="341BFD79">
            <w:pPr>
              <w:spacing w:line="360" w:lineRule="auto"/>
              <w:jc w:val="center"/>
              <w:rPr>
                <w:rFonts w:ascii="宋体" w:hAnsi="宋体" w:eastAsia="宋体" w:cs="宋体"/>
                <w:bCs/>
                <w:kern w:val="0"/>
                <w:sz w:val="20"/>
                <w:szCs w:val="24"/>
              </w:rPr>
            </w:pPr>
          </w:p>
        </w:tc>
        <w:tc>
          <w:tcPr>
            <w:tcW w:w="1836" w:type="dxa"/>
            <w:vAlign w:val="center"/>
          </w:tcPr>
          <w:p w14:paraId="72BCE16A">
            <w:pPr>
              <w:spacing w:line="360" w:lineRule="auto"/>
              <w:jc w:val="center"/>
              <w:rPr>
                <w:rFonts w:ascii="宋体" w:hAnsi="宋体" w:eastAsia="宋体" w:cs="Times New Roman"/>
                <w:kern w:val="0"/>
                <w:sz w:val="20"/>
                <w:szCs w:val="24"/>
              </w:rPr>
            </w:pPr>
          </w:p>
        </w:tc>
        <w:tc>
          <w:tcPr>
            <w:tcW w:w="2627" w:type="dxa"/>
            <w:vAlign w:val="center"/>
          </w:tcPr>
          <w:p w14:paraId="4537950E">
            <w:pPr>
              <w:spacing w:line="360" w:lineRule="auto"/>
              <w:jc w:val="center"/>
              <w:rPr>
                <w:rFonts w:ascii="宋体" w:hAnsi="宋体" w:eastAsia="宋体" w:cs="Times New Roman"/>
                <w:kern w:val="0"/>
                <w:sz w:val="20"/>
                <w:szCs w:val="24"/>
              </w:rPr>
            </w:pPr>
          </w:p>
        </w:tc>
      </w:tr>
      <w:tr w14:paraId="098E9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71E3E2F8">
            <w:pPr>
              <w:spacing w:line="360" w:lineRule="auto"/>
              <w:jc w:val="center"/>
              <w:rPr>
                <w:rFonts w:ascii="宋体" w:hAnsi="宋体" w:eastAsia="宋体" w:cs="Times New Roman"/>
                <w:kern w:val="0"/>
                <w:sz w:val="20"/>
                <w:szCs w:val="24"/>
              </w:rPr>
            </w:pPr>
          </w:p>
        </w:tc>
        <w:tc>
          <w:tcPr>
            <w:tcW w:w="3333" w:type="dxa"/>
            <w:vAlign w:val="center"/>
          </w:tcPr>
          <w:p w14:paraId="1B8B8A4F">
            <w:pPr>
              <w:spacing w:line="360" w:lineRule="auto"/>
              <w:jc w:val="center"/>
              <w:rPr>
                <w:rFonts w:ascii="宋体" w:hAnsi="宋体" w:eastAsia="宋体" w:cs="宋体"/>
                <w:bCs/>
                <w:kern w:val="0"/>
                <w:sz w:val="20"/>
                <w:szCs w:val="24"/>
              </w:rPr>
            </w:pPr>
          </w:p>
        </w:tc>
        <w:tc>
          <w:tcPr>
            <w:tcW w:w="1836" w:type="dxa"/>
            <w:vAlign w:val="center"/>
          </w:tcPr>
          <w:p w14:paraId="3472EE21">
            <w:pPr>
              <w:spacing w:line="360" w:lineRule="auto"/>
              <w:jc w:val="center"/>
              <w:rPr>
                <w:rFonts w:ascii="宋体" w:hAnsi="宋体" w:eastAsia="宋体" w:cs="Times New Roman"/>
                <w:kern w:val="0"/>
                <w:sz w:val="20"/>
                <w:szCs w:val="24"/>
              </w:rPr>
            </w:pPr>
          </w:p>
        </w:tc>
        <w:tc>
          <w:tcPr>
            <w:tcW w:w="2627" w:type="dxa"/>
            <w:vAlign w:val="center"/>
          </w:tcPr>
          <w:p w14:paraId="21FC78DB">
            <w:pPr>
              <w:spacing w:line="360" w:lineRule="auto"/>
              <w:jc w:val="center"/>
              <w:rPr>
                <w:rFonts w:ascii="宋体" w:hAnsi="宋体" w:eastAsia="宋体" w:cs="Times New Roman"/>
                <w:kern w:val="0"/>
                <w:sz w:val="20"/>
                <w:szCs w:val="24"/>
              </w:rPr>
            </w:pPr>
          </w:p>
        </w:tc>
      </w:tr>
      <w:tr w14:paraId="4E7FC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36DB808F">
            <w:pPr>
              <w:spacing w:line="360" w:lineRule="auto"/>
              <w:jc w:val="center"/>
              <w:rPr>
                <w:rFonts w:ascii="宋体" w:hAnsi="宋体" w:eastAsia="宋体" w:cs="Times New Roman"/>
                <w:kern w:val="0"/>
                <w:sz w:val="20"/>
                <w:szCs w:val="24"/>
              </w:rPr>
            </w:pPr>
          </w:p>
        </w:tc>
        <w:tc>
          <w:tcPr>
            <w:tcW w:w="3333" w:type="dxa"/>
            <w:vAlign w:val="center"/>
          </w:tcPr>
          <w:p w14:paraId="02E6E958">
            <w:pPr>
              <w:spacing w:line="360" w:lineRule="auto"/>
              <w:jc w:val="center"/>
              <w:rPr>
                <w:rFonts w:ascii="宋体" w:hAnsi="宋体" w:eastAsia="宋体" w:cs="宋体"/>
                <w:bCs/>
                <w:kern w:val="0"/>
                <w:sz w:val="20"/>
                <w:szCs w:val="24"/>
              </w:rPr>
            </w:pPr>
          </w:p>
        </w:tc>
        <w:tc>
          <w:tcPr>
            <w:tcW w:w="1836" w:type="dxa"/>
            <w:vAlign w:val="center"/>
          </w:tcPr>
          <w:p w14:paraId="27175E9B">
            <w:pPr>
              <w:spacing w:line="360" w:lineRule="auto"/>
              <w:jc w:val="center"/>
              <w:rPr>
                <w:rFonts w:ascii="宋体" w:hAnsi="宋体" w:eastAsia="宋体" w:cs="Times New Roman"/>
                <w:kern w:val="0"/>
                <w:sz w:val="20"/>
                <w:szCs w:val="24"/>
              </w:rPr>
            </w:pPr>
          </w:p>
        </w:tc>
        <w:tc>
          <w:tcPr>
            <w:tcW w:w="2627" w:type="dxa"/>
            <w:vAlign w:val="center"/>
          </w:tcPr>
          <w:p w14:paraId="57DDB77C">
            <w:pPr>
              <w:spacing w:line="360" w:lineRule="auto"/>
              <w:jc w:val="center"/>
              <w:rPr>
                <w:rFonts w:ascii="宋体" w:hAnsi="宋体" w:eastAsia="宋体" w:cs="Times New Roman"/>
                <w:kern w:val="0"/>
                <w:sz w:val="20"/>
                <w:szCs w:val="24"/>
              </w:rPr>
            </w:pPr>
          </w:p>
        </w:tc>
      </w:tr>
      <w:tr w14:paraId="07E46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3DA4D201">
            <w:pPr>
              <w:spacing w:line="360" w:lineRule="auto"/>
              <w:jc w:val="center"/>
              <w:rPr>
                <w:rFonts w:ascii="宋体" w:hAnsi="宋体" w:eastAsia="宋体" w:cs="Times New Roman"/>
                <w:kern w:val="0"/>
                <w:sz w:val="20"/>
                <w:szCs w:val="24"/>
              </w:rPr>
            </w:pPr>
          </w:p>
        </w:tc>
        <w:tc>
          <w:tcPr>
            <w:tcW w:w="3333" w:type="dxa"/>
            <w:vAlign w:val="center"/>
          </w:tcPr>
          <w:p w14:paraId="1763EA01">
            <w:pPr>
              <w:spacing w:line="360" w:lineRule="auto"/>
              <w:jc w:val="center"/>
              <w:rPr>
                <w:rFonts w:ascii="宋体" w:hAnsi="宋体" w:eastAsia="宋体" w:cs="宋体"/>
                <w:bCs/>
                <w:kern w:val="0"/>
                <w:sz w:val="20"/>
                <w:szCs w:val="24"/>
              </w:rPr>
            </w:pPr>
          </w:p>
        </w:tc>
        <w:tc>
          <w:tcPr>
            <w:tcW w:w="1836" w:type="dxa"/>
            <w:vAlign w:val="center"/>
          </w:tcPr>
          <w:p w14:paraId="606B9772">
            <w:pPr>
              <w:spacing w:line="360" w:lineRule="auto"/>
              <w:jc w:val="center"/>
              <w:rPr>
                <w:rFonts w:ascii="宋体" w:hAnsi="宋体" w:eastAsia="宋体" w:cs="Times New Roman"/>
                <w:kern w:val="0"/>
                <w:sz w:val="20"/>
                <w:szCs w:val="24"/>
              </w:rPr>
            </w:pPr>
          </w:p>
        </w:tc>
        <w:tc>
          <w:tcPr>
            <w:tcW w:w="2627" w:type="dxa"/>
            <w:vAlign w:val="center"/>
          </w:tcPr>
          <w:p w14:paraId="1E5BA564">
            <w:pPr>
              <w:spacing w:line="360" w:lineRule="auto"/>
              <w:jc w:val="center"/>
              <w:rPr>
                <w:rFonts w:ascii="宋体" w:hAnsi="宋体" w:eastAsia="宋体" w:cs="Times New Roman"/>
                <w:kern w:val="0"/>
                <w:sz w:val="20"/>
                <w:szCs w:val="24"/>
              </w:rPr>
            </w:pPr>
          </w:p>
        </w:tc>
      </w:tr>
    </w:tbl>
    <w:p w14:paraId="0939310B">
      <w:pPr>
        <w:spacing w:line="380" w:lineRule="exact"/>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以上★号条款为招标文件中的所有★号条款，无论是技术指标或文字描述要求，投标人必须逐条如实地书面响应。</w:t>
      </w:r>
    </w:p>
    <w:p w14:paraId="1C88775E">
      <w:pPr>
        <w:spacing w:line="380" w:lineRule="exact"/>
        <w:ind w:firstLine="482" w:firstLineChars="200"/>
        <w:jc w:val="left"/>
        <w:rPr>
          <w:rFonts w:ascii="宋体" w:hAnsi="宋体" w:eastAsia="宋体" w:cs="Times New Roman"/>
          <w:b/>
          <w:sz w:val="24"/>
          <w:szCs w:val="24"/>
        </w:rPr>
      </w:pPr>
    </w:p>
    <w:p w14:paraId="4B777400">
      <w:pPr>
        <w:spacing w:line="360" w:lineRule="auto"/>
        <w:ind w:firstLine="4200" w:firstLineChars="1750"/>
        <w:rPr>
          <w:rFonts w:ascii="宋体" w:hAnsi="宋体" w:eastAsia="宋体" w:cs="Times New Roman"/>
          <w:sz w:val="24"/>
          <w:szCs w:val="24"/>
          <w:u w:val="single"/>
        </w:rPr>
      </w:pPr>
      <w:r>
        <w:rPr>
          <w:rFonts w:hint="eastAsia" w:ascii="宋体" w:hAnsi="宋体" w:eastAsia="宋体" w:cs="Times New Roman"/>
          <w:sz w:val="24"/>
          <w:szCs w:val="24"/>
        </w:rPr>
        <w:t>投标人全称（加盖公章）：</w:t>
      </w:r>
      <w:r>
        <w:rPr>
          <w:rFonts w:hint="eastAsia" w:ascii="宋体" w:hAnsi="宋体" w:eastAsia="宋体" w:cs="Times New Roman"/>
          <w:sz w:val="24"/>
          <w:szCs w:val="24"/>
          <w:u w:val="single"/>
        </w:rPr>
        <w:t xml:space="preserve">           </w:t>
      </w:r>
    </w:p>
    <w:p w14:paraId="78211BAD">
      <w:pPr>
        <w:spacing w:line="360" w:lineRule="auto"/>
        <w:ind w:firstLine="4200" w:firstLineChars="1750"/>
        <w:rPr>
          <w:rFonts w:ascii="宋体" w:hAnsi="宋体" w:eastAsia="宋体" w:cs="Times New Roman"/>
          <w:sz w:val="24"/>
          <w:szCs w:val="24"/>
          <w:u w:val="single"/>
        </w:rPr>
      </w:pPr>
      <w:r>
        <w:rPr>
          <w:rFonts w:hint="eastAsia" w:ascii="宋体" w:hAnsi="宋体" w:eastAsia="宋体" w:cs="Times New Roman"/>
          <w:sz w:val="24"/>
          <w:szCs w:val="24"/>
        </w:rPr>
        <w:t xml:space="preserve">日   期： </w:t>
      </w:r>
      <w:r>
        <w:rPr>
          <w:rFonts w:hint="eastAsia" w:ascii="宋体" w:hAnsi="宋体" w:eastAsia="宋体" w:cs="Times New Roman"/>
          <w:sz w:val="24"/>
          <w:szCs w:val="24"/>
          <w:u w:val="single"/>
        </w:rPr>
        <w:t xml:space="preserve">                        </w:t>
      </w:r>
    </w:p>
    <w:p w14:paraId="31818EB0">
      <w:pPr>
        <w:spacing w:line="360" w:lineRule="auto"/>
        <w:jc w:val="center"/>
        <w:rPr>
          <w:rFonts w:ascii="黑体" w:hAnsi="黑体" w:eastAsia="黑体" w:cs="宋体"/>
          <w:b/>
          <w:bCs/>
          <w:kern w:val="0"/>
          <w:sz w:val="28"/>
          <w:szCs w:val="18"/>
        </w:rPr>
      </w:pPr>
      <w:bookmarkStart w:id="29" w:name="_Toc100307875"/>
      <w:r>
        <w:rPr>
          <w:rFonts w:hint="eastAsia" w:ascii="黑体" w:hAnsi="黑体" w:eastAsia="黑体" w:cs="宋体"/>
          <w:b/>
          <w:bCs/>
          <w:kern w:val="0"/>
          <w:sz w:val="28"/>
          <w:szCs w:val="18"/>
        </w:rPr>
        <w:t>（二）技术商务评分响应索引表</w:t>
      </w:r>
      <w:bookmarkEnd w:id="29"/>
    </w:p>
    <w:tbl>
      <w:tblPr>
        <w:tblStyle w:val="17"/>
        <w:tblW w:w="8888"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134"/>
        <w:gridCol w:w="4732"/>
        <w:gridCol w:w="3022"/>
      </w:tblGrid>
      <w:tr w14:paraId="71BC030D">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0D7D3D62">
            <w:pPr>
              <w:spacing w:before="156" w:beforeLines="50" w:after="156" w:afterLines="50"/>
              <w:jc w:val="center"/>
              <w:rPr>
                <w:rFonts w:ascii="宋体" w:hAnsi="宋体" w:eastAsia="宋体" w:cs="Times New Roman"/>
                <w:bCs/>
                <w:sz w:val="24"/>
                <w:szCs w:val="32"/>
              </w:rPr>
            </w:pPr>
            <w:r>
              <w:rPr>
                <w:rFonts w:hint="eastAsia" w:ascii="宋体" w:hAnsi="宋体" w:eastAsia="宋体" w:cs="Times New Roman"/>
                <w:bCs/>
                <w:sz w:val="24"/>
                <w:szCs w:val="32"/>
              </w:rPr>
              <w:t>序号</w:t>
            </w:r>
          </w:p>
        </w:tc>
        <w:tc>
          <w:tcPr>
            <w:tcW w:w="4732" w:type="dxa"/>
            <w:vAlign w:val="center"/>
          </w:tcPr>
          <w:p w14:paraId="45D53B74">
            <w:pPr>
              <w:spacing w:before="156" w:beforeLines="50" w:after="156" w:afterLines="50"/>
              <w:jc w:val="center"/>
              <w:rPr>
                <w:rFonts w:ascii="宋体" w:hAnsi="宋体" w:eastAsia="宋体" w:cs="Times New Roman"/>
                <w:bCs/>
                <w:sz w:val="24"/>
                <w:szCs w:val="32"/>
              </w:rPr>
            </w:pPr>
            <w:r>
              <w:rPr>
                <w:rFonts w:hint="eastAsia" w:ascii="宋体" w:hAnsi="宋体" w:eastAsia="宋体" w:cs="Times New Roman"/>
                <w:bCs/>
                <w:sz w:val="24"/>
                <w:szCs w:val="32"/>
              </w:rPr>
              <w:t>评分标准要求</w:t>
            </w:r>
          </w:p>
        </w:tc>
        <w:tc>
          <w:tcPr>
            <w:tcW w:w="3022" w:type="dxa"/>
            <w:vAlign w:val="center"/>
          </w:tcPr>
          <w:p w14:paraId="0B22F2B1">
            <w:pPr>
              <w:spacing w:before="156" w:beforeLines="50" w:after="156" w:afterLines="50"/>
              <w:jc w:val="center"/>
              <w:rPr>
                <w:rFonts w:ascii="宋体" w:hAnsi="宋体" w:eastAsia="宋体" w:cs="Times New Roman"/>
                <w:bCs/>
                <w:sz w:val="24"/>
                <w:szCs w:val="32"/>
              </w:rPr>
            </w:pPr>
            <w:r>
              <w:rPr>
                <w:rFonts w:hint="eastAsia" w:ascii="宋体" w:hAnsi="宋体" w:eastAsia="宋体" w:cs="Times New Roman"/>
                <w:bCs/>
                <w:sz w:val="24"/>
                <w:szCs w:val="32"/>
              </w:rPr>
              <w:t>对应投标文件页码</w:t>
            </w:r>
          </w:p>
        </w:tc>
      </w:tr>
      <w:tr w14:paraId="5008BA80">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8" w:type="dxa"/>
            <w:gridSpan w:val="3"/>
            <w:vAlign w:val="center"/>
          </w:tcPr>
          <w:p w14:paraId="0CC3988B">
            <w:pPr>
              <w:spacing w:before="156" w:beforeLines="50" w:after="156" w:afterLines="50"/>
              <w:jc w:val="center"/>
              <w:rPr>
                <w:rFonts w:ascii="宋体" w:hAnsi="宋体" w:eastAsia="宋体" w:cs="Times New Roman"/>
                <w:bCs/>
                <w:sz w:val="24"/>
                <w:szCs w:val="32"/>
              </w:rPr>
            </w:pPr>
            <w:r>
              <w:rPr>
                <w:rFonts w:hint="eastAsia" w:ascii="宋体" w:hAnsi="宋体" w:eastAsia="宋体" w:cs="Times New Roman"/>
                <w:bCs/>
                <w:sz w:val="24"/>
                <w:szCs w:val="32"/>
              </w:rPr>
              <w:t>技术因素评分</w:t>
            </w:r>
          </w:p>
        </w:tc>
      </w:tr>
      <w:tr w14:paraId="2B322034">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326CA06D">
            <w:pPr>
              <w:spacing w:before="156" w:beforeLines="50" w:after="156" w:afterLines="50"/>
              <w:jc w:val="center"/>
              <w:rPr>
                <w:rFonts w:ascii="宋体" w:hAnsi="宋体" w:eastAsia="宋体" w:cs="Times New Roman"/>
                <w:bCs/>
                <w:sz w:val="24"/>
                <w:szCs w:val="32"/>
              </w:rPr>
            </w:pPr>
            <w:r>
              <w:rPr>
                <w:rFonts w:hint="eastAsia" w:ascii="宋体" w:hAnsi="宋体" w:eastAsia="宋体" w:cs="Times New Roman"/>
                <w:bCs/>
                <w:sz w:val="24"/>
                <w:szCs w:val="32"/>
              </w:rPr>
              <w:t>1-1</w:t>
            </w:r>
          </w:p>
        </w:tc>
        <w:tc>
          <w:tcPr>
            <w:tcW w:w="4732" w:type="dxa"/>
            <w:vAlign w:val="center"/>
          </w:tcPr>
          <w:p w14:paraId="29F20717">
            <w:pPr>
              <w:spacing w:before="156" w:beforeLines="50" w:after="156" w:afterLines="50"/>
              <w:jc w:val="center"/>
              <w:rPr>
                <w:rFonts w:ascii="宋体" w:hAnsi="宋体" w:eastAsia="黑体" w:cs="Times New Roman"/>
                <w:b/>
                <w:bCs/>
                <w:sz w:val="24"/>
                <w:szCs w:val="32"/>
              </w:rPr>
            </w:pPr>
          </w:p>
        </w:tc>
        <w:tc>
          <w:tcPr>
            <w:tcW w:w="3022" w:type="dxa"/>
            <w:vAlign w:val="center"/>
          </w:tcPr>
          <w:p w14:paraId="137E6014">
            <w:pPr>
              <w:spacing w:before="156" w:beforeLines="50" w:after="156" w:afterLines="50"/>
              <w:jc w:val="center"/>
              <w:rPr>
                <w:rFonts w:ascii="宋体" w:hAnsi="宋体" w:eastAsia="黑体" w:cs="Times New Roman"/>
                <w:b/>
                <w:bCs/>
                <w:sz w:val="24"/>
                <w:szCs w:val="32"/>
              </w:rPr>
            </w:pPr>
          </w:p>
        </w:tc>
      </w:tr>
      <w:tr w14:paraId="4E72221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48BF3821">
            <w:pPr>
              <w:spacing w:before="156" w:beforeLines="50" w:after="156" w:afterLines="50"/>
              <w:jc w:val="center"/>
              <w:rPr>
                <w:rFonts w:ascii="宋体" w:hAnsi="宋体" w:eastAsia="宋体" w:cs="Times New Roman"/>
                <w:bCs/>
                <w:sz w:val="24"/>
                <w:szCs w:val="32"/>
              </w:rPr>
            </w:pPr>
            <w:r>
              <w:rPr>
                <w:rFonts w:hint="eastAsia" w:ascii="宋体" w:hAnsi="宋体" w:eastAsia="宋体" w:cs="Times New Roman"/>
                <w:bCs/>
                <w:sz w:val="24"/>
                <w:szCs w:val="32"/>
              </w:rPr>
              <w:t>1-2</w:t>
            </w:r>
          </w:p>
        </w:tc>
        <w:tc>
          <w:tcPr>
            <w:tcW w:w="4732" w:type="dxa"/>
            <w:vAlign w:val="center"/>
          </w:tcPr>
          <w:p w14:paraId="46454F4D">
            <w:pPr>
              <w:spacing w:before="156" w:beforeLines="50" w:after="156" w:afterLines="50"/>
              <w:jc w:val="center"/>
              <w:rPr>
                <w:rFonts w:ascii="宋体" w:hAnsi="宋体" w:eastAsia="黑体" w:cs="Times New Roman"/>
                <w:b/>
                <w:bCs/>
                <w:sz w:val="24"/>
                <w:szCs w:val="32"/>
              </w:rPr>
            </w:pPr>
          </w:p>
        </w:tc>
        <w:tc>
          <w:tcPr>
            <w:tcW w:w="3022" w:type="dxa"/>
            <w:vAlign w:val="center"/>
          </w:tcPr>
          <w:p w14:paraId="01051DE4">
            <w:pPr>
              <w:spacing w:before="156" w:beforeLines="50" w:after="156" w:afterLines="50"/>
              <w:jc w:val="center"/>
              <w:rPr>
                <w:rFonts w:ascii="宋体" w:hAnsi="宋体" w:eastAsia="黑体" w:cs="Times New Roman"/>
                <w:b/>
                <w:bCs/>
                <w:sz w:val="24"/>
                <w:szCs w:val="32"/>
              </w:rPr>
            </w:pPr>
          </w:p>
        </w:tc>
      </w:tr>
      <w:tr w14:paraId="3099F18B">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8" w:type="dxa"/>
            <w:gridSpan w:val="3"/>
            <w:vAlign w:val="center"/>
          </w:tcPr>
          <w:p w14:paraId="458B8431">
            <w:pPr>
              <w:spacing w:before="156" w:beforeLines="50" w:after="156" w:afterLines="50"/>
              <w:jc w:val="center"/>
              <w:rPr>
                <w:rFonts w:ascii="宋体" w:hAnsi="宋体" w:eastAsia="宋体" w:cs="Times New Roman"/>
                <w:bCs/>
                <w:sz w:val="24"/>
                <w:szCs w:val="32"/>
              </w:rPr>
            </w:pPr>
            <w:r>
              <w:rPr>
                <w:rFonts w:hint="eastAsia" w:ascii="宋体" w:hAnsi="宋体" w:eastAsia="宋体" w:cs="Times New Roman"/>
                <w:bCs/>
                <w:sz w:val="24"/>
                <w:szCs w:val="32"/>
              </w:rPr>
              <w:t>商务因素评分</w:t>
            </w:r>
          </w:p>
        </w:tc>
      </w:tr>
      <w:tr w14:paraId="08AC881B">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6012052E">
            <w:pPr>
              <w:spacing w:before="156" w:beforeLines="50" w:after="156" w:afterLines="50"/>
              <w:jc w:val="center"/>
              <w:rPr>
                <w:rFonts w:ascii="宋体" w:hAnsi="宋体" w:eastAsia="宋体" w:cs="Times New Roman"/>
                <w:bCs/>
                <w:sz w:val="24"/>
                <w:szCs w:val="32"/>
              </w:rPr>
            </w:pPr>
            <w:r>
              <w:rPr>
                <w:rFonts w:hint="eastAsia" w:ascii="宋体" w:hAnsi="宋体" w:eastAsia="宋体" w:cs="Times New Roman"/>
                <w:bCs/>
                <w:sz w:val="24"/>
                <w:szCs w:val="32"/>
              </w:rPr>
              <w:t>2-1</w:t>
            </w:r>
          </w:p>
        </w:tc>
        <w:tc>
          <w:tcPr>
            <w:tcW w:w="4732" w:type="dxa"/>
            <w:vAlign w:val="center"/>
          </w:tcPr>
          <w:p w14:paraId="25EDFD83">
            <w:pPr>
              <w:spacing w:before="156" w:beforeLines="50" w:after="156" w:afterLines="50"/>
              <w:jc w:val="center"/>
              <w:rPr>
                <w:rFonts w:ascii="宋体" w:hAnsi="宋体" w:eastAsia="黑体" w:cs="Times New Roman"/>
                <w:b/>
                <w:bCs/>
                <w:sz w:val="24"/>
                <w:szCs w:val="32"/>
              </w:rPr>
            </w:pPr>
          </w:p>
        </w:tc>
        <w:tc>
          <w:tcPr>
            <w:tcW w:w="3022" w:type="dxa"/>
            <w:vAlign w:val="center"/>
          </w:tcPr>
          <w:p w14:paraId="78DA1328">
            <w:pPr>
              <w:spacing w:before="156" w:beforeLines="50" w:after="156" w:afterLines="50"/>
              <w:jc w:val="center"/>
              <w:rPr>
                <w:rFonts w:ascii="宋体" w:hAnsi="宋体" w:eastAsia="黑体" w:cs="Times New Roman"/>
                <w:b/>
                <w:bCs/>
                <w:sz w:val="24"/>
                <w:szCs w:val="32"/>
              </w:rPr>
            </w:pPr>
          </w:p>
        </w:tc>
      </w:tr>
      <w:tr w14:paraId="3ABE8BDB">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53E7066C">
            <w:pPr>
              <w:spacing w:before="156" w:beforeLines="50" w:after="156" w:afterLines="50"/>
              <w:jc w:val="center"/>
              <w:rPr>
                <w:rFonts w:ascii="宋体" w:hAnsi="宋体" w:eastAsia="宋体" w:cs="Times New Roman"/>
                <w:bCs/>
                <w:sz w:val="24"/>
                <w:szCs w:val="32"/>
              </w:rPr>
            </w:pPr>
            <w:r>
              <w:rPr>
                <w:rFonts w:hint="eastAsia" w:ascii="宋体" w:hAnsi="宋体" w:eastAsia="宋体" w:cs="Times New Roman"/>
                <w:bCs/>
                <w:sz w:val="24"/>
                <w:szCs w:val="32"/>
              </w:rPr>
              <w:t>2-2</w:t>
            </w:r>
          </w:p>
        </w:tc>
        <w:tc>
          <w:tcPr>
            <w:tcW w:w="4732" w:type="dxa"/>
            <w:vAlign w:val="center"/>
          </w:tcPr>
          <w:p w14:paraId="658E84C8">
            <w:pPr>
              <w:spacing w:before="156" w:beforeLines="50" w:after="156" w:afterLines="50"/>
              <w:jc w:val="center"/>
              <w:rPr>
                <w:rFonts w:ascii="宋体" w:hAnsi="宋体" w:eastAsia="黑体" w:cs="Times New Roman"/>
                <w:b/>
                <w:bCs/>
                <w:sz w:val="24"/>
                <w:szCs w:val="32"/>
              </w:rPr>
            </w:pPr>
          </w:p>
        </w:tc>
        <w:tc>
          <w:tcPr>
            <w:tcW w:w="3022" w:type="dxa"/>
            <w:vAlign w:val="center"/>
          </w:tcPr>
          <w:p w14:paraId="79168774">
            <w:pPr>
              <w:spacing w:before="156" w:beforeLines="50" w:after="156" w:afterLines="50"/>
              <w:jc w:val="center"/>
              <w:rPr>
                <w:rFonts w:ascii="宋体" w:hAnsi="宋体" w:eastAsia="黑体" w:cs="Times New Roman"/>
                <w:b/>
                <w:bCs/>
                <w:sz w:val="24"/>
                <w:szCs w:val="32"/>
              </w:rPr>
            </w:pPr>
          </w:p>
        </w:tc>
      </w:tr>
    </w:tbl>
    <w:p w14:paraId="7CEACD0A">
      <w:pPr>
        <w:spacing w:line="360" w:lineRule="auto"/>
        <w:jc w:val="left"/>
        <w:rPr>
          <w:rFonts w:cs="宋体" w:asciiTheme="minorEastAsia" w:hAnsiTheme="minorEastAsia"/>
          <w:bCs/>
          <w:kern w:val="0"/>
          <w:sz w:val="24"/>
          <w:szCs w:val="24"/>
        </w:rPr>
      </w:pPr>
    </w:p>
    <w:p w14:paraId="27893697">
      <w:pPr>
        <w:sectPr>
          <w:pgSz w:w="11906" w:h="16838"/>
          <w:pgMar w:top="1418" w:right="1418" w:bottom="1418" w:left="1418" w:header="851" w:footer="992" w:gutter="0"/>
          <w:cols w:space="425" w:num="1"/>
          <w:docGrid w:type="lines" w:linePitch="312" w:charSpace="0"/>
        </w:sectPr>
      </w:pPr>
    </w:p>
    <w:p w14:paraId="057629E4">
      <w:pPr>
        <w:spacing w:before="156" w:beforeLines="50" w:after="156" w:afterLines="50"/>
        <w:jc w:val="center"/>
        <w:rPr>
          <w:rFonts w:ascii="黑体" w:hAnsi="黑体" w:eastAsia="黑体" w:cs="Times New Roman"/>
          <w:sz w:val="32"/>
          <w:szCs w:val="32"/>
        </w:rPr>
      </w:pPr>
      <w:r>
        <w:rPr>
          <w:rFonts w:ascii="黑体" w:hAnsi="黑体" w:eastAsia="黑体" w:cs="Times New Roman"/>
          <w:sz w:val="32"/>
          <w:szCs w:val="32"/>
        </w:rPr>
        <w:t>关于</w:t>
      </w:r>
      <w:r>
        <w:rPr>
          <w:rFonts w:hint="eastAsia" w:ascii="黑体" w:hAnsi="黑体" w:eastAsia="黑体" w:cs="Times New Roman"/>
          <w:sz w:val="32"/>
          <w:szCs w:val="32"/>
        </w:rPr>
        <w:t>串标情形及后果的告知函</w:t>
      </w:r>
    </w:p>
    <w:p w14:paraId="22C9BA2A">
      <w:pPr>
        <w:spacing w:line="360" w:lineRule="auto"/>
        <w:ind w:firstLine="482" w:firstLineChars="200"/>
        <w:rPr>
          <w:rFonts w:ascii="宋体" w:hAnsi="宋体" w:eastAsia="宋体" w:cs="Times New Roman"/>
          <w:sz w:val="24"/>
          <w:szCs w:val="24"/>
        </w:rPr>
      </w:pPr>
      <w:r>
        <w:rPr>
          <w:rFonts w:hint="eastAsia" w:ascii="宋体" w:hAnsi="宋体" w:eastAsia="宋体" w:cs="Times New Roman"/>
          <w:b/>
          <w:sz w:val="24"/>
          <w:szCs w:val="24"/>
        </w:rPr>
        <w:t>根据《厦门市财政局关于加强涉嫌串通投标情形处理的通知》要求，现将有关串标情形及后果的规定列明如下，请各供应商仔细阅读，在参与本项目采购活动中，要遵纪守法，公平参与竞争，不得从事违法行为，否则将依法承担相应责任：</w:t>
      </w:r>
    </w:p>
    <w:p w14:paraId="7A0BA675">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一、串标情形</w:t>
      </w:r>
    </w:p>
    <w:p w14:paraId="3F59D2A1">
      <w:pPr>
        <w:spacing w:line="360" w:lineRule="auto"/>
        <w:ind w:firstLine="482" w:firstLineChars="200"/>
        <w:rPr>
          <w:rFonts w:ascii="宋体" w:hAnsi="宋体" w:eastAsia="宋体" w:cs="Times New Roman"/>
          <w:sz w:val="24"/>
          <w:szCs w:val="28"/>
        </w:rPr>
      </w:pPr>
      <w:r>
        <w:rPr>
          <w:rFonts w:hint="eastAsia" w:ascii="宋体" w:hAnsi="宋体" w:eastAsia="宋体" w:cs="Times New Roman"/>
          <w:b/>
          <w:sz w:val="24"/>
          <w:szCs w:val="28"/>
        </w:rPr>
        <w:t>1、《政府采购法》第二十五条</w:t>
      </w:r>
      <w:r>
        <w:rPr>
          <w:rFonts w:hint="eastAsia" w:ascii="宋体" w:hAnsi="宋体" w:eastAsia="宋体" w:cs="Times New Roman"/>
          <w:sz w:val="24"/>
          <w:szCs w:val="28"/>
        </w:rPr>
        <w:t>：政府采购当事人不得相互串通损害国家利益、社会公共利益和其他当事人的合法权益；不得以任何手段排斥其他供应商参与竞争。供应商不得以向采购人、采购代理机构、评标委员会的组成人员、竞争性谈判小组的组成人员、询价小组的组成人员行贿或者采取其他不正当手段谋取中标或者成交。</w:t>
      </w:r>
    </w:p>
    <w:p w14:paraId="6E0C6AEF">
      <w:pPr>
        <w:spacing w:line="360" w:lineRule="auto"/>
        <w:ind w:firstLine="482" w:firstLineChars="200"/>
        <w:rPr>
          <w:rFonts w:ascii="宋体" w:hAnsi="宋体" w:eastAsia="宋体" w:cs="Times New Roman"/>
          <w:sz w:val="24"/>
          <w:szCs w:val="28"/>
        </w:rPr>
      </w:pPr>
      <w:r>
        <w:rPr>
          <w:rFonts w:hint="eastAsia" w:ascii="宋体" w:hAnsi="宋体" w:eastAsia="宋体" w:cs="Times New Roman"/>
          <w:b/>
          <w:sz w:val="24"/>
          <w:szCs w:val="28"/>
        </w:rPr>
        <w:t>2、《政府采购法实施条例》第七十四条</w:t>
      </w:r>
      <w:r>
        <w:rPr>
          <w:rFonts w:hint="eastAsia" w:ascii="宋体" w:hAnsi="宋体" w:eastAsia="宋体" w:cs="Times New Roman"/>
          <w:sz w:val="24"/>
          <w:szCs w:val="28"/>
        </w:rPr>
        <w:t>：有下列情形之一的，属于恶意串通，对供应商依照政府采购法第七十七条第一款的规定追究法律责任，对采购人、采购代理机构及其工作人员依照政府采购法第七十二条的规定追究法律责任：</w:t>
      </w:r>
    </w:p>
    <w:p w14:paraId="0FAFD4ED">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（一）供应商直接或者间接从采购人或者采购代理机构处获得其他供应商的相关情况并修改其投标文件或者响应文件；</w:t>
      </w:r>
    </w:p>
    <w:p w14:paraId="4D0C9F64">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（二）供应商按照采购人或者采购代理机构的授意撤换、修改投标文件或者响应文件；</w:t>
      </w:r>
    </w:p>
    <w:p w14:paraId="1EC24601">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（三）供应商之间协商报价、技术方案等投标文件或者响应文件的实质性内容；</w:t>
      </w:r>
    </w:p>
    <w:p w14:paraId="0B286CB2">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（四）属于同一集团、协会、商会等组织成员的供应商按照该组织要求协同参加政府采购活动；</w:t>
      </w:r>
    </w:p>
    <w:p w14:paraId="774BFB57">
      <w:pPr>
        <w:spacing w:line="360" w:lineRule="auto"/>
        <w:ind w:firstLine="480" w:firstLineChars="200"/>
        <w:rPr>
          <w:rFonts w:ascii="宋体" w:hAnsi="宋体" w:eastAsia="宋体" w:cs="Times New Roman"/>
          <w:sz w:val="24"/>
          <w:szCs w:val="28"/>
        </w:rPr>
      </w:pPr>
      <w:bookmarkStart w:id="30" w:name="_Toc100307870"/>
      <w:r>
        <w:rPr>
          <w:rFonts w:hint="eastAsia" w:ascii="宋体" w:hAnsi="宋体" w:eastAsia="宋体" w:cs="Times New Roman"/>
          <w:sz w:val="24"/>
          <w:szCs w:val="28"/>
        </w:rPr>
        <w:t>（五）供应商之间事先约定由某一特定供应商中标、成交；</w:t>
      </w:r>
      <w:bookmarkEnd w:id="30"/>
    </w:p>
    <w:p w14:paraId="7F7E329B">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（六）供应商之间商定部分供应商放弃参加政府采购活动或者放弃中标、成交；</w:t>
      </w:r>
    </w:p>
    <w:p w14:paraId="0E7DDC3C">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（七）供应商与采购人或者采购代理机构之间、供应商相互之间，为谋求特定供应商中标、成交或者排斥其他供应商的其他串通行为。</w:t>
      </w:r>
    </w:p>
    <w:p w14:paraId="1A24C401">
      <w:pPr>
        <w:spacing w:line="360" w:lineRule="auto"/>
        <w:ind w:firstLine="482" w:firstLineChars="200"/>
        <w:rPr>
          <w:rFonts w:ascii="宋体" w:hAnsi="宋体" w:eastAsia="宋体" w:cs="Times New Roman"/>
          <w:sz w:val="24"/>
          <w:szCs w:val="28"/>
        </w:rPr>
      </w:pPr>
      <w:r>
        <w:rPr>
          <w:rFonts w:hint="eastAsia" w:ascii="宋体" w:hAnsi="宋体" w:eastAsia="宋体" w:cs="Times New Roman"/>
          <w:b/>
          <w:sz w:val="24"/>
          <w:szCs w:val="28"/>
        </w:rPr>
        <w:t>3、《政府采购货物和服务招标投标管理办法》（财政部令第87号）第三十七条</w:t>
      </w:r>
      <w:r>
        <w:rPr>
          <w:rFonts w:hint="eastAsia" w:ascii="宋体" w:hAnsi="宋体" w:eastAsia="宋体" w:cs="Times New Roman"/>
          <w:sz w:val="24"/>
          <w:szCs w:val="28"/>
        </w:rPr>
        <w:t>：有下列情形之一的，视为投标人串通投标，其投标无效：</w:t>
      </w:r>
    </w:p>
    <w:p w14:paraId="23B0C9EA">
      <w:pPr>
        <w:spacing w:line="360" w:lineRule="auto"/>
        <w:ind w:firstLine="480" w:firstLineChars="200"/>
        <w:rPr>
          <w:rFonts w:ascii="宋体" w:hAnsi="宋体" w:eastAsia="宋体" w:cs="Times New Roman"/>
          <w:sz w:val="24"/>
          <w:szCs w:val="28"/>
        </w:rPr>
      </w:pPr>
      <w:bookmarkStart w:id="31" w:name="_Toc100307871"/>
      <w:r>
        <w:rPr>
          <w:rFonts w:hint="eastAsia" w:ascii="宋体" w:hAnsi="宋体" w:eastAsia="宋体" w:cs="Times New Roman"/>
          <w:sz w:val="24"/>
          <w:szCs w:val="28"/>
        </w:rPr>
        <w:t>（一）不同投标人的投标文件由同一单位或者个人编制；</w:t>
      </w:r>
      <w:bookmarkEnd w:id="31"/>
    </w:p>
    <w:p w14:paraId="657EDDB1">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（二）不同投标人委托同一单位或者个人办理投标事宜；</w:t>
      </w:r>
    </w:p>
    <w:p w14:paraId="724FEE16">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（三）不同投标人的投标文件载明的项目管理成员或者联系人员为同一人；</w:t>
      </w:r>
    </w:p>
    <w:p w14:paraId="0845A659">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（四）不同投标人的投标文件异常一致或者投标报价呈规律性差异；</w:t>
      </w:r>
    </w:p>
    <w:p w14:paraId="155224A9">
      <w:pPr>
        <w:spacing w:line="360" w:lineRule="auto"/>
        <w:ind w:firstLine="480" w:firstLineChars="200"/>
        <w:rPr>
          <w:rFonts w:ascii="宋体" w:hAnsi="宋体" w:eastAsia="宋体" w:cs="Times New Roman"/>
          <w:sz w:val="24"/>
          <w:szCs w:val="28"/>
        </w:rPr>
      </w:pPr>
      <w:bookmarkStart w:id="32" w:name="_Toc100307872"/>
      <w:r>
        <w:rPr>
          <w:rFonts w:hint="eastAsia" w:ascii="宋体" w:hAnsi="宋体" w:eastAsia="宋体" w:cs="Times New Roman"/>
          <w:sz w:val="24"/>
          <w:szCs w:val="28"/>
        </w:rPr>
        <w:t>（五）不同投标人的投标文件相互混装；</w:t>
      </w:r>
      <w:bookmarkEnd w:id="32"/>
    </w:p>
    <w:p w14:paraId="622A78F9">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（六）不同投标人的投标保证金从同一单位或者个人的账户转出。</w:t>
      </w:r>
    </w:p>
    <w:p w14:paraId="1C8C60D6">
      <w:pPr>
        <w:spacing w:line="360" w:lineRule="auto"/>
        <w:ind w:firstLine="482" w:firstLineChars="200"/>
        <w:rPr>
          <w:rFonts w:ascii="宋体" w:hAnsi="宋体" w:eastAsia="宋体" w:cs="Times New Roman"/>
          <w:b/>
          <w:sz w:val="24"/>
          <w:szCs w:val="28"/>
        </w:rPr>
      </w:pPr>
      <w:r>
        <w:rPr>
          <w:rFonts w:hint="eastAsia" w:ascii="宋体" w:hAnsi="宋体" w:eastAsia="宋体" w:cs="Times New Roman"/>
          <w:b/>
          <w:sz w:val="24"/>
          <w:szCs w:val="28"/>
        </w:rPr>
        <w:t>4、《福建省财政厅关于电子化政府采购项目中视为串标情形认定与处理的指导意见》（闽财购〔2018〕30号</w:t>
      </w:r>
      <w:r>
        <w:rPr>
          <w:rFonts w:ascii="宋体" w:hAnsi="宋体" w:eastAsia="宋体" w:cs="Times New Roman"/>
          <w:b/>
          <w:sz w:val="24"/>
          <w:szCs w:val="28"/>
        </w:rPr>
        <w:t>）</w:t>
      </w:r>
    </w:p>
    <w:p w14:paraId="08691624">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一、电子化招标项目视为串通情形的认定 </w:t>
      </w:r>
    </w:p>
    <w:p w14:paraId="21957478">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（一）保证金验核阶段 </w:t>
      </w:r>
    </w:p>
    <w:p w14:paraId="5CB739F3">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不同投标人的投标保证金转出账户的银行账户名称相同的，属于《政府采购货物和服务招标投标管理办法》（财政部令第87号）第三十七条第（六）项“不同投标人的投标保证金从同一单位或者个人的账户转出”的情形。 </w:t>
      </w:r>
    </w:p>
    <w:p w14:paraId="7BCB9F19">
      <w:pPr>
        <w:spacing w:line="360" w:lineRule="auto"/>
        <w:ind w:firstLine="480" w:firstLineChars="200"/>
        <w:rPr>
          <w:rFonts w:ascii="宋体" w:hAnsi="宋体" w:eastAsia="宋体" w:cs="Times New Roman"/>
          <w:sz w:val="24"/>
          <w:szCs w:val="28"/>
        </w:rPr>
      </w:pPr>
      <w:bookmarkStart w:id="33" w:name="_Toc100307873"/>
      <w:r>
        <w:rPr>
          <w:rFonts w:hint="eastAsia" w:ascii="宋体" w:hAnsi="宋体" w:eastAsia="宋体" w:cs="Times New Roman"/>
          <w:sz w:val="24"/>
          <w:szCs w:val="28"/>
        </w:rPr>
        <w:t>（二）电子响应文件解密阶段</w:t>
      </w:r>
      <w:bookmarkEnd w:id="33"/>
      <w:r>
        <w:rPr>
          <w:rFonts w:hint="eastAsia" w:ascii="宋体" w:hAnsi="宋体" w:eastAsia="宋体" w:cs="Times New Roman"/>
          <w:sz w:val="24"/>
          <w:szCs w:val="28"/>
        </w:rPr>
        <w:t xml:space="preserve"> </w:t>
      </w:r>
    </w:p>
    <w:p w14:paraId="668CAFA3">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电子响应文件的个性特征与本采购项目的其他响应人存在雷同的，按照以下方式进行认定：</w:t>
      </w:r>
    </w:p>
    <w:p w14:paraId="4FA5C24F">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w:t>
      </w:r>
    </w:p>
    <w:p w14:paraId="6832E121">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w:t>
      </w:r>
    </w:p>
    <w:p w14:paraId="5ED00FB2">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w:t>
      </w:r>
    </w:p>
    <w:p w14:paraId="0A35DF0B">
      <w:pPr>
        <w:spacing w:line="360" w:lineRule="auto"/>
        <w:ind w:firstLine="482" w:firstLineChars="200"/>
        <w:rPr>
          <w:rFonts w:ascii="宋体" w:hAnsi="宋体" w:eastAsia="宋体" w:cs="Times New Roman"/>
          <w:b/>
          <w:sz w:val="24"/>
          <w:szCs w:val="28"/>
        </w:rPr>
      </w:pPr>
      <w:r>
        <w:rPr>
          <w:rFonts w:hint="eastAsia" w:ascii="宋体" w:hAnsi="宋体" w:eastAsia="宋体" w:cs="Times New Roman"/>
          <w:b/>
          <w:sz w:val="24"/>
          <w:szCs w:val="28"/>
        </w:rPr>
        <w:t>5、《福建省财政厅关于福建省省级政府采购货物和服务项目招标文件编制指引和实施指引的补充通知（三）》（闽财购〔2010〕28号）</w:t>
      </w:r>
    </w:p>
    <w:p w14:paraId="4F69A518">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评标委员会在评标过程中发现投标人存在下列情形之一的，可认定其有串通投标行为，并做出其投标无效的决定： </w:t>
      </w:r>
    </w:p>
    <w:p w14:paraId="75355BF4">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（一）不同投标人的投标文件错、漏之处一致或雷同，且不能合理解释的； </w:t>
      </w:r>
    </w:p>
    <w:p w14:paraId="052F4E86">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（二）不同的投标人的法定代表人、委托代理人等由同一个单位缴纳社会保险的； </w:t>
      </w:r>
    </w:p>
    <w:p w14:paraId="77D0891B">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（三）由同一人或分别由几个有利害关系人携带两个以上（含两个）投标人的企业资料参与资格审查、领取招标资料，或代表两个以上（含两个）投标人参加招标答疑会、交纳或退还投标保证金、开标的； </w:t>
      </w:r>
    </w:p>
    <w:p w14:paraId="3B315F5A">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（四）有关法律、法规或规章规定的其他串通投标行为。</w:t>
      </w:r>
    </w:p>
    <w:p w14:paraId="7AA62E51">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二、后果</w:t>
      </w:r>
    </w:p>
    <w:p w14:paraId="3F131E77">
      <w:pPr>
        <w:spacing w:line="360" w:lineRule="auto"/>
        <w:ind w:firstLine="482" w:firstLineChars="200"/>
        <w:rPr>
          <w:rFonts w:ascii="宋体" w:hAnsi="宋体" w:eastAsia="宋体" w:cs="Times New Roman"/>
          <w:sz w:val="24"/>
          <w:szCs w:val="28"/>
        </w:rPr>
      </w:pPr>
      <w:r>
        <w:rPr>
          <w:rFonts w:hint="eastAsia" w:ascii="宋体" w:hAnsi="宋体" w:eastAsia="宋体" w:cs="Times New Roman"/>
          <w:b/>
          <w:sz w:val="24"/>
          <w:szCs w:val="28"/>
        </w:rPr>
        <w:t>1、《政府采购法》第七十七条</w:t>
      </w:r>
      <w:r>
        <w:rPr>
          <w:rFonts w:hint="eastAsia" w:ascii="宋体" w:hAnsi="宋体" w:eastAsia="宋体" w:cs="Times New Roman"/>
          <w:sz w:val="24"/>
          <w:szCs w:val="28"/>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C64E75C">
      <w:pPr>
        <w:spacing w:line="360" w:lineRule="auto"/>
        <w:ind w:firstLine="480" w:firstLineChars="200"/>
        <w:rPr>
          <w:rFonts w:ascii="宋体" w:hAnsi="宋体" w:eastAsia="宋体" w:cs="Times New Roman"/>
          <w:sz w:val="24"/>
          <w:szCs w:val="28"/>
        </w:rPr>
      </w:pPr>
      <w:bookmarkStart w:id="34" w:name="_Toc100307874"/>
      <w:r>
        <w:rPr>
          <w:rFonts w:hint="eastAsia" w:ascii="宋体" w:hAnsi="宋体" w:eastAsia="宋体" w:cs="Times New Roman"/>
          <w:sz w:val="24"/>
          <w:szCs w:val="28"/>
        </w:rPr>
        <w:t>（三）与采购人、其他供应商或者采购代理机构恶意串通的；</w:t>
      </w:r>
      <w:bookmarkEnd w:id="34"/>
    </w:p>
    <w:p w14:paraId="2C50125A">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供应商有前款第（一）至（五）项情形之一的，中标、成交无效。</w:t>
      </w:r>
    </w:p>
    <w:p w14:paraId="7F62D40A">
      <w:pPr>
        <w:spacing w:line="360" w:lineRule="auto"/>
        <w:ind w:firstLine="482" w:firstLineChars="200"/>
        <w:rPr>
          <w:rFonts w:ascii="宋体" w:hAnsi="宋体" w:eastAsia="宋体" w:cs="Times New Roman"/>
          <w:b/>
          <w:sz w:val="24"/>
          <w:szCs w:val="28"/>
        </w:rPr>
      </w:pPr>
      <w:r>
        <w:rPr>
          <w:rFonts w:hint="eastAsia" w:ascii="宋体" w:hAnsi="宋体" w:eastAsia="宋体" w:cs="Times New Roman"/>
          <w:b/>
          <w:sz w:val="24"/>
          <w:szCs w:val="28"/>
        </w:rPr>
        <w:t>2、《福建省财政厅关于电子化政府采购项目中视为串标情形认定与处理的指导意见》（闽财购〔2018〕30号</w:t>
      </w:r>
      <w:r>
        <w:rPr>
          <w:rFonts w:ascii="宋体" w:hAnsi="宋体" w:eastAsia="宋体" w:cs="Times New Roman"/>
          <w:b/>
          <w:sz w:val="24"/>
          <w:szCs w:val="28"/>
        </w:rPr>
        <w:t>）</w:t>
      </w:r>
    </w:p>
    <w:p w14:paraId="27D7910D">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w:t>
      </w:r>
    </w:p>
    <w:p w14:paraId="784CFCCA">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三、虚假应标风险提示</w:t>
      </w:r>
    </w:p>
    <w:p w14:paraId="6B84E143">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政府采购法第七十七条规定：“供 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对“提供虚假材料谋取中标的违法行为”的执法力度。相关行政处罚案件，供 应商可登陆中国政府采购网的“政府采购严重违法失信行为记录名单”查询，望引以为戒。</w:t>
      </w:r>
    </w:p>
    <w:p w14:paraId="64B3973F">
      <w:pPr>
        <w:pStyle w:val="3"/>
        <w:spacing w:before="312" w:beforeLines="100" w:after="312" w:afterLines="100" w:line="240" w:lineRule="auto"/>
        <w:jc w:val="left"/>
        <w:rPr>
          <w:rFonts w:ascii="黑体" w:hAnsi="黑体" w:eastAsia="黑体" w:cs="Times New Roman"/>
          <w:kern w:val="0"/>
          <w:sz w:val="30"/>
        </w:rPr>
      </w:pPr>
      <w:bookmarkStart w:id="35" w:name="_Toc117"/>
      <w:r>
        <w:rPr>
          <w:rFonts w:ascii="黑体" w:hAnsi="黑体" w:eastAsia="黑体" w:cs="Times New Roman"/>
          <w:kern w:val="0"/>
          <w:sz w:val="30"/>
        </w:rPr>
        <w:t>四、其他事项</w:t>
      </w:r>
      <w:bookmarkEnd w:id="35"/>
    </w:p>
    <w:p w14:paraId="6C333AB0">
      <w:pPr>
        <w:spacing w:line="360" w:lineRule="auto"/>
        <w:ind w:firstLine="480" w:firstLineChars="200"/>
        <w:rPr>
          <w:rFonts w:asciiTheme="minorEastAsia" w:hAnsiTheme="minorEastAsia"/>
          <w:sz w:val="24"/>
          <w:szCs w:val="28"/>
        </w:rPr>
      </w:pPr>
      <w:r>
        <w:rPr>
          <w:rFonts w:asciiTheme="minorEastAsia" w:hAnsiTheme="minorEastAsia"/>
          <w:sz w:val="24"/>
          <w:szCs w:val="28"/>
        </w:rPr>
        <w:t>1、除招标文件另有规定外，若出现有关法律、法规和规章有强制性规定但招标文件未列明的情形，则投标人应按照有关法律、法规和规章强制性规定执行。</w:t>
      </w:r>
    </w:p>
    <w:p w14:paraId="0946E9D6">
      <w:pPr>
        <w:spacing w:line="360" w:lineRule="auto"/>
        <w:ind w:firstLine="480" w:firstLineChars="200"/>
        <w:rPr>
          <w:rFonts w:asciiTheme="minorEastAsia" w:hAnsiTheme="minorEastAsia"/>
          <w:sz w:val="24"/>
          <w:szCs w:val="28"/>
        </w:rPr>
      </w:pPr>
      <w:r>
        <w:rPr>
          <w:rFonts w:asciiTheme="minorEastAsia" w:hAnsiTheme="minorEastAsia"/>
          <w:sz w:val="24"/>
          <w:szCs w:val="28"/>
        </w:rPr>
        <w:t>2、其他：</w:t>
      </w:r>
    </w:p>
    <w:p w14:paraId="4909B42F">
      <w:pPr>
        <w:spacing w:line="360" w:lineRule="auto"/>
        <w:ind w:firstLine="480" w:firstLineChars="200"/>
        <w:rPr>
          <w:rFonts w:asciiTheme="minorEastAsia" w:hAnsiTheme="minorEastAsia"/>
          <w:sz w:val="24"/>
          <w:szCs w:val="28"/>
        </w:rPr>
      </w:pPr>
      <w:r>
        <w:rPr>
          <w:rFonts w:asciiTheme="minorEastAsia" w:hAnsiTheme="minorEastAsia"/>
          <w:sz w:val="24"/>
          <w:szCs w:val="28"/>
        </w:rPr>
        <w:t>详见其他商务要求中的“补充条款”。</w:t>
      </w:r>
    </w:p>
    <w:p w14:paraId="058E751D">
      <w:pPr>
        <w:sectPr>
          <w:pgSz w:w="11906" w:h="16838"/>
          <w:pgMar w:top="1418" w:right="1418" w:bottom="1418" w:left="1418" w:header="851" w:footer="992" w:gutter="0"/>
          <w:cols w:space="425" w:num="1"/>
          <w:docGrid w:type="lines" w:linePitch="312" w:charSpace="0"/>
        </w:sectPr>
      </w:pPr>
    </w:p>
    <w:p w14:paraId="312AB8CA">
      <w:pPr>
        <w:pStyle w:val="2"/>
        <w:keepNext/>
        <w:keepLines/>
        <w:widowControl w:val="0"/>
        <w:spacing w:before="312" w:beforeLines="100" w:beforeAutospacing="0" w:after="312" w:afterLines="100" w:afterAutospacing="0"/>
        <w:jc w:val="center"/>
        <w:rPr>
          <w:rFonts w:ascii="黑体" w:hAnsi="黑体" w:eastAsia="黑体" w:cs="Times New Roman"/>
          <w:kern w:val="0"/>
          <w:sz w:val="32"/>
          <w:szCs w:val="44"/>
        </w:rPr>
      </w:pPr>
      <w:bookmarkStart w:id="36" w:name="_Toc16894"/>
      <w:r>
        <w:rPr>
          <w:rFonts w:ascii="黑体" w:hAnsi="黑体" w:eastAsia="黑体" w:cs="Times New Roman"/>
          <w:kern w:val="0"/>
          <w:sz w:val="32"/>
          <w:szCs w:val="44"/>
        </w:rPr>
        <w:t>第六章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政府采购合同</w:t>
      </w:r>
      <w:bookmarkEnd w:id="36"/>
    </w:p>
    <w:p w14:paraId="22D25D1B">
      <w:pPr>
        <w:pStyle w:val="54"/>
        <w:widowControl w:val="0"/>
        <w:jc w:val="center"/>
        <w:rPr>
          <w:rFonts w:hint="default"/>
        </w:rPr>
      </w:pPr>
      <w:r>
        <w:rPr>
          <w:b/>
          <w:sz w:val="28"/>
        </w:rPr>
        <w:t>参考文本</w:t>
      </w:r>
    </w:p>
    <w:p w14:paraId="53DDCF78">
      <w:pPr>
        <w:spacing w:line="360" w:lineRule="auto"/>
        <w:jc w:val="left"/>
        <w:rPr>
          <w:rFonts w:ascii="宋体" w:hAnsi="宋体" w:eastAsia="宋体" w:cs="Times New Roman"/>
          <w:b/>
          <w:kern w:val="0"/>
          <w:sz w:val="24"/>
          <w:szCs w:val="24"/>
        </w:rPr>
      </w:pPr>
      <w:r>
        <w:rPr>
          <w:rFonts w:hint="eastAsia" w:ascii="宋体" w:hAnsi="宋体" w:eastAsia="宋体" w:cs="Times New Roman"/>
          <w:b/>
          <w:kern w:val="0"/>
          <w:sz w:val="24"/>
          <w:szCs w:val="24"/>
        </w:rPr>
        <w:t>合同编号：</w:t>
      </w:r>
    </w:p>
    <w:p w14:paraId="2B02DFAE">
      <w:pPr>
        <w:spacing w:line="360" w:lineRule="auto"/>
        <w:jc w:val="center"/>
        <w:rPr>
          <w:rFonts w:ascii="宋体" w:hAnsi="宋体" w:eastAsia="宋体" w:cs="Times New Roman"/>
          <w:b/>
          <w:kern w:val="0"/>
          <w:sz w:val="28"/>
          <w:szCs w:val="28"/>
        </w:rPr>
      </w:pPr>
      <w:r>
        <w:rPr>
          <w:rFonts w:hint="eastAsia" w:ascii="宋体" w:hAnsi="宋体" w:eastAsia="宋体" w:cs="Times New Roman"/>
          <w:b/>
          <w:kern w:val="0"/>
          <w:sz w:val="28"/>
          <w:szCs w:val="28"/>
        </w:rPr>
        <w:t>福建省政府采购合同（服务类）</w:t>
      </w:r>
    </w:p>
    <w:p w14:paraId="20AD2C8B">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编制说明</w:t>
      </w:r>
    </w:p>
    <w:p w14:paraId="069BAE0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1.签订合同应遵守《中华人民共和国政府采购法》及其实施条例、《中华人民共和国民法典》等法律法规及其他有关规定。</w:t>
      </w:r>
    </w:p>
    <w:p w14:paraId="27704E4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2.签订合同时，采购人与中标（成交）人应结合采购文件规定填列相应内容。采购文件已有约定的，双方均不得对约定进行变更或调整；采购文件未作规定的，双方可通过友好协商进行约定。</w:t>
      </w:r>
    </w:p>
    <w:p w14:paraId="2519E77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3.政府有关主管部门对若干合同有规范文本的，可使用相应合同文本。</w:t>
      </w:r>
    </w:p>
    <w:p w14:paraId="2A55293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4.本合同范本仅供参考，采购人应当根据采购项目的实际需求对合同条款进行修改、补充。</w:t>
      </w:r>
    </w:p>
    <w:p w14:paraId="39C3D5CD">
      <w:pPr>
        <w:spacing w:line="360" w:lineRule="auto"/>
        <w:ind w:firstLine="480" w:firstLineChars="200"/>
        <w:rPr>
          <w:rFonts w:ascii="宋体" w:hAnsi="宋体" w:eastAsia="宋体" w:cs="Times New Roman"/>
          <w:sz w:val="24"/>
          <w:szCs w:val="24"/>
        </w:rPr>
      </w:pPr>
    </w:p>
    <w:p w14:paraId="007E20C5">
      <w:pPr>
        <w:shd w:val="clear" w:color="auto" w:fill="FFFFFF"/>
        <w:spacing w:line="360" w:lineRule="auto"/>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rPr>
        <w:t>甲方：</w:t>
      </w:r>
      <w:r>
        <w:rPr>
          <w:rFonts w:hint="eastAsia" w:ascii="宋体" w:hAnsi="宋体" w:eastAsia="宋体" w:cs="宋体"/>
          <w:kern w:val="0"/>
          <w:sz w:val="24"/>
          <w:szCs w:val="24"/>
          <w:u w:val="single"/>
        </w:rPr>
        <w:t xml:space="preserve">                </w:t>
      </w:r>
    </w:p>
    <w:p w14:paraId="031FB9F3">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住所地：</w:t>
      </w:r>
      <w:r>
        <w:rPr>
          <w:rFonts w:hint="eastAsia" w:ascii="宋体" w:hAnsi="宋体" w:eastAsia="宋体" w:cs="宋体"/>
          <w:kern w:val="0"/>
          <w:sz w:val="24"/>
          <w:szCs w:val="24"/>
          <w:u w:val="single"/>
        </w:rPr>
        <w:t xml:space="preserve">              </w:t>
      </w:r>
    </w:p>
    <w:p w14:paraId="077CBA2F">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联系人：</w:t>
      </w:r>
      <w:r>
        <w:rPr>
          <w:rFonts w:hint="eastAsia" w:ascii="宋体" w:hAnsi="宋体" w:eastAsia="宋体" w:cs="宋体"/>
          <w:kern w:val="0"/>
          <w:sz w:val="24"/>
          <w:szCs w:val="24"/>
          <w:u w:val="single"/>
        </w:rPr>
        <w:t xml:space="preserve">              </w:t>
      </w:r>
    </w:p>
    <w:p w14:paraId="1ADF78D1">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联系电话：</w:t>
      </w:r>
      <w:r>
        <w:rPr>
          <w:rFonts w:hint="eastAsia" w:ascii="宋体" w:hAnsi="宋体" w:eastAsia="宋体" w:cs="宋体"/>
          <w:kern w:val="0"/>
          <w:sz w:val="24"/>
          <w:szCs w:val="24"/>
          <w:u w:val="single"/>
        </w:rPr>
        <w:t xml:space="preserve">            </w:t>
      </w:r>
    </w:p>
    <w:p w14:paraId="586DEFA2">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传真：</w:t>
      </w:r>
      <w:r>
        <w:rPr>
          <w:rFonts w:hint="eastAsia" w:ascii="宋体" w:hAnsi="宋体" w:eastAsia="宋体" w:cs="宋体"/>
          <w:kern w:val="0"/>
          <w:sz w:val="24"/>
          <w:szCs w:val="24"/>
          <w:u w:val="single"/>
        </w:rPr>
        <w:t xml:space="preserve">                </w:t>
      </w:r>
    </w:p>
    <w:p w14:paraId="68738ED0">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电子邮箱：</w:t>
      </w:r>
      <w:r>
        <w:rPr>
          <w:rFonts w:hint="eastAsia" w:ascii="宋体" w:hAnsi="宋体" w:eastAsia="宋体" w:cs="宋体"/>
          <w:kern w:val="0"/>
          <w:sz w:val="24"/>
          <w:szCs w:val="24"/>
          <w:u w:val="single"/>
        </w:rPr>
        <w:t xml:space="preserve">            </w:t>
      </w:r>
    </w:p>
    <w:p w14:paraId="357975A8">
      <w:pPr>
        <w:spacing w:line="360" w:lineRule="auto"/>
        <w:ind w:firstLine="480" w:firstLineChars="200"/>
        <w:jc w:val="left"/>
        <w:rPr>
          <w:rFonts w:ascii="宋体" w:hAnsi="宋体" w:eastAsia="宋体" w:cs="宋体"/>
          <w:kern w:val="0"/>
          <w:sz w:val="24"/>
          <w:szCs w:val="24"/>
        </w:rPr>
      </w:pPr>
    </w:p>
    <w:p w14:paraId="5DF7EC77">
      <w:pPr>
        <w:shd w:val="clear" w:color="auto" w:fill="FFFFFF"/>
        <w:spacing w:line="360" w:lineRule="auto"/>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rPr>
        <w:t>乙方：</w:t>
      </w:r>
      <w:r>
        <w:rPr>
          <w:rFonts w:hint="eastAsia" w:ascii="宋体" w:hAnsi="宋体" w:eastAsia="宋体" w:cs="宋体"/>
          <w:kern w:val="0"/>
          <w:sz w:val="24"/>
          <w:szCs w:val="24"/>
          <w:u w:val="single"/>
        </w:rPr>
        <w:t xml:space="preserve">                </w:t>
      </w:r>
    </w:p>
    <w:p w14:paraId="0BE35275">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住所地：</w:t>
      </w:r>
      <w:r>
        <w:rPr>
          <w:rFonts w:hint="eastAsia" w:ascii="宋体" w:hAnsi="宋体" w:eastAsia="宋体" w:cs="宋体"/>
          <w:kern w:val="0"/>
          <w:sz w:val="24"/>
          <w:szCs w:val="24"/>
          <w:u w:val="single"/>
        </w:rPr>
        <w:t xml:space="preserve">              </w:t>
      </w:r>
    </w:p>
    <w:p w14:paraId="2E4FBDF7">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联系人：</w:t>
      </w:r>
      <w:r>
        <w:rPr>
          <w:rFonts w:hint="eastAsia" w:ascii="宋体" w:hAnsi="宋体" w:eastAsia="宋体" w:cs="宋体"/>
          <w:kern w:val="0"/>
          <w:sz w:val="24"/>
          <w:szCs w:val="24"/>
          <w:u w:val="single"/>
        </w:rPr>
        <w:t xml:space="preserve">              </w:t>
      </w:r>
    </w:p>
    <w:p w14:paraId="49DFFCCF">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联系电话：</w:t>
      </w:r>
      <w:r>
        <w:rPr>
          <w:rFonts w:hint="eastAsia" w:ascii="宋体" w:hAnsi="宋体" w:eastAsia="宋体" w:cs="宋体"/>
          <w:kern w:val="0"/>
          <w:sz w:val="24"/>
          <w:szCs w:val="24"/>
          <w:u w:val="single"/>
        </w:rPr>
        <w:t xml:space="preserve">            </w:t>
      </w:r>
    </w:p>
    <w:p w14:paraId="4209EB85">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传真：</w:t>
      </w:r>
      <w:r>
        <w:rPr>
          <w:rFonts w:hint="eastAsia" w:ascii="宋体" w:hAnsi="宋体" w:eastAsia="宋体" w:cs="宋体"/>
          <w:kern w:val="0"/>
          <w:sz w:val="24"/>
          <w:szCs w:val="24"/>
          <w:u w:val="single"/>
        </w:rPr>
        <w:t xml:space="preserve">                </w:t>
      </w:r>
    </w:p>
    <w:p w14:paraId="25F63378">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电子邮箱：</w:t>
      </w:r>
      <w:r>
        <w:rPr>
          <w:rFonts w:hint="eastAsia" w:ascii="宋体" w:hAnsi="宋体" w:eastAsia="宋体" w:cs="宋体"/>
          <w:kern w:val="0"/>
          <w:sz w:val="24"/>
          <w:szCs w:val="24"/>
          <w:u w:val="single"/>
        </w:rPr>
        <w:t xml:space="preserve">            </w:t>
      </w:r>
    </w:p>
    <w:p w14:paraId="799D6222">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根据项目编号为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项目（以下简称：“本项目”）的采购结果，遵循平等、自愿、公平和诚实信用的原则，双方签署本合同，具体内容如下：</w:t>
      </w:r>
    </w:p>
    <w:p w14:paraId="6516B203">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一、合同组成部分</w:t>
      </w:r>
    </w:p>
    <w:p w14:paraId="3C7FF5AC">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1.1本合同条款及附件；</w:t>
      </w:r>
    </w:p>
    <w:p w14:paraId="0BE08F98">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1.2采购文件及其附件、补充文件；</w:t>
      </w:r>
    </w:p>
    <w:p w14:paraId="643799DD">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1.3乙方的响应文件及其附件、补充文件；</w:t>
      </w:r>
    </w:p>
    <w:p w14:paraId="5AFDC286">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1.4其他文件或材料：</w:t>
      </w:r>
    </w:p>
    <w:p w14:paraId="51D7100E">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二、合同标的</w:t>
      </w:r>
    </w:p>
    <w:p w14:paraId="6AB22DB6">
      <w:pPr>
        <w:spacing w:line="360" w:lineRule="auto"/>
        <w:ind w:firstLine="480" w:firstLineChars="200"/>
        <w:jc w:val="left"/>
        <w:rPr>
          <w:rFonts w:ascii="宋体" w:hAnsi="宋体" w:eastAsia="宋体" w:cs="宋体"/>
          <w:kern w:val="0"/>
          <w:sz w:val="24"/>
          <w:szCs w:val="24"/>
        </w:rPr>
      </w:pPr>
    </w:p>
    <w:p w14:paraId="4BEF79AE">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三、价格形式及合同价款</w:t>
      </w:r>
    </w:p>
    <w:p w14:paraId="3DFF6872">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3.1价格形式</w:t>
      </w:r>
    </w:p>
    <w:p w14:paraId="7A9C9534">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□固定单价合同。完成约定服务事项的含税合同单价为：人民币（大写）元（￥</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w:t>
      </w:r>
    </w:p>
    <w:p w14:paraId="2C6C8FBD">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□固定总价合同。完成约定服务事项的含税服务费用为：人民币（大写）元（￥</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w:t>
      </w:r>
    </w:p>
    <w:p w14:paraId="6380AA9A">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□其他方式。</w:t>
      </w:r>
    </w:p>
    <w:p w14:paraId="62A773FC">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3.2合同价款包含范围</w:t>
      </w:r>
    </w:p>
    <w:p w14:paraId="7F872C47">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3.3其他需说明的事项：</w:t>
      </w:r>
    </w:p>
    <w:p w14:paraId="6EA30238">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四、合同标的及服务范围、地点和时间</w:t>
      </w:r>
    </w:p>
    <w:p w14:paraId="0CB2AC7E">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4.1项目名称：</w:t>
      </w:r>
      <w:r>
        <w:rPr>
          <w:rFonts w:hint="eastAsia" w:ascii="宋体" w:hAnsi="宋体" w:eastAsia="宋体" w:cs="宋体"/>
          <w:kern w:val="0"/>
          <w:sz w:val="24"/>
          <w:szCs w:val="24"/>
          <w:u w:val="single"/>
        </w:rPr>
        <w:t xml:space="preserve">                </w:t>
      </w:r>
    </w:p>
    <w:p w14:paraId="33763341">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4.2服务范围：</w:t>
      </w:r>
      <w:r>
        <w:rPr>
          <w:rFonts w:hint="eastAsia" w:ascii="宋体" w:hAnsi="宋体" w:eastAsia="宋体" w:cs="宋体"/>
          <w:kern w:val="0"/>
          <w:sz w:val="24"/>
          <w:szCs w:val="24"/>
          <w:u w:val="single"/>
        </w:rPr>
        <w:t xml:space="preserve">                </w:t>
      </w:r>
    </w:p>
    <w:p w14:paraId="39E24300">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4.3服务地点：</w:t>
      </w:r>
      <w:r>
        <w:rPr>
          <w:rFonts w:hint="eastAsia" w:ascii="宋体" w:hAnsi="宋体" w:eastAsia="宋体" w:cs="宋体"/>
          <w:kern w:val="0"/>
          <w:sz w:val="24"/>
          <w:szCs w:val="24"/>
          <w:u w:val="single"/>
        </w:rPr>
        <w:t xml:space="preserve">                </w:t>
      </w:r>
    </w:p>
    <w:p w14:paraId="35912585">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4.4服务完成时间：</w:t>
      </w:r>
      <w:r>
        <w:rPr>
          <w:rFonts w:hint="eastAsia" w:ascii="宋体" w:hAnsi="宋体" w:eastAsia="宋体" w:cs="宋体"/>
          <w:kern w:val="0"/>
          <w:sz w:val="24"/>
          <w:szCs w:val="24"/>
          <w:u w:val="single"/>
        </w:rPr>
        <w:t xml:space="preserve">            </w:t>
      </w:r>
    </w:p>
    <w:p w14:paraId="6A2DA48E">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五、服务内容、质量标准和要求</w:t>
      </w:r>
    </w:p>
    <w:p w14:paraId="28AEC13B">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5.1服务工作量的计量方式：</w:t>
      </w:r>
      <w:r>
        <w:rPr>
          <w:rFonts w:hint="eastAsia" w:ascii="宋体" w:hAnsi="宋体" w:eastAsia="宋体" w:cs="宋体"/>
          <w:kern w:val="0"/>
          <w:sz w:val="24"/>
          <w:szCs w:val="24"/>
          <w:u w:val="single"/>
        </w:rPr>
        <w:t xml:space="preserve">                </w:t>
      </w:r>
    </w:p>
    <w:p w14:paraId="2C87D99D">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5.2服务内容：</w:t>
      </w:r>
      <w:r>
        <w:rPr>
          <w:rFonts w:hint="eastAsia" w:ascii="宋体" w:hAnsi="宋体" w:eastAsia="宋体" w:cs="宋体"/>
          <w:kern w:val="0"/>
          <w:sz w:val="24"/>
          <w:szCs w:val="24"/>
          <w:u w:val="single"/>
        </w:rPr>
        <w:t xml:space="preserve">                            </w:t>
      </w:r>
    </w:p>
    <w:p w14:paraId="0D63D94C">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5.3技术保障、服务人员组成、所涉及的货物的质量标准：</w:t>
      </w:r>
    </w:p>
    <w:p w14:paraId="176262A3">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（1）服务技术保障：</w:t>
      </w:r>
      <w:r>
        <w:rPr>
          <w:rFonts w:hint="eastAsia" w:ascii="宋体" w:hAnsi="宋体" w:eastAsia="宋体" w:cs="宋体"/>
          <w:kern w:val="0"/>
          <w:sz w:val="24"/>
          <w:szCs w:val="24"/>
          <w:u w:val="single"/>
        </w:rPr>
        <w:t xml:space="preserve">               </w:t>
      </w:r>
    </w:p>
    <w:p w14:paraId="78E2476B">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（2）服务人员组成：</w:t>
      </w:r>
      <w:r>
        <w:rPr>
          <w:rFonts w:hint="eastAsia" w:ascii="宋体" w:hAnsi="宋体" w:eastAsia="宋体" w:cs="宋体"/>
          <w:kern w:val="0"/>
          <w:sz w:val="24"/>
          <w:szCs w:val="24"/>
          <w:u w:val="single"/>
        </w:rPr>
        <w:t xml:space="preserve">               </w:t>
      </w:r>
    </w:p>
    <w:p w14:paraId="75AAD545">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（3）服务设备及物资投入及质量标准：</w:t>
      </w:r>
      <w:r>
        <w:rPr>
          <w:rFonts w:hint="eastAsia" w:ascii="宋体" w:hAnsi="宋体" w:eastAsia="宋体" w:cs="宋体"/>
          <w:kern w:val="0"/>
          <w:sz w:val="24"/>
          <w:szCs w:val="24"/>
          <w:u w:val="single"/>
        </w:rPr>
        <w:t xml:space="preserve">              </w:t>
      </w:r>
    </w:p>
    <w:p w14:paraId="021D3198">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5.4服务质量标准及要求：</w:t>
      </w:r>
    </w:p>
    <w:p w14:paraId="70A4D125">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41F38248">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27D732B3">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5.4.3其他要求：</w:t>
      </w:r>
    </w:p>
    <w:p w14:paraId="4ED89077">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六、服务履约验收或考核</w:t>
      </w:r>
    </w:p>
    <w:p w14:paraId="4D69F8E3">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甲方按照采购文件、乙方的投标或响应文件和本协议约定的服务内容及质量要求按次组织对乙方所提供服务进行验收，或定期进行服务考核，并根据验收或考核结果支付服务费用。具体如下：</w:t>
      </w:r>
    </w:p>
    <w:p w14:paraId="7E8F3F98">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七、甲方的权利与义务</w:t>
      </w:r>
    </w:p>
    <w:p w14:paraId="39D8857F">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7.1甲方委派</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为联系人，联系方式</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，负责与乙方联系。如甲方联系人发生变更，甲方应书面告知乙方。</w:t>
      </w:r>
    </w:p>
    <w:p w14:paraId="01608B02">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7.2甲方应为乙方开展服务工作提供必要的工作条件，以及对内对外沟通和配合协助。</w:t>
      </w:r>
    </w:p>
    <w:p w14:paraId="26C612EA">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7.3甲方应于</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之前提供服务所需的全部资料，并对所提供材料真实性、完整性、合法性负责。</w:t>
      </w:r>
    </w:p>
    <w:p w14:paraId="01F21882">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6B51FCAD">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7.5甲方应按本合同约定及时足额支付服务费用及相关费用。</w:t>
      </w:r>
    </w:p>
    <w:p w14:paraId="7068E830">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7.6其他</w:t>
      </w:r>
    </w:p>
    <w:p w14:paraId="4B9AFC32">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八、乙方的权利与义务</w:t>
      </w:r>
    </w:p>
    <w:p w14:paraId="3B2DA343">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8.1乙方委派</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为联系人，联系方式</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，负责与甲方联系。如乙方联系人发生变更，乙方应书面告知甲方</w:t>
      </w:r>
    </w:p>
    <w:p w14:paraId="1A219062">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8.2乙方应国家法律法规和{{乙方的权利与义务-响应要求-福建}}等要求开展{{乙方的权利与义务-开展服务-福建}}服务；</w:t>
      </w:r>
    </w:p>
    <w:p w14:paraId="484BCF61">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8.3乙方及其所委派服务人员应按标准或协议约定方式出具服务成果，对并其真实性和合法性负法律责任；</w:t>
      </w:r>
    </w:p>
    <w:p w14:paraId="3231B5F8">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8.4乙方对执行业务过程中知悉的国家秘密或甲方的商业秘密保密。除非国家法律法规及行业规范另有规定,或经甲方同意,乙方不得将其知悉的商业秘密和甲方提供的资料对外泄露。</w:t>
      </w:r>
    </w:p>
    <w:p w14:paraId="088281E4">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8.5乙方对服务业务应当单独建档，保存完整的工作记录，并对服务过程使用和暂存甲方的文件、材料和财物应当妥善保管。</w:t>
      </w:r>
    </w:p>
    <w:p w14:paraId="0B4E1DA4">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8.6服务工作结束后,乙方将根据情况对甲方服务相关的管理制度及其他事项等提出改进意见。</w:t>
      </w:r>
    </w:p>
    <w:p w14:paraId="70002EAB">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8.7其他</w:t>
      </w:r>
    </w:p>
    <w:p w14:paraId="1EE937A6">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九、资金支付方式、时间和条件</w:t>
      </w:r>
    </w:p>
    <w:p w14:paraId="0BF59ACF">
      <w:pPr>
        <w:spacing w:line="360" w:lineRule="auto"/>
        <w:ind w:firstLine="480" w:firstLineChars="200"/>
        <w:jc w:val="left"/>
        <w:rPr>
          <w:rFonts w:ascii="宋体" w:hAnsi="宋体" w:eastAsia="宋体" w:cs="宋体"/>
          <w:kern w:val="0"/>
          <w:sz w:val="24"/>
          <w:szCs w:val="24"/>
        </w:rPr>
      </w:pPr>
    </w:p>
    <w:p w14:paraId="2BEDC44C">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十、履约保证金</w:t>
      </w:r>
    </w:p>
    <w:p w14:paraId="2FC676E8">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□有，□无。具体如下：（按照采购文件规定填写）。</w:t>
      </w:r>
    </w:p>
    <w:p w14:paraId="552E8DC4">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10.1乙方向甲方缴纳人民币 / 元作为本合同的履约保证金。</w:t>
      </w:r>
    </w:p>
    <w:p w14:paraId="5AFE203A">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10.2履约保证金缴纳形式：支票/汇票/电汇/保函等非现金形式。</w:t>
      </w:r>
    </w:p>
    <w:p w14:paraId="2139C485">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10.3履约保证金合同履行完毕前有效，合同履行完毕后一次性结清退还。</w:t>
      </w:r>
    </w:p>
    <w:p w14:paraId="3DC06028">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十一、合同期限</w:t>
      </w:r>
    </w:p>
    <w:p w14:paraId="3E6C70AD">
      <w:pPr>
        <w:spacing w:line="360" w:lineRule="auto"/>
        <w:ind w:firstLine="480" w:firstLineChars="200"/>
        <w:jc w:val="left"/>
        <w:rPr>
          <w:rFonts w:ascii="宋体" w:hAnsi="宋体" w:eastAsia="宋体" w:cs="宋体"/>
          <w:kern w:val="0"/>
          <w:sz w:val="24"/>
          <w:szCs w:val="24"/>
        </w:rPr>
      </w:pPr>
    </w:p>
    <w:p w14:paraId="1574E310">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十二、保密条款</w:t>
      </w:r>
    </w:p>
    <w:p w14:paraId="17D39255">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12.1对于在采购和合同履行过程中所获悉的属于保密的内容，甲、乙双方均负有保密义务。</w:t>
      </w:r>
    </w:p>
    <w:p w14:paraId="473E3DCD">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12.2其他</w:t>
      </w:r>
    </w:p>
    <w:p w14:paraId="1972AD34">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十三、违约责任</w:t>
      </w:r>
    </w:p>
    <w:p w14:paraId="6FD8C1C6">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13.1甲方违约责任</w:t>
      </w:r>
    </w:p>
    <w:p w14:paraId="2D347C73">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（1）甲方无正当理由拒绝乙方提供合格服务的，甲方应向乙方偿付所拒收合同总价________的违约金</w:t>
      </w:r>
    </w:p>
    <w:p w14:paraId="669937AC">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（2）甲方无故逾期验收和办理合同款项支付手续的,甲方应按逾期付款总额每日________向乙方支付违约金。</w:t>
      </w:r>
    </w:p>
    <w:p w14:paraId="427B3ABD">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（3）其他违约情形</w:t>
      </w:r>
    </w:p>
    <w:p w14:paraId="7EC94E34">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13.2乙方违约责任</w:t>
      </w:r>
    </w:p>
    <w:p w14:paraId="1AC88E40">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（1）乙方逾期履行服务的，乙方应按逾期交付总额每日</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向甲方支付违约金，由甲方从待付货款中扣除。乙方无正当理由逾期超过约定日期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仍不能交付的，视为“乙方不按合同约定履约”；</w:t>
      </w:r>
    </w:p>
    <w:p w14:paraId="051A781E">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（2）乙方所履行的服务不符合合同规定及《采购文件》规定标准的，甲方有权拒绝，乙方愿意整改但逾期履行的，按乙方逾期履行处理。乙方拒绝整改的，视为“乙方不按合同约定履约”</w:t>
      </w:r>
    </w:p>
    <w:p w14:paraId="42C7DFFD">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（3）乙方不按合同约定履约的，甲方可以解除采购合同，并对乙方已缴纳的履约保证金作“不予退还”处理。同时，乙方须按以下约定向甲方支付违约金：</w:t>
      </w:r>
    </w:p>
    <w:p w14:paraId="21C26400">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（4）其他违约情形</w:t>
      </w:r>
    </w:p>
    <w:p w14:paraId="5BA87B27">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十四、不可抗力事件处理</w:t>
      </w:r>
    </w:p>
    <w:p w14:paraId="70AD9425">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43A23A6F">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十五、解决争议的方法</w:t>
      </w:r>
    </w:p>
    <w:p w14:paraId="763DFD01">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15.1甲、乙双方协商解决。</w:t>
      </w:r>
    </w:p>
    <w:p w14:paraId="7DE459B6">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15.2若协商解决不成，则通过下列途径之一解决：</w:t>
      </w:r>
    </w:p>
    <w:p w14:paraId="3175FF79">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□提交仲裁委员会仲裁，具体如下：</w:t>
      </w:r>
    </w:p>
    <w:p w14:paraId="481FD5E7">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□向人民法院提起诉讼，具体如下：</w:t>
      </w:r>
    </w:p>
    <w:p w14:paraId="2B4CB810">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十六、合同其他条款</w:t>
      </w:r>
    </w:p>
    <w:p w14:paraId="3EA02173">
      <w:pPr>
        <w:spacing w:line="360" w:lineRule="auto"/>
        <w:ind w:firstLine="480" w:firstLineChars="200"/>
        <w:jc w:val="left"/>
        <w:rPr>
          <w:rFonts w:ascii="宋体" w:hAnsi="宋体" w:eastAsia="宋体" w:cs="宋体"/>
          <w:kern w:val="0"/>
          <w:sz w:val="24"/>
          <w:szCs w:val="24"/>
        </w:rPr>
      </w:pPr>
    </w:p>
    <w:p w14:paraId="1B91CDF5">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十七、其他约定</w:t>
      </w:r>
    </w:p>
    <w:p w14:paraId="24432F53">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17.1合同文件与本合同具有同等法律效力。</w:t>
      </w:r>
    </w:p>
    <w:p w14:paraId="168AB264">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3A12C4AF">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17.3本合同未尽事宜，遵照《中华人民共和国民法典》有关条文执行。</w:t>
      </w:r>
    </w:p>
    <w:p w14:paraId="030CC949">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17.4本合同正本一式</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份，具有同等法律效力，甲方、乙方各执</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份；副本</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份，</w:t>
      </w:r>
      <w:r>
        <w:rPr>
          <w:rFonts w:hint="eastAsia" w:ascii="宋体" w:hAnsi="宋体" w:eastAsia="宋体" w:cs="宋体"/>
          <w:kern w:val="0"/>
          <w:sz w:val="24"/>
          <w:szCs w:val="24"/>
          <w:u w:val="single"/>
        </w:rPr>
        <w:t xml:space="preserve">     </w:t>
      </w:r>
    </w:p>
    <w:p w14:paraId="3A52A96A">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17.5本合同已用于政府采购合同融资，为本项目提供合同融资的金融机构为：_______，甲乙双方应当按照融资合同的约定进行资金使用及款项支付。</w:t>
      </w:r>
    </w:p>
    <w:p w14:paraId="5F53119E">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中标（成交）供应商应于采购合同签订之日起</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内，向发放政采贷的金融机构提交政府采购中标（成交）通知书和政府采购合同，贷款金额以政府采购合同金额为限。</w:t>
      </w:r>
    </w:p>
    <w:p w14:paraId="3FD07C8C">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17.6其他</w:t>
      </w:r>
    </w:p>
    <w:p w14:paraId="304A0592">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十八、合同附件</w:t>
      </w:r>
    </w:p>
    <w:p w14:paraId="796AAAC7">
      <w:pPr>
        <w:shd w:val="clear" w:color="auto" w:fill="FFFFFF"/>
        <w:spacing w:line="360" w:lineRule="auto"/>
        <w:ind w:firstLine="482" w:firstLineChars="200"/>
        <w:rPr>
          <w:rFonts w:ascii="宋体" w:hAnsi="宋体" w:eastAsia="宋体" w:cs="宋体"/>
          <w:b/>
          <w:kern w:val="0"/>
          <w:sz w:val="24"/>
          <w:szCs w:val="24"/>
        </w:rPr>
      </w:pPr>
    </w:p>
    <w:p w14:paraId="7B3B930A">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甲方（采购人）：</w:t>
      </w:r>
    </w:p>
    <w:p w14:paraId="62286463">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法定（授权）代表人：</w:t>
      </w:r>
    </w:p>
    <w:p w14:paraId="22F30DD2">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纳税人识别号：</w:t>
      </w:r>
    </w:p>
    <w:p w14:paraId="180FAEA9">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开户银行：</w:t>
      </w:r>
    </w:p>
    <w:p w14:paraId="6104E893">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账号：</w:t>
      </w:r>
    </w:p>
    <w:p w14:paraId="17540ED9">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乙方（中标或成交人）：</w:t>
      </w:r>
    </w:p>
    <w:p w14:paraId="2BBFD3D4">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法定（授权）代表人：</w:t>
      </w:r>
    </w:p>
    <w:p w14:paraId="29BD86FC">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纳税人识别号：</w:t>
      </w:r>
    </w:p>
    <w:p w14:paraId="5AF6DD34">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开户银行：</w:t>
      </w:r>
    </w:p>
    <w:p w14:paraId="1653DA04">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账号：</w:t>
      </w:r>
    </w:p>
    <w:p w14:paraId="122BAF73">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签订地点：</w:t>
      </w:r>
      <w:r>
        <w:rPr>
          <w:rFonts w:hint="eastAsia" w:ascii="宋体" w:hAnsi="宋体" w:eastAsia="宋体" w:cs="宋体"/>
          <w:kern w:val="0"/>
          <w:sz w:val="24"/>
          <w:szCs w:val="24"/>
          <w:u w:val="single"/>
        </w:rPr>
        <w:t xml:space="preserve">                 </w:t>
      </w:r>
    </w:p>
    <w:p w14:paraId="58C592CB">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签订日期：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p>
    <w:p w14:paraId="287AB206">
      <w:pPr>
        <w:rPr>
          <w:rFonts w:ascii="Calibri" w:hAnsi="Calibri" w:eastAsia="宋体" w:cs="Times New Roman"/>
        </w:rPr>
        <w:sectPr>
          <w:pgSz w:w="11906" w:h="16838"/>
          <w:pgMar w:top="1418" w:right="1418" w:bottom="1418" w:left="1418" w:header="851" w:footer="992" w:gutter="0"/>
          <w:cols w:space="425" w:num="1"/>
          <w:docGrid w:type="lines" w:linePitch="312" w:charSpace="0"/>
        </w:sectPr>
      </w:pPr>
    </w:p>
    <w:p w14:paraId="06947F36">
      <w:pPr>
        <w:pStyle w:val="2"/>
        <w:keepNext/>
        <w:keepLines/>
        <w:widowControl w:val="0"/>
        <w:spacing w:before="312" w:beforeLines="100" w:beforeAutospacing="0" w:after="312" w:afterLines="100" w:afterAutospacing="0"/>
        <w:jc w:val="center"/>
        <w:rPr>
          <w:rFonts w:ascii="黑体" w:hAnsi="黑体" w:eastAsia="黑体" w:cs="Times New Roman"/>
          <w:kern w:val="0"/>
          <w:sz w:val="32"/>
          <w:szCs w:val="44"/>
        </w:rPr>
      </w:pPr>
      <w:bookmarkStart w:id="37" w:name="_Toc8344"/>
      <w:r>
        <w:rPr>
          <w:rFonts w:ascii="黑体" w:hAnsi="黑体" w:eastAsia="黑体" w:cs="Times New Roman"/>
          <w:kern w:val="0"/>
          <w:sz w:val="32"/>
          <w:szCs w:val="44"/>
        </w:rPr>
        <w:t>第七章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电子投标文件格式</w:t>
      </w:r>
      <w:bookmarkEnd w:id="37"/>
    </w:p>
    <w:p w14:paraId="5B26E166"/>
    <w:p w14:paraId="105E3C05">
      <w:pPr>
        <w:spacing w:before="156" w:beforeLines="50" w:after="156" w:afterLines="50"/>
        <w:jc w:val="center"/>
        <w:rPr>
          <w:b/>
          <w:sz w:val="28"/>
          <w:szCs w:val="28"/>
        </w:rPr>
      </w:pPr>
      <w:r>
        <w:rPr>
          <w:b/>
          <w:sz w:val="28"/>
          <w:szCs w:val="28"/>
        </w:rPr>
        <w:t>编制说明</w:t>
      </w:r>
    </w:p>
    <w:p w14:paraId="2893C47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1、除招标文件另有规定外，本章中：</w:t>
      </w:r>
    </w:p>
    <w:p w14:paraId="669F11D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1.1涉及投标人的“全称”：</w:t>
      </w:r>
    </w:p>
    <w:p w14:paraId="6153929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（1）不接受联合体投标的，指投标人的全称。</w:t>
      </w:r>
    </w:p>
    <w:p w14:paraId="6DF81A2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（2）接受联合体投标且投标人为联合体的，指牵头方的全称并加注（联合体牵头方），即应表述为：“牵头方的全称（联合体牵头方）”。</w:t>
      </w:r>
    </w:p>
    <w:p w14:paraId="20C15A4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1.2涉及投标人“加盖单位公章”：</w:t>
      </w:r>
    </w:p>
    <w:p w14:paraId="27CC724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（1）不接受联合体投标的，指加盖投标人的单位公章。</w:t>
      </w:r>
    </w:p>
    <w:p w14:paraId="1E00804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（2）接受联合体投标且投标人为联合体的，指加盖联合体牵头方的单位公章。</w:t>
      </w:r>
    </w:p>
    <w:p w14:paraId="45003DB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1.3涉及“投标人代表签字”：</w:t>
      </w:r>
    </w:p>
    <w:p w14:paraId="537391A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（1）不接受联合体投标的，指由投标人的单位负责人或其授权的委托代理人签字，由委托代理人签字的，应提供“单位授权书”。</w:t>
      </w:r>
    </w:p>
    <w:p w14:paraId="5CDB6CB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（2）接受联合体投标且投标人为联合体的，指由联合体牵头方的单位负责人或其授权的委托代理人签字，由委托代理人签字的，应提供“单位授权书”。</w:t>
      </w:r>
    </w:p>
    <w:p w14:paraId="69F710A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1.4“其他组织”指合伙企业、非企业专业服务机构、个体工商户、农村承包经营户等。</w:t>
      </w:r>
    </w:p>
    <w:p w14:paraId="032FB2E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1.5“自然人”指具有完全民事行为能力、能够承担民事责任和义务的中国公民。</w:t>
      </w:r>
    </w:p>
    <w:p w14:paraId="12E0E78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2、除招标文件另有规定外，本章中“投标人的资格及资信证明文件”：</w:t>
      </w:r>
    </w:p>
    <w:p w14:paraId="5ADE0B8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2.1投标人应按照招标文件第四章第1.3条第（2）款规定及本章规定进行编制，如有必要，可增加附页，附页作为资格及资信文件的组成部分。</w:t>
      </w:r>
    </w:p>
    <w:p w14:paraId="31124DB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2.2接受联合体投标且投标人为联合体的，联合体中的各方均应按照本章第2.1条规定提交相应的全部资料。</w:t>
      </w:r>
    </w:p>
    <w:p w14:paraId="328D043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3、投标人对电子投标文件的索引应编制页码。</w:t>
      </w:r>
    </w:p>
    <w:p w14:paraId="5D11E09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4、本章提供格式仅供参考，投标人应根据自身实际情况制作电子投标文件。</w:t>
      </w:r>
    </w:p>
    <w:p w14:paraId="33FF74F3">
      <w:pPr>
        <w:sectPr>
          <w:pgSz w:w="11906" w:h="16838"/>
          <w:pgMar w:top="1418" w:right="1418" w:bottom="1418" w:left="1418" w:header="851" w:footer="992" w:gutter="0"/>
          <w:cols w:space="425" w:num="1"/>
          <w:docGrid w:type="lines" w:linePitch="312" w:charSpace="0"/>
        </w:sectPr>
      </w:pPr>
    </w:p>
    <w:p w14:paraId="01F69A6F">
      <w:pPr>
        <w:spacing w:before="156" w:beforeLines="50" w:after="156" w:afterLines="50"/>
        <w:jc w:val="center"/>
        <w:rPr>
          <w:b/>
          <w:sz w:val="28"/>
          <w:szCs w:val="28"/>
        </w:rPr>
      </w:pPr>
      <w:r>
        <w:rPr>
          <w:b/>
          <w:sz w:val="28"/>
          <w:szCs w:val="28"/>
        </w:rPr>
        <w:t>封面格式（资格及资信证明部分）</w:t>
      </w:r>
    </w:p>
    <w:p w14:paraId="3DD8DA8F">
      <w:pPr>
        <w:jc w:val="center"/>
        <w:rPr>
          <w:rFonts w:ascii="宋体" w:hAnsi="宋体" w:eastAsia="宋体"/>
          <w:b/>
          <w:sz w:val="32"/>
          <w:szCs w:val="32"/>
        </w:rPr>
      </w:pPr>
    </w:p>
    <w:p w14:paraId="1486A785">
      <w:pPr>
        <w:jc w:val="center"/>
        <w:rPr>
          <w:rFonts w:ascii="宋体" w:hAnsi="宋体" w:eastAsia="宋体"/>
          <w:b/>
          <w:sz w:val="32"/>
          <w:szCs w:val="32"/>
        </w:rPr>
      </w:pPr>
      <w:r>
        <w:rPr>
          <w:rFonts w:ascii="宋体" w:hAnsi="宋体" w:eastAsia="宋体"/>
          <w:b/>
          <w:sz w:val="32"/>
          <w:szCs w:val="32"/>
        </w:rPr>
        <w:t>福建省政府采购投标文件</w:t>
      </w:r>
    </w:p>
    <w:p w14:paraId="418AEDE0">
      <w:pPr>
        <w:jc w:val="center"/>
        <w:rPr>
          <w:rFonts w:ascii="宋体" w:hAnsi="宋体" w:eastAsia="宋体"/>
          <w:b/>
          <w:sz w:val="32"/>
          <w:szCs w:val="32"/>
        </w:rPr>
      </w:pPr>
      <w:r>
        <w:rPr>
          <w:rFonts w:ascii="宋体" w:hAnsi="宋体" w:eastAsia="宋体"/>
          <w:b/>
          <w:sz w:val="32"/>
          <w:szCs w:val="32"/>
        </w:rPr>
        <w:t>（资格及资信证明部分）</w:t>
      </w:r>
    </w:p>
    <w:p w14:paraId="340E05EE">
      <w:pPr>
        <w:jc w:val="center"/>
        <w:rPr>
          <w:rFonts w:ascii="宋体" w:hAnsi="宋体" w:eastAsia="宋体"/>
          <w:b/>
          <w:sz w:val="32"/>
          <w:szCs w:val="32"/>
        </w:rPr>
      </w:pPr>
      <w:r>
        <w:rPr>
          <w:rFonts w:ascii="宋体" w:hAnsi="宋体" w:eastAsia="宋体"/>
          <w:b/>
          <w:sz w:val="32"/>
          <w:szCs w:val="32"/>
        </w:rPr>
        <w:t>（填写正本或副本）</w:t>
      </w:r>
    </w:p>
    <w:p w14:paraId="56644467">
      <w:pPr>
        <w:jc w:val="center"/>
        <w:rPr>
          <w:rFonts w:ascii="宋体" w:hAnsi="宋体" w:eastAsia="宋体"/>
          <w:b/>
          <w:sz w:val="32"/>
          <w:szCs w:val="32"/>
        </w:rPr>
      </w:pPr>
    </w:p>
    <w:p w14:paraId="540A7ED9">
      <w:pPr>
        <w:jc w:val="center"/>
        <w:rPr>
          <w:rFonts w:ascii="宋体" w:hAnsi="宋体" w:eastAsia="宋体"/>
          <w:b/>
          <w:sz w:val="32"/>
          <w:szCs w:val="32"/>
        </w:rPr>
      </w:pPr>
    </w:p>
    <w:p w14:paraId="66F1BC30">
      <w:pPr>
        <w:jc w:val="center"/>
        <w:rPr>
          <w:rFonts w:ascii="宋体" w:hAnsi="宋体" w:eastAsia="宋体"/>
          <w:b/>
          <w:sz w:val="32"/>
          <w:szCs w:val="32"/>
        </w:rPr>
      </w:pPr>
      <w:r>
        <w:rPr>
          <w:rFonts w:ascii="宋体" w:hAnsi="宋体" w:eastAsia="宋体"/>
          <w:b/>
          <w:sz w:val="32"/>
          <w:szCs w:val="32"/>
        </w:rPr>
        <w:t>（项目名称：（由投标人填写）</w:t>
      </w:r>
    </w:p>
    <w:p w14:paraId="32585190">
      <w:pPr>
        <w:jc w:val="center"/>
        <w:rPr>
          <w:rFonts w:ascii="宋体" w:hAnsi="宋体" w:eastAsia="宋体"/>
          <w:b/>
          <w:sz w:val="32"/>
          <w:szCs w:val="32"/>
        </w:rPr>
      </w:pPr>
      <w:r>
        <w:rPr>
          <w:rFonts w:ascii="宋体" w:hAnsi="宋体" w:eastAsia="宋体"/>
          <w:b/>
          <w:sz w:val="32"/>
          <w:szCs w:val="32"/>
        </w:rPr>
        <w:t>（备案编号：（由投标人填写）</w:t>
      </w:r>
    </w:p>
    <w:p w14:paraId="4ED6E068">
      <w:pPr>
        <w:jc w:val="center"/>
        <w:rPr>
          <w:rFonts w:ascii="宋体" w:hAnsi="宋体" w:eastAsia="宋体"/>
          <w:b/>
          <w:sz w:val="32"/>
          <w:szCs w:val="32"/>
        </w:rPr>
      </w:pPr>
      <w:r>
        <w:rPr>
          <w:rFonts w:ascii="宋体" w:hAnsi="宋体" w:eastAsia="宋体"/>
          <w:b/>
          <w:sz w:val="32"/>
          <w:szCs w:val="32"/>
        </w:rPr>
        <w:t>（项目编号：（由投标人填写）</w:t>
      </w:r>
    </w:p>
    <w:p w14:paraId="06ADD767">
      <w:pPr>
        <w:jc w:val="center"/>
        <w:rPr>
          <w:rFonts w:ascii="宋体" w:hAnsi="宋体" w:eastAsia="宋体"/>
          <w:b/>
          <w:sz w:val="32"/>
          <w:szCs w:val="32"/>
        </w:rPr>
      </w:pPr>
      <w:r>
        <w:rPr>
          <w:rFonts w:ascii="宋体" w:hAnsi="宋体" w:eastAsia="宋体"/>
          <w:b/>
          <w:sz w:val="32"/>
          <w:szCs w:val="32"/>
        </w:rPr>
        <w:t>（所投采购包：（由投标人填写）</w:t>
      </w:r>
    </w:p>
    <w:p w14:paraId="382DCA2F">
      <w:pPr>
        <w:jc w:val="center"/>
        <w:rPr>
          <w:rFonts w:ascii="宋体" w:hAnsi="宋体" w:eastAsia="宋体"/>
          <w:b/>
          <w:sz w:val="32"/>
          <w:szCs w:val="32"/>
        </w:rPr>
      </w:pPr>
    </w:p>
    <w:p w14:paraId="05ED6300">
      <w:pPr>
        <w:jc w:val="center"/>
        <w:rPr>
          <w:rFonts w:ascii="宋体" w:hAnsi="宋体" w:eastAsia="宋体"/>
          <w:b/>
          <w:sz w:val="32"/>
          <w:szCs w:val="32"/>
        </w:rPr>
      </w:pPr>
      <w:r>
        <w:rPr>
          <w:rFonts w:ascii="宋体" w:hAnsi="宋体" w:eastAsia="宋体"/>
          <w:b/>
          <w:sz w:val="32"/>
          <w:szCs w:val="32"/>
        </w:rPr>
        <w:t>投标人：（填写“全称”）</w:t>
      </w:r>
    </w:p>
    <w:p w14:paraId="7D375E2F">
      <w:pPr>
        <w:jc w:val="center"/>
        <w:rPr>
          <w:rFonts w:ascii="宋体" w:hAnsi="宋体" w:eastAsia="宋体"/>
          <w:b/>
          <w:sz w:val="32"/>
          <w:szCs w:val="32"/>
        </w:rPr>
      </w:pPr>
      <w:r>
        <w:rPr>
          <w:rFonts w:ascii="宋体" w:hAnsi="宋体" w:eastAsia="宋体"/>
          <w:b/>
          <w:sz w:val="32"/>
          <w:szCs w:val="32"/>
        </w:rPr>
        <w:t>（由投标人填写）年（由投标人填写）月</w:t>
      </w:r>
    </w:p>
    <w:p w14:paraId="122D7F02"/>
    <w:p w14:paraId="19DBC20B">
      <w:pPr>
        <w:sectPr>
          <w:pgSz w:w="11906" w:h="16838"/>
          <w:pgMar w:top="1418" w:right="1418" w:bottom="1418" w:left="1418" w:header="851" w:footer="992" w:gutter="0"/>
          <w:cols w:space="425" w:num="1"/>
          <w:docGrid w:type="lines" w:linePitch="312" w:charSpace="0"/>
        </w:sectPr>
      </w:pPr>
    </w:p>
    <w:p w14:paraId="33454651">
      <w:pPr>
        <w:spacing w:before="156" w:beforeLines="50" w:after="156" w:afterLines="50"/>
        <w:jc w:val="center"/>
        <w:rPr>
          <w:b/>
          <w:sz w:val="28"/>
          <w:szCs w:val="28"/>
        </w:rPr>
      </w:pPr>
      <w:r>
        <w:rPr>
          <w:b/>
          <w:sz w:val="28"/>
          <w:szCs w:val="28"/>
        </w:rPr>
        <w:t>索引</w:t>
      </w:r>
    </w:p>
    <w:p w14:paraId="0BC949A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一、投标函</w:t>
      </w:r>
    </w:p>
    <w:p w14:paraId="31C7E38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二、投标人的资格及资信证明文件</w:t>
      </w:r>
    </w:p>
    <w:p w14:paraId="6714826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三、投标保证金</w:t>
      </w:r>
    </w:p>
    <w:p w14:paraId="71822D3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3E83236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资格及资信证明部分中不得出现报价部分的全部或部分的投标报价信息（或组成资料），否则资格审查不合格。（联合体协议及分包意向协议中的比例规定，不适用本条款）</w:t>
      </w:r>
    </w:p>
    <w:p w14:paraId="44AE5094">
      <w:pPr>
        <w:pStyle w:val="54"/>
        <w:spacing w:line="360" w:lineRule="auto"/>
        <w:ind w:firstLine="480" w:firstLineChars="200"/>
        <w:rPr>
          <w:rFonts w:hint="default" w:asciiTheme="minorEastAsia" w:hAnsiTheme="minorEastAsia"/>
          <w:sz w:val="24"/>
          <w:szCs w:val="24"/>
        </w:rPr>
      </w:pPr>
    </w:p>
    <w:p w14:paraId="38F66E20">
      <w:pPr>
        <w:sectPr>
          <w:pgSz w:w="11906" w:h="16838"/>
          <w:pgMar w:top="1418" w:right="1418" w:bottom="1418" w:left="1418" w:header="851" w:footer="992" w:gutter="0"/>
          <w:cols w:space="425" w:num="1"/>
          <w:docGrid w:type="lines" w:linePitch="312" w:charSpace="0"/>
        </w:sectPr>
      </w:pPr>
    </w:p>
    <w:p w14:paraId="50AA8158">
      <w:pPr>
        <w:spacing w:before="156" w:beforeLines="50" w:after="156" w:afterLines="50"/>
        <w:jc w:val="center"/>
        <w:rPr>
          <w:b/>
          <w:sz w:val="28"/>
          <w:szCs w:val="28"/>
        </w:rPr>
      </w:pPr>
      <w:r>
        <w:rPr>
          <w:b/>
          <w:sz w:val="28"/>
          <w:szCs w:val="28"/>
        </w:rPr>
        <w:t>一、投标函</w:t>
      </w:r>
    </w:p>
    <w:p w14:paraId="1F039272">
      <w:pPr>
        <w:pStyle w:val="54"/>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04CA1FC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兹收到贵单位关于</w:t>
      </w:r>
      <w:r>
        <w:rPr>
          <w:rFonts w:asciiTheme="minorEastAsia" w:hAnsiTheme="minorEastAsia"/>
          <w:sz w:val="24"/>
          <w:szCs w:val="24"/>
          <w:u w:val="single"/>
        </w:rPr>
        <w:t xml:space="preserve">（填写“项目名称”） </w:t>
      </w:r>
      <w:r>
        <w:rPr>
          <w:rFonts w:asciiTheme="minorEastAsia" w:hAnsiTheme="minorEastAsia"/>
          <w:sz w:val="24"/>
          <w:szCs w:val="24"/>
        </w:rPr>
        <w:t>项目</w:t>
      </w:r>
      <w:r>
        <w:rPr>
          <w:rFonts w:asciiTheme="minorEastAsia" w:hAnsiTheme="minorEastAsia"/>
          <w:sz w:val="24"/>
          <w:szCs w:val="24"/>
          <w:u w:val="single"/>
        </w:rPr>
        <w:t xml:space="preserve">（项目编号：　　　　　） </w:t>
      </w:r>
      <w:r>
        <w:rPr>
          <w:rFonts w:asciiTheme="minorEastAsia" w:hAnsiTheme="minorEastAsia"/>
          <w:sz w:val="24"/>
          <w:szCs w:val="24"/>
        </w:rPr>
        <w:t>的投标邀请，本投标人代表</w:t>
      </w:r>
      <w:r>
        <w:rPr>
          <w:rFonts w:asciiTheme="minorEastAsia" w:hAnsiTheme="minorEastAsia"/>
          <w:sz w:val="24"/>
          <w:szCs w:val="24"/>
          <w:u w:val="single"/>
        </w:rPr>
        <w:t xml:space="preserve">（填写“全名”） </w:t>
      </w:r>
      <w:r>
        <w:rPr>
          <w:rFonts w:asciiTheme="minorEastAsia" w:hAnsiTheme="minorEastAsia"/>
          <w:sz w:val="24"/>
          <w:szCs w:val="24"/>
        </w:rPr>
        <w:t>已获得我方正式授权并代表投标人（填写“全称”）参加投标，并提交电子投标文件。我方提交的全部电子投标文件由下述部分组成：</w:t>
      </w:r>
    </w:p>
    <w:p w14:paraId="5CAA8AA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（1）资格及资信证明部分</w:t>
      </w:r>
    </w:p>
    <w:p w14:paraId="3F57088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①投标函</w:t>
      </w:r>
    </w:p>
    <w:p w14:paraId="3F80514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②投标人的资格及资信证明文件</w:t>
      </w:r>
    </w:p>
    <w:p w14:paraId="08CD7FA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③投标保证金</w:t>
      </w:r>
    </w:p>
    <w:p w14:paraId="6672DB3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（2）报价部分</w:t>
      </w:r>
    </w:p>
    <w:p w14:paraId="127CEF9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①开标（报价）一览表</w:t>
      </w:r>
    </w:p>
    <w:p w14:paraId="18566BD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②投标（响应）报价明细表</w:t>
      </w:r>
    </w:p>
    <w:p w14:paraId="35A6B51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③招标文件规定的价格扣除证明材料（若有）</w:t>
      </w:r>
    </w:p>
    <w:p w14:paraId="0EC069F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④招标文件规定的加分证明材料（若有）</w:t>
      </w:r>
    </w:p>
    <w:p w14:paraId="7C207C1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（3）技术商务部分</w:t>
      </w:r>
    </w:p>
    <w:p w14:paraId="436CBB3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①标的说明一览表</w:t>
      </w:r>
    </w:p>
    <w:p w14:paraId="64CA598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②技术和服务要求响应表</w:t>
      </w:r>
    </w:p>
    <w:p w14:paraId="26FC715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③商务条件响应表</w:t>
      </w:r>
    </w:p>
    <w:p w14:paraId="7DE30BB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④投标人提交的其他资料（若有）</w:t>
      </w:r>
    </w:p>
    <w:p w14:paraId="2DC2F18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根据本函，本投标人代表宣布我方保证遵守招标文件的全部规定，同时：</w:t>
      </w:r>
    </w:p>
    <w:p w14:paraId="0174ACE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1、确认：</w:t>
      </w:r>
    </w:p>
    <w:p w14:paraId="1796574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1.1所投采购包的投标报价详见“开标（报价）一览表”及“投标（响应）报价明细表”。</w:t>
      </w:r>
    </w:p>
    <w:p w14:paraId="4218F88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1.2我方已详细审查全部招标文件[包括但不限于：有关附件（若有）、澄清或修改（若有）等]，并自行承担因对全部招标文件理解不正确或误解而产生的相应后果和责任。</w:t>
      </w:r>
    </w:p>
    <w:p w14:paraId="329E9D1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2、承诺及声明：</w:t>
      </w:r>
    </w:p>
    <w:p w14:paraId="0624DAF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2.1我方具备招标文件第一章载明的“投标人的资格要求”且符合招标文件第三章载明的“二、投标人”之规定，否则投标无效。</w:t>
      </w:r>
    </w:p>
    <w:p w14:paraId="2D2CD1A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2.2我方提交的电子投标文件各组成部分的全部内容及资料是不可割离且真实、有效、准确、完整和不具有任何误导性的，否则产生不利后果由我方承担责任。</w:t>
      </w:r>
    </w:p>
    <w:p w14:paraId="32D5A26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2.3我方提供的标的价格不高于同期市场价格，否则产生不利后果由我方承担责任。</w:t>
      </w:r>
    </w:p>
    <w:p w14:paraId="0215869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2.4投标保证金：若出现招标文件第三章规定的不予退还情形，同意贵单位不予退还。</w:t>
      </w:r>
    </w:p>
    <w:p w14:paraId="680738A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2.5投标有效期：按照招标文件第三章规定执行，并在招标文件第二章载明的期限内保持有效。</w:t>
      </w:r>
    </w:p>
    <w:p w14:paraId="3B9C484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2.6若中标，将按照招标文件、我方电子投标文件及政府采购合同履行责任和义务。</w:t>
      </w:r>
    </w:p>
    <w:p w14:paraId="5AF7442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2.7若贵单位要求，我方同意提供与本项目投标有关的一切资料、数据或文件，并完全理解贵单位不一定要接受最低的投标报价或收到的任何投标。</w:t>
      </w:r>
    </w:p>
    <w:p w14:paraId="36AFF7F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2.8我方承诺遵守《中华人民共和国劳动合同法》有关规定和《中华人民共和国妇女权益保障法 》中关于“劳动和社会保障权益”的有关要求。</w:t>
      </w:r>
    </w:p>
    <w:p w14:paraId="61A809E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2.9我方承诺电子投标文件所提供的全部资料真实可靠，并接受评标委员会、采购人、采购代理机构、监管部门进一步审查其中任何资料真实性的要求。</w:t>
      </w:r>
    </w:p>
    <w:p w14:paraId="64233F9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2.10除招标文件另有规定外，对于贵单位按照下述联络方式发出的任何信息或通知，均视为我方已收悉前述信息或通知的全部内容：</w:t>
      </w:r>
    </w:p>
    <w:p w14:paraId="11278B7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通信地址：</w:t>
      </w:r>
    </w:p>
    <w:p w14:paraId="3BAAB75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邮编：</w:t>
      </w:r>
    </w:p>
    <w:p w14:paraId="2EBBD6B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联系方法：（包括但不限于：联系人、联系电话、手机、传真、电子邮箱等）</w:t>
      </w:r>
    </w:p>
    <w:p w14:paraId="525DC55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投标人：（全称并加盖单位公章）</w:t>
      </w:r>
    </w:p>
    <w:p w14:paraId="3839666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日期： 年 月 日</w:t>
      </w:r>
    </w:p>
    <w:p w14:paraId="6B851A10"/>
    <w:p w14:paraId="262B81E7">
      <w:pPr>
        <w:sectPr>
          <w:pgSz w:w="11906" w:h="16838"/>
          <w:pgMar w:top="1418" w:right="1418" w:bottom="1418" w:left="1418" w:header="851" w:footer="992" w:gutter="0"/>
          <w:cols w:space="425" w:num="1"/>
          <w:docGrid w:type="lines" w:linePitch="312" w:charSpace="0"/>
        </w:sectPr>
      </w:pPr>
    </w:p>
    <w:p w14:paraId="3B61E9E3">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二、投标人的资格及资信证明文件</w:t>
      </w:r>
    </w:p>
    <w:p w14:paraId="48A801AB">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二-1单位授权书（若有）</w:t>
      </w:r>
    </w:p>
    <w:p w14:paraId="3996EB68">
      <w:pPr>
        <w:pStyle w:val="54"/>
        <w:spacing w:line="276"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63986AD4">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我方的单位负责人</w:t>
      </w:r>
      <w:r>
        <w:rPr>
          <w:rFonts w:asciiTheme="minorEastAsia" w:hAnsiTheme="minorEastAsia"/>
          <w:sz w:val="24"/>
          <w:szCs w:val="24"/>
          <w:u w:val="single"/>
        </w:rPr>
        <w:t>（填写“单位负责人全名”）</w:t>
      </w:r>
      <w:r>
        <w:rPr>
          <w:rFonts w:asciiTheme="minorEastAsia" w:hAnsiTheme="minorEastAsia"/>
          <w:sz w:val="24"/>
          <w:szCs w:val="24"/>
        </w:rPr>
        <w:t>授权</w:t>
      </w:r>
      <w:r>
        <w:rPr>
          <w:rFonts w:asciiTheme="minorEastAsia" w:hAnsiTheme="minorEastAsia"/>
          <w:sz w:val="24"/>
          <w:szCs w:val="24"/>
          <w:u w:val="single"/>
        </w:rPr>
        <w:t>（填写“投标人代表全名”）</w:t>
      </w:r>
      <w:r>
        <w:rPr>
          <w:rFonts w:asciiTheme="minorEastAsia" w:hAnsiTheme="minorEastAsia"/>
          <w:sz w:val="24"/>
          <w:szCs w:val="24"/>
        </w:rPr>
        <w:t>为投标人代表，代表我方参加</w:t>
      </w:r>
      <w:r>
        <w:rPr>
          <w:rFonts w:asciiTheme="minorEastAsia" w:hAnsiTheme="minorEastAsia"/>
          <w:sz w:val="24"/>
          <w:szCs w:val="24"/>
          <w:u w:val="single"/>
        </w:rPr>
        <w:t>（填写“项目名称”）</w:t>
      </w:r>
      <w:r>
        <w:rPr>
          <w:rFonts w:asciiTheme="minorEastAsia" w:hAnsiTheme="minorEastAsia"/>
          <w:sz w:val="24"/>
          <w:szCs w:val="24"/>
        </w:rPr>
        <w:t>项目（项目编号：</w:t>
      </w:r>
      <w:r>
        <w:rPr>
          <w:rFonts w:asciiTheme="minorEastAsia" w:hAnsiTheme="minorEastAsia"/>
          <w:sz w:val="24"/>
          <w:szCs w:val="24"/>
          <w:u w:val="single"/>
        </w:rPr>
        <w:t>　　　　　</w:t>
      </w:r>
      <w:r>
        <w:rPr>
          <w:rFonts w:asciiTheme="minorEastAsia" w:hAnsiTheme="minorEastAsia"/>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12E05E21">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投标人代表无转委权。特此授权。</w:t>
      </w:r>
    </w:p>
    <w:p w14:paraId="45D88AC4">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（以下无正文）</w:t>
      </w:r>
    </w:p>
    <w:p w14:paraId="0A96448A">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单位负责人：</w:t>
      </w:r>
      <w:r>
        <w:rPr>
          <w:rFonts w:asciiTheme="minorEastAsia" w:hAnsiTheme="minorEastAsia"/>
          <w:sz w:val="24"/>
          <w:szCs w:val="24"/>
          <w:u w:val="single"/>
        </w:rPr>
        <w:t>　　　　　</w:t>
      </w:r>
      <w:r>
        <w:rPr>
          <w:rFonts w:asciiTheme="minorEastAsia" w:hAnsiTheme="minorEastAsia"/>
          <w:sz w:val="24"/>
          <w:szCs w:val="24"/>
        </w:rPr>
        <w:t>身份证号：</w:t>
      </w:r>
      <w:r>
        <w:rPr>
          <w:rFonts w:asciiTheme="minorEastAsia" w:hAnsiTheme="minorEastAsia"/>
          <w:sz w:val="24"/>
          <w:szCs w:val="24"/>
          <w:u w:val="single"/>
        </w:rPr>
        <w:t>　　　　　</w:t>
      </w:r>
      <w:r>
        <w:rPr>
          <w:rFonts w:asciiTheme="minorEastAsia" w:hAnsiTheme="minorEastAsia"/>
          <w:sz w:val="24"/>
          <w:szCs w:val="24"/>
        </w:rPr>
        <w:t>手机：</w:t>
      </w:r>
      <w:r>
        <w:rPr>
          <w:rFonts w:asciiTheme="minorEastAsia" w:hAnsiTheme="minorEastAsia"/>
          <w:sz w:val="24"/>
          <w:szCs w:val="24"/>
          <w:u w:val="single"/>
        </w:rPr>
        <w:t>　　　　　</w:t>
      </w:r>
    </w:p>
    <w:p w14:paraId="3CEFAC97">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投标人代表：</w:t>
      </w:r>
      <w:r>
        <w:rPr>
          <w:rFonts w:asciiTheme="minorEastAsia" w:hAnsiTheme="minorEastAsia"/>
          <w:sz w:val="24"/>
          <w:szCs w:val="24"/>
          <w:u w:val="single"/>
        </w:rPr>
        <w:t>　　　　　</w:t>
      </w:r>
      <w:r>
        <w:rPr>
          <w:rFonts w:asciiTheme="minorEastAsia" w:hAnsiTheme="minorEastAsia"/>
          <w:sz w:val="24"/>
          <w:szCs w:val="24"/>
        </w:rPr>
        <w:t>身份证号：</w:t>
      </w:r>
      <w:r>
        <w:rPr>
          <w:rFonts w:asciiTheme="minorEastAsia" w:hAnsiTheme="minorEastAsia"/>
          <w:sz w:val="24"/>
          <w:szCs w:val="24"/>
          <w:u w:val="single"/>
        </w:rPr>
        <w:t>　　　　　</w:t>
      </w:r>
      <w:r>
        <w:rPr>
          <w:rFonts w:asciiTheme="minorEastAsia" w:hAnsiTheme="minorEastAsia"/>
          <w:sz w:val="24"/>
          <w:szCs w:val="24"/>
        </w:rPr>
        <w:t>手机：</w:t>
      </w:r>
      <w:r>
        <w:rPr>
          <w:rFonts w:asciiTheme="minorEastAsia" w:hAnsiTheme="minorEastAsia"/>
          <w:sz w:val="24"/>
          <w:szCs w:val="24"/>
          <w:u w:val="single"/>
        </w:rPr>
        <w:t>　　　　　</w:t>
      </w:r>
    </w:p>
    <w:p w14:paraId="7BFC945C">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授权方</w:t>
      </w:r>
    </w:p>
    <w:p w14:paraId="13C98083">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0E8534A2">
      <w:pPr>
        <w:pStyle w:val="54"/>
        <w:spacing w:line="276" w:lineRule="auto"/>
        <w:ind w:firstLine="480" w:firstLineChars="200"/>
        <w:jc w:val="right"/>
        <w:rPr>
          <w:rFonts w:hint="default" w:asciiTheme="minorEastAsia" w:hAnsiTheme="minorEastAsia"/>
          <w:sz w:val="24"/>
          <w:szCs w:val="24"/>
        </w:rPr>
      </w:pPr>
      <w:r>
        <w:rPr>
          <w:rFonts w:asciiTheme="minorEastAsia" w:hAnsiTheme="minorEastAsia"/>
          <w:sz w:val="24"/>
          <w:szCs w:val="24"/>
        </w:rPr>
        <w:t>签署日期： 年 月 日</w:t>
      </w:r>
    </w:p>
    <w:p w14:paraId="65F1A0A4">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附：单位负责人、投标人代表的身份证正反面复印件</w:t>
      </w:r>
    </w:p>
    <w:p w14:paraId="28E182F2">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要求：真实有效且内容完整、清晰、整洁。</w:t>
      </w:r>
    </w:p>
    <w:p w14:paraId="7ED50484">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24F68DBC">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1、企业（银行、保险、石油石化、电力、电信等行业除外）、事业单位和社会团体法人的“单位负责人”指法定代表人，即与实际提交的“营业执照等证明文件”载明的一致。</w:t>
      </w:r>
    </w:p>
    <w:p w14:paraId="243930F3">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1C01B2F4">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3、投标人（自然人除外）：若投标人代表为单位授权的委托代理人，应提供本授权书；若投标人代表为单位负责人，应在此项下提交其身份证正反面复印件，可不提供本授权书。</w:t>
      </w:r>
    </w:p>
    <w:p w14:paraId="081C71B5">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4、投标人为自然人的，可不填写本授权书。</w:t>
      </w:r>
    </w:p>
    <w:p w14:paraId="3874CCFE"/>
    <w:p w14:paraId="7A4C56E8">
      <w:pPr>
        <w:sectPr>
          <w:pgSz w:w="11906" w:h="16838"/>
          <w:pgMar w:top="1418" w:right="1418" w:bottom="1418" w:left="1418" w:header="851" w:footer="992" w:gutter="0"/>
          <w:cols w:space="425" w:num="1"/>
          <w:docGrid w:type="lines" w:linePitch="312" w:charSpace="0"/>
        </w:sectPr>
      </w:pPr>
    </w:p>
    <w:p w14:paraId="5D7701A4">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二-2 证明材料</w:t>
      </w:r>
    </w:p>
    <w:p w14:paraId="7C158FB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39C95B08">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二-2-1 福建省政府采购供应商资格承诺函</w:t>
      </w:r>
    </w:p>
    <w:p w14:paraId="660EDEE8">
      <w:pPr>
        <w:pStyle w:val="54"/>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3E4F433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单位名称（自然人姓名）：</w:t>
      </w:r>
    </w:p>
    <w:p w14:paraId="1B06ED1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统一社会信用代码（自然人身份证号码）：</w:t>
      </w:r>
    </w:p>
    <w:p w14:paraId="1F16C76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法定代表人（负责人）：</w:t>
      </w:r>
    </w:p>
    <w:p w14:paraId="1C53C76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联系地址和电话：</w:t>
      </w:r>
    </w:p>
    <w:p w14:paraId="63FF8A3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我单位（本人）自愿参加本次政府采购活动，严格遵守《中华人民共和国政府采购法》及相关法律法规，坚守公开、公平公正和诚实信用等原则，依法诚信经营，并郑重承诺：</w:t>
      </w:r>
    </w:p>
    <w:p w14:paraId="7A556B1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一、我单位（本人）具备采购文件要求以及《中华人民共和国政府采购法》第二十二条规定的条件：</w:t>
      </w:r>
    </w:p>
    <w:p w14:paraId="241AC0A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1.具有独立承担民事责任的能力;</w:t>
      </w:r>
    </w:p>
    <w:p w14:paraId="4E1A374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2.具有良好的商业信誉和健全的财务会计制度;</w:t>
      </w:r>
    </w:p>
    <w:p w14:paraId="1006DF1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3.具有履行合同所必需的设备和专业技术能力;</w:t>
      </w:r>
    </w:p>
    <w:p w14:paraId="54C9FE8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4.有依法缴纳税收和社会保障资金的良好记录;</w:t>
      </w:r>
    </w:p>
    <w:p w14:paraId="0287394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5.参加政府采购活动前三年内，在经营活动中没有重大违法记录；</w:t>
      </w:r>
    </w:p>
    <w:p w14:paraId="014F504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6.法律、行政法规规定的其他条件。</w:t>
      </w:r>
    </w:p>
    <w:p w14:paraId="78BED91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6ACE154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2A40B18">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供应商：</w:t>
      </w:r>
      <w:r>
        <w:rPr>
          <w:rFonts w:asciiTheme="minorEastAsia" w:hAnsiTheme="minorEastAsia"/>
          <w:sz w:val="24"/>
          <w:szCs w:val="24"/>
          <w:u w:val="single"/>
        </w:rPr>
        <w:t>名称（单位公章）：</w:t>
      </w:r>
    </w:p>
    <w:p w14:paraId="4A7F0FB3">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33B710D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w:t>
      </w:r>
    </w:p>
    <w:p w14:paraId="7C00F88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1.我单位（本人）专指参加政府采购活动的供应商（含自然人）；</w:t>
      </w:r>
    </w:p>
    <w:p w14:paraId="593CDF9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2.资格承诺的供应商应在投标（响应）文件中按此模板提供承诺函，否则，视为未按照招标文件规定提交投标人的资格及资信文件，按资格审查不通过处理。</w:t>
      </w:r>
    </w:p>
    <w:p w14:paraId="53A24DED"/>
    <w:p w14:paraId="54B746DA">
      <w:pPr>
        <w:sectPr>
          <w:pgSz w:w="11906" w:h="16838"/>
          <w:pgMar w:top="1418" w:right="1418" w:bottom="1418" w:left="1418" w:header="851" w:footer="992" w:gutter="0"/>
          <w:cols w:space="425" w:num="1"/>
          <w:docGrid w:type="lines" w:linePitch="312" w:charSpace="0"/>
        </w:sectPr>
      </w:pPr>
    </w:p>
    <w:p w14:paraId="1CA1088E">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二-2-2 资格证明材料</w:t>
      </w:r>
    </w:p>
    <w:p w14:paraId="189144B6">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营业执照等证明文件</w:t>
      </w:r>
    </w:p>
    <w:p w14:paraId="4008B1C2">
      <w:pPr>
        <w:pStyle w:val="54"/>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513FAC9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）投标人为法人（包括企业、事业单位和社会团体）的</w:t>
      </w:r>
    </w:p>
    <w:p w14:paraId="0B5C5DB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现附上由</w:t>
      </w:r>
      <w:r>
        <w:rPr>
          <w:rFonts w:asciiTheme="minorEastAsia" w:hAnsiTheme="minorEastAsia"/>
          <w:sz w:val="24"/>
          <w:szCs w:val="24"/>
          <w:u w:val="single"/>
        </w:rPr>
        <w:t>（（填写“签发机关全称”）</w:t>
      </w:r>
      <w:r>
        <w:rPr>
          <w:rFonts w:asciiTheme="minorEastAsia" w:hAnsiTheme="minorEastAsia"/>
          <w:sz w:val="24"/>
          <w:szCs w:val="24"/>
        </w:rPr>
        <w:t>签发的我方统一社会信用代码（请填写法人的具体证照名称）复印件，该证明材料真实有效，否则我方负全部责任。</w:t>
      </w:r>
    </w:p>
    <w:p w14:paraId="3183B41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）投标人为非法人（包括其他组织、自然人）的</w:t>
      </w:r>
    </w:p>
    <w:p w14:paraId="7E6977C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□现附上由</w:t>
      </w:r>
      <w:r>
        <w:rPr>
          <w:rFonts w:asciiTheme="minorEastAsia" w:hAnsiTheme="minorEastAsia"/>
          <w:sz w:val="24"/>
          <w:szCs w:val="24"/>
          <w:u w:val="single"/>
        </w:rPr>
        <w:t>（（填写“签发机关全称”）</w:t>
      </w:r>
      <w:r>
        <w:rPr>
          <w:rFonts w:asciiTheme="minorEastAsia" w:hAnsiTheme="minorEastAsia"/>
          <w:sz w:val="24"/>
          <w:szCs w:val="24"/>
        </w:rPr>
        <w:t>签发的我方（请填写非自然人的非法人的具体证照名称）复印件，该证明材料真实有效，否则我方负全部责任。</w:t>
      </w:r>
    </w:p>
    <w:p w14:paraId="6398587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□现附上由</w:t>
      </w:r>
      <w:r>
        <w:rPr>
          <w:rFonts w:asciiTheme="minorEastAsia" w:hAnsiTheme="minorEastAsia"/>
          <w:sz w:val="24"/>
          <w:szCs w:val="24"/>
          <w:u w:val="single"/>
        </w:rPr>
        <w:t>（（填写“签发机关全称”）</w:t>
      </w:r>
      <w:r>
        <w:rPr>
          <w:rFonts w:asciiTheme="minorEastAsia" w:hAnsiTheme="minorEastAsia"/>
          <w:sz w:val="24"/>
          <w:szCs w:val="24"/>
        </w:rPr>
        <w:t>签发的我方（请填写自然人的身份证件名称）复印件，该证明材料真实有效，否则我方负全部责任。</w:t>
      </w:r>
    </w:p>
    <w:p w14:paraId="41D1DAB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2E0ABD4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1、请投标人按照实际情况编制填写，在相应的（）中打“√”并选择相应的“□”（若有）后，再按照本格式的要求提供相应证明材料的复印件。</w:t>
      </w:r>
    </w:p>
    <w:p w14:paraId="53973AA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4FDBE29F">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11D03E22">
      <w:pPr>
        <w:pStyle w:val="54"/>
        <w:spacing w:line="360" w:lineRule="auto"/>
        <w:ind w:firstLine="480" w:firstLineChars="200"/>
        <w:jc w:val="right"/>
        <w:rPr>
          <w:rFonts w:hint="default"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14BE7DA0"/>
    <w:p w14:paraId="34900B89">
      <w:pPr>
        <w:sectPr>
          <w:pgSz w:w="11906" w:h="16838"/>
          <w:pgMar w:top="1418" w:right="1418" w:bottom="1418" w:left="1418" w:header="851" w:footer="992" w:gutter="0"/>
          <w:cols w:space="425" w:num="1"/>
          <w:docGrid w:type="lines" w:linePitch="312" w:charSpace="0"/>
        </w:sectPr>
      </w:pPr>
    </w:p>
    <w:p w14:paraId="26542FA7">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财务状况报告（财务报告、或资信证明）</w:t>
      </w:r>
    </w:p>
    <w:p w14:paraId="43BDEF2A">
      <w:pPr>
        <w:pStyle w:val="54"/>
        <w:spacing w:line="276"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2BCA1A80">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 ）投标人提供财务报告的</w:t>
      </w:r>
    </w:p>
    <w:p w14:paraId="7FD596D9">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□企业适用：现附上我方</w:t>
      </w:r>
      <w:r>
        <w:rPr>
          <w:rFonts w:asciiTheme="minorEastAsia" w:hAnsiTheme="minorEastAsia"/>
          <w:sz w:val="24"/>
          <w:szCs w:val="24"/>
          <w:u w:val="single"/>
        </w:rPr>
        <w:t>（填写“具体的年度、或半年度、季度”）</w:t>
      </w:r>
      <w:r>
        <w:rPr>
          <w:rFonts w:asciiTheme="minorEastAsia" w:hAnsiTheme="minorEastAsia"/>
          <w:sz w:val="24"/>
          <w:szCs w:val="24"/>
        </w:rPr>
        <w:t>财务报告复印件，包括资产负债表、利润表、现金流量表、所有者权益变动表（若有）及其附注（若有）、会计师事务所营业执照和注册会计师资格证书，上述证明材料真实有效，否则我方负全部责任。</w:t>
      </w:r>
    </w:p>
    <w:p w14:paraId="0AE4DD44">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□事业单位适用：现附上我方</w:t>
      </w:r>
      <w:r>
        <w:rPr>
          <w:rFonts w:asciiTheme="minorEastAsia" w:hAnsiTheme="minorEastAsia"/>
          <w:sz w:val="24"/>
          <w:szCs w:val="24"/>
          <w:u w:val="single"/>
        </w:rPr>
        <w:t>（填写“具体的年度、或半年度、或季度”）</w:t>
      </w:r>
      <w:r>
        <w:rPr>
          <w:rFonts w:asciiTheme="minorEastAsia" w:hAnsiTheme="minorEastAsia"/>
          <w:sz w:val="24"/>
          <w:szCs w:val="24"/>
        </w:rPr>
        <w:t>财务报告复印件，包括资产负债表、收入支出表（或收入费用表）、财政补助收入支出表（若有）、会计师事务所营业执照和注册会计师资格证书，上述证明材料真实有效，否则我方负全部责任。</w:t>
      </w:r>
    </w:p>
    <w:p w14:paraId="4306E2D0">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□社会团体、民办非企适用：现附上我方</w:t>
      </w:r>
      <w:r>
        <w:rPr>
          <w:rFonts w:asciiTheme="minorEastAsia" w:hAnsiTheme="minorEastAsia"/>
          <w:sz w:val="24"/>
          <w:szCs w:val="24"/>
          <w:u w:val="single"/>
        </w:rPr>
        <w:t>（填写“具体的年度、或半年度、或季度”）</w:t>
      </w:r>
      <w:r>
        <w:rPr>
          <w:rFonts w:asciiTheme="minorEastAsia" w:hAnsiTheme="minorEastAsia"/>
          <w:sz w:val="24"/>
          <w:szCs w:val="24"/>
        </w:rPr>
        <w:t>财务报告复印件，包括资产负债表、业务活动表、现金流量表、会计师事务所营业执照和注册会计师资格证书，上述证明材料真实有效，否则我方负全部责任。</w:t>
      </w:r>
    </w:p>
    <w:p w14:paraId="071E29A5">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 ）投标人提供资信证明的</w:t>
      </w:r>
    </w:p>
    <w:p w14:paraId="79E033BA">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□非自然人适用（包括企业、事业单位、社会团体和其他组织）：现附上我方银行：</w:t>
      </w:r>
      <w:r>
        <w:rPr>
          <w:rFonts w:asciiTheme="minorEastAsia" w:hAnsiTheme="minorEastAsia"/>
          <w:sz w:val="24"/>
          <w:szCs w:val="24"/>
          <w:u w:val="single"/>
        </w:rPr>
        <w:t>（填写“开户银行全称”）</w:t>
      </w:r>
      <w:r>
        <w:rPr>
          <w:rFonts w:asciiTheme="minorEastAsia" w:hAnsiTheme="minorEastAsia"/>
          <w:sz w:val="24"/>
          <w:szCs w:val="24"/>
        </w:rPr>
        <w:t>出具的资信证明复印件，上述证明材料真实有效，否则我方负全部责任。</w:t>
      </w:r>
    </w:p>
    <w:p w14:paraId="09944F7B">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□自然人适用：现附上我方银行</w:t>
      </w:r>
      <w:r>
        <w:rPr>
          <w:rFonts w:asciiTheme="minorEastAsia" w:hAnsiTheme="minorEastAsia"/>
          <w:sz w:val="24"/>
          <w:szCs w:val="24"/>
          <w:u w:val="single"/>
        </w:rPr>
        <w:t>：（填写自然人的“个人账户的开户银行全称”）</w:t>
      </w:r>
      <w:r>
        <w:rPr>
          <w:rFonts w:asciiTheme="minorEastAsia" w:hAnsiTheme="minorEastAsia"/>
          <w:sz w:val="24"/>
          <w:szCs w:val="24"/>
        </w:rPr>
        <w:t>出具的资信证明复印件，上述证明材料真实有效，否则我方负全部责任。</w:t>
      </w:r>
    </w:p>
    <w:p w14:paraId="1B46BCF1">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132113C6">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1、请投标人按照实际情况编制填写，在相应的（）中打“√”并选择相应的“□”（若有）后，再按照本格式的要求提供相应证明材料的复印件。</w:t>
      </w:r>
    </w:p>
    <w:p w14:paraId="2AE86A6F">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2、投标人提供的财务报告复印件（成立年限按照投标截止时间推算）应符合下列规定：</w:t>
      </w:r>
    </w:p>
    <w:p w14:paraId="7D824E32">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2.1成立年限满1年及以上的投标人，提供经审计的招标文件规定的年度财务报告。</w:t>
      </w:r>
    </w:p>
    <w:p w14:paraId="2C814EF5">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2.2成立年限满半年但不足1年的投标人，提供该半年度中任一季度的季度财务报告或该半年度的半年度财务报告。</w:t>
      </w:r>
    </w:p>
    <w:p w14:paraId="6201C368">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5DE87FFA">
      <w:pPr>
        <w:pStyle w:val="54"/>
        <w:spacing w:line="276"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7AFF9421">
      <w:pPr>
        <w:pStyle w:val="54"/>
        <w:spacing w:line="276" w:lineRule="auto"/>
        <w:ind w:firstLine="480" w:firstLineChars="200"/>
        <w:jc w:val="right"/>
        <w:rPr>
          <w:rFonts w:hint="default"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57644A7F"/>
    <w:p w14:paraId="60935A02">
      <w:pPr>
        <w:sectPr>
          <w:pgSz w:w="11906" w:h="16838"/>
          <w:pgMar w:top="1418" w:right="1418" w:bottom="1418" w:left="1418" w:header="851" w:footer="992" w:gutter="0"/>
          <w:cols w:space="425" w:num="1"/>
          <w:docGrid w:type="lines" w:linePitch="312" w:charSpace="0"/>
        </w:sectPr>
      </w:pPr>
    </w:p>
    <w:p w14:paraId="766B361A">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依法缴纳税收证明材料</w:t>
      </w:r>
    </w:p>
    <w:p w14:paraId="7FFA9B48">
      <w:pPr>
        <w:pStyle w:val="54"/>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36BEAE3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1、依法缴纳税收的投标人</w:t>
      </w:r>
    </w:p>
    <w:p w14:paraId="7FD6006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）法人（包括企业、事业单位和社会团体）的</w:t>
      </w:r>
    </w:p>
    <w:p w14:paraId="3172969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现附上自</w:t>
      </w:r>
      <w:r>
        <w:rPr>
          <w:rFonts w:asciiTheme="minorEastAsia" w:hAnsiTheme="minorEastAsia"/>
          <w:sz w:val="24"/>
          <w:szCs w:val="24"/>
          <w:u w:val="single"/>
        </w:rPr>
        <w:t>　　年　　月　　日</w:t>
      </w:r>
      <w:r>
        <w:rPr>
          <w:rFonts w:asciiTheme="minorEastAsia" w:hAnsiTheme="minorEastAsia"/>
          <w:sz w:val="24"/>
          <w:szCs w:val="24"/>
        </w:rPr>
        <w:t>至</w:t>
      </w:r>
      <w:r>
        <w:rPr>
          <w:rFonts w:asciiTheme="minorEastAsia" w:hAnsiTheme="minorEastAsia"/>
          <w:sz w:val="24"/>
          <w:szCs w:val="24"/>
          <w:u w:val="single"/>
        </w:rPr>
        <w:t>　　年　　月　　日</w:t>
      </w:r>
      <w:r>
        <w:rPr>
          <w:rFonts w:asciiTheme="minorEastAsia" w:hAnsiTheme="minorEastAsia"/>
          <w:sz w:val="24"/>
          <w:szCs w:val="24"/>
        </w:rPr>
        <w:t>期间我方缴纳（包括但不限于税务机关出具的专用收据、税收缴纳证明或税收代缴银行的缴款收讫凭证）等税收凭据复印件，上述证明材料真实有效，否则我方负全部责任。</w:t>
      </w:r>
    </w:p>
    <w:p w14:paraId="46BDA4F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）非法人（包括其他组织、自然人）的</w:t>
      </w:r>
    </w:p>
    <w:p w14:paraId="75DB816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现附上自</w:t>
      </w:r>
      <w:r>
        <w:rPr>
          <w:rFonts w:asciiTheme="minorEastAsia" w:hAnsiTheme="minorEastAsia"/>
          <w:sz w:val="24"/>
          <w:szCs w:val="24"/>
          <w:u w:val="single"/>
        </w:rPr>
        <w:t>　　年　　月　　日</w:t>
      </w:r>
      <w:r>
        <w:rPr>
          <w:rFonts w:asciiTheme="minorEastAsia" w:hAnsiTheme="minorEastAsia"/>
          <w:sz w:val="24"/>
          <w:szCs w:val="24"/>
        </w:rPr>
        <w:t>至</w:t>
      </w:r>
      <w:r>
        <w:rPr>
          <w:rFonts w:asciiTheme="minorEastAsia" w:hAnsiTheme="minorEastAsia"/>
          <w:sz w:val="24"/>
          <w:szCs w:val="24"/>
          <w:u w:val="single"/>
        </w:rPr>
        <w:t>　　年　　月　　日</w:t>
      </w:r>
      <w:r>
        <w:rPr>
          <w:rFonts w:asciiTheme="minorEastAsia" w:hAnsiTheme="minorEastAsia"/>
          <w:sz w:val="24"/>
          <w:szCs w:val="24"/>
        </w:rPr>
        <w:t>期间我方缴纳（包括但不限于税务机关出具的专用收据、税收缴纳证明或税收代缴银行的缴款收讫凭证）等税收凭据复印件，上述证明材料真实有效，否则我方负全部责任。</w:t>
      </w:r>
    </w:p>
    <w:p w14:paraId="1534F40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2、依法免税的投标人</w:t>
      </w:r>
    </w:p>
    <w:p w14:paraId="3929E4D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）现附上我方依法免税的证明材料复印件，上述证明材料真实有效，否则我方负全部责任。</w:t>
      </w:r>
    </w:p>
    <w:p w14:paraId="5752811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7C4DF3A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1、请投标人按照实际情况编制填写，在相应的（）中打“√”，并按照本格式的要求提供相应证明材料的复印件。</w:t>
      </w:r>
    </w:p>
    <w:p w14:paraId="6EA56AE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2、投标人提供的税收缴纳凭据复印件应符合下列规定：</w:t>
      </w:r>
    </w:p>
    <w:p w14:paraId="6643795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2.1投标截止时间前（不含投标截止时间的当月）已依法缴纳税收的投标人，提供投标截止时间前六个月（不含投标截止时间的当月）中任一月份的税收缴纳凭据复印件。</w:t>
      </w:r>
    </w:p>
    <w:p w14:paraId="402F47B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2.2投标截止时间的当月成立的投标人，视同满足本项资格条件要求。</w:t>
      </w:r>
    </w:p>
    <w:p w14:paraId="3751BCF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3、若为依法免税范围的投标人，提供依法免税证明材料的，视同满足本项资格条件要求。</w:t>
      </w:r>
    </w:p>
    <w:p w14:paraId="6A6714E2">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4C1A9C15">
      <w:pPr>
        <w:pStyle w:val="54"/>
        <w:spacing w:line="360" w:lineRule="auto"/>
        <w:ind w:firstLine="480" w:firstLineChars="200"/>
        <w:jc w:val="right"/>
        <w:rPr>
          <w:rFonts w:hint="default"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362A391A"/>
    <w:p w14:paraId="224D2933">
      <w:pPr>
        <w:sectPr>
          <w:pgSz w:w="11906" w:h="16838"/>
          <w:pgMar w:top="1418" w:right="1418" w:bottom="1418" w:left="1418" w:header="851" w:footer="992" w:gutter="0"/>
          <w:cols w:space="425" w:num="1"/>
          <w:docGrid w:type="lines" w:linePitch="312" w:charSpace="0"/>
        </w:sectPr>
      </w:pPr>
    </w:p>
    <w:p w14:paraId="5842C742">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依法缴纳社会保障资金证明材料</w:t>
      </w:r>
    </w:p>
    <w:p w14:paraId="08FA5DE5">
      <w:pPr>
        <w:pStyle w:val="54"/>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65A74EA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1、依法缴纳社会保障资金的投标人</w:t>
      </w:r>
    </w:p>
    <w:p w14:paraId="0EFE4F3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）法人（包括企业、事业单位和社会团体）的</w:t>
      </w:r>
    </w:p>
    <w:p w14:paraId="5231D7D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现附上自</w:t>
      </w:r>
      <w:r>
        <w:rPr>
          <w:rFonts w:asciiTheme="minorEastAsia" w:hAnsiTheme="minorEastAsia"/>
          <w:sz w:val="24"/>
          <w:szCs w:val="24"/>
          <w:u w:val="single"/>
        </w:rPr>
        <w:t>　　年　　月　　日</w:t>
      </w:r>
      <w:r>
        <w:rPr>
          <w:rFonts w:asciiTheme="minorEastAsia" w:hAnsiTheme="minorEastAsia"/>
          <w:sz w:val="24"/>
          <w:szCs w:val="24"/>
        </w:rPr>
        <w:t>至</w:t>
      </w:r>
      <w:r>
        <w:rPr>
          <w:rFonts w:asciiTheme="minorEastAsia" w:hAnsiTheme="minorEastAsia"/>
          <w:sz w:val="24"/>
          <w:szCs w:val="24"/>
          <w:u w:val="single"/>
        </w:rPr>
        <w:t>　　年　　月　　日</w:t>
      </w:r>
      <w:r>
        <w:rPr>
          <w:rFonts w:asciiTheme="minorEastAsia" w:hAnsiTheme="minorEastAsia"/>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678D5A3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）非法人（包括其他组织、自然人）的</w:t>
      </w:r>
    </w:p>
    <w:p w14:paraId="4654E96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自</w:t>
      </w:r>
      <w:r>
        <w:rPr>
          <w:rFonts w:asciiTheme="minorEastAsia" w:hAnsiTheme="minorEastAsia"/>
          <w:sz w:val="24"/>
          <w:szCs w:val="24"/>
          <w:u w:val="single"/>
        </w:rPr>
        <w:t>　　年　　月　　日</w:t>
      </w:r>
      <w:r>
        <w:rPr>
          <w:rFonts w:asciiTheme="minorEastAsia" w:hAnsiTheme="minorEastAsia"/>
          <w:sz w:val="24"/>
          <w:szCs w:val="24"/>
        </w:rPr>
        <w:t>至</w:t>
      </w:r>
      <w:r>
        <w:rPr>
          <w:rFonts w:asciiTheme="minorEastAsia" w:hAnsiTheme="minorEastAsia"/>
          <w:sz w:val="24"/>
          <w:szCs w:val="24"/>
          <w:u w:val="single"/>
        </w:rPr>
        <w:t>　　年　　月　　日</w:t>
      </w:r>
      <w:r>
        <w:rPr>
          <w:rFonts w:asciiTheme="minorEastAsia" w:hAnsiTheme="minorEastAsia"/>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7A3FCCF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2、依法不需要缴纳或暂缓缴纳社会保障资金的投标人</w:t>
      </w:r>
    </w:p>
    <w:p w14:paraId="056F02B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）现附上我方依法不需要缴纳或暂缓缴纳社会保障资金证明材料复印件，上述证明材料真实有效，否则我方负全部责任。</w:t>
      </w:r>
    </w:p>
    <w:p w14:paraId="102AEEE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1D72127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1、请投标人按照实际情况编制填写，在相应的（）中打“√”，并按照本格式的要求提供相应证明材料的复印件。</w:t>
      </w:r>
    </w:p>
    <w:p w14:paraId="1488444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2、投标人提供的社会保障资金缴纳凭据复印件应符合下列规定：</w:t>
      </w:r>
    </w:p>
    <w:p w14:paraId="7A6733C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2.1投标截止时间前（不含投标截止时间的当月）已依法缴纳社会保障资金的投标人，提供投标截止时间前六个月（不含投标截止时间的当月）中任一月份的社会保障资金缴纳凭据复印件。</w:t>
      </w:r>
    </w:p>
    <w:p w14:paraId="4304176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2.2投标截止时间的当月成立的投标人，视同满足本项资格条件要求。</w:t>
      </w:r>
    </w:p>
    <w:p w14:paraId="4D0F8E2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3、若为依法不需要缴纳或暂缓缴纳社会保障资金的投标人，提供依法不需要缴纳或暂缓缴纳社会保障资金证明材料的，视同满足本项资格条件要求。</w:t>
      </w:r>
    </w:p>
    <w:p w14:paraId="6B0792C2">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43A4DD2B">
      <w:pPr>
        <w:pStyle w:val="54"/>
        <w:spacing w:line="360" w:lineRule="auto"/>
        <w:ind w:firstLine="480" w:firstLineChars="200"/>
        <w:jc w:val="right"/>
        <w:rPr>
          <w:rFonts w:hint="default"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69E59C4C"/>
    <w:p w14:paraId="3DF87323">
      <w:pPr>
        <w:sectPr>
          <w:pgSz w:w="11906" w:h="16838"/>
          <w:pgMar w:top="1418" w:right="1418" w:bottom="1418" w:left="1418" w:header="851" w:footer="992" w:gutter="0"/>
          <w:cols w:space="425" w:num="1"/>
          <w:docGrid w:type="lines" w:linePitch="312" w:charSpace="0"/>
        </w:sectPr>
      </w:pPr>
    </w:p>
    <w:p w14:paraId="105F3734">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具备履行合同所必需设备和专业技术能力的声明函（若有）</w:t>
      </w:r>
    </w:p>
    <w:p w14:paraId="5FE206D7">
      <w:pPr>
        <w:pStyle w:val="54"/>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3EEA7E9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我方具备履行合同所必需的设备和专业技术能力，否则产生不利后果由我方承担责任。</w:t>
      </w:r>
    </w:p>
    <w:p w14:paraId="4913051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特此声明。</w:t>
      </w:r>
    </w:p>
    <w:p w14:paraId="613B66D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44AB3EE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1、招标文件未要求投标人提供“具备履行合同所必需的设备和专业技术能力专项证明材料”的，投标人应提供本声明函。</w:t>
      </w:r>
    </w:p>
    <w:p w14:paraId="2933F2F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2、招标文件要求投标人提供“具备履行合同所必需的设备和专业技术能力专项证明材料”的，投标人可不提供本声明函。</w:t>
      </w:r>
    </w:p>
    <w:p w14:paraId="5124029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3、请投标人根据实际情况如实声明，否则视为提供虚假材料。</w:t>
      </w:r>
    </w:p>
    <w:p w14:paraId="29D8D161">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6ECDDC27">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025C0AB1"/>
    <w:p w14:paraId="54FA52D0">
      <w:pPr>
        <w:sectPr>
          <w:pgSz w:w="11906" w:h="16838"/>
          <w:pgMar w:top="1418" w:right="1418" w:bottom="1418" w:left="1418" w:header="851" w:footer="992" w:gutter="0"/>
          <w:cols w:space="425" w:num="1"/>
          <w:docGrid w:type="lines" w:linePitch="312" w:charSpace="0"/>
        </w:sectPr>
      </w:pPr>
    </w:p>
    <w:p w14:paraId="56D3395D">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参加采购活动前三年内在经营活动中没有重大违法记录书面声明</w:t>
      </w:r>
    </w:p>
    <w:p w14:paraId="023F5B13">
      <w:pPr>
        <w:pStyle w:val="54"/>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1D04EA3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14:paraId="6903B03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特此声明。</w:t>
      </w:r>
    </w:p>
    <w:p w14:paraId="7025346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24096A5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336C186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请投标人根据实际情况如实声明，否则视为提供虚假材料。</w:t>
      </w:r>
    </w:p>
    <w:p w14:paraId="071BFD3B">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745337C9">
      <w:pPr>
        <w:pStyle w:val="54"/>
        <w:spacing w:line="360" w:lineRule="auto"/>
        <w:ind w:firstLine="480" w:firstLineChars="200"/>
        <w:jc w:val="right"/>
        <w:rPr>
          <w:rFonts w:hint="default"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50EF3D89"/>
    <w:p w14:paraId="30A15A90">
      <w:pPr>
        <w:sectPr>
          <w:pgSz w:w="11906" w:h="16838"/>
          <w:pgMar w:top="1418" w:right="1418" w:bottom="1418" w:left="1418" w:header="851" w:footer="992" w:gutter="0"/>
          <w:cols w:space="425" w:num="1"/>
          <w:docGrid w:type="lines" w:linePitch="312" w:charSpace="0"/>
        </w:sectPr>
      </w:pPr>
    </w:p>
    <w:p w14:paraId="42395FAD">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二-3信用记录查询提示</w:t>
      </w:r>
    </w:p>
    <w:p w14:paraId="22CA6EF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1、由资格审查小组通过网站查询并打印投标人的信用记录。</w:t>
      </w:r>
    </w:p>
    <w:p w14:paraId="23E0561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经查询，投标人参加本项目采购活动（投标截止时间）前三年内被列入失信被执行人名单、重大税收违法失信主体、政府采购严重违法失信行为记录名单及其他重大违法记录且相关信用惩戒期限未满的，其资格审查不合格。</w:t>
      </w:r>
    </w:p>
    <w:p w14:paraId="71F1385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1D492DE0"/>
    <w:p w14:paraId="7C0E1FD7">
      <w:pPr>
        <w:sectPr>
          <w:pgSz w:w="11906" w:h="16838"/>
          <w:pgMar w:top="1418" w:right="1418" w:bottom="1418" w:left="1418" w:header="851" w:footer="992" w:gutter="0"/>
          <w:cols w:space="425" w:num="1"/>
          <w:docGrid w:type="lines" w:linePitch="312" w:charSpace="0"/>
        </w:sectPr>
      </w:pPr>
    </w:p>
    <w:p w14:paraId="0AC30A3D">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二-4中小企业声明函</w:t>
      </w:r>
    </w:p>
    <w:p w14:paraId="15837D22">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（以资格条件落实中小企业扶持政策时适用，若有）</w:t>
      </w:r>
    </w:p>
    <w:p w14:paraId="584314CE">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中小企业声明函（货物）</w:t>
      </w:r>
    </w:p>
    <w:p w14:paraId="2E696B9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本公司（联合体）郑重声明，根据《政府采购促进中小企业发展管理办法》（财库﹝2020﹞46 号）的规定，本公司（联合体）参加</w:t>
      </w:r>
      <w:r>
        <w:rPr>
          <w:rFonts w:asciiTheme="minorEastAsia" w:hAnsiTheme="minorEastAsia"/>
          <w:sz w:val="24"/>
          <w:szCs w:val="24"/>
          <w:u w:val="single"/>
        </w:rPr>
        <w:t>（单位名称）</w:t>
      </w:r>
      <w:r>
        <w:rPr>
          <w:rFonts w:asciiTheme="minorEastAsia" w:hAnsiTheme="minorEastAsia"/>
          <w:sz w:val="24"/>
          <w:szCs w:val="24"/>
        </w:rPr>
        <w:t>的</w:t>
      </w:r>
      <w:r>
        <w:rPr>
          <w:rFonts w:asciiTheme="minorEastAsia" w:hAnsiTheme="minorEastAsia"/>
          <w:sz w:val="24"/>
          <w:szCs w:val="24"/>
          <w:u w:val="single"/>
        </w:rPr>
        <w:t>（项目名称）</w:t>
      </w:r>
      <w:r>
        <w:rPr>
          <w:rFonts w:asciiTheme="minorEastAsia" w:hAnsiTheme="minorEastAsia"/>
          <w:sz w:val="24"/>
          <w:szCs w:val="24"/>
        </w:rPr>
        <w:t>采购活动，提供的货物全部由符合政策要求的中小企业制造。相关企业（含联合体中的中小企业、签订分包意向协议的中小企业）的具体情况如下：</w:t>
      </w:r>
    </w:p>
    <w:p w14:paraId="4FE0392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u w:val="single"/>
        </w:rPr>
        <w:t xml:space="preserve"> （标的名称） </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行业；制造商为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万元¹，属于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2020DA0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w:t>
      </w:r>
      <w:r>
        <w:rPr>
          <w:rFonts w:asciiTheme="minorEastAsia" w:hAnsiTheme="minorEastAsia"/>
          <w:sz w:val="24"/>
          <w:szCs w:val="24"/>
          <w:u w:val="single"/>
        </w:rPr>
        <w:t xml:space="preserve"> （标的名称） </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行业；制造商为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7A2B16C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14:paraId="69A40E4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以上企业，不属于大企业的分支机构，不存在控股股东为大企业的情形，也不存在与大企业的负责人为同一人的情形。</w:t>
      </w:r>
    </w:p>
    <w:p w14:paraId="67FDA7F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本企业对上述声明内容的真实性负责。如有虚假，将依法承担相应责任。</w:t>
      </w:r>
    </w:p>
    <w:p w14:paraId="6F539A3C">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1F090B08">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0D3B741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1BD794E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1、从业人员、营业收入、资产总额填报上一年度数据，无上一年度数据的新成立企业可不填报。</w:t>
      </w:r>
    </w:p>
    <w:p w14:paraId="2A93DA0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3D8B63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1688C4D">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中小企业声明函（工程、服务）</w:t>
      </w:r>
    </w:p>
    <w:p w14:paraId="024A9BF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本公司（联合体）郑重声明，根据《政府采购促进中小企业发展管理办法》（财库﹝2020﹞46 号）的规定，本公司（联合体）参加</w:t>
      </w:r>
      <w:r>
        <w:rPr>
          <w:rFonts w:asciiTheme="minorEastAsia" w:hAnsiTheme="minorEastAsia"/>
          <w:sz w:val="24"/>
          <w:szCs w:val="24"/>
          <w:u w:val="single"/>
        </w:rPr>
        <w:t>（单位名称）</w:t>
      </w:r>
      <w:r>
        <w:rPr>
          <w:rFonts w:asciiTheme="minorEastAsia" w:hAnsiTheme="minorEastAsia"/>
          <w:sz w:val="24"/>
          <w:szCs w:val="24"/>
        </w:rPr>
        <w:t>的</w:t>
      </w:r>
      <w:r>
        <w:rPr>
          <w:rFonts w:asciiTheme="minorEastAsia" w:hAnsiTheme="minorEastAsia"/>
          <w:sz w:val="24"/>
          <w:szCs w:val="24"/>
          <w:u w:val="single"/>
        </w:rPr>
        <w:t>（项目名称）</w:t>
      </w:r>
      <w:r>
        <w:rPr>
          <w:rFonts w:asciiTheme="minorEastAsia" w:hAnsiTheme="minor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20090F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u w:val="single"/>
        </w:rPr>
        <w:t>（标的名称）</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；承建（承接）企业为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万元¹，属于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5EEAC03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w:t>
      </w:r>
      <w:r>
        <w:rPr>
          <w:rFonts w:asciiTheme="minorEastAsia" w:hAnsiTheme="minorEastAsia"/>
          <w:sz w:val="24"/>
          <w:szCs w:val="24"/>
          <w:u w:val="single"/>
        </w:rPr>
        <w:t>（标的名称）</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；承建（承接）企业为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5F43AE0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14:paraId="5A85BC8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以上企业，不属于大企业的分支机构，不存在控股股东为大企业的情形，也不存在与大企业的负责人为同一人的情形。</w:t>
      </w:r>
    </w:p>
    <w:p w14:paraId="3F0432D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本企业对上述声明内容的真实性负责。如有虚假，将依法承担相应责任。</w:t>
      </w:r>
    </w:p>
    <w:p w14:paraId="43CDA085">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49EB180F">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6736768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4C5DB3E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1、从业人员、营业收入、资产总额填报上一年度数据，无上一年度数据的新成立企业可不填报。</w:t>
      </w:r>
    </w:p>
    <w:p w14:paraId="4D1F8E6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ED3627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32D517A">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残疾人福利性单位声明函</w:t>
      </w:r>
    </w:p>
    <w:p w14:paraId="03ADB63B">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（以资格条件落实中小企业扶持政策时适用，若有）</w:t>
      </w:r>
    </w:p>
    <w:p w14:paraId="2D45C1C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6D6430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7A89E88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）由本投标人承建的（填写“所投采购包、品目号”）工程</w:t>
      </w:r>
    </w:p>
    <w:p w14:paraId="7B44B76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）由本投标人承接的（填写“所投采购包、品目号”）服务；</w:t>
      </w:r>
    </w:p>
    <w:p w14:paraId="7029F28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本投标人对上述声明的真实性负责。如有虚假，将依法承担相应责任。</w:t>
      </w:r>
    </w:p>
    <w:p w14:paraId="4520060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备注：</w:t>
      </w:r>
    </w:p>
    <w:p w14:paraId="5F356FA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1、请投标人按照实际情况编制填写本声明函，并在相应的（）中打“√”。</w:t>
      </w:r>
    </w:p>
    <w:p w14:paraId="600D6CD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2、若《残疾人福利性单位声明函》内容不真实，视为提供虚假材料。</w:t>
      </w:r>
    </w:p>
    <w:p w14:paraId="7D8EA90B">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71784581">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47E4F02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附：</w:t>
      </w:r>
    </w:p>
    <w:p w14:paraId="794AEE81">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监狱企业证明材料</w:t>
      </w:r>
    </w:p>
    <w:p w14:paraId="6442799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投标人为监狱企业，提供本单位制造的货物（承接的服务），并在电子投标文件中提供省级以上监狱管理局、戒毒管理局（含新疆生产建设兵团）出具的属于监狱企业的证明文件。</w:t>
      </w:r>
    </w:p>
    <w:p w14:paraId="625AF855">
      <w:pPr>
        <w:sectPr>
          <w:pgSz w:w="11906" w:h="16838"/>
          <w:pgMar w:top="1418" w:right="1418" w:bottom="1418" w:left="1418" w:header="851" w:footer="992" w:gutter="0"/>
          <w:cols w:space="425" w:num="1"/>
          <w:docGrid w:type="lines" w:linePitch="312" w:charSpace="0"/>
        </w:sectPr>
      </w:pPr>
    </w:p>
    <w:p w14:paraId="1B998751">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二-5联合体协议（若有）</w:t>
      </w:r>
    </w:p>
    <w:p w14:paraId="30631688">
      <w:pPr>
        <w:pStyle w:val="54"/>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7727252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兹有</w:t>
      </w:r>
      <w:r>
        <w:rPr>
          <w:rFonts w:asciiTheme="minorEastAsia" w:hAnsiTheme="minorEastAsia"/>
          <w:sz w:val="24"/>
          <w:szCs w:val="24"/>
          <w:u w:val="single"/>
        </w:rPr>
        <w:t>（填写“联合体中各方的全称”，各方的全称之间请用“、”分割）</w:t>
      </w:r>
      <w:r>
        <w:rPr>
          <w:rFonts w:asciiTheme="minorEastAsia" w:hAnsiTheme="minorEastAsia"/>
          <w:sz w:val="24"/>
          <w:szCs w:val="24"/>
        </w:rPr>
        <w:t>自愿组成联合体，共同参加</w:t>
      </w:r>
      <w:r>
        <w:rPr>
          <w:rFonts w:asciiTheme="minorEastAsia" w:hAnsiTheme="minorEastAsia"/>
          <w:sz w:val="24"/>
          <w:szCs w:val="24"/>
          <w:u w:val="single"/>
        </w:rPr>
        <w:t>（填写“项目名称”）</w:t>
      </w:r>
      <w:r>
        <w:rPr>
          <w:rFonts w:asciiTheme="minorEastAsia" w:hAnsiTheme="minorEastAsia"/>
          <w:sz w:val="24"/>
          <w:szCs w:val="24"/>
        </w:rPr>
        <w:t xml:space="preserve"> 项目（项目编号：</w:t>
      </w:r>
      <w:r>
        <w:rPr>
          <w:rFonts w:asciiTheme="minorEastAsia" w:hAnsiTheme="minorEastAsia"/>
          <w:sz w:val="24"/>
          <w:szCs w:val="24"/>
          <w:u w:val="single"/>
        </w:rPr>
        <w:t>　　　　　　</w:t>
      </w:r>
      <w:r>
        <w:rPr>
          <w:rFonts w:asciiTheme="minorEastAsia" w:hAnsiTheme="minorEastAsia"/>
          <w:sz w:val="24"/>
          <w:szCs w:val="24"/>
        </w:rPr>
        <w:t>）的投标。现就联合体参加本项目投标的有关事宜达成下列协议：</w:t>
      </w:r>
    </w:p>
    <w:p w14:paraId="5A9F99F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一、联合体各方应承担的工作和义务具体如下：</w:t>
      </w:r>
    </w:p>
    <w:p w14:paraId="01041B8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1、牵头方（全称）：</w:t>
      </w:r>
      <w:r>
        <w:rPr>
          <w:rFonts w:asciiTheme="minorEastAsia" w:hAnsiTheme="minorEastAsia"/>
          <w:sz w:val="24"/>
          <w:szCs w:val="24"/>
          <w:u w:val="single"/>
        </w:rPr>
        <w:t xml:space="preserve">（填写“工作及义务的具体内容”） </w:t>
      </w:r>
      <w:r>
        <w:rPr>
          <w:rFonts w:asciiTheme="minorEastAsia" w:hAnsiTheme="minorEastAsia"/>
          <w:sz w:val="24"/>
          <w:szCs w:val="24"/>
        </w:rPr>
        <w:t>；</w:t>
      </w:r>
    </w:p>
    <w:p w14:paraId="6FAC98A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2、成员方：</w:t>
      </w:r>
    </w:p>
    <w:p w14:paraId="148BBDA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2.1（成员一的全称）：</w:t>
      </w:r>
      <w:r>
        <w:rPr>
          <w:rFonts w:asciiTheme="minorEastAsia" w:hAnsiTheme="minorEastAsia"/>
          <w:sz w:val="24"/>
          <w:szCs w:val="24"/>
          <w:u w:val="single"/>
        </w:rPr>
        <w:t>（填写“工作及义务的具体内容”）</w:t>
      </w:r>
      <w:r>
        <w:rPr>
          <w:rFonts w:asciiTheme="minorEastAsia" w:hAnsiTheme="minorEastAsia"/>
          <w:sz w:val="24"/>
          <w:szCs w:val="24"/>
        </w:rPr>
        <w:t xml:space="preserve"> ；</w:t>
      </w:r>
    </w:p>
    <w:p w14:paraId="628DAC3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14:paraId="661FF6B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二、联合体各方的合同金额占比，具体如下：</w:t>
      </w:r>
    </w:p>
    <w:p w14:paraId="5D9EB9C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1.牵头方（</w:t>
      </w:r>
      <w:r>
        <w:rPr>
          <w:rFonts w:asciiTheme="minorEastAsia" w:hAnsiTheme="minorEastAsia"/>
          <w:sz w:val="24"/>
          <w:szCs w:val="24"/>
          <w:u w:val="single"/>
        </w:rPr>
        <w:t xml:space="preserve"> 全称</w:t>
      </w:r>
      <w:r>
        <w:rPr>
          <w:rFonts w:asciiTheme="minorEastAsia" w:hAnsiTheme="minorEastAsia"/>
          <w:sz w:val="24"/>
          <w:szCs w:val="24"/>
        </w:rPr>
        <w:t xml:space="preserve"> ）的合同金额占合同总额的</w:t>
      </w:r>
      <w:r>
        <w:rPr>
          <w:rFonts w:asciiTheme="minorEastAsia" w:hAnsiTheme="minorEastAsia"/>
          <w:sz w:val="24"/>
          <w:szCs w:val="24"/>
          <w:u w:val="single"/>
        </w:rPr>
        <w:t>　　</w:t>
      </w:r>
      <w:r>
        <w:rPr>
          <w:rFonts w:asciiTheme="minorEastAsia" w:hAnsiTheme="minorEastAsia"/>
          <w:sz w:val="24"/>
          <w:szCs w:val="24"/>
        </w:rPr>
        <w:t>%；</w:t>
      </w:r>
    </w:p>
    <w:p w14:paraId="42D98BE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2.成员方：</w:t>
      </w:r>
    </w:p>
    <w:p w14:paraId="64A9EE3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w:t>
      </w:r>
      <w:r>
        <w:rPr>
          <w:rFonts w:asciiTheme="minorEastAsia" w:hAnsiTheme="minorEastAsia"/>
          <w:sz w:val="24"/>
          <w:szCs w:val="24"/>
          <w:u w:val="single"/>
        </w:rPr>
        <w:t xml:space="preserve"> 成员1的全称 </w:t>
      </w:r>
      <w:r>
        <w:rPr>
          <w:rFonts w:asciiTheme="minorEastAsia" w:hAnsiTheme="minorEastAsia"/>
          <w:sz w:val="24"/>
          <w:szCs w:val="24"/>
        </w:rPr>
        <w:t>）的合同金额占合同总额的</w:t>
      </w:r>
      <w:r>
        <w:rPr>
          <w:rFonts w:asciiTheme="minorEastAsia" w:hAnsiTheme="minorEastAsia"/>
          <w:sz w:val="24"/>
          <w:szCs w:val="24"/>
          <w:u w:val="single"/>
        </w:rPr>
        <w:t>　　</w:t>
      </w:r>
      <w:r>
        <w:rPr>
          <w:rFonts w:asciiTheme="minorEastAsia" w:hAnsiTheme="minorEastAsia"/>
          <w:sz w:val="24"/>
          <w:szCs w:val="24"/>
        </w:rPr>
        <w:t>%；</w:t>
      </w:r>
    </w:p>
    <w:p w14:paraId="78966D2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14:paraId="0D7ACD1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三、联合体各方约定：</w:t>
      </w:r>
    </w:p>
    <w:p w14:paraId="1313934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1、由</w:t>
      </w:r>
      <w:r>
        <w:rPr>
          <w:rFonts w:asciiTheme="minorEastAsia" w:hAnsiTheme="minorEastAsia"/>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592DC38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2、联合体各方约定由</w:t>
      </w:r>
      <w:r>
        <w:rPr>
          <w:rFonts w:asciiTheme="minorEastAsia" w:hAnsiTheme="minorEastAsia"/>
          <w:sz w:val="24"/>
          <w:szCs w:val="24"/>
          <w:u w:val="single"/>
        </w:rPr>
        <w:t>（填写“牵头方的全称”）代表联合体办理投标保证金事宜。</w:t>
      </w:r>
    </w:p>
    <w:p w14:paraId="28205DF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46BF1A7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四、若中标，牵头方将代表联合体与采购人就合同签订事宜进行协商；若协商一致，则联合体各方将共同与采购人签订政府采购合同，并就政府采购合同约定的事项对采购人承担连带责任。</w:t>
      </w:r>
    </w:p>
    <w:p w14:paraId="3685AF0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五、本协议自签署之日起生效，政府采购合同履行完毕后自动失效。</w:t>
      </w:r>
    </w:p>
    <w:p w14:paraId="1D3D1D7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六、本协议一式</w:t>
      </w:r>
      <w:r>
        <w:rPr>
          <w:rFonts w:asciiTheme="minorEastAsia" w:hAnsiTheme="minorEastAsia"/>
          <w:sz w:val="24"/>
          <w:szCs w:val="24"/>
          <w:u w:val="single"/>
        </w:rPr>
        <w:t>（填写具体份数）</w:t>
      </w:r>
      <w:r>
        <w:rPr>
          <w:rFonts w:asciiTheme="minorEastAsia" w:hAnsiTheme="minorEastAsia"/>
          <w:sz w:val="24"/>
          <w:szCs w:val="24"/>
        </w:rPr>
        <w:t>份，联合体各方各执一份，电子投标文件中提交一份。</w:t>
      </w:r>
    </w:p>
    <w:p w14:paraId="768ACE5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（以下无正文）</w:t>
      </w:r>
    </w:p>
    <w:p w14:paraId="44F4A8D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牵头方：</w:t>
      </w:r>
      <w:r>
        <w:rPr>
          <w:rFonts w:asciiTheme="minorEastAsia" w:hAnsiTheme="minorEastAsia"/>
          <w:sz w:val="24"/>
          <w:szCs w:val="24"/>
          <w:u w:val="single"/>
        </w:rPr>
        <w:t>（全称并加盖单位公章）</w:t>
      </w:r>
    </w:p>
    <w:p w14:paraId="209E665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法定代表人或其委托代理人：</w:t>
      </w:r>
      <w:r>
        <w:rPr>
          <w:rFonts w:asciiTheme="minorEastAsia" w:hAnsiTheme="minorEastAsia"/>
          <w:sz w:val="24"/>
          <w:szCs w:val="24"/>
          <w:u w:val="single"/>
        </w:rPr>
        <w:t xml:space="preserve"> （签字或盖章）</w:t>
      </w:r>
    </w:p>
    <w:p w14:paraId="50018C9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成员一：</w:t>
      </w:r>
      <w:r>
        <w:rPr>
          <w:rFonts w:asciiTheme="minorEastAsia" w:hAnsiTheme="minorEastAsia"/>
          <w:sz w:val="24"/>
          <w:szCs w:val="24"/>
          <w:u w:val="single"/>
        </w:rPr>
        <w:t>（全称并加盖成员一的单位公章）</w:t>
      </w:r>
    </w:p>
    <w:p w14:paraId="5488EE7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法定代表人或其委托代理人：</w:t>
      </w:r>
      <w:r>
        <w:rPr>
          <w:rFonts w:asciiTheme="minorEastAsia" w:hAnsiTheme="minorEastAsia"/>
          <w:sz w:val="24"/>
          <w:szCs w:val="24"/>
          <w:u w:val="single"/>
        </w:rPr>
        <w:t xml:space="preserve"> （签字或盖章）</w:t>
      </w:r>
    </w:p>
    <w:p w14:paraId="020080C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14:paraId="259AD51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成员**：</w:t>
      </w:r>
      <w:r>
        <w:rPr>
          <w:rFonts w:asciiTheme="minorEastAsia" w:hAnsiTheme="minorEastAsia"/>
          <w:sz w:val="24"/>
          <w:szCs w:val="24"/>
          <w:u w:val="single"/>
        </w:rPr>
        <w:t>（全称并加盖成员**的单位公章）</w:t>
      </w:r>
    </w:p>
    <w:p w14:paraId="27DC266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法定代表人或其委托代理人：</w:t>
      </w:r>
      <w:r>
        <w:rPr>
          <w:rFonts w:asciiTheme="minorEastAsia" w:hAnsiTheme="minorEastAsia"/>
          <w:sz w:val="24"/>
          <w:szCs w:val="24"/>
          <w:u w:val="single"/>
        </w:rPr>
        <w:t xml:space="preserve"> （签字或盖章）</w:t>
      </w:r>
    </w:p>
    <w:p w14:paraId="37C56314">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签署日期：</w:t>
      </w:r>
      <w:r>
        <w:rPr>
          <w:rFonts w:asciiTheme="minorEastAsia" w:hAnsiTheme="minorEastAsia"/>
          <w:sz w:val="24"/>
          <w:szCs w:val="24"/>
          <w:u w:val="single"/>
        </w:rPr>
        <w:t>　　年　　月　　日</w:t>
      </w:r>
    </w:p>
    <w:p w14:paraId="2BF495D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5FC5D92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1、招标文件接受联合体投标且投标人为联合体的，投标人应提供本协议；否则无须提供。</w:t>
      </w:r>
    </w:p>
    <w:p w14:paraId="0505E01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2、本协议由委托代理人签字或盖章的，应按照本章载明的格式提供“单位授权书”。</w:t>
      </w:r>
    </w:p>
    <w:p w14:paraId="7FF700B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3、在以联合体形式落实中小企业预留份额项目中，投标人除了要提供《中小企业声明函》，还需提供本协议。</w:t>
      </w:r>
    </w:p>
    <w:p w14:paraId="38A319E2"/>
    <w:p w14:paraId="58A297EF">
      <w:pPr>
        <w:sectPr>
          <w:pgSz w:w="11906" w:h="16838"/>
          <w:pgMar w:top="1418" w:right="1418" w:bottom="1418" w:left="1418" w:header="851" w:footer="992" w:gutter="0"/>
          <w:cols w:space="425" w:num="1"/>
          <w:docGrid w:type="lines" w:linePitch="312" w:charSpace="0"/>
        </w:sectPr>
      </w:pPr>
    </w:p>
    <w:p w14:paraId="42BB4087">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二-6分包意向协议（若有）</w:t>
      </w:r>
    </w:p>
    <w:p w14:paraId="40ED7C6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甲方（总包方）：</w:t>
      </w:r>
      <w:r>
        <w:rPr>
          <w:rFonts w:asciiTheme="minorEastAsia" w:hAnsiTheme="minorEastAsia"/>
          <w:sz w:val="24"/>
          <w:szCs w:val="24"/>
          <w:u w:val="single"/>
        </w:rPr>
        <w:t>　　　　　　　</w:t>
      </w:r>
      <w:r>
        <w:rPr>
          <w:rFonts w:asciiTheme="minorEastAsia" w:hAnsiTheme="minorEastAsia"/>
          <w:sz w:val="24"/>
          <w:szCs w:val="24"/>
        </w:rPr>
        <w:t>（即本项目的投标人）</w:t>
      </w:r>
    </w:p>
    <w:p w14:paraId="1F1E160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乙方（分包方）：</w:t>
      </w:r>
      <w:r>
        <w:rPr>
          <w:rFonts w:asciiTheme="minorEastAsia" w:hAnsiTheme="minorEastAsia"/>
          <w:sz w:val="24"/>
          <w:szCs w:val="24"/>
          <w:u w:val="single"/>
        </w:rPr>
        <w:t>　　　　　　　</w:t>
      </w:r>
    </w:p>
    <w:p w14:paraId="0DF28BD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兹有甲方参加</w:t>
      </w:r>
      <w:r>
        <w:rPr>
          <w:rFonts w:asciiTheme="minorEastAsia" w:hAnsiTheme="minorEastAsia"/>
          <w:sz w:val="24"/>
          <w:szCs w:val="24"/>
          <w:u w:val="single"/>
        </w:rPr>
        <w:t>（填写“项目名称”）</w:t>
      </w:r>
      <w:r>
        <w:rPr>
          <w:rFonts w:asciiTheme="minorEastAsia" w:hAnsiTheme="minorEastAsia"/>
          <w:sz w:val="24"/>
          <w:szCs w:val="24"/>
        </w:rPr>
        <w:t xml:space="preserve"> 项目（项目编号：</w:t>
      </w:r>
      <w:r>
        <w:rPr>
          <w:rFonts w:asciiTheme="minorEastAsia" w:hAnsiTheme="minorEastAsia"/>
          <w:sz w:val="24"/>
          <w:szCs w:val="24"/>
          <w:u w:val="single"/>
        </w:rPr>
        <w:t>　　　　　　　</w:t>
      </w:r>
      <w:r>
        <w:rPr>
          <w:rFonts w:asciiTheme="minorEastAsia" w:hAnsiTheme="minorEastAsia"/>
          <w:sz w:val="24"/>
          <w:szCs w:val="24"/>
        </w:rPr>
        <w:t>）的政府采购活动。甲方期望将采购项目的部分采购标的分包给乙方完成，而乙方保证能够向甲方提供本协议项下的采购标的，甲、乙双方就合同分包的有关事宜达成下列协议：</w:t>
      </w:r>
    </w:p>
    <w:p w14:paraId="71F56CD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一、分包标的</w:t>
      </w:r>
    </w:p>
    <w:p w14:paraId="2166737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u w:val="single"/>
        </w:rPr>
        <w:t>（根据双方的意向填写，可以是表格或文字描述）。</w:t>
      </w:r>
    </w:p>
    <w:p w14:paraId="40147A6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二、分包合同金额占比</w:t>
      </w:r>
    </w:p>
    <w:p w14:paraId="1B46714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分包合同价占投标总价的比例：</w:t>
      </w:r>
      <w:r>
        <w:rPr>
          <w:rFonts w:asciiTheme="minorEastAsia" w:hAnsiTheme="minorEastAsia"/>
          <w:sz w:val="24"/>
          <w:szCs w:val="24"/>
          <w:u w:val="single"/>
        </w:rPr>
        <w:t>　　　　　</w:t>
      </w:r>
      <w:r>
        <w:rPr>
          <w:rFonts w:asciiTheme="minorEastAsia" w:hAnsiTheme="minorEastAsia"/>
          <w:sz w:val="24"/>
          <w:szCs w:val="24"/>
        </w:rPr>
        <w:t>%</w:t>
      </w:r>
    </w:p>
    <w:p w14:paraId="7D5600E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三、其他条款</w:t>
      </w:r>
    </w:p>
    <w:p w14:paraId="7CAF8BB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B824C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0FFC5D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甲方：</w:t>
            </w:r>
          </w:p>
        </w:tc>
        <w:tc>
          <w:tcPr>
            <w:tcW w:w="4153" w:type="dxa"/>
          </w:tcPr>
          <w:p w14:paraId="5B1ED31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乙方：</w:t>
            </w:r>
          </w:p>
        </w:tc>
      </w:tr>
      <w:tr w14:paraId="0DAAA3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D4B1E0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住所：</w:t>
            </w:r>
          </w:p>
        </w:tc>
        <w:tc>
          <w:tcPr>
            <w:tcW w:w="4153" w:type="dxa"/>
          </w:tcPr>
          <w:p w14:paraId="6C79DEE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住所：</w:t>
            </w:r>
          </w:p>
        </w:tc>
      </w:tr>
      <w:tr w14:paraId="500364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E47EC5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单位负责人或委托代理人：</w:t>
            </w:r>
          </w:p>
        </w:tc>
        <w:tc>
          <w:tcPr>
            <w:tcW w:w="4153" w:type="dxa"/>
          </w:tcPr>
          <w:p w14:paraId="7511B9A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单位负责人或委托代理人：</w:t>
            </w:r>
          </w:p>
        </w:tc>
      </w:tr>
      <w:tr w14:paraId="1D9349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C6B859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联系方法：</w:t>
            </w:r>
          </w:p>
        </w:tc>
        <w:tc>
          <w:tcPr>
            <w:tcW w:w="4153" w:type="dxa"/>
          </w:tcPr>
          <w:p w14:paraId="58CE04B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联系方法：</w:t>
            </w:r>
          </w:p>
        </w:tc>
      </w:tr>
      <w:tr w14:paraId="42E1D8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226108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开户银行：</w:t>
            </w:r>
          </w:p>
        </w:tc>
        <w:tc>
          <w:tcPr>
            <w:tcW w:w="4153" w:type="dxa"/>
          </w:tcPr>
          <w:p w14:paraId="778A2D2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开户银行：</w:t>
            </w:r>
          </w:p>
        </w:tc>
      </w:tr>
      <w:tr w14:paraId="449547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15960C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账号：</w:t>
            </w:r>
          </w:p>
        </w:tc>
        <w:tc>
          <w:tcPr>
            <w:tcW w:w="4153" w:type="dxa"/>
          </w:tcPr>
          <w:p w14:paraId="5D0A970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账号：</w:t>
            </w:r>
          </w:p>
        </w:tc>
      </w:tr>
      <w:tr w14:paraId="50185B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09E8BBFF">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签订地点：</w:t>
            </w:r>
            <w:r>
              <w:rPr>
                <w:rFonts w:asciiTheme="minorEastAsia" w:hAnsiTheme="minorEastAsia"/>
                <w:sz w:val="24"/>
                <w:szCs w:val="24"/>
                <w:u w:val="single"/>
              </w:rPr>
              <w:t>　　　　　　　　　　</w:t>
            </w:r>
          </w:p>
          <w:p w14:paraId="047FF176">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签约日期：</w:t>
            </w:r>
            <w:r>
              <w:rPr>
                <w:rFonts w:asciiTheme="minorEastAsia" w:hAnsiTheme="minorEastAsia"/>
                <w:sz w:val="24"/>
                <w:szCs w:val="24"/>
                <w:u w:val="single"/>
              </w:rPr>
              <w:t>　　年　　月　　日</w:t>
            </w:r>
          </w:p>
        </w:tc>
      </w:tr>
    </w:tbl>
    <w:p w14:paraId="0B4724F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5491B46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1.招标文件接受合同分包且投标人拟将合同分包的，应提供本协议；否则无须提供。</w:t>
      </w:r>
    </w:p>
    <w:p w14:paraId="2219423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2.本协议由委托代理人签字或盖章的，应按照本章载明的格式提供“单位授权书”。</w:t>
      </w:r>
    </w:p>
    <w:p w14:paraId="5622167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3.在以合同分包形式落实中小企业预留份额项目中，投标人除了要提供《中小企业声明函》，还需提供本协议。</w:t>
      </w:r>
    </w:p>
    <w:p w14:paraId="5E4CE595"/>
    <w:p w14:paraId="01F5D140">
      <w:pPr>
        <w:sectPr>
          <w:pgSz w:w="11906" w:h="16838"/>
          <w:pgMar w:top="1418" w:right="1418" w:bottom="1418" w:left="1418" w:header="851" w:footer="992" w:gutter="0"/>
          <w:cols w:space="425" w:num="1"/>
          <w:docGrid w:type="lines" w:linePitch="312" w:charSpace="0"/>
        </w:sectPr>
      </w:pPr>
    </w:p>
    <w:p w14:paraId="20A97980">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二-7其他资格证明文件（若有）</w:t>
      </w:r>
    </w:p>
    <w:p w14:paraId="41FFB849">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二-7-①招标文件规定的其他资格证明文件（若有）</w:t>
      </w:r>
    </w:p>
    <w:p w14:paraId="2E302C97">
      <w:pPr>
        <w:pStyle w:val="54"/>
        <w:spacing w:line="360" w:lineRule="auto"/>
        <w:ind w:firstLine="480" w:firstLineChars="200"/>
        <w:jc w:val="center"/>
        <w:rPr>
          <w:rFonts w:hint="default" w:asciiTheme="minorEastAsia" w:hAnsiTheme="minorEastAsia"/>
          <w:sz w:val="24"/>
          <w:szCs w:val="24"/>
        </w:rPr>
      </w:pPr>
      <w:r>
        <w:rPr>
          <w:rFonts w:asciiTheme="minorEastAsia" w:hAnsiTheme="minorEastAsia"/>
          <w:sz w:val="24"/>
          <w:szCs w:val="24"/>
        </w:rPr>
        <w:t>编制说明</w:t>
      </w:r>
    </w:p>
    <w:p w14:paraId="5DA0A86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除招标文件另有规定外，招标文件要求提交的除前述资格证明文件外的其他资格证明文件（若有）加盖投标人的单位公章后应在此项下提交。</w:t>
      </w:r>
    </w:p>
    <w:p w14:paraId="73403B35">
      <w:pPr>
        <w:spacing w:before="156" w:beforeLines="50" w:after="156" w:afterLines="50"/>
        <w:jc w:val="center"/>
        <w:rPr>
          <w:rFonts w:asciiTheme="minorEastAsia" w:hAnsiTheme="minorEastAsia"/>
          <w:b/>
          <w:sz w:val="28"/>
          <w:szCs w:val="28"/>
        </w:rPr>
      </w:pPr>
    </w:p>
    <w:p w14:paraId="102DD7DC">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三、投标保证金</w:t>
      </w:r>
    </w:p>
    <w:p w14:paraId="3773B71A">
      <w:pPr>
        <w:pStyle w:val="54"/>
        <w:spacing w:line="360" w:lineRule="auto"/>
        <w:jc w:val="center"/>
        <w:rPr>
          <w:rFonts w:hint="default" w:asciiTheme="minorEastAsia" w:hAnsiTheme="minorEastAsia"/>
          <w:sz w:val="24"/>
          <w:szCs w:val="24"/>
        </w:rPr>
      </w:pPr>
      <w:r>
        <w:rPr>
          <w:rFonts w:asciiTheme="minorEastAsia" w:hAnsiTheme="minorEastAsia"/>
          <w:sz w:val="24"/>
          <w:szCs w:val="24"/>
        </w:rPr>
        <w:t>编制说明</w:t>
      </w:r>
    </w:p>
    <w:p w14:paraId="3E842CE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1、在此项下提交的“投标保证金”材料可使用转账凭证复印件或从福建省政府采购网上公开信息系统中下载的有关原始页面的打印件。</w:t>
      </w:r>
    </w:p>
    <w:p w14:paraId="1509A96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2、投标保证金是否已提交的认定按照招标文件第三章规定执行。</w:t>
      </w:r>
    </w:p>
    <w:p w14:paraId="5AE56C3C"/>
    <w:p w14:paraId="756D5F33">
      <w:pPr>
        <w:sectPr>
          <w:pgSz w:w="11906" w:h="16838"/>
          <w:pgMar w:top="1418" w:right="1418" w:bottom="1418" w:left="1418" w:header="851" w:footer="992" w:gutter="0"/>
          <w:cols w:space="425" w:num="1"/>
          <w:docGrid w:type="lines" w:linePitch="312" w:charSpace="0"/>
        </w:sectPr>
      </w:pPr>
    </w:p>
    <w:p w14:paraId="2CB39964">
      <w:pPr>
        <w:spacing w:before="156" w:beforeLines="50" w:after="156" w:afterLines="50"/>
        <w:jc w:val="center"/>
        <w:rPr>
          <w:b/>
          <w:sz w:val="28"/>
          <w:szCs w:val="28"/>
        </w:rPr>
      </w:pPr>
      <w:r>
        <w:rPr>
          <w:b/>
          <w:sz w:val="28"/>
          <w:szCs w:val="28"/>
        </w:rPr>
        <w:t>封面格式（</w:t>
      </w:r>
      <w:r>
        <w:rPr>
          <w:rFonts w:hint="eastAsia"/>
          <w:b/>
          <w:sz w:val="28"/>
          <w:szCs w:val="28"/>
        </w:rPr>
        <w:t>报价</w:t>
      </w:r>
      <w:r>
        <w:rPr>
          <w:b/>
          <w:sz w:val="28"/>
          <w:szCs w:val="28"/>
        </w:rPr>
        <w:t>部分）</w:t>
      </w:r>
    </w:p>
    <w:p w14:paraId="10C8A39D">
      <w:pPr>
        <w:jc w:val="center"/>
        <w:rPr>
          <w:rFonts w:ascii="宋体" w:hAnsi="宋体" w:eastAsia="宋体"/>
          <w:b/>
          <w:sz w:val="32"/>
          <w:szCs w:val="32"/>
        </w:rPr>
      </w:pPr>
    </w:p>
    <w:p w14:paraId="1A537F3A">
      <w:pPr>
        <w:jc w:val="center"/>
        <w:rPr>
          <w:rFonts w:ascii="宋体" w:hAnsi="宋体" w:eastAsia="宋体"/>
          <w:b/>
          <w:sz w:val="32"/>
          <w:szCs w:val="32"/>
        </w:rPr>
      </w:pPr>
      <w:r>
        <w:rPr>
          <w:rFonts w:ascii="宋体" w:hAnsi="宋体" w:eastAsia="宋体"/>
          <w:b/>
          <w:sz w:val="32"/>
          <w:szCs w:val="32"/>
        </w:rPr>
        <w:t>福建省政府采购投标文件</w:t>
      </w:r>
    </w:p>
    <w:p w14:paraId="669F2AC7">
      <w:pPr>
        <w:jc w:val="center"/>
        <w:rPr>
          <w:rFonts w:ascii="宋体" w:hAnsi="宋体" w:eastAsia="宋体"/>
          <w:b/>
          <w:sz w:val="32"/>
          <w:szCs w:val="32"/>
        </w:rPr>
      </w:pPr>
      <w:r>
        <w:rPr>
          <w:rFonts w:ascii="宋体" w:hAnsi="宋体" w:eastAsia="宋体"/>
          <w:b/>
          <w:sz w:val="32"/>
          <w:szCs w:val="32"/>
        </w:rPr>
        <w:t>（</w:t>
      </w:r>
      <w:r>
        <w:rPr>
          <w:rFonts w:hint="eastAsia" w:ascii="宋体" w:hAnsi="宋体" w:eastAsia="宋体"/>
          <w:b/>
          <w:sz w:val="32"/>
          <w:szCs w:val="32"/>
        </w:rPr>
        <w:t>报价</w:t>
      </w:r>
      <w:r>
        <w:rPr>
          <w:rFonts w:ascii="宋体" w:hAnsi="宋体" w:eastAsia="宋体"/>
          <w:b/>
          <w:sz w:val="32"/>
          <w:szCs w:val="32"/>
        </w:rPr>
        <w:t>部分）</w:t>
      </w:r>
    </w:p>
    <w:p w14:paraId="2534ABC0">
      <w:pPr>
        <w:jc w:val="center"/>
        <w:rPr>
          <w:rFonts w:ascii="宋体" w:hAnsi="宋体" w:eastAsia="宋体"/>
          <w:b/>
          <w:sz w:val="32"/>
          <w:szCs w:val="32"/>
        </w:rPr>
      </w:pPr>
      <w:r>
        <w:rPr>
          <w:rFonts w:ascii="宋体" w:hAnsi="宋体" w:eastAsia="宋体"/>
          <w:b/>
          <w:sz w:val="32"/>
          <w:szCs w:val="32"/>
        </w:rPr>
        <w:t>（填写正本或副本）</w:t>
      </w:r>
    </w:p>
    <w:p w14:paraId="19FCFFE0">
      <w:pPr>
        <w:jc w:val="center"/>
        <w:rPr>
          <w:rFonts w:ascii="宋体" w:hAnsi="宋体" w:eastAsia="宋体"/>
          <w:b/>
          <w:sz w:val="32"/>
          <w:szCs w:val="32"/>
        </w:rPr>
      </w:pPr>
    </w:p>
    <w:p w14:paraId="6E451C04">
      <w:pPr>
        <w:jc w:val="center"/>
        <w:rPr>
          <w:rFonts w:ascii="宋体" w:hAnsi="宋体" w:eastAsia="宋体"/>
          <w:b/>
          <w:sz w:val="32"/>
          <w:szCs w:val="32"/>
        </w:rPr>
      </w:pPr>
    </w:p>
    <w:p w14:paraId="032CFCD1">
      <w:pPr>
        <w:jc w:val="center"/>
        <w:rPr>
          <w:rFonts w:ascii="宋体" w:hAnsi="宋体" w:eastAsia="宋体"/>
          <w:b/>
          <w:sz w:val="32"/>
          <w:szCs w:val="32"/>
        </w:rPr>
      </w:pPr>
      <w:r>
        <w:rPr>
          <w:rFonts w:ascii="宋体" w:hAnsi="宋体" w:eastAsia="宋体"/>
          <w:b/>
          <w:sz w:val="32"/>
          <w:szCs w:val="32"/>
        </w:rPr>
        <w:t>（项目名称：（由投标人填写）</w:t>
      </w:r>
    </w:p>
    <w:p w14:paraId="3DAF253D">
      <w:pPr>
        <w:jc w:val="center"/>
        <w:rPr>
          <w:rFonts w:ascii="宋体" w:hAnsi="宋体" w:eastAsia="宋体"/>
          <w:b/>
          <w:sz w:val="32"/>
          <w:szCs w:val="32"/>
        </w:rPr>
      </w:pPr>
      <w:r>
        <w:rPr>
          <w:rFonts w:ascii="宋体" w:hAnsi="宋体" w:eastAsia="宋体"/>
          <w:b/>
          <w:sz w:val="32"/>
          <w:szCs w:val="32"/>
        </w:rPr>
        <w:t>（备案编号：（由投标人填写）</w:t>
      </w:r>
    </w:p>
    <w:p w14:paraId="5FCCBA85">
      <w:pPr>
        <w:jc w:val="center"/>
        <w:rPr>
          <w:rFonts w:ascii="宋体" w:hAnsi="宋体" w:eastAsia="宋体"/>
          <w:b/>
          <w:sz w:val="32"/>
          <w:szCs w:val="32"/>
        </w:rPr>
      </w:pPr>
      <w:r>
        <w:rPr>
          <w:rFonts w:ascii="宋体" w:hAnsi="宋体" w:eastAsia="宋体"/>
          <w:b/>
          <w:sz w:val="32"/>
          <w:szCs w:val="32"/>
        </w:rPr>
        <w:t>（项目编号：（由投标人填写）</w:t>
      </w:r>
    </w:p>
    <w:p w14:paraId="2747539E">
      <w:pPr>
        <w:jc w:val="center"/>
        <w:rPr>
          <w:rFonts w:ascii="宋体" w:hAnsi="宋体" w:eastAsia="宋体"/>
          <w:b/>
          <w:sz w:val="32"/>
          <w:szCs w:val="32"/>
        </w:rPr>
      </w:pPr>
      <w:r>
        <w:rPr>
          <w:rFonts w:ascii="宋体" w:hAnsi="宋体" w:eastAsia="宋体"/>
          <w:b/>
          <w:sz w:val="32"/>
          <w:szCs w:val="32"/>
        </w:rPr>
        <w:t>（所投采购包：（由投标人填写）</w:t>
      </w:r>
    </w:p>
    <w:p w14:paraId="4E3C9414">
      <w:pPr>
        <w:jc w:val="center"/>
        <w:rPr>
          <w:rFonts w:ascii="宋体" w:hAnsi="宋体" w:eastAsia="宋体"/>
          <w:b/>
          <w:sz w:val="32"/>
          <w:szCs w:val="32"/>
        </w:rPr>
      </w:pPr>
    </w:p>
    <w:p w14:paraId="787386AC">
      <w:pPr>
        <w:jc w:val="center"/>
        <w:rPr>
          <w:rFonts w:ascii="宋体" w:hAnsi="宋体" w:eastAsia="宋体"/>
          <w:b/>
          <w:sz w:val="32"/>
          <w:szCs w:val="32"/>
        </w:rPr>
      </w:pPr>
      <w:r>
        <w:rPr>
          <w:rFonts w:ascii="宋体" w:hAnsi="宋体" w:eastAsia="宋体"/>
          <w:b/>
          <w:sz w:val="32"/>
          <w:szCs w:val="32"/>
        </w:rPr>
        <w:t>投标人：（填写“全称”）</w:t>
      </w:r>
    </w:p>
    <w:p w14:paraId="2EB0C42E">
      <w:pPr>
        <w:jc w:val="center"/>
        <w:rPr>
          <w:rFonts w:ascii="宋体" w:hAnsi="宋体" w:eastAsia="宋体"/>
          <w:b/>
          <w:sz w:val="32"/>
          <w:szCs w:val="32"/>
        </w:rPr>
      </w:pPr>
      <w:r>
        <w:rPr>
          <w:rFonts w:ascii="宋体" w:hAnsi="宋体" w:eastAsia="宋体"/>
          <w:b/>
          <w:sz w:val="32"/>
          <w:szCs w:val="32"/>
        </w:rPr>
        <w:t>（由投标人填写）年（由投标人填写）月</w:t>
      </w:r>
    </w:p>
    <w:p w14:paraId="40561E29"/>
    <w:p w14:paraId="4E004276">
      <w:pPr>
        <w:sectPr>
          <w:pgSz w:w="11906" w:h="16838"/>
          <w:pgMar w:top="1418" w:right="1418" w:bottom="1418" w:left="1418" w:header="851" w:footer="992" w:gutter="0"/>
          <w:cols w:space="425" w:num="1"/>
          <w:docGrid w:type="lines" w:linePitch="312" w:charSpace="0"/>
        </w:sectPr>
      </w:pPr>
    </w:p>
    <w:p w14:paraId="21BC48A6">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索引</w:t>
      </w:r>
    </w:p>
    <w:p w14:paraId="4BE0C59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一、开标（报价）一览表</w:t>
      </w:r>
    </w:p>
    <w:p w14:paraId="3E45845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二、投标（响应）报价明细表</w:t>
      </w:r>
    </w:p>
    <w:p w14:paraId="08EBC03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三、招标文件规定的价格扣除证明材料（若有）</w:t>
      </w:r>
    </w:p>
    <w:p w14:paraId="1F45183B"/>
    <w:p w14:paraId="4BBA85FC">
      <w:pPr>
        <w:sectPr>
          <w:pgSz w:w="11906" w:h="16838"/>
          <w:pgMar w:top="1418" w:right="1418" w:bottom="1418" w:left="1418" w:header="851" w:footer="992" w:gutter="0"/>
          <w:cols w:space="425" w:num="1"/>
          <w:docGrid w:type="lines" w:linePitch="312" w:charSpace="0"/>
        </w:sectPr>
      </w:pPr>
    </w:p>
    <w:p w14:paraId="1D69EBCF">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开标（报价）一览表</w:t>
      </w:r>
    </w:p>
    <w:p w14:paraId="743FA5A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公司名称：</w:t>
      </w:r>
    </w:p>
    <w:p w14:paraId="08A658C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包号：1</w:t>
      </w:r>
    </w:p>
    <w:p w14:paraId="35DB131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项目编号：</w:t>
      </w:r>
    </w:p>
    <w:p w14:paraId="1D81A34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项目名称：</w:t>
      </w:r>
      <w:r>
        <w:rPr>
          <w:rFonts w:hint="default" w:asciiTheme="minorEastAsia" w:hAnsiTheme="minorEastAsia"/>
          <w:sz w:val="24"/>
          <w:szCs w:val="24"/>
        </w:rPr>
        <w:t xml:space="preserve"> </w:t>
      </w:r>
    </w:p>
    <w:p w14:paraId="0CADE9BB"/>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6"/>
        <w:gridCol w:w="2286"/>
        <w:gridCol w:w="1661"/>
        <w:gridCol w:w="1661"/>
        <w:gridCol w:w="1661"/>
      </w:tblGrid>
      <w:tr w14:paraId="79ED4C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36" w:type="dxa"/>
            <w:vAlign w:val="center"/>
          </w:tcPr>
          <w:p w14:paraId="34996FC0">
            <w:pPr>
              <w:pStyle w:val="54"/>
              <w:spacing w:line="360" w:lineRule="auto"/>
              <w:jc w:val="center"/>
              <w:rPr>
                <w:rFonts w:hint="default" w:asciiTheme="minorEastAsia" w:hAnsiTheme="minorEastAsia"/>
                <w:sz w:val="24"/>
                <w:szCs w:val="24"/>
              </w:rPr>
            </w:pPr>
            <w:r>
              <w:rPr>
                <w:rFonts w:asciiTheme="minorEastAsia" w:hAnsiTheme="minorEastAsia"/>
                <w:sz w:val="24"/>
                <w:szCs w:val="24"/>
              </w:rPr>
              <w:t>序号</w:t>
            </w:r>
          </w:p>
        </w:tc>
        <w:tc>
          <w:tcPr>
            <w:tcW w:w="2286" w:type="dxa"/>
            <w:vAlign w:val="center"/>
          </w:tcPr>
          <w:p w14:paraId="37D944B7">
            <w:pPr>
              <w:pStyle w:val="54"/>
              <w:spacing w:line="360" w:lineRule="auto"/>
              <w:jc w:val="center"/>
              <w:rPr>
                <w:rFonts w:hint="default" w:asciiTheme="minorEastAsia" w:hAnsiTheme="minorEastAsia"/>
                <w:sz w:val="24"/>
                <w:szCs w:val="24"/>
              </w:rPr>
            </w:pPr>
            <w:r>
              <w:rPr>
                <w:rFonts w:asciiTheme="minorEastAsia" w:hAnsiTheme="minorEastAsia"/>
                <w:sz w:val="24"/>
                <w:szCs w:val="24"/>
              </w:rPr>
              <w:t>报价内容</w:t>
            </w:r>
          </w:p>
        </w:tc>
        <w:tc>
          <w:tcPr>
            <w:tcW w:w="1661" w:type="dxa"/>
            <w:vAlign w:val="center"/>
          </w:tcPr>
          <w:p w14:paraId="28C9B8F7">
            <w:pPr>
              <w:pStyle w:val="54"/>
              <w:spacing w:line="360" w:lineRule="auto"/>
              <w:jc w:val="center"/>
              <w:rPr>
                <w:rFonts w:hint="default" w:asciiTheme="minorEastAsia" w:hAnsiTheme="minorEastAsia"/>
                <w:sz w:val="24"/>
                <w:szCs w:val="24"/>
              </w:rPr>
            </w:pPr>
            <w:r>
              <w:rPr>
                <w:rFonts w:asciiTheme="minorEastAsia" w:hAnsiTheme="minorEastAsia"/>
                <w:sz w:val="24"/>
                <w:szCs w:val="24"/>
              </w:rPr>
              <w:t>最高限价</w:t>
            </w:r>
          </w:p>
        </w:tc>
        <w:tc>
          <w:tcPr>
            <w:tcW w:w="1661" w:type="dxa"/>
            <w:vAlign w:val="center"/>
          </w:tcPr>
          <w:p w14:paraId="3A4BC285">
            <w:pPr>
              <w:pStyle w:val="54"/>
              <w:spacing w:line="360" w:lineRule="auto"/>
              <w:jc w:val="center"/>
              <w:rPr>
                <w:rFonts w:hint="default" w:asciiTheme="minorEastAsia" w:hAnsiTheme="minorEastAsia"/>
                <w:sz w:val="24"/>
                <w:szCs w:val="24"/>
              </w:rPr>
            </w:pPr>
            <w:r>
              <w:rPr>
                <w:rFonts w:asciiTheme="minorEastAsia" w:hAnsiTheme="minorEastAsia"/>
                <w:sz w:val="24"/>
                <w:szCs w:val="24"/>
              </w:rPr>
              <w:t>响应报价</w:t>
            </w:r>
          </w:p>
        </w:tc>
        <w:tc>
          <w:tcPr>
            <w:tcW w:w="1661" w:type="dxa"/>
            <w:vAlign w:val="center"/>
          </w:tcPr>
          <w:p w14:paraId="3C03EFBF">
            <w:pPr>
              <w:pStyle w:val="54"/>
              <w:spacing w:line="360" w:lineRule="auto"/>
              <w:jc w:val="center"/>
              <w:rPr>
                <w:rFonts w:hint="default" w:asciiTheme="minorEastAsia" w:hAnsiTheme="minorEastAsia"/>
                <w:sz w:val="24"/>
                <w:szCs w:val="24"/>
              </w:rPr>
            </w:pPr>
            <w:r>
              <w:rPr>
                <w:rFonts w:asciiTheme="minorEastAsia" w:hAnsiTheme="minorEastAsia"/>
                <w:sz w:val="24"/>
                <w:szCs w:val="24"/>
              </w:rPr>
              <w:t>价款形式</w:t>
            </w:r>
          </w:p>
        </w:tc>
      </w:tr>
      <w:tr w14:paraId="1EB7D1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36" w:type="dxa"/>
            <w:vAlign w:val="center"/>
          </w:tcPr>
          <w:p w14:paraId="2305E7C8">
            <w:pPr>
              <w:pStyle w:val="54"/>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2286" w:type="dxa"/>
            <w:vAlign w:val="center"/>
          </w:tcPr>
          <w:p w14:paraId="335DA4DF">
            <w:pPr>
              <w:pStyle w:val="54"/>
              <w:spacing w:line="360" w:lineRule="auto"/>
              <w:jc w:val="center"/>
              <w:rPr>
                <w:rFonts w:hint="default" w:asciiTheme="minorEastAsia" w:hAnsiTheme="minorEastAsia"/>
                <w:sz w:val="24"/>
                <w:szCs w:val="24"/>
              </w:rPr>
            </w:pPr>
          </w:p>
        </w:tc>
        <w:tc>
          <w:tcPr>
            <w:tcW w:w="1661" w:type="dxa"/>
            <w:vAlign w:val="center"/>
          </w:tcPr>
          <w:p w14:paraId="38183D45">
            <w:pPr>
              <w:pStyle w:val="54"/>
              <w:spacing w:line="360" w:lineRule="auto"/>
              <w:jc w:val="center"/>
              <w:rPr>
                <w:rFonts w:hint="default" w:asciiTheme="minorEastAsia" w:hAnsiTheme="minorEastAsia"/>
                <w:sz w:val="24"/>
                <w:szCs w:val="24"/>
              </w:rPr>
            </w:pPr>
          </w:p>
        </w:tc>
        <w:tc>
          <w:tcPr>
            <w:tcW w:w="1661" w:type="dxa"/>
            <w:vAlign w:val="center"/>
          </w:tcPr>
          <w:p w14:paraId="6F920EDA">
            <w:pPr>
              <w:pStyle w:val="54"/>
              <w:spacing w:line="360" w:lineRule="auto"/>
              <w:jc w:val="center"/>
              <w:rPr>
                <w:rFonts w:hint="default" w:asciiTheme="minorEastAsia" w:hAnsiTheme="minorEastAsia"/>
                <w:sz w:val="24"/>
                <w:szCs w:val="24"/>
              </w:rPr>
            </w:pPr>
            <w:r>
              <w:rPr>
                <w:rFonts w:asciiTheme="minorEastAsia" w:hAnsiTheme="minorEastAsia"/>
                <w:sz w:val="24"/>
                <w:szCs w:val="24"/>
              </w:rPr>
              <w:t>「汇总引用」  元</w:t>
            </w:r>
          </w:p>
        </w:tc>
        <w:tc>
          <w:tcPr>
            <w:tcW w:w="1661" w:type="dxa"/>
            <w:vAlign w:val="center"/>
          </w:tcPr>
          <w:p w14:paraId="000B0462">
            <w:pPr>
              <w:pStyle w:val="54"/>
              <w:spacing w:line="360" w:lineRule="auto"/>
              <w:jc w:val="center"/>
              <w:rPr>
                <w:rFonts w:hint="default" w:asciiTheme="minorEastAsia" w:hAnsiTheme="minorEastAsia"/>
                <w:sz w:val="24"/>
                <w:szCs w:val="24"/>
              </w:rPr>
            </w:pPr>
            <w:r>
              <w:rPr>
                <w:rFonts w:asciiTheme="minorEastAsia" w:hAnsiTheme="minorEastAsia"/>
                <w:sz w:val="24"/>
                <w:szCs w:val="24"/>
              </w:rPr>
              <w:t>总价</w:t>
            </w:r>
          </w:p>
        </w:tc>
      </w:tr>
    </w:tbl>
    <w:p w14:paraId="7687A77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备注：无</w:t>
      </w:r>
    </w:p>
    <w:p w14:paraId="0A56F1C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时间：     年     月     日</w:t>
      </w:r>
    </w:p>
    <w:p w14:paraId="77A603C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xml:space="preserve">签章：                     </w:t>
      </w:r>
    </w:p>
    <w:p w14:paraId="1B929F1C">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投标（响应）报价明细表</w:t>
      </w:r>
    </w:p>
    <w:p w14:paraId="58DEFA8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公司名称：</w:t>
      </w:r>
    </w:p>
    <w:p w14:paraId="08C0AA4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包号：</w:t>
      </w:r>
    </w:p>
    <w:p w14:paraId="7D5DDC0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项目编号：</w:t>
      </w:r>
    </w:p>
    <w:p w14:paraId="19D3B53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项目名称：</w:t>
      </w:r>
      <w:r>
        <w:rPr>
          <w:rFonts w:hint="default" w:asciiTheme="minorEastAsia" w:hAnsiTheme="minorEastAsia"/>
          <w:sz w:val="24"/>
          <w:szCs w:val="24"/>
        </w:rPr>
        <w:t xml:space="preserve"> </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9"/>
        <w:gridCol w:w="639"/>
        <w:gridCol w:w="639"/>
        <w:gridCol w:w="639"/>
        <w:gridCol w:w="639"/>
        <w:gridCol w:w="639"/>
        <w:gridCol w:w="639"/>
        <w:gridCol w:w="639"/>
        <w:gridCol w:w="639"/>
        <w:gridCol w:w="639"/>
        <w:gridCol w:w="639"/>
        <w:gridCol w:w="639"/>
        <w:gridCol w:w="639"/>
      </w:tblGrid>
      <w:tr w14:paraId="150359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9" w:type="dxa"/>
            <w:vAlign w:val="center"/>
          </w:tcPr>
          <w:p w14:paraId="24C3E949">
            <w:pPr>
              <w:pStyle w:val="54"/>
              <w:jc w:val="center"/>
              <w:rPr>
                <w:rFonts w:hint="default" w:asciiTheme="minorEastAsia" w:hAnsiTheme="minorEastAsia"/>
                <w:sz w:val="24"/>
                <w:szCs w:val="24"/>
              </w:rPr>
            </w:pPr>
            <w:r>
              <w:rPr>
                <w:rFonts w:asciiTheme="minorEastAsia" w:hAnsiTheme="minorEastAsia"/>
                <w:sz w:val="24"/>
                <w:szCs w:val="24"/>
              </w:rPr>
              <w:t>序号</w:t>
            </w:r>
          </w:p>
        </w:tc>
        <w:tc>
          <w:tcPr>
            <w:tcW w:w="639" w:type="dxa"/>
            <w:vAlign w:val="center"/>
          </w:tcPr>
          <w:p w14:paraId="6010E5C0">
            <w:pPr>
              <w:pStyle w:val="54"/>
              <w:jc w:val="center"/>
              <w:rPr>
                <w:rFonts w:hint="default" w:asciiTheme="minorEastAsia" w:hAnsiTheme="minorEastAsia"/>
                <w:sz w:val="24"/>
                <w:szCs w:val="24"/>
              </w:rPr>
            </w:pPr>
            <w:r>
              <w:rPr>
                <w:rFonts w:asciiTheme="minorEastAsia" w:hAnsiTheme="minorEastAsia"/>
                <w:sz w:val="24"/>
                <w:szCs w:val="24"/>
              </w:rPr>
              <w:t>货物名称</w:t>
            </w:r>
          </w:p>
        </w:tc>
        <w:tc>
          <w:tcPr>
            <w:tcW w:w="639" w:type="dxa"/>
            <w:vAlign w:val="center"/>
          </w:tcPr>
          <w:p w14:paraId="1B570D37">
            <w:pPr>
              <w:pStyle w:val="54"/>
              <w:jc w:val="center"/>
              <w:rPr>
                <w:rFonts w:hint="default" w:asciiTheme="minorEastAsia" w:hAnsiTheme="minorEastAsia"/>
                <w:sz w:val="24"/>
                <w:szCs w:val="24"/>
              </w:rPr>
            </w:pPr>
            <w:r>
              <w:rPr>
                <w:rFonts w:asciiTheme="minorEastAsia" w:hAnsiTheme="minorEastAsia"/>
                <w:sz w:val="24"/>
                <w:szCs w:val="24"/>
              </w:rPr>
              <w:t>规格型号</w:t>
            </w:r>
          </w:p>
        </w:tc>
        <w:tc>
          <w:tcPr>
            <w:tcW w:w="639" w:type="dxa"/>
            <w:vAlign w:val="center"/>
          </w:tcPr>
          <w:p w14:paraId="354DEB8A">
            <w:pPr>
              <w:pStyle w:val="54"/>
              <w:jc w:val="center"/>
              <w:rPr>
                <w:rFonts w:hint="default" w:asciiTheme="minorEastAsia" w:hAnsiTheme="minorEastAsia"/>
                <w:sz w:val="24"/>
                <w:szCs w:val="24"/>
              </w:rPr>
            </w:pPr>
            <w:r>
              <w:rPr>
                <w:rFonts w:asciiTheme="minorEastAsia" w:hAnsiTheme="minorEastAsia"/>
                <w:sz w:val="24"/>
                <w:szCs w:val="24"/>
              </w:rPr>
              <w:t>品牌</w:t>
            </w:r>
          </w:p>
        </w:tc>
        <w:tc>
          <w:tcPr>
            <w:tcW w:w="639" w:type="dxa"/>
            <w:vAlign w:val="center"/>
          </w:tcPr>
          <w:p w14:paraId="29A82A11">
            <w:pPr>
              <w:pStyle w:val="54"/>
              <w:jc w:val="center"/>
              <w:rPr>
                <w:rFonts w:hint="default" w:asciiTheme="minorEastAsia" w:hAnsiTheme="minorEastAsia"/>
                <w:sz w:val="24"/>
                <w:szCs w:val="24"/>
              </w:rPr>
            </w:pPr>
            <w:r>
              <w:rPr>
                <w:rFonts w:asciiTheme="minorEastAsia" w:hAnsiTheme="minorEastAsia"/>
                <w:sz w:val="24"/>
                <w:szCs w:val="24"/>
              </w:rPr>
              <w:t>制造商名称</w:t>
            </w:r>
          </w:p>
        </w:tc>
        <w:tc>
          <w:tcPr>
            <w:tcW w:w="639" w:type="dxa"/>
            <w:vAlign w:val="center"/>
          </w:tcPr>
          <w:p w14:paraId="58B1895B">
            <w:pPr>
              <w:pStyle w:val="54"/>
              <w:jc w:val="center"/>
              <w:rPr>
                <w:rFonts w:hint="default" w:asciiTheme="minorEastAsia" w:hAnsiTheme="minorEastAsia"/>
                <w:sz w:val="24"/>
                <w:szCs w:val="24"/>
              </w:rPr>
            </w:pPr>
            <w:r>
              <w:rPr>
                <w:rFonts w:asciiTheme="minorEastAsia" w:hAnsiTheme="minorEastAsia"/>
                <w:sz w:val="24"/>
                <w:szCs w:val="24"/>
              </w:rPr>
              <w:t>产地</w:t>
            </w:r>
          </w:p>
        </w:tc>
        <w:tc>
          <w:tcPr>
            <w:tcW w:w="639" w:type="dxa"/>
            <w:vAlign w:val="center"/>
          </w:tcPr>
          <w:p w14:paraId="64FD16EE">
            <w:pPr>
              <w:pStyle w:val="54"/>
              <w:jc w:val="center"/>
              <w:rPr>
                <w:rFonts w:hint="default" w:asciiTheme="minorEastAsia" w:hAnsiTheme="minorEastAsia"/>
                <w:sz w:val="24"/>
                <w:szCs w:val="24"/>
              </w:rPr>
            </w:pPr>
            <w:r>
              <w:rPr>
                <w:rFonts w:asciiTheme="minorEastAsia" w:hAnsiTheme="minorEastAsia"/>
                <w:sz w:val="24"/>
                <w:szCs w:val="24"/>
              </w:rPr>
              <w:t>最高限价</w:t>
            </w:r>
          </w:p>
        </w:tc>
        <w:tc>
          <w:tcPr>
            <w:tcW w:w="639" w:type="dxa"/>
            <w:vAlign w:val="center"/>
          </w:tcPr>
          <w:p w14:paraId="2C6FEDF7">
            <w:pPr>
              <w:pStyle w:val="54"/>
              <w:jc w:val="center"/>
              <w:rPr>
                <w:rFonts w:hint="default" w:asciiTheme="minorEastAsia" w:hAnsiTheme="minorEastAsia"/>
                <w:sz w:val="24"/>
                <w:szCs w:val="24"/>
              </w:rPr>
            </w:pPr>
            <w:r>
              <w:rPr>
                <w:rFonts w:asciiTheme="minorEastAsia" w:hAnsiTheme="minorEastAsia"/>
                <w:sz w:val="24"/>
                <w:szCs w:val="24"/>
              </w:rPr>
              <w:t>单价</w:t>
            </w:r>
          </w:p>
        </w:tc>
        <w:tc>
          <w:tcPr>
            <w:tcW w:w="639" w:type="dxa"/>
            <w:vAlign w:val="center"/>
          </w:tcPr>
          <w:p w14:paraId="044611AA">
            <w:pPr>
              <w:pStyle w:val="54"/>
              <w:jc w:val="center"/>
              <w:rPr>
                <w:rFonts w:hint="default" w:asciiTheme="minorEastAsia" w:hAnsiTheme="minorEastAsia"/>
                <w:sz w:val="24"/>
                <w:szCs w:val="24"/>
              </w:rPr>
            </w:pPr>
            <w:r>
              <w:rPr>
                <w:rFonts w:asciiTheme="minorEastAsia" w:hAnsiTheme="minorEastAsia"/>
                <w:sz w:val="24"/>
                <w:szCs w:val="24"/>
              </w:rPr>
              <w:t>数量</w:t>
            </w:r>
          </w:p>
        </w:tc>
        <w:tc>
          <w:tcPr>
            <w:tcW w:w="639" w:type="dxa"/>
            <w:vAlign w:val="center"/>
          </w:tcPr>
          <w:p w14:paraId="102C37CC">
            <w:pPr>
              <w:pStyle w:val="54"/>
              <w:jc w:val="center"/>
              <w:rPr>
                <w:rFonts w:hint="default" w:asciiTheme="minorEastAsia" w:hAnsiTheme="minorEastAsia"/>
                <w:sz w:val="24"/>
                <w:szCs w:val="24"/>
              </w:rPr>
            </w:pPr>
            <w:r>
              <w:rPr>
                <w:rFonts w:asciiTheme="minorEastAsia" w:hAnsiTheme="minorEastAsia"/>
                <w:sz w:val="24"/>
                <w:szCs w:val="24"/>
              </w:rPr>
              <w:t>计量单位</w:t>
            </w:r>
          </w:p>
        </w:tc>
        <w:tc>
          <w:tcPr>
            <w:tcW w:w="639" w:type="dxa"/>
            <w:vAlign w:val="center"/>
          </w:tcPr>
          <w:p w14:paraId="1529096D">
            <w:pPr>
              <w:pStyle w:val="54"/>
              <w:jc w:val="center"/>
              <w:rPr>
                <w:rFonts w:hint="default" w:asciiTheme="minorEastAsia" w:hAnsiTheme="minorEastAsia"/>
                <w:sz w:val="24"/>
                <w:szCs w:val="24"/>
              </w:rPr>
            </w:pPr>
            <w:r>
              <w:rPr>
                <w:rFonts w:asciiTheme="minorEastAsia" w:hAnsiTheme="minorEastAsia"/>
                <w:sz w:val="24"/>
                <w:szCs w:val="24"/>
              </w:rPr>
              <w:t>总价</w:t>
            </w:r>
          </w:p>
        </w:tc>
        <w:tc>
          <w:tcPr>
            <w:tcW w:w="639" w:type="dxa"/>
            <w:vAlign w:val="center"/>
          </w:tcPr>
          <w:p w14:paraId="6DF6055C">
            <w:pPr>
              <w:pStyle w:val="54"/>
              <w:jc w:val="center"/>
              <w:rPr>
                <w:rFonts w:hint="default" w:asciiTheme="minorEastAsia" w:hAnsiTheme="minorEastAsia"/>
                <w:sz w:val="24"/>
                <w:szCs w:val="24"/>
              </w:rPr>
            </w:pPr>
            <w:r>
              <w:rPr>
                <w:rFonts w:asciiTheme="minorEastAsia" w:hAnsiTheme="minorEastAsia"/>
                <w:sz w:val="24"/>
                <w:szCs w:val="24"/>
              </w:rPr>
              <w:t>是否环境标志产品</w:t>
            </w:r>
          </w:p>
        </w:tc>
        <w:tc>
          <w:tcPr>
            <w:tcW w:w="639" w:type="dxa"/>
            <w:vAlign w:val="center"/>
          </w:tcPr>
          <w:p w14:paraId="35751697">
            <w:pPr>
              <w:pStyle w:val="54"/>
              <w:jc w:val="center"/>
              <w:rPr>
                <w:rFonts w:hint="default" w:asciiTheme="minorEastAsia" w:hAnsiTheme="minorEastAsia"/>
                <w:sz w:val="24"/>
                <w:szCs w:val="24"/>
              </w:rPr>
            </w:pPr>
            <w:r>
              <w:rPr>
                <w:rFonts w:asciiTheme="minorEastAsia" w:hAnsiTheme="minorEastAsia"/>
                <w:sz w:val="24"/>
                <w:szCs w:val="24"/>
              </w:rPr>
              <w:t>是否节能产品</w:t>
            </w:r>
          </w:p>
        </w:tc>
      </w:tr>
      <w:tr w14:paraId="7CEDD6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9" w:type="dxa"/>
            <w:vAlign w:val="center"/>
          </w:tcPr>
          <w:p w14:paraId="5A0DD422">
            <w:pPr>
              <w:pStyle w:val="54"/>
              <w:jc w:val="center"/>
              <w:rPr>
                <w:rFonts w:hint="default" w:asciiTheme="minorEastAsia" w:hAnsiTheme="minorEastAsia"/>
                <w:sz w:val="24"/>
                <w:szCs w:val="24"/>
              </w:rPr>
            </w:pPr>
            <w:r>
              <w:rPr>
                <w:rFonts w:asciiTheme="minorEastAsia" w:hAnsiTheme="minorEastAsia"/>
                <w:sz w:val="24"/>
                <w:szCs w:val="24"/>
              </w:rPr>
              <w:t>1</w:t>
            </w:r>
          </w:p>
        </w:tc>
        <w:tc>
          <w:tcPr>
            <w:tcW w:w="639" w:type="dxa"/>
            <w:vAlign w:val="center"/>
          </w:tcPr>
          <w:p w14:paraId="7DC5C52C">
            <w:pPr>
              <w:pStyle w:val="54"/>
              <w:jc w:val="center"/>
              <w:rPr>
                <w:rFonts w:hint="default" w:asciiTheme="minorEastAsia" w:hAnsiTheme="minorEastAsia"/>
                <w:sz w:val="24"/>
                <w:szCs w:val="24"/>
              </w:rPr>
            </w:pPr>
          </w:p>
        </w:tc>
        <w:tc>
          <w:tcPr>
            <w:tcW w:w="639" w:type="dxa"/>
            <w:vAlign w:val="center"/>
          </w:tcPr>
          <w:p w14:paraId="3F679D5E">
            <w:pPr>
              <w:pStyle w:val="54"/>
              <w:jc w:val="center"/>
              <w:rPr>
                <w:rFonts w:hint="default" w:asciiTheme="minorEastAsia" w:hAnsiTheme="minorEastAsia"/>
                <w:sz w:val="24"/>
                <w:szCs w:val="24"/>
              </w:rPr>
            </w:pPr>
          </w:p>
        </w:tc>
        <w:tc>
          <w:tcPr>
            <w:tcW w:w="639" w:type="dxa"/>
            <w:vAlign w:val="center"/>
          </w:tcPr>
          <w:p w14:paraId="6EB1FA5E">
            <w:pPr>
              <w:pStyle w:val="54"/>
              <w:jc w:val="center"/>
              <w:rPr>
                <w:rFonts w:hint="default" w:asciiTheme="minorEastAsia" w:hAnsiTheme="minorEastAsia"/>
                <w:sz w:val="24"/>
                <w:szCs w:val="24"/>
              </w:rPr>
            </w:pPr>
          </w:p>
        </w:tc>
        <w:tc>
          <w:tcPr>
            <w:tcW w:w="639" w:type="dxa"/>
            <w:vAlign w:val="center"/>
          </w:tcPr>
          <w:p w14:paraId="027532CC">
            <w:pPr>
              <w:pStyle w:val="54"/>
              <w:jc w:val="center"/>
              <w:rPr>
                <w:rFonts w:hint="default" w:asciiTheme="minorEastAsia" w:hAnsiTheme="minorEastAsia"/>
                <w:sz w:val="24"/>
                <w:szCs w:val="24"/>
              </w:rPr>
            </w:pPr>
          </w:p>
        </w:tc>
        <w:tc>
          <w:tcPr>
            <w:tcW w:w="639" w:type="dxa"/>
            <w:vAlign w:val="center"/>
          </w:tcPr>
          <w:p w14:paraId="3095142F">
            <w:pPr>
              <w:pStyle w:val="54"/>
              <w:jc w:val="center"/>
              <w:rPr>
                <w:rFonts w:hint="default" w:asciiTheme="minorEastAsia" w:hAnsiTheme="minorEastAsia"/>
                <w:sz w:val="24"/>
                <w:szCs w:val="24"/>
              </w:rPr>
            </w:pPr>
          </w:p>
        </w:tc>
        <w:tc>
          <w:tcPr>
            <w:tcW w:w="639" w:type="dxa"/>
            <w:vAlign w:val="center"/>
          </w:tcPr>
          <w:p w14:paraId="435EC420">
            <w:pPr>
              <w:pStyle w:val="54"/>
              <w:jc w:val="center"/>
              <w:rPr>
                <w:rFonts w:hint="default" w:asciiTheme="minorEastAsia" w:hAnsiTheme="minorEastAsia"/>
                <w:sz w:val="24"/>
                <w:szCs w:val="24"/>
              </w:rPr>
            </w:pPr>
          </w:p>
        </w:tc>
        <w:tc>
          <w:tcPr>
            <w:tcW w:w="639" w:type="dxa"/>
            <w:vAlign w:val="center"/>
          </w:tcPr>
          <w:p w14:paraId="3DFFB2A0">
            <w:pPr>
              <w:pStyle w:val="54"/>
              <w:jc w:val="center"/>
              <w:rPr>
                <w:rFonts w:hint="default" w:asciiTheme="minorEastAsia" w:hAnsiTheme="minorEastAsia"/>
                <w:sz w:val="24"/>
                <w:szCs w:val="24"/>
              </w:rPr>
            </w:pPr>
          </w:p>
        </w:tc>
        <w:tc>
          <w:tcPr>
            <w:tcW w:w="639" w:type="dxa"/>
            <w:vAlign w:val="center"/>
          </w:tcPr>
          <w:p w14:paraId="7D7AFD9C">
            <w:pPr>
              <w:pStyle w:val="54"/>
              <w:jc w:val="center"/>
              <w:rPr>
                <w:rFonts w:hint="default" w:asciiTheme="minorEastAsia" w:hAnsiTheme="minorEastAsia"/>
                <w:sz w:val="24"/>
                <w:szCs w:val="24"/>
              </w:rPr>
            </w:pPr>
          </w:p>
        </w:tc>
        <w:tc>
          <w:tcPr>
            <w:tcW w:w="639" w:type="dxa"/>
            <w:vAlign w:val="center"/>
          </w:tcPr>
          <w:p w14:paraId="62F0CEDF">
            <w:pPr>
              <w:pStyle w:val="54"/>
              <w:jc w:val="center"/>
              <w:rPr>
                <w:rFonts w:hint="default" w:asciiTheme="minorEastAsia" w:hAnsiTheme="minorEastAsia"/>
                <w:sz w:val="24"/>
                <w:szCs w:val="24"/>
              </w:rPr>
            </w:pPr>
          </w:p>
        </w:tc>
        <w:tc>
          <w:tcPr>
            <w:tcW w:w="639" w:type="dxa"/>
            <w:vAlign w:val="center"/>
          </w:tcPr>
          <w:p w14:paraId="0B691C62">
            <w:pPr>
              <w:pStyle w:val="54"/>
              <w:jc w:val="center"/>
              <w:rPr>
                <w:rFonts w:hint="default" w:asciiTheme="minorEastAsia" w:hAnsiTheme="minorEastAsia"/>
                <w:sz w:val="24"/>
                <w:szCs w:val="24"/>
              </w:rPr>
            </w:pPr>
          </w:p>
        </w:tc>
        <w:tc>
          <w:tcPr>
            <w:tcW w:w="639" w:type="dxa"/>
            <w:vAlign w:val="center"/>
          </w:tcPr>
          <w:p w14:paraId="5A4230D4">
            <w:pPr>
              <w:pStyle w:val="54"/>
              <w:jc w:val="center"/>
              <w:rPr>
                <w:rFonts w:hint="default" w:asciiTheme="minorEastAsia" w:hAnsiTheme="minorEastAsia"/>
                <w:sz w:val="24"/>
                <w:szCs w:val="24"/>
              </w:rPr>
            </w:pPr>
          </w:p>
        </w:tc>
        <w:tc>
          <w:tcPr>
            <w:tcW w:w="639" w:type="dxa"/>
            <w:vAlign w:val="center"/>
          </w:tcPr>
          <w:p w14:paraId="010A9FAA">
            <w:pPr>
              <w:pStyle w:val="54"/>
              <w:jc w:val="center"/>
              <w:rPr>
                <w:rFonts w:hint="default" w:asciiTheme="minorEastAsia" w:hAnsiTheme="minorEastAsia"/>
                <w:sz w:val="24"/>
                <w:szCs w:val="24"/>
              </w:rPr>
            </w:pPr>
          </w:p>
        </w:tc>
      </w:tr>
    </w:tbl>
    <w:p w14:paraId="6789E50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合计：</w:t>
      </w:r>
    </w:p>
    <w:p w14:paraId="23271AA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备注：无</w:t>
      </w:r>
    </w:p>
    <w:p w14:paraId="2812BA9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时间：     年     月     日</w:t>
      </w:r>
    </w:p>
    <w:p w14:paraId="4C07546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xml:space="preserve">签章：                     </w:t>
      </w:r>
    </w:p>
    <w:p w14:paraId="41180FCC">
      <w:pPr>
        <w:sectPr>
          <w:pgSz w:w="11906" w:h="16838"/>
          <w:pgMar w:top="1418" w:right="1418" w:bottom="1418" w:left="1418" w:header="851" w:footer="992" w:gutter="0"/>
          <w:cols w:space="425" w:num="1"/>
          <w:docGrid w:type="lines" w:linePitch="312" w:charSpace="0"/>
        </w:sectPr>
      </w:pPr>
    </w:p>
    <w:p w14:paraId="33B453B6">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三、招标文件规定的价格扣除证明材料（若有）</w:t>
      </w:r>
    </w:p>
    <w:p w14:paraId="11224304">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三-1优先类节能产品、环境标志产品价格扣除证明材料（若有）</w:t>
      </w:r>
    </w:p>
    <w:p w14:paraId="659134F9">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三-1-①优先类节能产品、环境标志产品统计表（价格扣除适用，若有）</w:t>
      </w:r>
    </w:p>
    <w:p w14:paraId="13B17F12">
      <w:pPr>
        <w:pStyle w:val="54"/>
        <w:spacing w:line="360" w:lineRule="auto"/>
        <w:rPr>
          <w:rFonts w:hint="default" w:asciiTheme="minorEastAsia" w:hAnsiTheme="minorEastAsia"/>
          <w:sz w:val="24"/>
          <w:szCs w:val="24"/>
        </w:rPr>
      </w:pPr>
      <w:r>
        <w:rPr>
          <w:rFonts w:asciiTheme="minorEastAsia" w:hAnsiTheme="minorEastAsia"/>
          <w:sz w:val="24"/>
          <w:szCs w:val="24"/>
        </w:rPr>
        <w:t>项目编号：</w:t>
      </w:r>
      <w:r>
        <w:rPr>
          <w:rFonts w:asciiTheme="minorEastAsia" w:hAnsiTheme="minorEastAsia"/>
          <w:sz w:val="24"/>
          <w:szCs w:val="24"/>
          <w:u w:val="single"/>
        </w:rPr>
        <w:t>　　　　　　　　</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4748"/>
      </w:tblGrid>
      <w:tr w14:paraId="27F506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78ACABB7">
            <w:pPr>
              <w:spacing w:line="360" w:lineRule="auto"/>
              <w:jc w:val="center"/>
              <w:rPr>
                <w:rFonts w:asciiTheme="minorEastAsia" w:hAnsiTheme="minorEastAsia"/>
                <w:sz w:val="24"/>
                <w:szCs w:val="24"/>
              </w:rPr>
            </w:pPr>
          </w:p>
        </w:tc>
        <w:tc>
          <w:tcPr>
            <w:tcW w:w="7122" w:type="dxa"/>
            <w:gridSpan w:val="3"/>
            <w:vAlign w:val="center"/>
          </w:tcPr>
          <w:p w14:paraId="47A35665">
            <w:pPr>
              <w:pStyle w:val="54"/>
              <w:spacing w:line="360" w:lineRule="auto"/>
              <w:jc w:val="center"/>
              <w:rPr>
                <w:rFonts w:hint="default" w:asciiTheme="minorEastAsia" w:hAnsiTheme="minorEastAsia"/>
                <w:sz w:val="24"/>
                <w:szCs w:val="24"/>
              </w:rPr>
            </w:pPr>
            <w:r>
              <w:rPr>
                <w:rFonts w:asciiTheme="minorEastAsia" w:hAnsiTheme="minorEastAsia"/>
                <w:sz w:val="24"/>
                <w:szCs w:val="24"/>
              </w:rPr>
              <w:t>本采购包内属于节能、环境标志产品情况</w:t>
            </w:r>
          </w:p>
        </w:tc>
      </w:tr>
      <w:tr w14:paraId="5C71D4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43464547">
            <w:pPr>
              <w:pStyle w:val="54"/>
              <w:spacing w:line="360" w:lineRule="auto"/>
              <w:jc w:val="center"/>
              <w:rPr>
                <w:rFonts w:hint="default" w:asciiTheme="minorEastAsia" w:hAnsiTheme="minorEastAsia"/>
                <w:sz w:val="24"/>
                <w:szCs w:val="24"/>
              </w:rPr>
            </w:pPr>
            <w:r>
              <w:rPr>
                <w:rFonts w:asciiTheme="minorEastAsia" w:hAnsiTheme="minorEastAsia"/>
                <w:sz w:val="24"/>
                <w:szCs w:val="24"/>
              </w:rPr>
              <w:t>采购包</w:t>
            </w:r>
          </w:p>
        </w:tc>
        <w:tc>
          <w:tcPr>
            <w:tcW w:w="1187" w:type="dxa"/>
            <w:vAlign w:val="center"/>
          </w:tcPr>
          <w:p w14:paraId="36E807F9">
            <w:pPr>
              <w:pStyle w:val="54"/>
              <w:spacing w:line="360" w:lineRule="auto"/>
              <w:jc w:val="center"/>
              <w:rPr>
                <w:rFonts w:hint="default" w:asciiTheme="minorEastAsia" w:hAnsiTheme="minorEastAsia"/>
                <w:sz w:val="24"/>
                <w:szCs w:val="24"/>
              </w:rPr>
            </w:pPr>
            <w:r>
              <w:rPr>
                <w:rFonts w:asciiTheme="minorEastAsia" w:hAnsiTheme="minorEastAsia"/>
                <w:sz w:val="24"/>
                <w:szCs w:val="24"/>
              </w:rPr>
              <w:t>品目号</w:t>
            </w:r>
          </w:p>
        </w:tc>
        <w:tc>
          <w:tcPr>
            <w:tcW w:w="1187" w:type="dxa"/>
            <w:vAlign w:val="center"/>
          </w:tcPr>
          <w:p w14:paraId="2475B04D">
            <w:pPr>
              <w:pStyle w:val="54"/>
              <w:spacing w:line="360" w:lineRule="auto"/>
              <w:jc w:val="center"/>
              <w:rPr>
                <w:rFonts w:hint="default" w:asciiTheme="minorEastAsia" w:hAnsiTheme="minorEastAsia"/>
                <w:sz w:val="24"/>
                <w:szCs w:val="24"/>
              </w:rPr>
            </w:pPr>
            <w:r>
              <w:rPr>
                <w:rFonts w:asciiTheme="minorEastAsia" w:hAnsiTheme="minorEastAsia"/>
                <w:sz w:val="24"/>
                <w:szCs w:val="24"/>
              </w:rPr>
              <w:t>产品名称</w:t>
            </w:r>
          </w:p>
        </w:tc>
        <w:tc>
          <w:tcPr>
            <w:tcW w:w="4748" w:type="dxa"/>
            <w:vAlign w:val="center"/>
          </w:tcPr>
          <w:p w14:paraId="35EEF509">
            <w:pPr>
              <w:pStyle w:val="54"/>
              <w:spacing w:line="360" w:lineRule="auto"/>
              <w:jc w:val="center"/>
              <w:rPr>
                <w:rFonts w:hint="default" w:asciiTheme="minorEastAsia" w:hAnsiTheme="minorEastAsia"/>
                <w:sz w:val="24"/>
                <w:szCs w:val="24"/>
              </w:rPr>
            </w:pPr>
            <w:r>
              <w:rPr>
                <w:rFonts w:asciiTheme="minorEastAsia" w:hAnsiTheme="minorEastAsia"/>
                <w:sz w:val="24"/>
                <w:szCs w:val="24"/>
              </w:rPr>
              <w:t>认证种类</w:t>
            </w:r>
          </w:p>
        </w:tc>
      </w:tr>
      <w:tr w14:paraId="4E9016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restart"/>
            <w:vAlign w:val="center"/>
          </w:tcPr>
          <w:p w14:paraId="7FA07094">
            <w:pPr>
              <w:pStyle w:val="54"/>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187" w:type="dxa"/>
            <w:vAlign w:val="center"/>
          </w:tcPr>
          <w:p w14:paraId="4DB0939A">
            <w:pPr>
              <w:pStyle w:val="54"/>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1187" w:type="dxa"/>
            <w:vAlign w:val="center"/>
          </w:tcPr>
          <w:p w14:paraId="673E9A03">
            <w:pPr>
              <w:spacing w:line="360" w:lineRule="auto"/>
              <w:jc w:val="center"/>
              <w:rPr>
                <w:rFonts w:asciiTheme="minorEastAsia" w:hAnsiTheme="minorEastAsia"/>
                <w:sz w:val="24"/>
                <w:szCs w:val="24"/>
              </w:rPr>
            </w:pPr>
          </w:p>
        </w:tc>
        <w:tc>
          <w:tcPr>
            <w:tcW w:w="4748" w:type="dxa"/>
            <w:vAlign w:val="center"/>
          </w:tcPr>
          <w:p w14:paraId="55F20E3B">
            <w:pPr>
              <w:pStyle w:val="54"/>
              <w:spacing w:line="360" w:lineRule="auto"/>
              <w:jc w:val="center"/>
              <w:rPr>
                <w:rFonts w:hint="default" w:asciiTheme="minorEastAsia" w:hAnsiTheme="minorEastAsia"/>
                <w:sz w:val="24"/>
                <w:szCs w:val="24"/>
              </w:rPr>
            </w:pPr>
            <w:r>
              <w:rPr>
                <w:rFonts w:asciiTheme="minorEastAsia" w:hAnsiTheme="minorEastAsia"/>
                <w:sz w:val="24"/>
                <w:szCs w:val="24"/>
              </w:rPr>
              <w:t>供应商自行填写种类，并上传证明附件以便评审查看</w:t>
            </w:r>
          </w:p>
        </w:tc>
      </w:tr>
      <w:tr w14:paraId="1A69B6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continue"/>
            <w:vAlign w:val="center"/>
          </w:tcPr>
          <w:p w14:paraId="2CE938D8">
            <w:pPr>
              <w:spacing w:line="360" w:lineRule="auto"/>
              <w:jc w:val="center"/>
              <w:rPr>
                <w:rFonts w:asciiTheme="minorEastAsia" w:hAnsiTheme="minorEastAsia"/>
                <w:sz w:val="24"/>
                <w:szCs w:val="24"/>
              </w:rPr>
            </w:pPr>
          </w:p>
        </w:tc>
        <w:tc>
          <w:tcPr>
            <w:tcW w:w="1187" w:type="dxa"/>
            <w:vAlign w:val="center"/>
          </w:tcPr>
          <w:p w14:paraId="43509090">
            <w:pPr>
              <w:pStyle w:val="54"/>
              <w:spacing w:line="360" w:lineRule="auto"/>
              <w:jc w:val="center"/>
              <w:rPr>
                <w:rFonts w:hint="default" w:asciiTheme="minorEastAsia" w:hAnsiTheme="minorEastAsia"/>
                <w:sz w:val="24"/>
                <w:szCs w:val="24"/>
              </w:rPr>
            </w:pPr>
            <w:r>
              <w:rPr>
                <w:rFonts w:asciiTheme="minorEastAsia" w:hAnsiTheme="minorEastAsia"/>
                <w:sz w:val="24"/>
                <w:szCs w:val="24"/>
              </w:rPr>
              <w:t>…</w:t>
            </w:r>
          </w:p>
          <w:p w14:paraId="6EE8F70F">
            <w:pPr>
              <w:pStyle w:val="54"/>
              <w:spacing w:line="360" w:lineRule="auto"/>
              <w:jc w:val="center"/>
              <w:rPr>
                <w:rFonts w:hint="default" w:asciiTheme="minorEastAsia" w:hAnsiTheme="minorEastAsia"/>
                <w:sz w:val="24"/>
                <w:szCs w:val="24"/>
              </w:rPr>
            </w:pPr>
          </w:p>
        </w:tc>
        <w:tc>
          <w:tcPr>
            <w:tcW w:w="1187" w:type="dxa"/>
            <w:vAlign w:val="center"/>
          </w:tcPr>
          <w:p w14:paraId="0646AA51">
            <w:pPr>
              <w:spacing w:line="360" w:lineRule="auto"/>
              <w:jc w:val="center"/>
              <w:rPr>
                <w:rFonts w:asciiTheme="minorEastAsia" w:hAnsiTheme="minorEastAsia"/>
                <w:sz w:val="24"/>
                <w:szCs w:val="24"/>
              </w:rPr>
            </w:pPr>
          </w:p>
        </w:tc>
        <w:tc>
          <w:tcPr>
            <w:tcW w:w="4748" w:type="dxa"/>
            <w:vAlign w:val="center"/>
          </w:tcPr>
          <w:p w14:paraId="58FD9D87">
            <w:pPr>
              <w:spacing w:line="360" w:lineRule="auto"/>
              <w:jc w:val="center"/>
              <w:rPr>
                <w:rFonts w:asciiTheme="minorEastAsia" w:hAnsiTheme="minorEastAsia"/>
                <w:sz w:val="24"/>
                <w:szCs w:val="24"/>
              </w:rPr>
            </w:pPr>
          </w:p>
        </w:tc>
      </w:tr>
      <w:tr w14:paraId="2B0992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7EDC1A34">
            <w:pPr>
              <w:pStyle w:val="54"/>
              <w:spacing w:line="360" w:lineRule="auto"/>
              <w:jc w:val="center"/>
              <w:rPr>
                <w:rFonts w:hint="default" w:asciiTheme="minorEastAsia" w:hAnsiTheme="minorEastAsia"/>
                <w:sz w:val="24"/>
                <w:szCs w:val="24"/>
              </w:rPr>
            </w:pPr>
            <w:r>
              <w:rPr>
                <w:rFonts w:asciiTheme="minorEastAsia" w:hAnsiTheme="minorEastAsia"/>
                <w:sz w:val="24"/>
                <w:szCs w:val="24"/>
              </w:rPr>
              <w:t>备注</w:t>
            </w:r>
          </w:p>
        </w:tc>
        <w:tc>
          <w:tcPr>
            <w:tcW w:w="7122" w:type="dxa"/>
            <w:gridSpan w:val="3"/>
            <w:vAlign w:val="center"/>
          </w:tcPr>
          <w:p w14:paraId="5FE989D3">
            <w:pPr>
              <w:pStyle w:val="54"/>
              <w:spacing w:line="360" w:lineRule="auto"/>
              <w:jc w:val="center"/>
              <w:rPr>
                <w:rFonts w:hint="default" w:asciiTheme="minorEastAsia" w:hAnsiTheme="minorEastAsia"/>
                <w:sz w:val="24"/>
                <w:szCs w:val="24"/>
              </w:rPr>
            </w:pPr>
          </w:p>
        </w:tc>
      </w:tr>
    </w:tbl>
    <w:p w14:paraId="7B126A0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71258D7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1、对节能、环境标志产品计算价格扣除时，只依据电子投标文件“投标（响应）报价明细表”以及“优先类节能产品、环境标志产品证明材料（价格扣除适用，若有）”。</w:t>
      </w:r>
    </w:p>
    <w:p w14:paraId="6754527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2、本表以采购包为单位，不同采购包请分别填写；同一采购包请按照其品目号顺序分别填写。</w:t>
      </w:r>
    </w:p>
    <w:p w14:paraId="73DC0BB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3、具体统计、计算：</w:t>
      </w:r>
    </w:p>
    <w:p w14:paraId="0B17D9E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3.1同一品目中各认证证书不重复计算价格扣除。</w:t>
      </w:r>
    </w:p>
    <w:p w14:paraId="2F668A8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3.2计算结果若除不尽，可四舍五入保留到小数点后两位。</w:t>
      </w:r>
    </w:p>
    <w:p w14:paraId="6AB19DB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3.3投标人（供应商）按照采购文件要求认真统计、计算。</w:t>
      </w:r>
    </w:p>
    <w:p w14:paraId="2C8CA38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3.4若无节能、环境标志产品，不填写本表。</w:t>
      </w:r>
    </w:p>
    <w:p w14:paraId="15E44B8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3.5强制类节能产品不享受价格扣除。</w:t>
      </w:r>
    </w:p>
    <w:p w14:paraId="56246F2C">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6ADAD2B1">
      <w:pPr>
        <w:pStyle w:val="54"/>
        <w:spacing w:line="360" w:lineRule="auto"/>
        <w:ind w:firstLine="480" w:firstLineChars="200"/>
        <w:jc w:val="right"/>
        <w:rPr>
          <w:rFonts w:hint="default"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292CF969"/>
    <w:p w14:paraId="151CC633">
      <w:pPr>
        <w:sectPr>
          <w:pgSz w:w="11906" w:h="16838"/>
          <w:pgMar w:top="1418" w:right="1418" w:bottom="1418" w:left="1418" w:header="851" w:footer="992" w:gutter="0"/>
          <w:cols w:space="425" w:num="1"/>
          <w:docGrid w:type="lines" w:linePitch="312" w:charSpace="0"/>
        </w:sectPr>
      </w:pPr>
    </w:p>
    <w:p w14:paraId="24813AE5">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三-1-②优先类节能产品、环境标志产品证明材料（价格扣除适用，若有）</w:t>
      </w:r>
    </w:p>
    <w:p w14:paraId="2739A2FB">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三-2小型、微型企业产品等价格扣除证明材料（若有）</w:t>
      </w:r>
    </w:p>
    <w:p w14:paraId="4F05B686">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三-2-①中小企业声明函（价格扣除适用，若有）</w:t>
      </w:r>
    </w:p>
    <w:p w14:paraId="6EAF66FC">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中小企业声明函（货物）</w:t>
      </w:r>
    </w:p>
    <w:p w14:paraId="6ACAA25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本公司（联合体）郑重声明，根据《政府采购促进中小企业发展管理办法》（财库﹝2020﹞46 号）的规定，本公司（联合体）参加</w:t>
      </w:r>
      <w:r>
        <w:rPr>
          <w:rFonts w:asciiTheme="minorEastAsia" w:hAnsiTheme="minorEastAsia"/>
          <w:sz w:val="24"/>
          <w:szCs w:val="24"/>
          <w:u w:val="single"/>
        </w:rPr>
        <w:t>（单位名称）</w:t>
      </w:r>
      <w:r>
        <w:rPr>
          <w:rFonts w:asciiTheme="minorEastAsia" w:hAnsiTheme="minorEastAsia"/>
          <w:sz w:val="24"/>
          <w:szCs w:val="24"/>
        </w:rPr>
        <w:t>的</w:t>
      </w:r>
      <w:r>
        <w:rPr>
          <w:rFonts w:asciiTheme="minorEastAsia" w:hAnsiTheme="minorEastAsia"/>
          <w:sz w:val="24"/>
          <w:szCs w:val="24"/>
          <w:u w:val="single"/>
        </w:rPr>
        <w:t>（项目名称）</w:t>
      </w:r>
      <w:r>
        <w:rPr>
          <w:rFonts w:asciiTheme="minorEastAsia" w:hAnsiTheme="minorEastAsia"/>
          <w:sz w:val="24"/>
          <w:szCs w:val="24"/>
        </w:rPr>
        <w:t>采购活动，提供的货物全部由符合政策要求的中小企业制造。相关企业（含联合体中的中小企业、签订分包意向协议的中小企业）的具体情况如下：</w:t>
      </w:r>
    </w:p>
    <w:p w14:paraId="339E1EE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u w:val="single"/>
        </w:rPr>
        <w:t xml:space="preserve"> （标的名称） </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行业；制造商为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w:t>
      </w:r>
      <w:r>
        <w:rPr>
          <w:rFonts w:cs="宋体" w:asciiTheme="minorEastAsia" w:hAnsiTheme="minorEastAsia"/>
          <w:sz w:val="24"/>
          <w:szCs w:val="24"/>
          <w:vertAlign w:val="superscript"/>
        </w:rPr>
        <w:t>1</w:t>
      </w:r>
      <w:r>
        <w:rPr>
          <w:rFonts w:asciiTheme="minorEastAsia" w:hAnsiTheme="minorEastAsia"/>
          <w:sz w:val="24"/>
          <w:szCs w:val="24"/>
        </w:rPr>
        <w:t>，属于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2D2BE19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w:t>
      </w:r>
      <w:r>
        <w:rPr>
          <w:rFonts w:asciiTheme="minorEastAsia" w:hAnsiTheme="minorEastAsia"/>
          <w:sz w:val="24"/>
          <w:szCs w:val="24"/>
          <w:u w:val="single"/>
        </w:rPr>
        <w:t xml:space="preserve"> （标的名称） </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行业；制造商为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2D7B836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14:paraId="6CBBE3A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以上企业，不属于大企业的分支机构，不存在控股股东为大企业的情形，也不存在与大企业的负责人为同一人的情形。</w:t>
      </w:r>
    </w:p>
    <w:p w14:paraId="7C5DB3D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本企业对上述声明内容的真实性负责。如有虚假，将依法承担相应责任。</w:t>
      </w:r>
    </w:p>
    <w:p w14:paraId="0501AB34">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0BF2CC7A">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7E2C669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3591269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1、从业人员、营业收入、资产总额填报上一年度数据，无上一年度数据的新成立企业可不填报。</w:t>
      </w:r>
    </w:p>
    <w:p w14:paraId="767F5B0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84764A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BB48D3B">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中小企业声明函（工程、服务）</w:t>
      </w:r>
    </w:p>
    <w:p w14:paraId="021C8CB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本公司（联合体）郑重声明，根据《政府采购促进中小企业发展管理办法》（财库﹝2020﹞46 号）的规定，本公司（联合体）参加</w:t>
      </w:r>
      <w:r>
        <w:rPr>
          <w:rFonts w:asciiTheme="minorEastAsia" w:hAnsiTheme="minorEastAsia"/>
          <w:sz w:val="24"/>
          <w:szCs w:val="24"/>
          <w:u w:val="single"/>
        </w:rPr>
        <w:t>（单位名称）</w:t>
      </w:r>
      <w:r>
        <w:rPr>
          <w:rFonts w:asciiTheme="minorEastAsia" w:hAnsiTheme="minorEastAsia"/>
          <w:sz w:val="24"/>
          <w:szCs w:val="24"/>
        </w:rPr>
        <w:t>的</w:t>
      </w:r>
      <w:r>
        <w:rPr>
          <w:rFonts w:asciiTheme="minorEastAsia" w:hAnsiTheme="minorEastAsia"/>
          <w:sz w:val="24"/>
          <w:szCs w:val="24"/>
          <w:u w:val="single"/>
        </w:rPr>
        <w:t>（项目名称）</w:t>
      </w:r>
      <w:r>
        <w:rPr>
          <w:rFonts w:asciiTheme="minorEastAsia" w:hAnsiTheme="minor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454AFE3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u w:val="single"/>
        </w:rPr>
        <w:t>（标的名称）</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；承建（承接）企业为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w:t>
      </w:r>
      <w:r>
        <w:rPr>
          <w:rFonts w:cs="宋体" w:asciiTheme="minorEastAsia" w:hAnsiTheme="minorEastAsia"/>
          <w:sz w:val="24"/>
          <w:szCs w:val="24"/>
          <w:vertAlign w:val="superscript"/>
        </w:rPr>
        <w:t>1</w:t>
      </w:r>
      <w:r>
        <w:rPr>
          <w:rFonts w:asciiTheme="minorEastAsia" w:hAnsiTheme="minorEastAsia"/>
          <w:sz w:val="24"/>
          <w:szCs w:val="24"/>
        </w:rPr>
        <w:t>，属于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7F8374F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w:t>
      </w:r>
      <w:r>
        <w:rPr>
          <w:rFonts w:asciiTheme="minorEastAsia" w:hAnsiTheme="minorEastAsia"/>
          <w:sz w:val="24"/>
          <w:szCs w:val="24"/>
          <w:u w:val="single"/>
        </w:rPr>
        <w:t>（标的名称）</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；承建（承接）企业为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22CEE14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14:paraId="6247C1F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以上企业，不属于大企业的分支机构，不存在控股股东为大企业的情形，也不存在与大企业的负责人为同一人的情形。</w:t>
      </w:r>
    </w:p>
    <w:p w14:paraId="1D4EC53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本企业对上述声明内容的真实性负责。如有虚假，将依法承担相应责任。</w:t>
      </w:r>
    </w:p>
    <w:p w14:paraId="53B41E23">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13069057">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6077918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5A1FE6E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1、从业人员、营业收入、资产总额填报上一年度数据，无上一年度数据的新成立企业可不填报。</w:t>
      </w:r>
    </w:p>
    <w:p w14:paraId="29F5A2C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50D1B7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680910B">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三-2-②小型、微型企业等证明材料（价格扣除适用，若有）</w:t>
      </w:r>
    </w:p>
    <w:p w14:paraId="632F1E82">
      <w:pPr>
        <w:pStyle w:val="54"/>
        <w:spacing w:line="360" w:lineRule="auto"/>
        <w:jc w:val="center"/>
        <w:rPr>
          <w:rFonts w:hint="default" w:asciiTheme="minorEastAsia" w:hAnsiTheme="minorEastAsia"/>
          <w:sz w:val="24"/>
          <w:szCs w:val="24"/>
        </w:rPr>
      </w:pPr>
      <w:r>
        <w:rPr>
          <w:rFonts w:asciiTheme="minorEastAsia" w:hAnsiTheme="minorEastAsia"/>
          <w:sz w:val="24"/>
          <w:szCs w:val="24"/>
        </w:rPr>
        <w:t>编制说明</w:t>
      </w:r>
    </w:p>
    <w:p w14:paraId="0FD573B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1、投标人为监狱企业的，根据其提供的由省级以上监狱管理局、戒毒管理局（含新疆生产建设兵团）出具的属于监狱企业的证明文件进行认定，监狱企业视同小型、微型企业。</w:t>
      </w:r>
    </w:p>
    <w:p w14:paraId="02F0BB8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2、投标人为残疾人福利性单位的，根据其提供的《残疾人福利性单位声明函》（格式附后）进行认定，残疾人福利性单位视同小型、微型企业。残疾人福利性单位属于小型、微型企业的，不重复享受政策。</w:t>
      </w:r>
    </w:p>
    <w:p w14:paraId="6F318DA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附：</w:t>
      </w:r>
    </w:p>
    <w:p w14:paraId="67D19516">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残疾人福利性单位声明函（价格扣除适用，若有）</w:t>
      </w:r>
    </w:p>
    <w:p w14:paraId="6933D00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6E7B1D0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36FAAC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）由本投标人承建的（填写“所投采购包、品目号”）工程</w:t>
      </w:r>
    </w:p>
    <w:p w14:paraId="5174B7C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）由本投标人承接的（填写“所投采购包、品目号”）服务；</w:t>
      </w:r>
    </w:p>
    <w:p w14:paraId="1C065DD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本投标人对上述声明的真实性负责。如有虚假，将依法承担相应责任。</w:t>
      </w:r>
    </w:p>
    <w:p w14:paraId="5CBB6EE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备注：</w:t>
      </w:r>
    </w:p>
    <w:p w14:paraId="3259CB0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1、请投标人按照实际情况编制填写本声明函，并在相应的（）中打“√”。</w:t>
      </w:r>
    </w:p>
    <w:p w14:paraId="6CE840D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2、若《残疾人福利性单位声明函》内容不真实，视为提供虚假材料。</w:t>
      </w:r>
    </w:p>
    <w:p w14:paraId="6B06B63E">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3C634827">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34E89210">
      <w:pPr>
        <w:pStyle w:val="54"/>
        <w:spacing w:line="360" w:lineRule="auto"/>
        <w:rPr>
          <w:rFonts w:hint="default" w:asciiTheme="minorEastAsia" w:hAnsiTheme="minorEastAsia"/>
          <w:sz w:val="24"/>
          <w:szCs w:val="24"/>
        </w:rPr>
      </w:pPr>
    </w:p>
    <w:p w14:paraId="23E8A1DA">
      <w:pPr>
        <w:pStyle w:val="54"/>
        <w:spacing w:line="360" w:lineRule="auto"/>
        <w:rPr>
          <w:rFonts w:hint="default" w:asciiTheme="minorEastAsia" w:hAnsiTheme="minorEastAsia"/>
          <w:sz w:val="24"/>
          <w:szCs w:val="24"/>
        </w:rPr>
      </w:pPr>
      <w:r>
        <w:rPr>
          <w:rFonts w:asciiTheme="minorEastAsia" w:hAnsiTheme="minorEastAsia"/>
          <w:sz w:val="24"/>
          <w:szCs w:val="24"/>
        </w:rPr>
        <w:t>附：</w:t>
      </w:r>
    </w:p>
    <w:p w14:paraId="25193A5F">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监狱企业证明材料</w:t>
      </w:r>
    </w:p>
    <w:p w14:paraId="1E5555D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投标人为监狱企业，提供本单位制造的货物（承接的服务），并在电子投标文件中提供省级以上监狱管理局、戒毒管理局（含新疆生产建设兵团）出具的属于监狱企业的证明文件。</w:t>
      </w:r>
    </w:p>
    <w:p w14:paraId="41AFBAD4"/>
    <w:p w14:paraId="68667645">
      <w:pPr>
        <w:sectPr>
          <w:pgSz w:w="11906" w:h="16838"/>
          <w:pgMar w:top="1418" w:right="1418" w:bottom="1418" w:left="1418" w:header="851" w:footer="992" w:gutter="0"/>
          <w:cols w:space="425" w:num="1"/>
          <w:docGrid w:type="lines" w:linePitch="312" w:charSpace="0"/>
        </w:sectPr>
      </w:pPr>
    </w:p>
    <w:p w14:paraId="0E6DFE0C">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三-3招标文件规定的其他价格扣除证明材料（若有）</w:t>
      </w:r>
    </w:p>
    <w:p w14:paraId="43DDB092">
      <w:pPr>
        <w:pStyle w:val="54"/>
        <w:spacing w:line="360" w:lineRule="auto"/>
        <w:jc w:val="center"/>
        <w:rPr>
          <w:rFonts w:hint="default" w:asciiTheme="minorEastAsia" w:hAnsiTheme="minorEastAsia"/>
          <w:sz w:val="24"/>
          <w:szCs w:val="24"/>
        </w:rPr>
      </w:pPr>
      <w:r>
        <w:rPr>
          <w:rFonts w:asciiTheme="minorEastAsia" w:hAnsiTheme="minorEastAsia"/>
          <w:sz w:val="24"/>
          <w:szCs w:val="24"/>
        </w:rPr>
        <w:t>编制说明</w:t>
      </w:r>
    </w:p>
    <w:p w14:paraId="4F7CE52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若投标人可享受招标文件规定的除“节能（非强制类）、环境标志产品价格扣除”及“小型、微型企业产品等价格扣除”外的其他价格扣除优惠，则投标人应按照招标文件要求提供相应证明材料。</w:t>
      </w:r>
    </w:p>
    <w:p w14:paraId="22E90BB4"/>
    <w:p w14:paraId="36890E87">
      <w:pPr>
        <w:sectPr>
          <w:pgSz w:w="11906" w:h="16838"/>
          <w:pgMar w:top="1418" w:right="1418" w:bottom="1418" w:left="1418" w:header="851" w:footer="992" w:gutter="0"/>
          <w:cols w:space="425" w:num="1"/>
          <w:docGrid w:type="lines" w:linePitch="312" w:charSpace="0"/>
        </w:sectPr>
      </w:pPr>
    </w:p>
    <w:p w14:paraId="027A087E">
      <w:pPr>
        <w:spacing w:before="156" w:beforeLines="50" w:after="156" w:afterLines="50"/>
        <w:jc w:val="center"/>
        <w:rPr>
          <w:b/>
          <w:sz w:val="28"/>
          <w:szCs w:val="28"/>
        </w:rPr>
      </w:pPr>
      <w:r>
        <w:rPr>
          <w:b/>
          <w:sz w:val="28"/>
          <w:szCs w:val="28"/>
        </w:rPr>
        <w:t>封面格式（</w:t>
      </w:r>
      <w:r>
        <w:rPr>
          <w:rFonts w:hint="eastAsia"/>
          <w:b/>
          <w:sz w:val="28"/>
          <w:szCs w:val="28"/>
        </w:rPr>
        <w:t>技术</w:t>
      </w:r>
      <w:r>
        <w:rPr>
          <w:b/>
          <w:sz w:val="28"/>
          <w:szCs w:val="28"/>
        </w:rPr>
        <w:t>商务部分）</w:t>
      </w:r>
    </w:p>
    <w:p w14:paraId="403B532C">
      <w:pPr>
        <w:jc w:val="center"/>
        <w:rPr>
          <w:rFonts w:ascii="宋体" w:hAnsi="宋体" w:eastAsia="宋体"/>
          <w:b/>
          <w:sz w:val="32"/>
          <w:szCs w:val="32"/>
        </w:rPr>
      </w:pPr>
    </w:p>
    <w:p w14:paraId="7B0158EF">
      <w:pPr>
        <w:jc w:val="center"/>
        <w:rPr>
          <w:rFonts w:ascii="宋体" w:hAnsi="宋体" w:eastAsia="宋体"/>
          <w:b/>
          <w:sz w:val="32"/>
          <w:szCs w:val="32"/>
        </w:rPr>
      </w:pPr>
      <w:r>
        <w:rPr>
          <w:rFonts w:ascii="宋体" w:hAnsi="宋体" w:eastAsia="宋体"/>
          <w:b/>
          <w:sz w:val="32"/>
          <w:szCs w:val="32"/>
        </w:rPr>
        <w:t>福建省政府采购投标文件</w:t>
      </w:r>
    </w:p>
    <w:p w14:paraId="526118D0">
      <w:pPr>
        <w:jc w:val="center"/>
        <w:rPr>
          <w:rFonts w:ascii="宋体" w:hAnsi="宋体" w:eastAsia="宋体"/>
          <w:b/>
          <w:sz w:val="32"/>
          <w:szCs w:val="32"/>
        </w:rPr>
      </w:pPr>
      <w:r>
        <w:rPr>
          <w:rFonts w:ascii="宋体" w:hAnsi="宋体" w:eastAsia="宋体"/>
          <w:b/>
          <w:sz w:val="32"/>
          <w:szCs w:val="32"/>
        </w:rPr>
        <w:t>（</w:t>
      </w:r>
      <w:r>
        <w:rPr>
          <w:rFonts w:hint="eastAsia" w:ascii="宋体" w:hAnsi="宋体" w:eastAsia="宋体"/>
          <w:b/>
          <w:sz w:val="32"/>
          <w:szCs w:val="32"/>
        </w:rPr>
        <w:t>技术商务</w:t>
      </w:r>
      <w:r>
        <w:rPr>
          <w:rFonts w:ascii="宋体" w:hAnsi="宋体" w:eastAsia="宋体"/>
          <w:b/>
          <w:sz w:val="32"/>
          <w:szCs w:val="32"/>
        </w:rPr>
        <w:t>部分）</w:t>
      </w:r>
    </w:p>
    <w:p w14:paraId="1C27B6AE">
      <w:pPr>
        <w:jc w:val="center"/>
        <w:rPr>
          <w:rFonts w:ascii="宋体" w:hAnsi="宋体" w:eastAsia="宋体"/>
          <w:b/>
          <w:sz w:val="32"/>
          <w:szCs w:val="32"/>
        </w:rPr>
      </w:pPr>
      <w:r>
        <w:rPr>
          <w:rFonts w:ascii="宋体" w:hAnsi="宋体" w:eastAsia="宋体"/>
          <w:b/>
          <w:sz w:val="32"/>
          <w:szCs w:val="32"/>
        </w:rPr>
        <w:t>（填写正本或副本）</w:t>
      </w:r>
    </w:p>
    <w:p w14:paraId="7F80B2AB">
      <w:pPr>
        <w:jc w:val="center"/>
        <w:rPr>
          <w:rFonts w:ascii="宋体" w:hAnsi="宋体" w:eastAsia="宋体"/>
          <w:b/>
          <w:sz w:val="32"/>
          <w:szCs w:val="32"/>
        </w:rPr>
      </w:pPr>
    </w:p>
    <w:p w14:paraId="5DD79CA6">
      <w:pPr>
        <w:jc w:val="center"/>
        <w:rPr>
          <w:rFonts w:ascii="宋体" w:hAnsi="宋体" w:eastAsia="宋体"/>
          <w:b/>
          <w:sz w:val="32"/>
          <w:szCs w:val="32"/>
        </w:rPr>
      </w:pPr>
    </w:p>
    <w:p w14:paraId="7C38A95B">
      <w:pPr>
        <w:jc w:val="center"/>
        <w:rPr>
          <w:rFonts w:ascii="宋体" w:hAnsi="宋体" w:eastAsia="宋体"/>
          <w:b/>
          <w:sz w:val="32"/>
          <w:szCs w:val="32"/>
        </w:rPr>
      </w:pPr>
      <w:r>
        <w:rPr>
          <w:rFonts w:ascii="宋体" w:hAnsi="宋体" w:eastAsia="宋体"/>
          <w:b/>
          <w:sz w:val="32"/>
          <w:szCs w:val="32"/>
        </w:rPr>
        <w:t>（项目名称：（由投标人填写）</w:t>
      </w:r>
    </w:p>
    <w:p w14:paraId="07193BE7">
      <w:pPr>
        <w:jc w:val="center"/>
        <w:rPr>
          <w:rFonts w:ascii="宋体" w:hAnsi="宋体" w:eastAsia="宋体"/>
          <w:b/>
          <w:sz w:val="32"/>
          <w:szCs w:val="32"/>
        </w:rPr>
      </w:pPr>
      <w:r>
        <w:rPr>
          <w:rFonts w:ascii="宋体" w:hAnsi="宋体" w:eastAsia="宋体"/>
          <w:b/>
          <w:sz w:val="32"/>
          <w:szCs w:val="32"/>
        </w:rPr>
        <w:t>（备案编号：（由投标人填写）</w:t>
      </w:r>
    </w:p>
    <w:p w14:paraId="59946646">
      <w:pPr>
        <w:jc w:val="center"/>
        <w:rPr>
          <w:rFonts w:ascii="宋体" w:hAnsi="宋体" w:eastAsia="宋体"/>
          <w:b/>
          <w:sz w:val="32"/>
          <w:szCs w:val="32"/>
        </w:rPr>
      </w:pPr>
      <w:r>
        <w:rPr>
          <w:rFonts w:ascii="宋体" w:hAnsi="宋体" w:eastAsia="宋体"/>
          <w:b/>
          <w:sz w:val="32"/>
          <w:szCs w:val="32"/>
        </w:rPr>
        <w:t>（项目编号：（由投标人填写）</w:t>
      </w:r>
    </w:p>
    <w:p w14:paraId="7A612A85">
      <w:pPr>
        <w:jc w:val="center"/>
        <w:rPr>
          <w:rFonts w:ascii="宋体" w:hAnsi="宋体" w:eastAsia="宋体"/>
          <w:b/>
          <w:sz w:val="32"/>
          <w:szCs w:val="32"/>
        </w:rPr>
      </w:pPr>
      <w:r>
        <w:rPr>
          <w:rFonts w:ascii="宋体" w:hAnsi="宋体" w:eastAsia="宋体"/>
          <w:b/>
          <w:sz w:val="32"/>
          <w:szCs w:val="32"/>
        </w:rPr>
        <w:t>（所投采购包：（由投标人填写）</w:t>
      </w:r>
    </w:p>
    <w:p w14:paraId="4A9B1F99">
      <w:pPr>
        <w:jc w:val="center"/>
        <w:rPr>
          <w:rFonts w:ascii="宋体" w:hAnsi="宋体" w:eastAsia="宋体"/>
          <w:b/>
          <w:sz w:val="32"/>
          <w:szCs w:val="32"/>
        </w:rPr>
      </w:pPr>
    </w:p>
    <w:p w14:paraId="0FDD202B">
      <w:pPr>
        <w:jc w:val="center"/>
        <w:rPr>
          <w:rFonts w:ascii="宋体" w:hAnsi="宋体" w:eastAsia="宋体"/>
          <w:b/>
          <w:sz w:val="32"/>
          <w:szCs w:val="32"/>
        </w:rPr>
      </w:pPr>
      <w:r>
        <w:rPr>
          <w:rFonts w:ascii="宋体" w:hAnsi="宋体" w:eastAsia="宋体"/>
          <w:b/>
          <w:sz w:val="32"/>
          <w:szCs w:val="32"/>
        </w:rPr>
        <w:t>投标人：（填写“全称”）</w:t>
      </w:r>
    </w:p>
    <w:p w14:paraId="48CFCD47">
      <w:pPr>
        <w:jc w:val="center"/>
        <w:rPr>
          <w:rFonts w:ascii="宋体" w:hAnsi="宋体" w:eastAsia="宋体"/>
          <w:b/>
          <w:sz w:val="32"/>
          <w:szCs w:val="32"/>
        </w:rPr>
      </w:pPr>
      <w:r>
        <w:rPr>
          <w:rFonts w:ascii="宋体" w:hAnsi="宋体" w:eastAsia="宋体"/>
          <w:b/>
          <w:sz w:val="32"/>
          <w:szCs w:val="32"/>
        </w:rPr>
        <w:t>（由投标人填写）年（由投标人填写）月</w:t>
      </w:r>
    </w:p>
    <w:p w14:paraId="13BF4E4C"/>
    <w:p w14:paraId="260E5A49"/>
    <w:p w14:paraId="7DB667C4">
      <w:pPr>
        <w:sectPr>
          <w:pgSz w:w="11906" w:h="16838"/>
          <w:pgMar w:top="1418" w:right="1418" w:bottom="1418" w:left="1418" w:header="851" w:footer="992" w:gutter="0"/>
          <w:cols w:space="425" w:num="1"/>
          <w:docGrid w:type="lines" w:linePitch="312" w:charSpace="0"/>
        </w:sectPr>
      </w:pPr>
    </w:p>
    <w:p w14:paraId="45C5B8FE">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索引</w:t>
      </w:r>
    </w:p>
    <w:p w14:paraId="27D3B15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一、标的说明一览表</w:t>
      </w:r>
    </w:p>
    <w:p w14:paraId="78DE51B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二、技术和服务要求响应表</w:t>
      </w:r>
    </w:p>
    <w:p w14:paraId="5CFEF60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三、商务条件响应表</w:t>
      </w:r>
    </w:p>
    <w:p w14:paraId="746DD8D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四、投标人提交的其他资料（若有）</w:t>
      </w:r>
    </w:p>
    <w:p w14:paraId="1DB0E51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6D3B1B4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技术商务部分中不得出现报价部分的全部或部分的投标报价信息（或组成资料），否则符合性审查不合格。</w:t>
      </w:r>
    </w:p>
    <w:p w14:paraId="69E0F9D1"/>
    <w:p w14:paraId="3F016166">
      <w:pPr>
        <w:sectPr>
          <w:pgSz w:w="11906" w:h="16838"/>
          <w:pgMar w:top="1418" w:right="1418" w:bottom="1418" w:left="1418" w:header="851" w:footer="992" w:gutter="0"/>
          <w:cols w:space="425" w:num="1"/>
          <w:docGrid w:type="lines" w:linePitch="312" w:charSpace="0"/>
        </w:sectPr>
      </w:pPr>
    </w:p>
    <w:p w14:paraId="49FC0EAF">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一、标的说明一览表</w:t>
      </w:r>
    </w:p>
    <w:p w14:paraId="582B8F8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项目编号：</w:t>
      </w:r>
      <w:r>
        <w:rPr>
          <w:rFonts w:asciiTheme="minorEastAsia" w:hAnsiTheme="minorEastAsia"/>
          <w:sz w:val="24"/>
          <w:szCs w:val="24"/>
          <w:u w:val="single"/>
        </w:rPr>
        <w:t>　　　　　　　　</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2"/>
        <w:gridCol w:w="1166"/>
        <w:gridCol w:w="1531"/>
        <w:gridCol w:w="1161"/>
        <w:gridCol w:w="1161"/>
        <w:gridCol w:w="1161"/>
        <w:gridCol w:w="1153"/>
      </w:tblGrid>
      <w:tr w14:paraId="4BBA71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2" w:type="dxa"/>
            <w:vAlign w:val="center"/>
          </w:tcPr>
          <w:p w14:paraId="08B4203D">
            <w:pPr>
              <w:pStyle w:val="54"/>
              <w:spacing w:line="360" w:lineRule="auto"/>
              <w:jc w:val="center"/>
              <w:rPr>
                <w:rFonts w:hint="default" w:asciiTheme="minorEastAsia" w:hAnsiTheme="minorEastAsia"/>
                <w:sz w:val="24"/>
                <w:szCs w:val="24"/>
              </w:rPr>
            </w:pPr>
            <w:r>
              <w:rPr>
                <w:rFonts w:asciiTheme="minorEastAsia" w:hAnsiTheme="minorEastAsia"/>
                <w:sz w:val="24"/>
                <w:szCs w:val="24"/>
              </w:rPr>
              <w:t>采购包</w:t>
            </w:r>
          </w:p>
        </w:tc>
        <w:tc>
          <w:tcPr>
            <w:tcW w:w="1166" w:type="dxa"/>
            <w:vAlign w:val="center"/>
          </w:tcPr>
          <w:p w14:paraId="4F384B4C">
            <w:pPr>
              <w:pStyle w:val="54"/>
              <w:spacing w:line="360" w:lineRule="auto"/>
              <w:jc w:val="center"/>
              <w:rPr>
                <w:rFonts w:hint="default" w:asciiTheme="minorEastAsia" w:hAnsiTheme="minorEastAsia"/>
                <w:sz w:val="24"/>
                <w:szCs w:val="24"/>
              </w:rPr>
            </w:pPr>
            <w:r>
              <w:rPr>
                <w:rFonts w:asciiTheme="minorEastAsia" w:hAnsiTheme="minorEastAsia"/>
                <w:sz w:val="24"/>
                <w:szCs w:val="24"/>
              </w:rPr>
              <w:t>品目号</w:t>
            </w:r>
          </w:p>
        </w:tc>
        <w:tc>
          <w:tcPr>
            <w:tcW w:w="1531" w:type="dxa"/>
            <w:vAlign w:val="center"/>
          </w:tcPr>
          <w:p w14:paraId="5ED23F0F">
            <w:pPr>
              <w:pStyle w:val="54"/>
              <w:spacing w:line="360" w:lineRule="auto"/>
              <w:jc w:val="center"/>
              <w:rPr>
                <w:rFonts w:hint="default" w:asciiTheme="minorEastAsia" w:hAnsiTheme="minorEastAsia"/>
                <w:sz w:val="24"/>
                <w:szCs w:val="24"/>
              </w:rPr>
            </w:pPr>
            <w:r>
              <w:rPr>
                <w:rFonts w:asciiTheme="minorEastAsia" w:hAnsiTheme="minorEastAsia"/>
                <w:sz w:val="24"/>
                <w:szCs w:val="24"/>
              </w:rPr>
              <w:t>投标标的</w:t>
            </w:r>
          </w:p>
        </w:tc>
        <w:tc>
          <w:tcPr>
            <w:tcW w:w="1161" w:type="dxa"/>
            <w:vAlign w:val="center"/>
          </w:tcPr>
          <w:p w14:paraId="38AD9304">
            <w:pPr>
              <w:pStyle w:val="54"/>
              <w:spacing w:line="360" w:lineRule="auto"/>
              <w:jc w:val="center"/>
              <w:rPr>
                <w:rFonts w:hint="default" w:asciiTheme="minorEastAsia" w:hAnsiTheme="minorEastAsia"/>
                <w:sz w:val="24"/>
                <w:szCs w:val="24"/>
              </w:rPr>
            </w:pPr>
            <w:r>
              <w:rPr>
                <w:rFonts w:asciiTheme="minorEastAsia" w:hAnsiTheme="minorEastAsia"/>
                <w:sz w:val="24"/>
                <w:szCs w:val="24"/>
              </w:rPr>
              <w:t>数量</w:t>
            </w:r>
          </w:p>
        </w:tc>
        <w:tc>
          <w:tcPr>
            <w:tcW w:w="1161" w:type="dxa"/>
            <w:vAlign w:val="center"/>
          </w:tcPr>
          <w:p w14:paraId="337ECB0D">
            <w:pPr>
              <w:pStyle w:val="54"/>
              <w:spacing w:line="360" w:lineRule="auto"/>
              <w:jc w:val="center"/>
              <w:rPr>
                <w:rFonts w:hint="default" w:asciiTheme="minorEastAsia" w:hAnsiTheme="minorEastAsia"/>
                <w:sz w:val="24"/>
                <w:szCs w:val="24"/>
              </w:rPr>
            </w:pPr>
            <w:r>
              <w:rPr>
                <w:rFonts w:asciiTheme="minorEastAsia" w:hAnsiTheme="minorEastAsia"/>
                <w:sz w:val="24"/>
                <w:szCs w:val="24"/>
              </w:rPr>
              <w:t>规格</w:t>
            </w:r>
          </w:p>
        </w:tc>
        <w:tc>
          <w:tcPr>
            <w:tcW w:w="1161" w:type="dxa"/>
            <w:vAlign w:val="center"/>
          </w:tcPr>
          <w:p w14:paraId="46904954">
            <w:pPr>
              <w:pStyle w:val="54"/>
              <w:spacing w:line="360" w:lineRule="auto"/>
              <w:jc w:val="center"/>
              <w:rPr>
                <w:rFonts w:hint="default" w:asciiTheme="minorEastAsia" w:hAnsiTheme="minorEastAsia"/>
                <w:sz w:val="24"/>
                <w:szCs w:val="24"/>
              </w:rPr>
            </w:pPr>
            <w:r>
              <w:rPr>
                <w:rFonts w:asciiTheme="minorEastAsia" w:hAnsiTheme="minorEastAsia"/>
                <w:sz w:val="24"/>
                <w:szCs w:val="24"/>
              </w:rPr>
              <w:t>来源地</w:t>
            </w:r>
          </w:p>
        </w:tc>
        <w:tc>
          <w:tcPr>
            <w:tcW w:w="1153" w:type="dxa"/>
            <w:vAlign w:val="center"/>
          </w:tcPr>
          <w:p w14:paraId="41EE7907">
            <w:pPr>
              <w:pStyle w:val="54"/>
              <w:spacing w:line="360" w:lineRule="auto"/>
              <w:jc w:val="center"/>
              <w:rPr>
                <w:rFonts w:hint="default" w:asciiTheme="minorEastAsia" w:hAnsiTheme="minorEastAsia"/>
                <w:sz w:val="24"/>
                <w:szCs w:val="24"/>
              </w:rPr>
            </w:pPr>
            <w:r>
              <w:rPr>
                <w:rFonts w:asciiTheme="minorEastAsia" w:hAnsiTheme="minorEastAsia"/>
                <w:sz w:val="24"/>
                <w:szCs w:val="24"/>
              </w:rPr>
              <w:t>备注</w:t>
            </w:r>
          </w:p>
        </w:tc>
      </w:tr>
      <w:tr w14:paraId="296BD2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2" w:type="dxa"/>
            <w:vMerge w:val="restart"/>
            <w:vAlign w:val="center"/>
          </w:tcPr>
          <w:p w14:paraId="6B02DD1F">
            <w:pPr>
              <w:pStyle w:val="54"/>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166" w:type="dxa"/>
            <w:vAlign w:val="center"/>
          </w:tcPr>
          <w:p w14:paraId="030A8DCD">
            <w:pPr>
              <w:pStyle w:val="54"/>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1531" w:type="dxa"/>
            <w:vAlign w:val="center"/>
          </w:tcPr>
          <w:p w14:paraId="2F310225">
            <w:pPr>
              <w:spacing w:line="360" w:lineRule="auto"/>
              <w:jc w:val="center"/>
              <w:rPr>
                <w:rFonts w:asciiTheme="minorEastAsia" w:hAnsiTheme="minorEastAsia"/>
                <w:sz w:val="24"/>
                <w:szCs w:val="24"/>
              </w:rPr>
            </w:pPr>
          </w:p>
        </w:tc>
        <w:tc>
          <w:tcPr>
            <w:tcW w:w="1161" w:type="dxa"/>
            <w:vAlign w:val="center"/>
          </w:tcPr>
          <w:p w14:paraId="7B4542C4">
            <w:pPr>
              <w:spacing w:line="360" w:lineRule="auto"/>
              <w:jc w:val="center"/>
              <w:rPr>
                <w:rFonts w:asciiTheme="minorEastAsia" w:hAnsiTheme="minorEastAsia"/>
                <w:sz w:val="24"/>
                <w:szCs w:val="24"/>
              </w:rPr>
            </w:pPr>
          </w:p>
        </w:tc>
        <w:tc>
          <w:tcPr>
            <w:tcW w:w="1161" w:type="dxa"/>
            <w:vAlign w:val="center"/>
          </w:tcPr>
          <w:p w14:paraId="69205A07">
            <w:pPr>
              <w:spacing w:line="360" w:lineRule="auto"/>
              <w:jc w:val="center"/>
              <w:rPr>
                <w:rFonts w:asciiTheme="minorEastAsia" w:hAnsiTheme="minorEastAsia"/>
                <w:sz w:val="24"/>
                <w:szCs w:val="24"/>
              </w:rPr>
            </w:pPr>
          </w:p>
        </w:tc>
        <w:tc>
          <w:tcPr>
            <w:tcW w:w="1161" w:type="dxa"/>
            <w:vAlign w:val="center"/>
          </w:tcPr>
          <w:p w14:paraId="2B09B4D7">
            <w:pPr>
              <w:spacing w:line="360" w:lineRule="auto"/>
              <w:jc w:val="center"/>
              <w:rPr>
                <w:rFonts w:asciiTheme="minorEastAsia" w:hAnsiTheme="minorEastAsia"/>
                <w:sz w:val="24"/>
                <w:szCs w:val="24"/>
              </w:rPr>
            </w:pPr>
          </w:p>
        </w:tc>
        <w:tc>
          <w:tcPr>
            <w:tcW w:w="1153" w:type="dxa"/>
            <w:vAlign w:val="center"/>
          </w:tcPr>
          <w:p w14:paraId="2A7FA220">
            <w:pPr>
              <w:spacing w:line="360" w:lineRule="auto"/>
              <w:jc w:val="center"/>
              <w:rPr>
                <w:rFonts w:asciiTheme="minorEastAsia" w:hAnsiTheme="minorEastAsia"/>
                <w:sz w:val="24"/>
                <w:szCs w:val="24"/>
              </w:rPr>
            </w:pPr>
          </w:p>
        </w:tc>
      </w:tr>
      <w:tr w14:paraId="791E81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2" w:type="dxa"/>
            <w:vMerge w:val="continue"/>
            <w:vAlign w:val="center"/>
          </w:tcPr>
          <w:p w14:paraId="335A9AB8">
            <w:pPr>
              <w:spacing w:line="360" w:lineRule="auto"/>
              <w:jc w:val="center"/>
              <w:rPr>
                <w:rFonts w:asciiTheme="minorEastAsia" w:hAnsiTheme="minorEastAsia"/>
                <w:sz w:val="24"/>
                <w:szCs w:val="24"/>
              </w:rPr>
            </w:pPr>
          </w:p>
        </w:tc>
        <w:tc>
          <w:tcPr>
            <w:tcW w:w="1166" w:type="dxa"/>
            <w:vAlign w:val="center"/>
          </w:tcPr>
          <w:p w14:paraId="5E7B3BDF">
            <w:pPr>
              <w:pStyle w:val="54"/>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531" w:type="dxa"/>
            <w:vAlign w:val="center"/>
          </w:tcPr>
          <w:p w14:paraId="0E33438E">
            <w:pPr>
              <w:spacing w:line="360" w:lineRule="auto"/>
              <w:jc w:val="center"/>
              <w:rPr>
                <w:rFonts w:asciiTheme="minorEastAsia" w:hAnsiTheme="minorEastAsia"/>
                <w:sz w:val="24"/>
                <w:szCs w:val="24"/>
              </w:rPr>
            </w:pPr>
          </w:p>
        </w:tc>
        <w:tc>
          <w:tcPr>
            <w:tcW w:w="1161" w:type="dxa"/>
            <w:vAlign w:val="center"/>
          </w:tcPr>
          <w:p w14:paraId="0DBC1BCF">
            <w:pPr>
              <w:spacing w:line="360" w:lineRule="auto"/>
              <w:jc w:val="center"/>
              <w:rPr>
                <w:rFonts w:asciiTheme="minorEastAsia" w:hAnsiTheme="minorEastAsia"/>
                <w:sz w:val="24"/>
                <w:szCs w:val="24"/>
              </w:rPr>
            </w:pPr>
          </w:p>
        </w:tc>
        <w:tc>
          <w:tcPr>
            <w:tcW w:w="1161" w:type="dxa"/>
            <w:vAlign w:val="center"/>
          </w:tcPr>
          <w:p w14:paraId="0EDC3B71">
            <w:pPr>
              <w:spacing w:line="360" w:lineRule="auto"/>
              <w:jc w:val="center"/>
              <w:rPr>
                <w:rFonts w:asciiTheme="minorEastAsia" w:hAnsiTheme="minorEastAsia"/>
                <w:sz w:val="24"/>
                <w:szCs w:val="24"/>
              </w:rPr>
            </w:pPr>
          </w:p>
        </w:tc>
        <w:tc>
          <w:tcPr>
            <w:tcW w:w="1161" w:type="dxa"/>
            <w:vAlign w:val="center"/>
          </w:tcPr>
          <w:p w14:paraId="6814F12D">
            <w:pPr>
              <w:spacing w:line="360" w:lineRule="auto"/>
              <w:jc w:val="center"/>
              <w:rPr>
                <w:rFonts w:asciiTheme="minorEastAsia" w:hAnsiTheme="minorEastAsia"/>
                <w:sz w:val="24"/>
                <w:szCs w:val="24"/>
              </w:rPr>
            </w:pPr>
          </w:p>
        </w:tc>
        <w:tc>
          <w:tcPr>
            <w:tcW w:w="1153" w:type="dxa"/>
            <w:vAlign w:val="center"/>
          </w:tcPr>
          <w:p w14:paraId="4867C68A">
            <w:pPr>
              <w:spacing w:line="360" w:lineRule="auto"/>
              <w:jc w:val="center"/>
              <w:rPr>
                <w:rFonts w:asciiTheme="minorEastAsia" w:hAnsiTheme="minorEastAsia"/>
                <w:sz w:val="24"/>
                <w:szCs w:val="24"/>
              </w:rPr>
            </w:pPr>
          </w:p>
        </w:tc>
      </w:tr>
      <w:tr w14:paraId="72B0C6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2" w:type="dxa"/>
            <w:vAlign w:val="center"/>
          </w:tcPr>
          <w:p w14:paraId="1F1B9312">
            <w:pPr>
              <w:pStyle w:val="54"/>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166" w:type="dxa"/>
            <w:vAlign w:val="center"/>
          </w:tcPr>
          <w:p w14:paraId="53A05722">
            <w:pPr>
              <w:spacing w:line="360" w:lineRule="auto"/>
              <w:jc w:val="center"/>
              <w:rPr>
                <w:rFonts w:asciiTheme="minorEastAsia" w:hAnsiTheme="minorEastAsia"/>
                <w:sz w:val="24"/>
                <w:szCs w:val="24"/>
              </w:rPr>
            </w:pPr>
          </w:p>
        </w:tc>
        <w:tc>
          <w:tcPr>
            <w:tcW w:w="1531" w:type="dxa"/>
            <w:vAlign w:val="center"/>
          </w:tcPr>
          <w:p w14:paraId="644DF540">
            <w:pPr>
              <w:spacing w:line="360" w:lineRule="auto"/>
              <w:jc w:val="center"/>
              <w:rPr>
                <w:rFonts w:asciiTheme="minorEastAsia" w:hAnsiTheme="minorEastAsia"/>
                <w:sz w:val="24"/>
                <w:szCs w:val="24"/>
              </w:rPr>
            </w:pPr>
          </w:p>
        </w:tc>
        <w:tc>
          <w:tcPr>
            <w:tcW w:w="1161" w:type="dxa"/>
            <w:vAlign w:val="center"/>
          </w:tcPr>
          <w:p w14:paraId="200D4328">
            <w:pPr>
              <w:spacing w:line="360" w:lineRule="auto"/>
              <w:jc w:val="center"/>
              <w:rPr>
                <w:rFonts w:asciiTheme="minorEastAsia" w:hAnsiTheme="minorEastAsia"/>
                <w:sz w:val="24"/>
                <w:szCs w:val="24"/>
              </w:rPr>
            </w:pPr>
          </w:p>
        </w:tc>
        <w:tc>
          <w:tcPr>
            <w:tcW w:w="1161" w:type="dxa"/>
            <w:vAlign w:val="center"/>
          </w:tcPr>
          <w:p w14:paraId="6F5609A4">
            <w:pPr>
              <w:spacing w:line="360" w:lineRule="auto"/>
              <w:jc w:val="center"/>
              <w:rPr>
                <w:rFonts w:asciiTheme="minorEastAsia" w:hAnsiTheme="minorEastAsia"/>
                <w:sz w:val="24"/>
                <w:szCs w:val="24"/>
              </w:rPr>
            </w:pPr>
          </w:p>
        </w:tc>
        <w:tc>
          <w:tcPr>
            <w:tcW w:w="1161" w:type="dxa"/>
            <w:vAlign w:val="center"/>
          </w:tcPr>
          <w:p w14:paraId="02DBACA6">
            <w:pPr>
              <w:spacing w:line="360" w:lineRule="auto"/>
              <w:jc w:val="center"/>
              <w:rPr>
                <w:rFonts w:asciiTheme="minorEastAsia" w:hAnsiTheme="minorEastAsia"/>
                <w:sz w:val="24"/>
                <w:szCs w:val="24"/>
              </w:rPr>
            </w:pPr>
          </w:p>
        </w:tc>
        <w:tc>
          <w:tcPr>
            <w:tcW w:w="1153" w:type="dxa"/>
            <w:vAlign w:val="center"/>
          </w:tcPr>
          <w:p w14:paraId="32B1EBC6">
            <w:pPr>
              <w:spacing w:line="360" w:lineRule="auto"/>
              <w:jc w:val="center"/>
              <w:rPr>
                <w:rFonts w:asciiTheme="minorEastAsia" w:hAnsiTheme="minorEastAsia"/>
                <w:sz w:val="24"/>
                <w:szCs w:val="24"/>
              </w:rPr>
            </w:pPr>
          </w:p>
        </w:tc>
      </w:tr>
    </w:tbl>
    <w:p w14:paraId="041C4F1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2406616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1、本表应按照下列规定填写：</w:t>
      </w:r>
    </w:p>
    <w:p w14:paraId="2DDF240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1.1“采购包”、“品目号”、“投标标的”及“数量”应与招标文件《采购标的一览表》中的有关内容（“采购包”、“品目号”、“采购标的”及“数量”）保持一致。</w:t>
      </w:r>
    </w:p>
    <w:p w14:paraId="0F6EC64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009AAED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1.3“投标标的”为服务的：“规格”项下应填写服务提供者提供的服务标准及品牌（若有）。“来源地”应填写服务提供者的所在地。“备注”项下应填写关于服务标准所涵盖的具体项目或内容的说明等。</w:t>
      </w:r>
    </w:p>
    <w:p w14:paraId="4346D9C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14:paraId="2E460A4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3、电子投标文件中涉及“投标标的”、“数量”、“规格”、“来源地”的内容若不一致，应以本表为准。</w:t>
      </w:r>
    </w:p>
    <w:p w14:paraId="37857A7A">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3A8DFBE1">
      <w:pPr>
        <w:pStyle w:val="54"/>
        <w:spacing w:line="360" w:lineRule="auto"/>
        <w:ind w:firstLine="480" w:firstLineChars="200"/>
        <w:jc w:val="right"/>
        <w:rPr>
          <w:rFonts w:hint="default"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669C067E"/>
    <w:p w14:paraId="37F649DD">
      <w:pPr>
        <w:sectPr>
          <w:pgSz w:w="11906" w:h="16838"/>
          <w:pgMar w:top="1418" w:right="1418" w:bottom="1418" w:left="1418" w:header="851" w:footer="992" w:gutter="0"/>
          <w:cols w:space="425" w:num="1"/>
          <w:docGrid w:type="lines" w:linePitch="312" w:charSpace="0"/>
        </w:sectPr>
      </w:pPr>
    </w:p>
    <w:p w14:paraId="3E45D77E">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二、技术和服务要求响应表</w:t>
      </w:r>
    </w:p>
    <w:p w14:paraId="32B5076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项目编号：</w:t>
      </w:r>
      <w:r>
        <w:rPr>
          <w:rFonts w:asciiTheme="minorEastAsia" w:hAnsiTheme="minorEastAsia"/>
          <w:sz w:val="24"/>
          <w:szCs w:val="24"/>
          <w:u w:val="single"/>
        </w:rPr>
        <w:t>　　　　　　　　</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86"/>
        <w:gridCol w:w="1661"/>
        <w:gridCol w:w="2324"/>
        <w:gridCol w:w="1661"/>
        <w:gridCol w:w="1902"/>
      </w:tblGrid>
      <w:tr w14:paraId="22F70E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86" w:type="dxa"/>
            <w:vAlign w:val="center"/>
          </w:tcPr>
          <w:p w14:paraId="5CDAC955">
            <w:pPr>
              <w:pStyle w:val="54"/>
              <w:spacing w:line="360" w:lineRule="auto"/>
              <w:jc w:val="center"/>
              <w:rPr>
                <w:rFonts w:hint="default" w:asciiTheme="minorEastAsia" w:hAnsiTheme="minorEastAsia"/>
                <w:sz w:val="24"/>
                <w:szCs w:val="24"/>
              </w:rPr>
            </w:pPr>
            <w:r>
              <w:rPr>
                <w:rFonts w:asciiTheme="minorEastAsia" w:hAnsiTheme="minorEastAsia"/>
                <w:sz w:val="24"/>
                <w:szCs w:val="24"/>
              </w:rPr>
              <w:t>采购包</w:t>
            </w:r>
          </w:p>
        </w:tc>
        <w:tc>
          <w:tcPr>
            <w:tcW w:w="1661" w:type="dxa"/>
            <w:vAlign w:val="center"/>
          </w:tcPr>
          <w:p w14:paraId="0124BFC9">
            <w:pPr>
              <w:pStyle w:val="54"/>
              <w:spacing w:line="360" w:lineRule="auto"/>
              <w:jc w:val="center"/>
              <w:rPr>
                <w:rFonts w:hint="default" w:asciiTheme="minorEastAsia" w:hAnsiTheme="minorEastAsia"/>
                <w:sz w:val="24"/>
                <w:szCs w:val="24"/>
              </w:rPr>
            </w:pPr>
            <w:r>
              <w:rPr>
                <w:rFonts w:asciiTheme="minorEastAsia" w:hAnsiTheme="minorEastAsia"/>
                <w:sz w:val="24"/>
                <w:szCs w:val="24"/>
              </w:rPr>
              <w:t>品目号</w:t>
            </w:r>
          </w:p>
        </w:tc>
        <w:tc>
          <w:tcPr>
            <w:tcW w:w="2324" w:type="dxa"/>
            <w:vAlign w:val="center"/>
          </w:tcPr>
          <w:p w14:paraId="6840A122">
            <w:pPr>
              <w:pStyle w:val="54"/>
              <w:spacing w:line="360" w:lineRule="auto"/>
              <w:jc w:val="center"/>
              <w:rPr>
                <w:rFonts w:hint="default" w:asciiTheme="minorEastAsia" w:hAnsiTheme="minorEastAsia"/>
                <w:sz w:val="24"/>
                <w:szCs w:val="24"/>
              </w:rPr>
            </w:pPr>
            <w:r>
              <w:rPr>
                <w:rFonts w:asciiTheme="minorEastAsia" w:hAnsiTheme="minorEastAsia"/>
                <w:sz w:val="24"/>
                <w:szCs w:val="24"/>
              </w:rPr>
              <w:t>技术和服务要求</w:t>
            </w:r>
          </w:p>
        </w:tc>
        <w:tc>
          <w:tcPr>
            <w:tcW w:w="1661" w:type="dxa"/>
            <w:vAlign w:val="center"/>
          </w:tcPr>
          <w:p w14:paraId="21510DC2">
            <w:pPr>
              <w:pStyle w:val="54"/>
              <w:spacing w:line="360" w:lineRule="auto"/>
              <w:jc w:val="center"/>
              <w:rPr>
                <w:rFonts w:hint="default" w:asciiTheme="minorEastAsia" w:hAnsiTheme="minorEastAsia"/>
                <w:sz w:val="24"/>
                <w:szCs w:val="24"/>
              </w:rPr>
            </w:pPr>
            <w:r>
              <w:rPr>
                <w:rFonts w:asciiTheme="minorEastAsia" w:hAnsiTheme="minorEastAsia"/>
                <w:sz w:val="24"/>
                <w:szCs w:val="24"/>
              </w:rPr>
              <w:t>投标响应</w:t>
            </w:r>
          </w:p>
        </w:tc>
        <w:tc>
          <w:tcPr>
            <w:tcW w:w="1902" w:type="dxa"/>
            <w:vAlign w:val="center"/>
          </w:tcPr>
          <w:p w14:paraId="476BA2AA">
            <w:pPr>
              <w:pStyle w:val="54"/>
              <w:spacing w:line="360" w:lineRule="auto"/>
              <w:jc w:val="center"/>
              <w:rPr>
                <w:rFonts w:hint="default" w:asciiTheme="minorEastAsia" w:hAnsiTheme="minorEastAsia"/>
                <w:sz w:val="24"/>
                <w:szCs w:val="24"/>
              </w:rPr>
            </w:pPr>
            <w:r>
              <w:rPr>
                <w:rFonts w:asciiTheme="minorEastAsia" w:hAnsiTheme="minorEastAsia"/>
                <w:sz w:val="24"/>
                <w:szCs w:val="24"/>
              </w:rPr>
              <w:t>是否偏离及说明</w:t>
            </w:r>
          </w:p>
        </w:tc>
      </w:tr>
      <w:tr w14:paraId="6046B8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86" w:type="dxa"/>
            <w:vMerge w:val="restart"/>
            <w:vAlign w:val="center"/>
          </w:tcPr>
          <w:p w14:paraId="6C8E8F02">
            <w:pPr>
              <w:pStyle w:val="54"/>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661" w:type="dxa"/>
            <w:vAlign w:val="center"/>
          </w:tcPr>
          <w:p w14:paraId="7BDE1369">
            <w:pPr>
              <w:pStyle w:val="54"/>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2324" w:type="dxa"/>
            <w:vAlign w:val="center"/>
          </w:tcPr>
          <w:p w14:paraId="4CD7FB4D">
            <w:pPr>
              <w:spacing w:line="360" w:lineRule="auto"/>
              <w:jc w:val="center"/>
              <w:rPr>
                <w:rFonts w:asciiTheme="minorEastAsia" w:hAnsiTheme="minorEastAsia"/>
                <w:sz w:val="24"/>
                <w:szCs w:val="24"/>
              </w:rPr>
            </w:pPr>
          </w:p>
        </w:tc>
        <w:tc>
          <w:tcPr>
            <w:tcW w:w="1661" w:type="dxa"/>
            <w:vAlign w:val="center"/>
          </w:tcPr>
          <w:p w14:paraId="0300F632">
            <w:pPr>
              <w:spacing w:line="360" w:lineRule="auto"/>
              <w:jc w:val="center"/>
              <w:rPr>
                <w:rFonts w:asciiTheme="minorEastAsia" w:hAnsiTheme="minorEastAsia"/>
                <w:sz w:val="24"/>
                <w:szCs w:val="24"/>
              </w:rPr>
            </w:pPr>
          </w:p>
        </w:tc>
        <w:tc>
          <w:tcPr>
            <w:tcW w:w="1902" w:type="dxa"/>
            <w:vAlign w:val="center"/>
          </w:tcPr>
          <w:p w14:paraId="638A375A">
            <w:pPr>
              <w:spacing w:line="360" w:lineRule="auto"/>
              <w:jc w:val="center"/>
              <w:rPr>
                <w:rFonts w:asciiTheme="minorEastAsia" w:hAnsiTheme="minorEastAsia"/>
                <w:sz w:val="24"/>
                <w:szCs w:val="24"/>
              </w:rPr>
            </w:pPr>
          </w:p>
        </w:tc>
      </w:tr>
      <w:tr w14:paraId="6FB56C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86" w:type="dxa"/>
            <w:vMerge w:val="continue"/>
            <w:vAlign w:val="center"/>
          </w:tcPr>
          <w:p w14:paraId="423CE465">
            <w:pPr>
              <w:spacing w:line="360" w:lineRule="auto"/>
              <w:jc w:val="center"/>
              <w:rPr>
                <w:rFonts w:asciiTheme="minorEastAsia" w:hAnsiTheme="minorEastAsia"/>
                <w:sz w:val="24"/>
                <w:szCs w:val="24"/>
              </w:rPr>
            </w:pPr>
          </w:p>
        </w:tc>
        <w:tc>
          <w:tcPr>
            <w:tcW w:w="1661" w:type="dxa"/>
            <w:vAlign w:val="center"/>
          </w:tcPr>
          <w:p w14:paraId="7DB19E5E">
            <w:pPr>
              <w:pStyle w:val="54"/>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2324" w:type="dxa"/>
            <w:vAlign w:val="center"/>
          </w:tcPr>
          <w:p w14:paraId="472BA706">
            <w:pPr>
              <w:spacing w:line="360" w:lineRule="auto"/>
              <w:jc w:val="center"/>
              <w:rPr>
                <w:rFonts w:asciiTheme="minorEastAsia" w:hAnsiTheme="minorEastAsia"/>
                <w:sz w:val="24"/>
                <w:szCs w:val="24"/>
              </w:rPr>
            </w:pPr>
          </w:p>
        </w:tc>
        <w:tc>
          <w:tcPr>
            <w:tcW w:w="1661" w:type="dxa"/>
            <w:vAlign w:val="center"/>
          </w:tcPr>
          <w:p w14:paraId="63515BA3">
            <w:pPr>
              <w:spacing w:line="360" w:lineRule="auto"/>
              <w:jc w:val="center"/>
              <w:rPr>
                <w:rFonts w:asciiTheme="minorEastAsia" w:hAnsiTheme="minorEastAsia"/>
                <w:sz w:val="24"/>
                <w:szCs w:val="24"/>
              </w:rPr>
            </w:pPr>
          </w:p>
        </w:tc>
        <w:tc>
          <w:tcPr>
            <w:tcW w:w="1902" w:type="dxa"/>
            <w:vAlign w:val="center"/>
          </w:tcPr>
          <w:p w14:paraId="7F95C6EE">
            <w:pPr>
              <w:spacing w:line="360" w:lineRule="auto"/>
              <w:jc w:val="center"/>
              <w:rPr>
                <w:rFonts w:asciiTheme="minorEastAsia" w:hAnsiTheme="minorEastAsia"/>
                <w:sz w:val="24"/>
                <w:szCs w:val="24"/>
              </w:rPr>
            </w:pPr>
          </w:p>
        </w:tc>
      </w:tr>
      <w:tr w14:paraId="19FEB9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86" w:type="dxa"/>
            <w:vAlign w:val="center"/>
          </w:tcPr>
          <w:p w14:paraId="18189AFC">
            <w:pPr>
              <w:pStyle w:val="54"/>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661" w:type="dxa"/>
            <w:vAlign w:val="center"/>
          </w:tcPr>
          <w:p w14:paraId="7324D07E">
            <w:pPr>
              <w:spacing w:line="360" w:lineRule="auto"/>
              <w:jc w:val="center"/>
              <w:rPr>
                <w:rFonts w:asciiTheme="minorEastAsia" w:hAnsiTheme="minorEastAsia"/>
                <w:sz w:val="24"/>
                <w:szCs w:val="24"/>
              </w:rPr>
            </w:pPr>
          </w:p>
        </w:tc>
        <w:tc>
          <w:tcPr>
            <w:tcW w:w="2324" w:type="dxa"/>
            <w:vAlign w:val="center"/>
          </w:tcPr>
          <w:p w14:paraId="59A3FF7E">
            <w:pPr>
              <w:spacing w:line="360" w:lineRule="auto"/>
              <w:jc w:val="center"/>
              <w:rPr>
                <w:rFonts w:asciiTheme="minorEastAsia" w:hAnsiTheme="minorEastAsia"/>
                <w:sz w:val="24"/>
                <w:szCs w:val="24"/>
              </w:rPr>
            </w:pPr>
          </w:p>
        </w:tc>
        <w:tc>
          <w:tcPr>
            <w:tcW w:w="1661" w:type="dxa"/>
            <w:vAlign w:val="center"/>
          </w:tcPr>
          <w:p w14:paraId="7D914AA7">
            <w:pPr>
              <w:spacing w:line="360" w:lineRule="auto"/>
              <w:jc w:val="center"/>
              <w:rPr>
                <w:rFonts w:asciiTheme="minorEastAsia" w:hAnsiTheme="minorEastAsia"/>
                <w:sz w:val="24"/>
                <w:szCs w:val="24"/>
              </w:rPr>
            </w:pPr>
          </w:p>
        </w:tc>
        <w:tc>
          <w:tcPr>
            <w:tcW w:w="1902" w:type="dxa"/>
            <w:vAlign w:val="center"/>
          </w:tcPr>
          <w:p w14:paraId="0CA5E9AA">
            <w:pPr>
              <w:spacing w:line="360" w:lineRule="auto"/>
              <w:jc w:val="center"/>
              <w:rPr>
                <w:rFonts w:asciiTheme="minorEastAsia" w:hAnsiTheme="minorEastAsia"/>
                <w:sz w:val="24"/>
                <w:szCs w:val="24"/>
              </w:rPr>
            </w:pPr>
          </w:p>
        </w:tc>
      </w:tr>
    </w:tbl>
    <w:p w14:paraId="25AF176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41E0BED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1、本表应按照下列规定填写：</w:t>
      </w:r>
    </w:p>
    <w:p w14:paraId="35DA65C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1.1“技术和服务要求”项下填写的内容应与招标文件第五章“技术和服务要求”的内容保持一致。</w:t>
      </w:r>
    </w:p>
    <w:p w14:paraId="48BA0D4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084DD87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1.3“是否偏离及说明”项下应按下列规定填写：优于的，填写“正偏离”；符合的，填写“无偏离”；低于的，填写“负偏离”。</w:t>
      </w:r>
    </w:p>
    <w:p w14:paraId="0C03C9E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14:paraId="7CBA4F20">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4E8DA7A5">
      <w:pPr>
        <w:pStyle w:val="54"/>
        <w:spacing w:line="360" w:lineRule="auto"/>
        <w:ind w:firstLine="480" w:firstLineChars="200"/>
        <w:jc w:val="right"/>
        <w:rPr>
          <w:rFonts w:hint="default"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3B97DF8A"/>
    <w:p w14:paraId="42388D7A">
      <w:pPr>
        <w:sectPr>
          <w:pgSz w:w="11906" w:h="16838"/>
          <w:pgMar w:top="1418" w:right="1418" w:bottom="1418" w:left="1418" w:header="851" w:footer="992" w:gutter="0"/>
          <w:cols w:space="425" w:num="1"/>
          <w:docGrid w:type="lines" w:linePitch="312" w:charSpace="0"/>
        </w:sectPr>
      </w:pPr>
    </w:p>
    <w:p w14:paraId="5C15E8FA">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三、商务条件响应表</w:t>
      </w:r>
    </w:p>
    <w:p w14:paraId="409003E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项目编号：</w:t>
      </w:r>
      <w:r>
        <w:rPr>
          <w:rFonts w:asciiTheme="minorEastAsia" w:hAnsiTheme="minorEastAsia"/>
          <w:sz w:val="24"/>
          <w:szCs w:val="24"/>
          <w:u w:val="single"/>
        </w:rPr>
        <w:t>　　　　　　　　</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2188"/>
      </w:tblGrid>
      <w:tr w14:paraId="7CE68E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Align w:val="center"/>
          </w:tcPr>
          <w:p w14:paraId="145D8352">
            <w:pPr>
              <w:pStyle w:val="54"/>
              <w:spacing w:line="360" w:lineRule="auto"/>
              <w:jc w:val="center"/>
              <w:rPr>
                <w:rFonts w:hint="default" w:asciiTheme="minorEastAsia" w:hAnsiTheme="minorEastAsia"/>
                <w:sz w:val="24"/>
                <w:szCs w:val="24"/>
              </w:rPr>
            </w:pPr>
            <w:r>
              <w:rPr>
                <w:rFonts w:asciiTheme="minorEastAsia" w:hAnsiTheme="minorEastAsia"/>
                <w:sz w:val="24"/>
                <w:szCs w:val="24"/>
              </w:rPr>
              <w:t>采购包</w:t>
            </w:r>
          </w:p>
        </w:tc>
        <w:tc>
          <w:tcPr>
            <w:tcW w:w="1661" w:type="dxa"/>
            <w:vAlign w:val="center"/>
          </w:tcPr>
          <w:p w14:paraId="3550834C">
            <w:pPr>
              <w:pStyle w:val="54"/>
              <w:spacing w:line="360" w:lineRule="auto"/>
              <w:jc w:val="center"/>
              <w:rPr>
                <w:rFonts w:hint="default" w:asciiTheme="minorEastAsia" w:hAnsiTheme="minorEastAsia"/>
                <w:sz w:val="24"/>
                <w:szCs w:val="24"/>
              </w:rPr>
            </w:pPr>
            <w:r>
              <w:rPr>
                <w:rFonts w:asciiTheme="minorEastAsia" w:hAnsiTheme="minorEastAsia"/>
                <w:sz w:val="24"/>
                <w:szCs w:val="24"/>
              </w:rPr>
              <w:t>品目号</w:t>
            </w:r>
          </w:p>
        </w:tc>
        <w:tc>
          <w:tcPr>
            <w:tcW w:w="1661" w:type="dxa"/>
            <w:vAlign w:val="center"/>
          </w:tcPr>
          <w:p w14:paraId="6F1AE62C">
            <w:pPr>
              <w:pStyle w:val="54"/>
              <w:spacing w:line="360" w:lineRule="auto"/>
              <w:jc w:val="center"/>
              <w:rPr>
                <w:rFonts w:hint="default" w:asciiTheme="minorEastAsia" w:hAnsiTheme="minorEastAsia"/>
                <w:sz w:val="24"/>
                <w:szCs w:val="24"/>
              </w:rPr>
            </w:pPr>
            <w:r>
              <w:rPr>
                <w:rFonts w:asciiTheme="minorEastAsia" w:hAnsiTheme="minorEastAsia"/>
                <w:sz w:val="24"/>
                <w:szCs w:val="24"/>
              </w:rPr>
              <w:t>商务条件</w:t>
            </w:r>
          </w:p>
        </w:tc>
        <w:tc>
          <w:tcPr>
            <w:tcW w:w="1661" w:type="dxa"/>
            <w:vAlign w:val="center"/>
          </w:tcPr>
          <w:p w14:paraId="625BD166">
            <w:pPr>
              <w:pStyle w:val="54"/>
              <w:spacing w:line="360" w:lineRule="auto"/>
              <w:jc w:val="center"/>
              <w:rPr>
                <w:rFonts w:hint="default" w:asciiTheme="minorEastAsia" w:hAnsiTheme="minorEastAsia"/>
                <w:sz w:val="24"/>
                <w:szCs w:val="24"/>
              </w:rPr>
            </w:pPr>
            <w:r>
              <w:rPr>
                <w:rFonts w:asciiTheme="minorEastAsia" w:hAnsiTheme="minorEastAsia"/>
                <w:sz w:val="24"/>
                <w:szCs w:val="24"/>
              </w:rPr>
              <w:t>投标响应</w:t>
            </w:r>
          </w:p>
        </w:tc>
        <w:tc>
          <w:tcPr>
            <w:tcW w:w="2188" w:type="dxa"/>
            <w:vAlign w:val="center"/>
          </w:tcPr>
          <w:p w14:paraId="32344529">
            <w:pPr>
              <w:pStyle w:val="54"/>
              <w:spacing w:line="360" w:lineRule="auto"/>
              <w:jc w:val="center"/>
              <w:rPr>
                <w:rFonts w:hint="default" w:asciiTheme="minorEastAsia" w:hAnsiTheme="minorEastAsia"/>
                <w:sz w:val="24"/>
                <w:szCs w:val="24"/>
              </w:rPr>
            </w:pPr>
            <w:r>
              <w:rPr>
                <w:rFonts w:asciiTheme="minorEastAsia" w:hAnsiTheme="minorEastAsia"/>
                <w:sz w:val="24"/>
                <w:szCs w:val="24"/>
              </w:rPr>
              <w:t>是否偏离及说明</w:t>
            </w:r>
          </w:p>
        </w:tc>
      </w:tr>
      <w:tr w14:paraId="2F377C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Merge w:val="restart"/>
            <w:vAlign w:val="center"/>
          </w:tcPr>
          <w:p w14:paraId="4BA92AE3">
            <w:pPr>
              <w:pStyle w:val="54"/>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661" w:type="dxa"/>
            <w:vAlign w:val="center"/>
          </w:tcPr>
          <w:p w14:paraId="40B474B4">
            <w:pPr>
              <w:pStyle w:val="54"/>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1661" w:type="dxa"/>
            <w:vAlign w:val="center"/>
          </w:tcPr>
          <w:p w14:paraId="196F2EA0">
            <w:pPr>
              <w:spacing w:line="360" w:lineRule="auto"/>
              <w:jc w:val="center"/>
              <w:rPr>
                <w:rFonts w:asciiTheme="minorEastAsia" w:hAnsiTheme="minorEastAsia"/>
                <w:sz w:val="24"/>
                <w:szCs w:val="24"/>
              </w:rPr>
            </w:pPr>
          </w:p>
        </w:tc>
        <w:tc>
          <w:tcPr>
            <w:tcW w:w="1661" w:type="dxa"/>
            <w:vAlign w:val="center"/>
          </w:tcPr>
          <w:p w14:paraId="0F2AC696">
            <w:pPr>
              <w:spacing w:line="360" w:lineRule="auto"/>
              <w:jc w:val="center"/>
              <w:rPr>
                <w:rFonts w:asciiTheme="minorEastAsia" w:hAnsiTheme="minorEastAsia"/>
                <w:sz w:val="24"/>
                <w:szCs w:val="24"/>
              </w:rPr>
            </w:pPr>
          </w:p>
        </w:tc>
        <w:tc>
          <w:tcPr>
            <w:tcW w:w="2188" w:type="dxa"/>
            <w:vAlign w:val="center"/>
          </w:tcPr>
          <w:p w14:paraId="009CA520">
            <w:pPr>
              <w:spacing w:line="360" w:lineRule="auto"/>
              <w:jc w:val="center"/>
              <w:rPr>
                <w:rFonts w:asciiTheme="minorEastAsia" w:hAnsiTheme="minorEastAsia"/>
                <w:sz w:val="24"/>
                <w:szCs w:val="24"/>
              </w:rPr>
            </w:pPr>
          </w:p>
        </w:tc>
      </w:tr>
      <w:tr w14:paraId="5D2C20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Merge w:val="continue"/>
            <w:vAlign w:val="center"/>
          </w:tcPr>
          <w:p w14:paraId="4E0732F1">
            <w:pPr>
              <w:spacing w:line="360" w:lineRule="auto"/>
              <w:jc w:val="center"/>
              <w:rPr>
                <w:rFonts w:asciiTheme="minorEastAsia" w:hAnsiTheme="minorEastAsia"/>
                <w:sz w:val="24"/>
                <w:szCs w:val="24"/>
              </w:rPr>
            </w:pPr>
          </w:p>
        </w:tc>
        <w:tc>
          <w:tcPr>
            <w:tcW w:w="1661" w:type="dxa"/>
            <w:vAlign w:val="center"/>
          </w:tcPr>
          <w:p w14:paraId="1C63930C">
            <w:pPr>
              <w:pStyle w:val="54"/>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661" w:type="dxa"/>
            <w:vAlign w:val="center"/>
          </w:tcPr>
          <w:p w14:paraId="0A11ED66">
            <w:pPr>
              <w:spacing w:line="360" w:lineRule="auto"/>
              <w:jc w:val="center"/>
              <w:rPr>
                <w:rFonts w:asciiTheme="minorEastAsia" w:hAnsiTheme="minorEastAsia"/>
                <w:sz w:val="24"/>
                <w:szCs w:val="24"/>
              </w:rPr>
            </w:pPr>
          </w:p>
        </w:tc>
        <w:tc>
          <w:tcPr>
            <w:tcW w:w="1661" w:type="dxa"/>
            <w:vAlign w:val="center"/>
          </w:tcPr>
          <w:p w14:paraId="2093CB42">
            <w:pPr>
              <w:spacing w:line="360" w:lineRule="auto"/>
              <w:jc w:val="center"/>
              <w:rPr>
                <w:rFonts w:asciiTheme="minorEastAsia" w:hAnsiTheme="minorEastAsia"/>
                <w:sz w:val="24"/>
                <w:szCs w:val="24"/>
              </w:rPr>
            </w:pPr>
          </w:p>
        </w:tc>
        <w:tc>
          <w:tcPr>
            <w:tcW w:w="2188" w:type="dxa"/>
            <w:vAlign w:val="center"/>
          </w:tcPr>
          <w:p w14:paraId="54C5FBF1">
            <w:pPr>
              <w:spacing w:line="360" w:lineRule="auto"/>
              <w:jc w:val="center"/>
              <w:rPr>
                <w:rFonts w:asciiTheme="minorEastAsia" w:hAnsiTheme="minorEastAsia"/>
                <w:sz w:val="24"/>
                <w:szCs w:val="24"/>
              </w:rPr>
            </w:pPr>
          </w:p>
        </w:tc>
      </w:tr>
      <w:tr w14:paraId="7B4ADE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Align w:val="center"/>
          </w:tcPr>
          <w:p w14:paraId="7B46474F">
            <w:pPr>
              <w:pStyle w:val="54"/>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661" w:type="dxa"/>
            <w:vAlign w:val="center"/>
          </w:tcPr>
          <w:p w14:paraId="253F57F2">
            <w:pPr>
              <w:spacing w:line="360" w:lineRule="auto"/>
              <w:jc w:val="center"/>
              <w:rPr>
                <w:rFonts w:asciiTheme="minorEastAsia" w:hAnsiTheme="minorEastAsia"/>
                <w:sz w:val="24"/>
                <w:szCs w:val="24"/>
              </w:rPr>
            </w:pPr>
          </w:p>
        </w:tc>
        <w:tc>
          <w:tcPr>
            <w:tcW w:w="1661" w:type="dxa"/>
            <w:vAlign w:val="center"/>
          </w:tcPr>
          <w:p w14:paraId="0503101A">
            <w:pPr>
              <w:spacing w:line="360" w:lineRule="auto"/>
              <w:jc w:val="center"/>
              <w:rPr>
                <w:rFonts w:asciiTheme="minorEastAsia" w:hAnsiTheme="minorEastAsia"/>
                <w:sz w:val="24"/>
                <w:szCs w:val="24"/>
              </w:rPr>
            </w:pPr>
          </w:p>
        </w:tc>
        <w:tc>
          <w:tcPr>
            <w:tcW w:w="1661" w:type="dxa"/>
            <w:vAlign w:val="center"/>
          </w:tcPr>
          <w:p w14:paraId="5DB1523C">
            <w:pPr>
              <w:spacing w:line="360" w:lineRule="auto"/>
              <w:jc w:val="center"/>
              <w:rPr>
                <w:rFonts w:asciiTheme="minorEastAsia" w:hAnsiTheme="minorEastAsia"/>
                <w:sz w:val="24"/>
                <w:szCs w:val="24"/>
              </w:rPr>
            </w:pPr>
          </w:p>
        </w:tc>
        <w:tc>
          <w:tcPr>
            <w:tcW w:w="2188" w:type="dxa"/>
            <w:vAlign w:val="center"/>
          </w:tcPr>
          <w:p w14:paraId="7DBCD4C5">
            <w:pPr>
              <w:spacing w:line="360" w:lineRule="auto"/>
              <w:jc w:val="center"/>
              <w:rPr>
                <w:rFonts w:asciiTheme="minorEastAsia" w:hAnsiTheme="minorEastAsia"/>
                <w:sz w:val="24"/>
                <w:szCs w:val="24"/>
              </w:rPr>
            </w:pPr>
          </w:p>
        </w:tc>
      </w:tr>
    </w:tbl>
    <w:p w14:paraId="3E9A1A8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4B5744D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1、本表应按照下列规定填写：</w:t>
      </w:r>
    </w:p>
    <w:p w14:paraId="5184B6F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1.1“商务条件”项下填写的内容应与招标文件第五章“商务条件”的内容保持一致。</w:t>
      </w:r>
    </w:p>
    <w:p w14:paraId="01393D1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1.2“投标响应”项下应填写具体的响应内容并与“商务条件”项下填写的内容逐项对应；对“商务条件”项下涉及“≥或＞”、“≤或＜”及某个区间值范围内的内容，应填写具体的数值。</w:t>
      </w:r>
    </w:p>
    <w:p w14:paraId="03D9A37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1.3“是否偏离及说明”项下应按下列规定填写：优于的，填写“正偏离”；符合的，填写“无偏离”；低于的，填写“负偏离”。</w:t>
      </w:r>
    </w:p>
    <w:p w14:paraId="47E3210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14:paraId="24615E88">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0AFC29DA">
      <w:pPr>
        <w:pStyle w:val="54"/>
        <w:spacing w:line="360" w:lineRule="auto"/>
        <w:ind w:firstLine="480" w:firstLineChars="200"/>
        <w:jc w:val="right"/>
        <w:rPr>
          <w:rFonts w:hint="default"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4F3319E3"/>
    <w:p w14:paraId="1357C72C">
      <w:pPr>
        <w:sectPr>
          <w:pgSz w:w="11906" w:h="16838"/>
          <w:pgMar w:top="1418" w:right="1418" w:bottom="1418" w:left="1418" w:header="851" w:footer="992" w:gutter="0"/>
          <w:cols w:space="425" w:num="1"/>
          <w:docGrid w:type="lines" w:linePitch="312" w:charSpace="0"/>
        </w:sectPr>
      </w:pPr>
    </w:p>
    <w:p w14:paraId="678611D5">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四、投标人提交的其他资料（若有）</w:t>
      </w:r>
    </w:p>
    <w:p w14:paraId="0747F963">
      <w:pPr>
        <w:pStyle w:val="54"/>
        <w:spacing w:line="360" w:lineRule="auto"/>
        <w:jc w:val="center"/>
        <w:rPr>
          <w:rFonts w:hint="default" w:asciiTheme="minorEastAsia" w:hAnsiTheme="minorEastAsia"/>
          <w:sz w:val="24"/>
          <w:szCs w:val="24"/>
        </w:rPr>
      </w:pPr>
      <w:r>
        <w:rPr>
          <w:rFonts w:asciiTheme="minorEastAsia" w:hAnsiTheme="minorEastAsia"/>
          <w:sz w:val="24"/>
          <w:szCs w:val="24"/>
        </w:rPr>
        <w:t>编制说明</w:t>
      </w:r>
    </w:p>
    <w:p w14:paraId="70D72EF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1、招标文件要求提交的除“资格及资信证明部分”、“报价部分”外的其他证明材料或资料加盖投标人的单位公章后应在此项下提交。</w:t>
      </w:r>
    </w:p>
    <w:p w14:paraId="4D22A0F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2、招标文件要求投标人提供方案（包括但不限于：组织、实施、技术、服务方案等）的，投标人应在此项下提交。</w:t>
      </w:r>
    </w:p>
    <w:p w14:paraId="1F7AA20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3、除招标文件另有规定外，投标人认为需要提交的其他证明材料或资料加盖投标人的单位公章后应在此项下提交。</w:t>
      </w:r>
    </w:p>
    <w:p w14:paraId="378CB6E9"/>
    <w:p w14:paraId="19E7C731"/>
    <w:p w14:paraId="635D27B3"/>
    <w:sectPr>
      <w:footerReference r:id="rId7" w:type="first"/>
      <w:footerReference r:id="rId6"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1FA70">
    <w:pPr>
      <w:pStyle w:val="11"/>
      <w:pBdr>
        <w:top w:val="single" w:color="auto" w:sz="4" w:space="1"/>
      </w:pBdr>
      <w:ind w:right="-1"/>
      <w:jc w:val="center"/>
      <w:rPr>
        <w:rFonts w:ascii="宋体" w:hAnsi="宋体"/>
        <w:sz w:val="24"/>
      </w:rPr>
    </w:pPr>
    <w:r>
      <w:rPr>
        <w:rFonts w:hint="eastAsia" w:ascii="宋体" w:hAnsi="宋体"/>
        <w:sz w:val="24"/>
      </w:rPr>
      <w:t>【</w:t>
    </w:r>
    <w:r>
      <w:rPr>
        <w:rFonts w:ascii="宋体" w:hAnsi="宋体"/>
        <w:sz w:val="24"/>
      </w:rPr>
      <w:t>第</w:t>
    </w:r>
    <w:r>
      <w:rPr>
        <w:rFonts w:hint="eastAsia" w:ascii="宋体" w:hAnsi="宋体"/>
        <w:sz w:val="24"/>
      </w:rPr>
      <w:t xml:space="preserve"> </w:t>
    </w: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lang w:val="zh-CN"/>
      </w:rPr>
      <w:t>44</w:t>
    </w:r>
    <w:r>
      <w:rPr>
        <w:rFonts w:ascii="宋体" w:hAnsi="宋体"/>
        <w:sz w:val="24"/>
      </w:rPr>
      <w:fldChar w:fldCharType="end"/>
    </w:r>
    <w:r>
      <w:rPr>
        <w:rFonts w:hint="eastAsia" w:ascii="宋体" w:hAnsi="宋体"/>
        <w:sz w:val="24"/>
      </w:rPr>
      <w:t xml:space="preserve"> 页，共 </w:t>
    </w:r>
    <w:r>
      <w:fldChar w:fldCharType="begin"/>
    </w:r>
    <w:r>
      <w:instrText xml:space="preserve"> NUMPAGES   \* MERGEFORMAT </w:instrText>
    </w:r>
    <w:r>
      <w:fldChar w:fldCharType="separate"/>
    </w:r>
    <w:r>
      <w:rPr>
        <w:rFonts w:ascii="宋体" w:hAnsi="宋体"/>
        <w:sz w:val="24"/>
      </w:rPr>
      <w:t>117</w:t>
    </w:r>
    <w:r>
      <w:rPr>
        <w:rFonts w:ascii="宋体" w:hAnsi="宋体"/>
        <w:sz w:val="24"/>
      </w:rPr>
      <w:fldChar w:fldCharType="end"/>
    </w:r>
    <w:r>
      <w:rPr>
        <w:rFonts w:hint="eastAsia" w:ascii="宋体" w:hAnsi="宋体"/>
        <w:sz w:val="24"/>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CE9D7">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 xml:space="preserve">【第 </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116</w:t>
    </w:r>
    <w:r>
      <w:rPr>
        <w:rFonts w:ascii="宋体" w:hAnsi="宋体"/>
        <w:sz w:val="24"/>
        <w:szCs w:val="18"/>
      </w:rPr>
      <w:fldChar w:fldCharType="end"/>
    </w:r>
    <w:r>
      <w:rPr>
        <w:rFonts w:hint="eastAsia" w:ascii="宋体" w:hAnsi="宋体"/>
        <w:sz w:val="24"/>
        <w:szCs w:val="18"/>
      </w:rPr>
      <w:t xml:space="preserve"> 页，共 </w:t>
    </w:r>
    <w:r>
      <w:fldChar w:fldCharType="begin"/>
    </w:r>
    <w:r>
      <w:instrText xml:space="preserve"> NUMPAGES   \* MERGEFORMAT </w:instrText>
    </w:r>
    <w:r>
      <w:fldChar w:fldCharType="separate"/>
    </w:r>
    <w:r>
      <w:rPr>
        <w:rFonts w:ascii="宋体" w:hAnsi="宋体"/>
        <w:sz w:val="24"/>
        <w:szCs w:val="18"/>
      </w:rPr>
      <w:t>116</w:t>
    </w:r>
    <w:r>
      <w:rPr>
        <w:rFonts w:ascii="宋体" w:hAnsi="宋体"/>
        <w:sz w:val="24"/>
        <w:szCs w:val="18"/>
      </w:rPr>
      <w:fldChar w:fldCharType="end"/>
    </w:r>
    <w:r>
      <w:rPr>
        <w:rFonts w:hint="eastAsia" w:ascii="宋体" w:hAnsi="宋体"/>
        <w:sz w:val="24"/>
        <w:szCs w:val="18"/>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8B5A5">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w:t>
    </w:r>
    <w:r>
      <w:rPr>
        <w:rFonts w:ascii="宋体" w:hAnsi="宋体"/>
        <w:sz w:val="24"/>
        <w:szCs w:val="18"/>
      </w:rPr>
      <w:t>第</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47</w:t>
    </w:r>
    <w:r>
      <w:rPr>
        <w:rFonts w:ascii="宋体" w:hAnsi="宋体"/>
        <w:sz w:val="24"/>
        <w:szCs w:val="18"/>
      </w:rPr>
      <w:fldChar w:fldCharType="end"/>
    </w:r>
    <w:r>
      <w:rPr>
        <w:rFonts w:hint="eastAsia" w:ascii="宋体" w:hAnsi="宋体"/>
        <w:sz w:val="24"/>
        <w:szCs w:val="18"/>
      </w:rPr>
      <w:t xml:space="preserve"> 页，共 </w:t>
    </w:r>
    <w:r>
      <w:fldChar w:fldCharType="begin"/>
    </w:r>
    <w:r>
      <w:instrText xml:space="preserve"> NUMPAGES   \* MERGEFORMAT </w:instrText>
    </w:r>
    <w:r>
      <w:fldChar w:fldCharType="separate"/>
    </w:r>
    <w:r>
      <w:rPr>
        <w:rFonts w:ascii="宋体" w:hAnsi="宋体"/>
        <w:sz w:val="24"/>
        <w:szCs w:val="18"/>
      </w:rPr>
      <w:t>47</w:t>
    </w:r>
    <w:r>
      <w:rPr>
        <w:rFonts w:ascii="宋体" w:hAnsi="宋体"/>
        <w:sz w:val="24"/>
        <w:szCs w:val="18"/>
      </w:rPr>
      <w:fldChar w:fldCharType="end"/>
    </w:r>
    <w:r>
      <w:rPr>
        <w:rFonts w:hint="eastAsia" w:ascii="宋体" w:hAnsi="宋体"/>
        <w:sz w:val="24"/>
        <w:szCs w:val="18"/>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5C592">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 xml:space="preserve">【第 </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117</w:t>
    </w:r>
    <w:r>
      <w:rPr>
        <w:rFonts w:ascii="宋体" w:hAnsi="宋体"/>
        <w:sz w:val="24"/>
        <w:szCs w:val="18"/>
      </w:rPr>
      <w:fldChar w:fldCharType="end"/>
    </w:r>
    <w:r>
      <w:rPr>
        <w:rFonts w:hint="eastAsia" w:ascii="宋体" w:hAnsi="宋体"/>
        <w:sz w:val="24"/>
        <w:szCs w:val="18"/>
      </w:rPr>
      <w:t xml:space="preserve"> 页，共 </w:t>
    </w:r>
    <w:r>
      <w:fldChar w:fldCharType="begin"/>
    </w:r>
    <w:r>
      <w:instrText xml:space="preserve"> NUMPAGES   \* MERGEFORMAT </w:instrText>
    </w:r>
    <w:r>
      <w:fldChar w:fldCharType="separate"/>
    </w:r>
    <w:r>
      <w:rPr>
        <w:rFonts w:ascii="宋体" w:hAnsi="宋体"/>
        <w:sz w:val="24"/>
        <w:szCs w:val="18"/>
      </w:rPr>
      <w:t>117</w:t>
    </w:r>
    <w:r>
      <w:rPr>
        <w:rFonts w:ascii="宋体" w:hAnsi="宋体"/>
        <w:sz w:val="24"/>
        <w:szCs w:val="18"/>
      </w:rPr>
      <w:fldChar w:fldCharType="end"/>
    </w:r>
    <w:r>
      <w:rPr>
        <w:rFonts w:hint="eastAsia" w:ascii="宋体" w:hAnsi="宋体"/>
        <w:sz w:val="24"/>
        <w:szCs w:val="18"/>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A8AB5">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w:t>
    </w:r>
    <w:r>
      <w:rPr>
        <w:rFonts w:ascii="宋体" w:hAnsi="宋体"/>
        <w:sz w:val="24"/>
        <w:szCs w:val="18"/>
      </w:rPr>
      <w:t>第</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49</w:t>
    </w:r>
    <w:r>
      <w:rPr>
        <w:rFonts w:ascii="宋体" w:hAnsi="宋体"/>
        <w:sz w:val="24"/>
        <w:szCs w:val="18"/>
      </w:rPr>
      <w:fldChar w:fldCharType="end"/>
    </w:r>
    <w:r>
      <w:rPr>
        <w:rFonts w:hint="eastAsia" w:ascii="宋体" w:hAnsi="宋体"/>
        <w:sz w:val="24"/>
        <w:szCs w:val="18"/>
      </w:rPr>
      <w:t xml:space="preserve"> 页，共 </w:t>
    </w:r>
    <w:r>
      <w:fldChar w:fldCharType="begin"/>
    </w:r>
    <w:r>
      <w:instrText xml:space="preserve"> NUMPAGES   \* MERGEFORMAT </w:instrText>
    </w:r>
    <w:r>
      <w:fldChar w:fldCharType="separate"/>
    </w:r>
    <w:r>
      <w:rPr>
        <w:rFonts w:ascii="宋体" w:hAnsi="宋体"/>
        <w:sz w:val="24"/>
        <w:szCs w:val="18"/>
      </w:rPr>
      <w:t>57</w:t>
    </w:r>
    <w:r>
      <w:rPr>
        <w:rFonts w:ascii="宋体" w:hAnsi="宋体"/>
        <w:sz w:val="24"/>
        <w:szCs w:val="18"/>
      </w:rPr>
      <w:fldChar w:fldCharType="end"/>
    </w:r>
    <w:r>
      <w:rPr>
        <w:rFonts w:hint="eastAsia" w:ascii="宋体" w:hAnsi="宋体"/>
        <w:sz w:val="24"/>
        <w:szCs w:val="18"/>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4F162"/>
    <w:multiLevelType w:val="multilevel"/>
    <w:tmpl w:val="81A4F162"/>
    <w:lvl w:ilvl="0" w:tentative="0">
      <w:start w:val="1"/>
      <w:numFmt w:val="decimal"/>
      <w:lvlText w:val="%1"/>
      <w:lvlJc w:val="left"/>
      <w:pPr>
        <w:ind w:left="425" w:hanging="425"/>
      </w:pPr>
    </w:lvl>
    <w:lvl w:ilvl="1" w:tentative="0">
      <w:start w:val="1"/>
      <w:numFmt w:val="decimal"/>
      <w:lvlText w:val="%1.%2"/>
      <w:lvlJc w:val="left"/>
      <w:pPr>
        <w:ind w:left="5246"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2B1177EE"/>
    <w:multiLevelType w:val="multilevel"/>
    <w:tmpl w:val="2B1177EE"/>
    <w:lvl w:ilvl="0" w:tentative="0">
      <w:start w:val="1"/>
      <w:numFmt w:val="decimal"/>
      <w:lvlText w:val="%1"/>
      <w:lvlJc w:val="left"/>
      <w:pPr>
        <w:ind w:left="425" w:hanging="425"/>
      </w:pPr>
    </w:lvl>
    <w:lvl w:ilvl="1" w:tentative="0">
      <w:start w:val="1"/>
      <w:numFmt w:val="decimal"/>
      <w:lvlText w:val="%1.%2"/>
      <w:lvlJc w:val="left"/>
      <w:pPr>
        <w:ind w:left="5246"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NzZmOTU4MzJkMDNjNjU1ZDkxNjE1OWY0YjI0OTcifQ=="/>
  </w:docVars>
  <w:rsids>
    <w:rsidRoot w:val="00C377A6"/>
    <w:rsid w:val="00000EB7"/>
    <w:rsid w:val="00007EAA"/>
    <w:rsid w:val="00010A69"/>
    <w:rsid w:val="00011089"/>
    <w:rsid w:val="00011C31"/>
    <w:rsid w:val="00013D8D"/>
    <w:rsid w:val="00014914"/>
    <w:rsid w:val="00015FDA"/>
    <w:rsid w:val="00017248"/>
    <w:rsid w:val="000179A6"/>
    <w:rsid w:val="0003084B"/>
    <w:rsid w:val="00030D6E"/>
    <w:rsid w:val="000315A6"/>
    <w:rsid w:val="000364C3"/>
    <w:rsid w:val="000413A1"/>
    <w:rsid w:val="000414DE"/>
    <w:rsid w:val="000427FA"/>
    <w:rsid w:val="00042BAD"/>
    <w:rsid w:val="00042C55"/>
    <w:rsid w:val="0004365E"/>
    <w:rsid w:val="000440E5"/>
    <w:rsid w:val="0004441F"/>
    <w:rsid w:val="000452B0"/>
    <w:rsid w:val="00045DE6"/>
    <w:rsid w:val="00047C7D"/>
    <w:rsid w:val="000527EB"/>
    <w:rsid w:val="00053367"/>
    <w:rsid w:val="00056AEA"/>
    <w:rsid w:val="0006129C"/>
    <w:rsid w:val="00061623"/>
    <w:rsid w:val="00063D22"/>
    <w:rsid w:val="00064733"/>
    <w:rsid w:val="0006564E"/>
    <w:rsid w:val="00065736"/>
    <w:rsid w:val="00065FA7"/>
    <w:rsid w:val="00067BBE"/>
    <w:rsid w:val="00067F26"/>
    <w:rsid w:val="000702E6"/>
    <w:rsid w:val="00073860"/>
    <w:rsid w:val="00074B74"/>
    <w:rsid w:val="0007535C"/>
    <w:rsid w:val="000763E1"/>
    <w:rsid w:val="00077094"/>
    <w:rsid w:val="00077690"/>
    <w:rsid w:val="00080524"/>
    <w:rsid w:val="000806DE"/>
    <w:rsid w:val="00081B37"/>
    <w:rsid w:val="000847DC"/>
    <w:rsid w:val="00085296"/>
    <w:rsid w:val="00085B84"/>
    <w:rsid w:val="000874BD"/>
    <w:rsid w:val="0009051C"/>
    <w:rsid w:val="00090724"/>
    <w:rsid w:val="00091646"/>
    <w:rsid w:val="00091EAD"/>
    <w:rsid w:val="0009397E"/>
    <w:rsid w:val="0009441A"/>
    <w:rsid w:val="0009610C"/>
    <w:rsid w:val="000A0ADD"/>
    <w:rsid w:val="000A11D6"/>
    <w:rsid w:val="000A48A9"/>
    <w:rsid w:val="000A55A2"/>
    <w:rsid w:val="000A5765"/>
    <w:rsid w:val="000B171D"/>
    <w:rsid w:val="000B2B9A"/>
    <w:rsid w:val="000B4699"/>
    <w:rsid w:val="000B4C68"/>
    <w:rsid w:val="000B518F"/>
    <w:rsid w:val="000B5263"/>
    <w:rsid w:val="000B67E3"/>
    <w:rsid w:val="000C1368"/>
    <w:rsid w:val="000C1704"/>
    <w:rsid w:val="000D1041"/>
    <w:rsid w:val="000D1BCF"/>
    <w:rsid w:val="000D2697"/>
    <w:rsid w:val="000D2C05"/>
    <w:rsid w:val="000D3266"/>
    <w:rsid w:val="000D39C4"/>
    <w:rsid w:val="000D52A1"/>
    <w:rsid w:val="000D5604"/>
    <w:rsid w:val="000D5AE8"/>
    <w:rsid w:val="000E1F7E"/>
    <w:rsid w:val="000E7943"/>
    <w:rsid w:val="000F69F7"/>
    <w:rsid w:val="000F6D4D"/>
    <w:rsid w:val="001029D4"/>
    <w:rsid w:val="00103A51"/>
    <w:rsid w:val="00104230"/>
    <w:rsid w:val="00104302"/>
    <w:rsid w:val="00105554"/>
    <w:rsid w:val="001064A1"/>
    <w:rsid w:val="00110FFE"/>
    <w:rsid w:val="00111AC6"/>
    <w:rsid w:val="00113431"/>
    <w:rsid w:val="00116940"/>
    <w:rsid w:val="001172F6"/>
    <w:rsid w:val="00117ED0"/>
    <w:rsid w:val="00120A3A"/>
    <w:rsid w:val="0012146C"/>
    <w:rsid w:val="00121846"/>
    <w:rsid w:val="00126BE6"/>
    <w:rsid w:val="0012724A"/>
    <w:rsid w:val="001275FF"/>
    <w:rsid w:val="001366CA"/>
    <w:rsid w:val="00140F13"/>
    <w:rsid w:val="00142BED"/>
    <w:rsid w:val="00143667"/>
    <w:rsid w:val="001507B7"/>
    <w:rsid w:val="00152B00"/>
    <w:rsid w:val="001532C3"/>
    <w:rsid w:val="001570CA"/>
    <w:rsid w:val="00157575"/>
    <w:rsid w:val="00161CBA"/>
    <w:rsid w:val="00170E34"/>
    <w:rsid w:val="00170E42"/>
    <w:rsid w:val="0017303F"/>
    <w:rsid w:val="00173B94"/>
    <w:rsid w:val="00174F71"/>
    <w:rsid w:val="001754E5"/>
    <w:rsid w:val="001761B6"/>
    <w:rsid w:val="00177269"/>
    <w:rsid w:val="00177A46"/>
    <w:rsid w:val="00177D07"/>
    <w:rsid w:val="00183A0C"/>
    <w:rsid w:val="00183BA3"/>
    <w:rsid w:val="00185564"/>
    <w:rsid w:val="00185721"/>
    <w:rsid w:val="00186F97"/>
    <w:rsid w:val="00190545"/>
    <w:rsid w:val="00191DAD"/>
    <w:rsid w:val="001944B2"/>
    <w:rsid w:val="001969A6"/>
    <w:rsid w:val="00196B6A"/>
    <w:rsid w:val="001A0E82"/>
    <w:rsid w:val="001A0FFC"/>
    <w:rsid w:val="001A26B3"/>
    <w:rsid w:val="001A3E78"/>
    <w:rsid w:val="001A54F3"/>
    <w:rsid w:val="001A7926"/>
    <w:rsid w:val="001A7B64"/>
    <w:rsid w:val="001A7D91"/>
    <w:rsid w:val="001B00ED"/>
    <w:rsid w:val="001B0241"/>
    <w:rsid w:val="001B02EB"/>
    <w:rsid w:val="001B0366"/>
    <w:rsid w:val="001B1874"/>
    <w:rsid w:val="001B26A2"/>
    <w:rsid w:val="001B4441"/>
    <w:rsid w:val="001B54DA"/>
    <w:rsid w:val="001B5879"/>
    <w:rsid w:val="001B5AA5"/>
    <w:rsid w:val="001B72B2"/>
    <w:rsid w:val="001B78EA"/>
    <w:rsid w:val="001C048E"/>
    <w:rsid w:val="001C5F5B"/>
    <w:rsid w:val="001C7012"/>
    <w:rsid w:val="001C773D"/>
    <w:rsid w:val="001C7D76"/>
    <w:rsid w:val="001D053B"/>
    <w:rsid w:val="001D1FC2"/>
    <w:rsid w:val="001D4A89"/>
    <w:rsid w:val="001D4AD2"/>
    <w:rsid w:val="001D4AF7"/>
    <w:rsid w:val="001D5E01"/>
    <w:rsid w:val="001D7BA8"/>
    <w:rsid w:val="001E02C7"/>
    <w:rsid w:val="001E031E"/>
    <w:rsid w:val="001E084F"/>
    <w:rsid w:val="001E11F0"/>
    <w:rsid w:val="001E12E2"/>
    <w:rsid w:val="001E16E8"/>
    <w:rsid w:val="001E4650"/>
    <w:rsid w:val="001E572B"/>
    <w:rsid w:val="001E64B9"/>
    <w:rsid w:val="001E73AB"/>
    <w:rsid w:val="001E744C"/>
    <w:rsid w:val="001E7F42"/>
    <w:rsid w:val="001F2728"/>
    <w:rsid w:val="001F2E0B"/>
    <w:rsid w:val="001F4AE4"/>
    <w:rsid w:val="001F4B44"/>
    <w:rsid w:val="001F5002"/>
    <w:rsid w:val="001F7D56"/>
    <w:rsid w:val="00200272"/>
    <w:rsid w:val="00201AFF"/>
    <w:rsid w:val="0020604E"/>
    <w:rsid w:val="002073B8"/>
    <w:rsid w:val="002077B4"/>
    <w:rsid w:val="002100C5"/>
    <w:rsid w:val="00214BAD"/>
    <w:rsid w:val="002176BF"/>
    <w:rsid w:val="00220430"/>
    <w:rsid w:val="002230F0"/>
    <w:rsid w:val="00223DA8"/>
    <w:rsid w:val="00224BCD"/>
    <w:rsid w:val="00225178"/>
    <w:rsid w:val="00225192"/>
    <w:rsid w:val="00226B0A"/>
    <w:rsid w:val="00230CB4"/>
    <w:rsid w:val="0023573F"/>
    <w:rsid w:val="00235854"/>
    <w:rsid w:val="00237DE6"/>
    <w:rsid w:val="002403C6"/>
    <w:rsid w:val="002405B8"/>
    <w:rsid w:val="00240DBC"/>
    <w:rsid w:val="002411C7"/>
    <w:rsid w:val="00244529"/>
    <w:rsid w:val="00247492"/>
    <w:rsid w:val="00250292"/>
    <w:rsid w:val="002507AE"/>
    <w:rsid w:val="00251042"/>
    <w:rsid w:val="00251773"/>
    <w:rsid w:val="00252191"/>
    <w:rsid w:val="002524B3"/>
    <w:rsid w:val="00252DC7"/>
    <w:rsid w:val="00255700"/>
    <w:rsid w:val="002634CD"/>
    <w:rsid w:val="00263C57"/>
    <w:rsid w:val="00265883"/>
    <w:rsid w:val="00266B5E"/>
    <w:rsid w:val="0027417C"/>
    <w:rsid w:val="0027626D"/>
    <w:rsid w:val="00277161"/>
    <w:rsid w:val="0027761B"/>
    <w:rsid w:val="00280763"/>
    <w:rsid w:val="00283DDB"/>
    <w:rsid w:val="00283EC7"/>
    <w:rsid w:val="0028674D"/>
    <w:rsid w:val="0029008A"/>
    <w:rsid w:val="00291818"/>
    <w:rsid w:val="00291F2D"/>
    <w:rsid w:val="00292018"/>
    <w:rsid w:val="002927DB"/>
    <w:rsid w:val="00293239"/>
    <w:rsid w:val="00297900"/>
    <w:rsid w:val="002A0F68"/>
    <w:rsid w:val="002A2A10"/>
    <w:rsid w:val="002A4F5E"/>
    <w:rsid w:val="002A56C1"/>
    <w:rsid w:val="002A6A3B"/>
    <w:rsid w:val="002B00D6"/>
    <w:rsid w:val="002B1D56"/>
    <w:rsid w:val="002B32E8"/>
    <w:rsid w:val="002B38AF"/>
    <w:rsid w:val="002B53E1"/>
    <w:rsid w:val="002B5FE5"/>
    <w:rsid w:val="002C1993"/>
    <w:rsid w:val="002C1A77"/>
    <w:rsid w:val="002C5CCE"/>
    <w:rsid w:val="002D0600"/>
    <w:rsid w:val="002D5D80"/>
    <w:rsid w:val="002E0021"/>
    <w:rsid w:val="002E09CD"/>
    <w:rsid w:val="002E41B4"/>
    <w:rsid w:val="002E75D8"/>
    <w:rsid w:val="002E75E1"/>
    <w:rsid w:val="002F0619"/>
    <w:rsid w:val="002F1CE7"/>
    <w:rsid w:val="002F303E"/>
    <w:rsid w:val="002F6E0F"/>
    <w:rsid w:val="0030183E"/>
    <w:rsid w:val="00303937"/>
    <w:rsid w:val="00303AA7"/>
    <w:rsid w:val="0030516C"/>
    <w:rsid w:val="003108CA"/>
    <w:rsid w:val="00312742"/>
    <w:rsid w:val="00314B4C"/>
    <w:rsid w:val="00315A1F"/>
    <w:rsid w:val="00317B8B"/>
    <w:rsid w:val="00320700"/>
    <w:rsid w:val="00321934"/>
    <w:rsid w:val="00322186"/>
    <w:rsid w:val="00322545"/>
    <w:rsid w:val="00323339"/>
    <w:rsid w:val="00323569"/>
    <w:rsid w:val="00324068"/>
    <w:rsid w:val="00325A10"/>
    <w:rsid w:val="00332DB9"/>
    <w:rsid w:val="0033497F"/>
    <w:rsid w:val="00335B03"/>
    <w:rsid w:val="00335DB5"/>
    <w:rsid w:val="00335F72"/>
    <w:rsid w:val="0033732B"/>
    <w:rsid w:val="003374D2"/>
    <w:rsid w:val="00337753"/>
    <w:rsid w:val="00337CFE"/>
    <w:rsid w:val="003425F3"/>
    <w:rsid w:val="00346752"/>
    <w:rsid w:val="003473A0"/>
    <w:rsid w:val="00347BEC"/>
    <w:rsid w:val="00350FB7"/>
    <w:rsid w:val="00352533"/>
    <w:rsid w:val="00352BC0"/>
    <w:rsid w:val="00352DEF"/>
    <w:rsid w:val="00355656"/>
    <w:rsid w:val="00362BA5"/>
    <w:rsid w:val="00363261"/>
    <w:rsid w:val="003653F3"/>
    <w:rsid w:val="00366786"/>
    <w:rsid w:val="0037424B"/>
    <w:rsid w:val="00375FA4"/>
    <w:rsid w:val="00381372"/>
    <w:rsid w:val="00381C3C"/>
    <w:rsid w:val="00385AE6"/>
    <w:rsid w:val="003864A5"/>
    <w:rsid w:val="00387647"/>
    <w:rsid w:val="00387CEE"/>
    <w:rsid w:val="00397AC7"/>
    <w:rsid w:val="003A06BD"/>
    <w:rsid w:val="003A0E8B"/>
    <w:rsid w:val="003A2BF5"/>
    <w:rsid w:val="003A4168"/>
    <w:rsid w:val="003B2F7A"/>
    <w:rsid w:val="003B69ED"/>
    <w:rsid w:val="003B6D97"/>
    <w:rsid w:val="003B6E05"/>
    <w:rsid w:val="003B78F6"/>
    <w:rsid w:val="003C042E"/>
    <w:rsid w:val="003C096C"/>
    <w:rsid w:val="003C48C8"/>
    <w:rsid w:val="003C51EB"/>
    <w:rsid w:val="003C6121"/>
    <w:rsid w:val="003C66E4"/>
    <w:rsid w:val="003C7873"/>
    <w:rsid w:val="003D101F"/>
    <w:rsid w:val="003D255E"/>
    <w:rsid w:val="003D5286"/>
    <w:rsid w:val="003E00EF"/>
    <w:rsid w:val="003E0F35"/>
    <w:rsid w:val="003E1B58"/>
    <w:rsid w:val="003E29D1"/>
    <w:rsid w:val="003E37FC"/>
    <w:rsid w:val="003E786F"/>
    <w:rsid w:val="003F1E08"/>
    <w:rsid w:val="003F1E76"/>
    <w:rsid w:val="003F47A9"/>
    <w:rsid w:val="003F4D22"/>
    <w:rsid w:val="003F4F0B"/>
    <w:rsid w:val="003F4FCB"/>
    <w:rsid w:val="003F6FAD"/>
    <w:rsid w:val="00403253"/>
    <w:rsid w:val="004035E3"/>
    <w:rsid w:val="00404D3C"/>
    <w:rsid w:val="004066EF"/>
    <w:rsid w:val="00406906"/>
    <w:rsid w:val="00410EB2"/>
    <w:rsid w:val="00411288"/>
    <w:rsid w:val="00411CF4"/>
    <w:rsid w:val="00413987"/>
    <w:rsid w:val="00414E03"/>
    <w:rsid w:val="004168B6"/>
    <w:rsid w:val="0042201F"/>
    <w:rsid w:val="00426203"/>
    <w:rsid w:val="004264E4"/>
    <w:rsid w:val="00430713"/>
    <w:rsid w:val="00431350"/>
    <w:rsid w:val="00435169"/>
    <w:rsid w:val="004351AA"/>
    <w:rsid w:val="00436A0E"/>
    <w:rsid w:val="004404B8"/>
    <w:rsid w:val="00440F33"/>
    <w:rsid w:val="0044165F"/>
    <w:rsid w:val="004437B8"/>
    <w:rsid w:val="00453736"/>
    <w:rsid w:val="004548BE"/>
    <w:rsid w:val="004566C6"/>
    <w:rsid w:val="00456E70"/>
    <w:rsid w:val="00461D53"/>
    <w:rsid w:val="00461FEF"/>
    <w:rsid w:val="004632EC"/>
    <w:rsid w:val="00463974"/>
    <w:rsid w:val="00464654"/>
    <w:rsid w:val="00472878"/>
    <w:rsid w:val="004733A6"/>
    <w:rsid w:val="0047451C"/>
    <w:rsid w:val="00474C24"/>
    <w:rsid w:val="004775FD"/>
    <w:rsid w:val="00481A28"/>
    <w:rsid w:val="00482190"/>
    <w:rsid w:val="004830C9"/>
    <w:rsid w:val="004836EE"/>
    <w:rsid w:val="004844CD"/>
    <w:rsid w:val="00484D04"/>
    <w:rsid w:val="004855C1"/>
    <w:rsid w:val="004862EF"/>
    <w:rsid w:val="004913DC"/>
    <w:rsid w:val="004914E2"/>
    <w:rsid w:val="0049472B"/>
    <w:rsid w:val="00494DC2"/>
    <w:rsid w:val="00496BBA"/>
    <w:rsid w:val="004976A8"/>
    <w:rsid w:val="004A1EAB"/>
    <w:rsid w:val="004A4E0E"/>
    <w:rsid w:val="004A6AB8"/>
    <w:rsid w:val="004B01AD"/>
    <w:rsid w:val="004B150B"/>
    <w:rsid w:val="004B3435"/>
    <w:rsid w:val="004B5468"/>
    <w:rsid w:val="004B6D62"/>
    <w:rsid w:val="004B771E"/>
    <w:rsid w:val="004C1CC7"/>
    <w:rsid w:val="004C24EE"/>
    <w:rsid w:val="004C3A90"/>
    <w:rsid w:val="004C71F1"/>
    <w:rsid w:val="004D0AEF"/>
    <w:rsid w:val="004D20EB"/>
    <w:rsid w:val="004D4E60"/>
    <w:rsid w:val="004E2617"/>
    <w:rsid w:val="004E5994"/>
    <w:rsid w:val="004F2E34"/>
    <w:rsid w:val="004F4941"/>
    <w:rsid w:val="004F5E98"/>
    <w:rsid w:val="005002C3"/>
    <w:rsid w:val="00501FF9"/>
    <w:rsid w:val="005024BA"/>
    <w:rsid w:val="00503814"/>
    <w:rsid w:val="005049A5"/>
    <w:rsid w:val="00504A56"/>
    <w:rsid w:val="005060BE"/>
    <w:rsid w:val="0051113C"/>
    <w:rsid w:val="00512FEF"/>
    <w:rsid w:val="005140FD"/>
    <w:rsid w:val="00515D38"/>
    <w:rsid w:val="00515FD8"/>
    <w:rsid w:val="0051676B"/>
    <w:rsid w:val="00516ED8"/>
    <w:rsid w:val="005213CC"/>
    <w:rsid w:val="005237E0"/>
    <w:rsid w:val="005244FD"/>
    <w:rsid w:val="00527656"/>
    <w:rsid w:val="005301F5"/>
    <w:rsid w:val="00531074"/>
    <w:rsid w:val="005318FE"/>
    <w:rsid w:val="005324B8"/>
    <w:rsid w:val="00532D16"/>
    <w:rsid w:val="00535CCC"/>
    <w:rsid w:val="00540F2C"/>
    <w:rsid w:val="005426EB"/>
    <w:rsid w:val="005434B2"/>
    <w:rsid w:val="005463EF"/>
    <w:rsid w:val="005475CF"/>
    <w:rsid w:val="005555A2"/>
    <w:rsid w:val="00555B71"/>
    <w:rsid w:val="00557EE7"/>
    <w:rsid w:val="00560993"/>
    <w:rsid w:val="00560BD8"/>
    <w:rsid w:val="0056185F"/>
    <w:rsid w:val="0056193A"/>
    <w:rsid w:val="00561F7B"/>
    <w:rsid w:val="00565747"/>
    <w:rsid w:val="00567B43"/>
    <w:rsid w:val="00570030"/>
    <w:rsid w:val="0057386F"/>
    <w:rsid w:val="00573F4D"/>
    <w:rsid w:val="00574179"/>
    <w:rsid w:val="0057647C"/>
    <w:rsid w:val="005764CF"/>
    <w:rsid w:val="00577680"/>
    <w:rsid w:val="00581B99"/>
    <w:rsid w:val="00584504"/>
    <w:rsid w:val="005857F4"/>
    <w:rsid w:val="005870C0"/>
    <w:rsid w:val="005874EC"/>
    <w:rsid w:val="00591EA6"/>
    <w:rsid w:val="00592389"/>
    <w:rsid w:val="00592558"/>
    <w:rsid w:val="00593B80"/>
    <w:rsid w:val="00593F14"/>
    <w:rsid w:val="00595351"/>
    <w:rsid w:val="005A0586"/>
    <w:rsid w:val="005A4D9C"/>
    <w:rsid w:val="005A6869"/>
    <w:rsid w:val="005A6D7E"/>
    <w:rsid w:val="005B407E"/>
    <w:rsid w:val="005B7762"/>
    <w:rsid w:val="005B7C08"/>
    <w:rsid w:val="005C2A55"/>
    <w:rsid w:val="005C388D"/>
    <w:rsid w:val="005C5031"/>
    <w:rsid w:val="005D1F64"/>
    <w:rsid w:val="005D2A56"/>
    <w:rsid w:val="005D3C9A"/>
    <w:rsid w:val="005D4389"/>
    <w:rsid w:val="005D58B5"/>
    <w:rsid w:val="005D602B"/>
    <w:rsid w:val="005D717D"/>
    <w:rsid w:val="005E0303"/>
    <w:rsid w:val="005E4950"/>
    <w:rsid w:val="005E5C2C"/>
    <w:rsid w:val="005E65E1"/>
    <w:rsid w:val="005F4C40"/>
    <w:rsid w:val="005F565E"/>
    <w:rsid w:val="00600596"/>
    <w:rsid w:val="0060194F"/>
    <w:rsid w:val="006019E9"/>
    <w:rsid w:val="00602072"/>
    <w:rsid w:val="006064A1"/>
    <w:rsid w:val="00610A62"/>
    <w:rsid w:val="00612438"/>
    <w:rsid w:val="00614DFA"/>
    <w:rsid w:val="00616D4D"/>
    <w:rsid w:val="0062091D"/>
    <w:rsid w:val="00625609"/>
    <w:rsid w:val="00625BF6"/>
    <w:rsid w:val="006265E9"/>
    <w:rsid w:val="006267EA"/>
    <w:rsid w:val="00630033"/>
    <w:rsid w:val="00630BAF"/>
    <w:rsid w:val="00631B8B"/>
    <w:rsid w:val="00631BB9"/>
    <w:rsid w:val="00631BCE"/>
    <w:rsid w:val="00631C25"/>
    <w:rsid w:val="00632EFC"/>
    <w:rsid w:val="006332A3"/>
    <w:rsid w:val="00633739"/>
    <w:rsid w:val="00634B89"/>
    <w:rsid w:val="006375CA"/>
    <w:rsid w:val="006400DA"/>
    <w:rsid w:val="0064156B"/>
    <w:rsid w:val="00644715"/>
    <w:rsid w:val="00646A86"/>
    <w:rsid w:val="00647590"/>
    <w:rsid w:val="00647797"/>
    <w:rsid w:val="00647D13"/>
    <w:rsid w:val="00651A3D"/>
    <w:rsid w:val="006524AC"/>
    <w:rsid w:val="00652698"/>
    <w:rsid w:val="0065316D"/>
    <w:rsid w:val="006539FA"/>
    <w:rsid w:val="006559BC"/>
    <w:rsid w:val="006559CC"/>
    <w:rsid w:val="00655AB9"/>
    <w:rsid w:val="00655C37"/>
    <w:rsid w:val="006577D6"/>
    <w:rsid w:val="00661C41"/>
    <w:rsid w:val="006653EC"/>
    <w:rsid w:val="00666452"/>
    <w:rsid w:val="00670ADD"/>
    <w:rsid w:val="00671AEE"/>
    <w:rsid w:val="00671E07"/>
    <w:rsid w:val="0067297A"/>
    <w:rsid w:val="00675A6D"/>
    <w:rsid w:val="00675F1F"/>
    <w:rsid w:val="006808A3"/>
    <w:rsid w:val="0068242C"/>
    <w:rsid w:val="006845A8"/>
    <w:rsid w:val="00684E30"/>
    <w:rsid w:val="00687853"/>
    <w:rsid w:val="00690130"/>
    <w:rsid w:val="0069088F"/>
    <w:rsid w:val="00692BC0"/>
    <w:rsid w:val="00692C82"/>
    <w:rsid w:val="006941E3"/>
    <w:rsid w:val="00697125"/>
    <w:rsid w:val="006976BC"/>
    <w:rsid w:val="006A42FC"/>
    <w:rsid w:val="006A45E2"/>
    <w:rsid w:val="006A49CD"/>
    <w:rsid w:val="006A5070"/>
    <w:rsid w:val="006A70A7"/>
    <w:rsid w:val="006A746C"/>
    <w:rsid w:val="006A753B"/>
    <w:rsid w:val="006B08EF"/>
    <w:rsid w:val="006B2A04"/>
    <w:rsid w:val="006B413E"/>
    <w:rsid w:val="006B458D"/>
    <w:rsid w:val="006B7A7E"/>
    <w:rsid w:val="006C0262"/>
    <w:rsid w:val="006C0B1C"/>
    <w:rsid w:val="006C0EA5"/>
    <w:rsid w:val="006C17BF"/>
    <w:rsid w:val="006C19D3"/>
    <w:rsid w:val="006C2279"/>
    <w:rsid w:val="006C5861"/>
    <w:rsid w:val="006C7922"/>
    <w:rsid w:val="006C7A5E"/>
    <w:rsid w:val="006C7A8C"/>
    <w:rsid w:val="006D0B27"/>
    <w:rsid w:val="006D1E53"/>
    <w:rsid w:val="006D3EA1"/>
    <w:rsid w:val="006D53BE"/>
    <w:rsid w:val="006D542E"/>
    <w:rsid w:val="006D5A28"/>
    <w:rsid w:val="006D60FA"/>
    <w:rsid w:val="006E01E3"/>
    <w:rsid w:val="006E27B7"/>
    <w:rsid w:val="006E4BA2"/>
    <w:rsid w:val="006E553A"/>
    <w:rsid w:val="006E5716"/>
    <w:rsid w:val="006E5A81"/>
    <w:rsid w:val="006E692E"/>
    <w:rsid w:val="006E75A3"/>
    <w:rsid w:val="006F1A40"/>
    <w:rsid w:val="006F20BE"/>
    <w:rsid w:val="006F3933"/>
    <w:rsid w:val="006F5317"/>
    <w:rsid w:val="006F57CF"/>
    <w:rsid w:val="00701826"/>
    <w:rsid w:val="00702E1B"/>
    <w:rsid w:val="007034B5"/>
    <w:rsid w:val="00707599"/>
    <w:rsid w:val="00710B06"/>
    <w:rsid w:val="00711779"/>
    <w:rsid w:val="00711F05"/>
    <w:rsid w:val="0071492E"/>
    <w:rsid w:val="007152F3"/>
    <w:rsid w:val="007156B6"/>
    <w:rsid w:val="00717B59"/>
    <w:rsid w:val="007228AB"/>
    <w:rsid w:val="00722AFB"/>
    <w:rsid w:val="00723B39"/>
    <w:rsid w:val="00731235"/>
    <w:rsid w:val="00732067"/>
    <w:rsid w:val="00733204"/>
    <w:rsid w:val="007344A9"/>
    <w:rsid w:val="0073472F"/>
    <w:rsid w:val="00734D0F"/>
    <w:rsid w:val="00736A19"/>
    <w:rsid w:val="00737EA4"/>
    <w:rsid w:val="007400B1"/>
    <w:rsid w:val="007409FC"/>
    <w:rsid w:val="00740A41"/>
    <w:rsid w:val="00747360"/>
    <w:rsid w:val="00753336"/>
    <w:rsid w:val="00755C66"/>
    <w:rsid w:val="007563CC"/>
    <w:rsid w:val="00762649"/>
    <w:rsid w:val="00762F8A"/>
    <w:rsid w:val="007660C1"/>
    <w:rsid w:val="007702B6"/>
    <w:rsid w:val="007762CD"/>
    <w:rsid w:val="00777EE1"/>
    <w:rsid w:val="00781A27"/>
    <w:rsid w:val="0078261C"/>
    <w:rsid w:val="00783142"/>
    <w:rsid w:val="007846C6"/>
    <w:rsid w:val="007911FE"/>
    <w:rsid w:val="00791578"/>
    <w:rsid w:val="00793563"/>
    <w:rsid w:val="00796259"/>
    <w:rsid w:val="007968B9"/>
    <w:rsid w:val="00796F26"/>
    <w:rsid w:val="007A19B6"/>
    <w:rsid w:val="007A20F4"/>
    <w:rsid w:val="007A25C7"/>
    <w:rsid w:val="007A3304"/>
    <w:rsid w:val="007A3F10"/>
    <w:rsid w:val="007A42F7"/>
    <w:rsid w:val="007A7E47"/>
    <w:rsid w:val="007B05AC"/>
    <w:rsid w:val="007B0FD1"/>
    <w:rsid w:val="007B225E"/>
    <w:rsid w:val="007B6597"/>
    <w:rsid w:val="007B7205"/>
    <w:rsid w:val="007B790F"/>
    <w:rsid w:val="007C1298"/>
    <w:rsid w:val="007C1C5A"/>
    <w:rsid w:val="007C28B2"/>
    <w:rsid w:val="007C2A47"/>
    <w:rsid w:val="007C52AE"/>
    <w:rsid w:val="007C537C"/>
    <w:rsid w:val="007C5AD4"/>
    <w:rsid w:val="007D1544"/>
    <w:rsid w:val="007D1D86"/>
    <w:rsid w:val="007D303A"/>
    <w:rsid w:val="007D3753"/>
    <w:rsid w:val="007D38C8"/>
    <w:rsid w:val="007D60F6"/>
    <w:rsid w:val="007D7AF2"/>
    <w:rsid w:val="007D7EF9"/>
    <w:rsid w:val="007E117E"/>
    <w:rsid w:val="007E1A67"/>
    <w:rsid w:val="007E2187"/>
    <w:rsid w:val="007E32C2"/>
    <w:rsid w:val="007E51F1"/>
    <w:rsid w:val="007E5344"/>
    <w:rsid w:val="007E599F"/>
    <w:rsid w:val="007E6B80"/>
    <w:rsid w:val="007E782F"/>
    <w:rsid w:val="007F0288"/>
    <w:rsid w:val="007F03DF"/>
    <w:rsid w:val="007F0913"/>
    <w:rsid w:val="007F14D4"/>
    <w:rsid w:val="007F166D"/>
    <w:rsid w:val="007F1FEA"/>
    <w:rsid w:val="007F6166"/>
    <w:rsid w:val="007F63E9"/>
    <w:rsid w:val="008047FE"/>
    <w:rsid w:val="00804874"/>
    <w:rsid w:val="008054D0"/>
    <w:rsid w:val="0080688F"/>
    <w:rsid w:val="008122A6"/>
    <w:rsid w:val="008122B5"/>
    <w:rsid w:val="0081764E"/>
    <w:rsid w:val="008225F0"/>
    <w:rsid w:val="008232D0"/>
    <w:rsid w:val="00823CE9"/>
    <w:rsid w:val="00823EA0"/>
    <w:rsid w:val="008264CA"/>
    <w:rsid w:val="00831E72"/>
    <w:rsid w:val="00837727"/>
    <w:rsid w:val="00837B77"/>
    <w:rsid w:val="008438D9"/>
    <w:rsid w:val="00844BD0"/>
    <w:rsid w:val="00845A3F"/>
    <w:rsid w:val="00846431"/>
    <w:rsid w:val="00847187"/>
    <w:rsid w:val="0085015F"/>
    <w:rsid w:val="0085219C"/>
    <w:rsid w:val="0085290C"/>
    <w:rsid w:val="00852BEA"/>
    <w:rsid w:val="00854BC9"/>
    <w:rsid w:val="00855917"/>
    <w:rsid w:val="00856889"/>
    <w:rsid w:val="00856F0F"/>
    <w:rsid w:val="00857E3A"/>
    <w:rsid w:val="008601A7"/>
    <w:rsid w:val="008609B8"/>
    <w:rsid w:val="00860B1A"/>
    <w:rsid w:val="00861270"/>
    <w:rsid w:val="00866A7F"/>
    <w:rsid w:val="00871DCC"/>
    <w:rsid w:val="00875C20"/>
    <w:rsid w:val="0087633E"/>
    <w:rsid w:val="008843DA"/>
    <w:rsid w:val="008847DD"/>
    <w:rsid w:val="0088641D"/>
    <w:rsid w:val="00886A12"/>
    <w:rsid w:val="00890C16"/>
    <w:rsid w:val="00891EB6"/>
    <w:rsid w:val="0089671D"/>
    <w:rsid w:val="008976D3"/>
    <w:rsid w:val="008A240A"/>
    <w:rsid w:val="008A39A6"/>
    <w:rsid w:val="008A4315"/>
    <w:rsid w:val="008A5157"/>
    <w:rsid w:val="008A6766"/>
    <w:rsid w:val="008A7982"/>
    <w:rsid w:val="008B0123"/>
    <w:rsid w:val="008B082C"/>
    <w:rsid w:val="008B0854"/>
    <w:rsid w:val="008B0D50"/>
    <w:rsid w:val="008B1EB6"/>
    <w:rsid w:val="008B34B9"/>
    <w:rsid w:val="008B42DC"/>
    <w:rsid w:val="008B449A"/>
    <w:rsid w:val="008B621D"/>
    <w:rsid w:val="008B6504"/>
    <w:rsid w:val="008C0E0C"/>
    <w:rsid w:val="008C0F50"/>
    <w:rsid w:val="008C28E1"/>
    <w:rsid w:val="008C52A2"/>
    <w:rsid w:val="008C54B5"/>
    <w:rsid w:val="008C6599"/>
    <w:rsid w:val="008C7580"/>
    <w:rsid w:val="008D0F83"/>
    <w:rsid w:val="008D1BC3"/>
    <w:rsid w:val="008D2B7E"/>
    <w:rsid w:val="008D2F11"/>
    <w:rsid w:val="008D5327"/>
    <w:rsid w:val="008E3BC9"/>
    <w:rsid w:val="008E4CEF"/>
    <w:rsid w:val="008E57A6"/>
    <w:rsid w:val="008E7E34"/>
    <w:rsid w:val="008F048B"/>
    <w:rsid w:val="008F1856"/>
    <w:rsid w:val="008F2A3C"/>
    <w:rsid w:val="008F738A"/>
    <w:rsid w:val="00902937"/>
    <w:rsid w:val="00913BB0"/>
    <w:rsid w:val="00915D32"/>
    <w:rsid w:val="009160F0"/>
    <w:rsid w:val="00916636"/>
    <w:rsid w:val="00923DA0"/>
    <w:rsid w:val="00925C01"/>
    <w:rsid w:val="0092652D"/>
    <w:rsid w:val="00927220"/>
    <w:rsid w:val="009307DD"/>
    <w:rsid w:val="009376F2"/>
    <w:rsid w:val="0094566E"/>
    <w:rsid w:val="00946787"/>
    <w:rsid w:val="00946A0E"/>
    <w:rsid w:val="0094749B"/>
    <w:rsid w:val="00951776"/>
    <w:rsid w:val="00953C5F"/>
    <w:rsid w:val="0095497C"/>
    <w:rsid w:val="00954E46"/>
    <w:rsid w:val="00957AE8"/>
    <w:rsid w:val="00957F21"/>
    <w:rsid w:val="00960D3C"/>
    <w:rsid w:val="00962194"/>
    <w:rsid w:val="0096258A"/>
    <w:rsid w:val="00962B83"/>
    <w:rsid w:val="00963EDD"/>
    <w:rsid w:val="00964AEF"/>
    <w:rsid w:val="00964FD0"/>
    <w:rsid w:val="0097370A"/>
    <w:rsid w:val="0097472C"/>
    <w:rsid w:val="009756D9"/>
    <w:rsid w:val="009767A2"/>
    <w:rsid w:val="00976E29"/>
    <w:rsid w:val="00981364"/>
    <w:rsid w:val="00982083"/>
    <w:rsid w:val="0098227F"/>
    <w:rsid w:val="00982CCA"/>
    <w:rsid w:val="00982E50"/>
    <w:rsid w:val="00982FC3"/>
    <w:rsid w:val="009838D6"/>
    <w:rsid w:val="00983ECF"/>
    <w:rsid w:val="00986634"/>
    <w:rsid w:val="00986D33"/>
    <w:rsid w:val="00990931"/>
    <w:rsid w:val="00990FF4"/>
    <w:rsid w:val="009915A7"/>
    <w:rsid w:val="009924E2"/>
    <w:rsid w:val="0099450A"/>
    <w:rsid w:val="00996BA1"/>
    <w:rsid w:val="009973B4"/>
    <w:rsid w:val="009A07B8"/>
    <w:rsid w:val="009A0A8B"/>
    <w:rsid w:val="009A0EDB"/>
    <w:rsid w:val="009A1228"/>
    <w:rsid w:val="009A185D"/>
    <w:rsid w:val="009A1BD3"/>
    <w:rsid w:val="009A2D52"/>
    <w:rsid w:val="009A4C61"/>
    <w:rsid w:val="009A51CE"/>
    <w:rsid w:val="009A66D4"/>
    <w:rsid w:val="009A7173"/>
    <w:rsid w:val="009A7753"/>
    <w:rsid w:val="009B1BFD"/>
    <w:rsid w:val="009B3EC0"/>
    <w:rsid w:val="009B49EA"/>
    <w:rsid w:val="009B50C1"/>
    <w:rsid w:val="009B5E36"/>
    <w:rsid w:val="009B79C7"/>
    <w:rsid w:val="009C07E8"/>
    <w:rsid w:val="009C177C"/>
    <w:rsid w:val="009C3A9D"/>
    <w:rsid w:val="009C4082"/>
    <w:rsid w:val="009C49A5"/>
    <w:rsid w:val="009C5CD6"/>
    <w:rsid w:val="009D04D3"/>
    <w:rsid w:val="009D14AE"/>
    <w:rsid w:val="009D6FF8"/>
    <w:rsid w:val="009D74DF"/>
    <w:rsid w:val="009E33B5"/>
    <w:rsid w:val="009E4788"/>
    <w:rsid w:val="009E79A6"/>
    <w:rsid w:val="009F06D6"/>
    <w:rsid w:val="009F1C8F"/>
    <w:rsid w:val="009F1FD7"/>
    <w:rsid w:val="009F3D74"/>
    <w:rsid w:val="00A000B8"/>
    <w:rsid w:val="00A0183A"/>
    <w:rsid w:val="00A03BF7"/>
    <w:rsid w:val="00A05AEF"/>
    <w:rsid w:val="00A06566"/>
    <w:rsid w:val="00A079BA"/>
    <w:rsid w:val="00A10943"/>
    <w:rsid w:val="00A10D8A"/>
    <w:rsid w:val="00A12019"/>
    <w:rsid w:val="00A12A44"/>
    <w:rsid w:val="00A13CA0"/>
    <w:rsid w:val="00A149F5"/>
    <w:rsid w:val="00A15340"/>
    <w:rsid w:val="00A16D4A"/>
    <w:rsid w:val="00A170F6"/>
    <w:rsid w:val="00A20C95"/>
    <w:rsid w:val="00A2445D"/>
    <w:rsid w:val="00A24474"/>
    <w:rsid w:val="00A245CD"/>
    <w:rsid w:val="00A30220"/>
    <w:rsid w:val="00A316CD"/>
    <w:rsid w:val="00A319A9"/>
    <w:rsid w:val="00A32115"/>
    <w:rsid w:val="00A3252C"/>
    <w:rsid w:val="00A360B9"/>
    <w:rsid w:val="00A37436"/>
    <w:rsid w:val="00A37B52"/>
    <w:rsid w:val="00A400C9"/>
    <w:rsid w:val="00A40626"/>
    <w:rsid w:val="00A40CEE"/>
    <w:rsid w:val="00A40E97"/>
    <w:rsid w:val="00A40FA4"/>
    <w:rsid w:val="00A434AC"/>
    <w:rsid w:val="00A43D43"/>
    <w:rsid w:val="00A43D72"/>
    <w:rsid w:val="00A44393"/>
    <w:rsid w:val="00A45BC8"/>
    <w:rsid w:val="00A47397"/>
    <w:rsid w:val="00A5086F"/>
    <w:rsid w:val="00A508A1"/>
    <w:rsid w:val="00A51993"/>
    <w:rsid w:val="00A53EB8"/>
    <w:rsid w:val="00A54501"/>
    <w:rsid w:val="00A54709"/>
    <w:rsid w:val="00A555DE"/>
    <w:rsid w:val="00A55B65"/>
    <w:rsid w:val="00A56005"/>
    <w:rsid w:val="00A62299"/>
    <w:rsid w:val="00A64FEE"/>
    <w:rsid w:val="00A657F6"/>
    <w:rsid w:val="00A6635C"/>
    <w:rsid w:val="00A710BC"/>
    <w:rsid w:val="00A74DC1"/>
    <w:rsid w:val="00A755EC"/>
    <w:rsid w:val="00A77C8F"/>
    <w:rsid w:val="00A82658"/>
    <w:rsid w:val="00A82919"/>
    <w:rsid w:val="00A835DD"/>
    <w:rsid w:val="00A84FA5"/>
    <w:rsid w:val="00A87132"/>
    <w:rsid w:val="00A87BD8"/>
    <w:rsid w:val="00A90881"/>
    <w:rsid w:val="00A9170A"/>
    <w:rsid w:val="00A97623"/>
    <w:rsid w:val="00AA08C6"/>
    <w:rsid w:val="00AA1DEE"/>
    <w:rsid w:val="00AA1E37"/>
    <w:rsid w:val="00AA4759"/>
    <w:rsid w:val="00AA47F4"/>
    <w:rsid w:val="00AA579F"/>
    <w:rsid w:val="00AA72D0"/>
    <w:rsid w:val="00AC0199"/>
    <w:rsid w:val="00AC4249"/>
    <w:rsid w:val="00AC7EA1"/>
    <w:rsid w:val="00AD2807"/>
    <w:rsid w:val="00AD4798"/>
    <w:rsid w:val="00AD6AD5"/>
    <w:rsid w:val="00AE0239"/>
    <w:rsid w:val="00AE077D"/>
    <w:rsid w:val="00AE5E5C"/>
    <w:rsid w:val="00AE6033"/>
    <w:rsid w:val="00AF0F34"/>
    <w:rsid w:val="00AF2AAA"/>
    <w:rsid w:val="00AF2ED8"/>
    <w:rsid w:val="00AF3654"/>
    <w:rsid w:val="00AF3D2C"/>
    <w:rsid w:val="00AF4166"/>
    <w:rsid w:val="00AF48AC"/>
    <w:rsid w:val="00AF48BD"/>
    <w:rsid w:val="00AF5959"/>
    <w:rsid w:val="00AF740A"/>
    <w:rsid w:val="00B0084A"/>
    <w:rsid w:val="00B021C3"/>
    <w:rsid w:val="00B05548"/>
    <w:rsid w:val="00B1611E"/>
    <w:rsid w:val="00B17DC4"/>
    <w:rsid w:val="00B212E3"/>
    <w:rsid w:val="00B22232"/>
    <w:rsid w:val="00B231AF"/>
    <w:rsid w:val="00B26CC9"/>
    <w:rsid w:val="00B27516"/>
    <w:rsid w:val="00B27EC7"/>
    <w:rsid w:val="00B307F5"/>
    <w:rsid w:val="00B3160C"/>
    <w:rsid w:val="00B32CA1"/>
    <w:rsid w:val="00B33C3C"/>
    <w:rsid w:val="00B34AA5"/>
    <w:rsid w:val="00B3590D"/>
    <w:rsid w:val="00B424C7"/>
    <w:rsid w:val="00B43E86"/>
    <w:rsid w:val="00B44474"/>
    <w:rsid w:val="00B4472C"/>
    <w:rsid w:val="00B451B5"/>
    <w:rsid w:val="00B51215"/>
    <w:rsid w:val="00B538AB"/>
    <w:rsid w:val="00B5611E"/>
    <w:rsid w:val="00B56960"/>
    <w:rsid w:val="00B628AB"/>
    <w:rsid w:val="00B63EAD"/>
    <w:rsid w:val="00B65ED9"/>
    <w:rsid w:val="00B702D3"/>
    <w:rsid w:val="00B708FC"/>
    <w:rsid w:val="00B70997"/>
    <w:rsid w:val="00B7316D"/>
    <w:rsid w:val="00B75063"/>
    <w:rsid w:val="00B77AF7"/>
    <w:rsid w:val="00B80E24"/>
    <w:rsid w:val="00B80E55"/>
    <w:rsid w:val="00B852EE"/>
    <w:rsid w:val="00B8532E"/>
    <w:rsid w:val="00B855EA"/>
    <w:rsid w:val="00B85FAB"/>
    <w:rsid w:val="00B8639D"/>
    <w:rsid w:val="00B91140"/>
    <w:rsid w:val="00B91561"/>
    <w:rsid w:val="00B93940"/>
    <w:rsid w:val="00B9443F"/>
    <w:rsid w:val="00B950D1"/>
    <w:rsid w:val="00B9591D"/>
    <w:rsid w:val="00B97F71"/>
    <w:rsid w:val="00BA2EBD"/>
    <w:rsid w:val="00BA48A2"/>
    <w:rsid w:val="00BA65AB"/>
    <w:rsid w:val="00BA6BEA"/>
    <w:rsid w:val="00BA7ABD"/>
    <w:rsid w:val="00BA7C60"/>
    <w:rsid w:val="00BA7FF0"/>
    <w:rsid w:val="00BB218C"/>
    <w:rsid w:val="00BB443C"/>
    <w:rsid w:val="00BB5CDF"/>
    <w:rsid w:val="00BC0319"/>
    <w:rsid w:val="00BC0408"/>
    <w:rsid w:val="00BC17F2"/>
    <w:rsid w:val="00BC3383"/>
    <w:rsid w:val="00BD12DE"/>
    <w:rsid w:val="00BD4D15"/>
    <w:rsid w:val="00BD5623"/>
    <w:rsid w:val="00BD6FEB"/>
    <w:rsid w:val="00BD7484"/>
    <w:rsid w:val="00BE06D3"/>
    <w:rsid w:val="00BE3CA7"/>
    <w:rsid w:val="00BE3F2A"/>
    <w:rsid w:val="00BE4EEB"/>
    <w:rsid w:val="00BE529F"/>
    <w:rsid w:val="00BE5A9B"/>
    <w:rsid w:val="00BE6D22"/>
    <w:rsid w:val="00BE7DCD"/>
    <w:rsid w:val="00BF21B4"/>
    <w:rsid w:val="00BF3026"/>
    <w:rsid w:val="00BF3044"/>
    <w:rsid w:val="00BF4041"/>
    <w:rsid w:val="00BF50DF"/>
    <w:rsid w:val="00C002EA"/>
    <w:rsid w:val="00C009EF"/>
    <w:rsid w:val="00C00CDD"/>
    <w:rsid w:val="00C02195"/>
    <w:rsid w:val="00C02846"/>
    <w:rsid w:val="00C051DC"/>
    <w:rsid w:val="00C060D1"/>
    <w:rsid w:val="00C06986"/>
    <w:rsid w:val="00C06B09"/>
    <w:rsid w:val="00C06FE2"/>
    <w:rsid w:val="00C0736F"/>
    <w:rsid w:val="00C1665B"/>
    <w:rsid w:val="00C1721E"/>
    <w:rsid w:val="00C174C3"/>
    <w:rsid w:val="00C178D0"/>
    <w:rsid w:val="00C2042E"/>
    <w:rsid w:val="00C21466"/>
    <w:rsid w:val="00C216EB"/>
    <w:rsid w:val="00C21900"/>
    <w:rsid w:val="00C25166"/>
    <w:rsid w:val="00C251D6"/>
    <w:rsid w:val="00C31D32"/>
    <w:rsid w:val="00C32D43"/>
    <w:rsid w:val="00C35C5D"/>
    <w:rsid w:val="00C377A6"/>
    <w:rsid w:val="00C40545"/>
    <w:rsid w:val="00C41415"/>
    <w:rsid w:val="00C41E26"/>
    <w:rsid w:val="00C45444"/>
    <w:rsid w:val="00C50C6A"/>
    <w:rsid w:val="00C52131"/>
    <w:rsid w:val="00C528CA"/>
    <w:rsid w:val="00C53155"/>
    <w:rsid w:val="00C54301"/>
    <w:rsid w:val="00C54445"/>
    <w:rsid w:val="00C54A13"/>
    <w:rsid w:val="00C54A54"/>
    <w:rsid w:val="00C60D7F"/>
    <w:rsid w:val="00C6171A"/>
    <w:rsid w:val="00C64932"/>
    <w:rsid w:val="00C65A31"/>
    <w:rsid w:val="00C7148C"/>
    <w:rsid w:val="00C72154"/>
    <w:rsid w:val="00C72306"/>
    <w:rsid w:val="00C7392A"/>
    <w:rsid w:val="00C740F0"/>
    <w:rsid w:val="00C754E0"/>
    <w:rsid w:val="00C75E38"/>
    <w:rsid w:val="00C7763E"/>
    <w:rsid w:val="00C820F3"/>
    <w:rsid w:val="00C828AC"/>
    <w:rsid w:val="00C8354B"/>
    <w:rsid w:val="00C8369C"/>
    <w:rsid w:val="00C85FFC"/>
    <w:rsid w:val="00C86187"/>
    <w:rsid w:val="00C91511"/>
    <w:rsid w:val="00C94F96"/>
    <w:rsid w:val="00C97316"/>
    <w:rsid w:val="00CA02E5"/>
    <w:rsid w:val="00CA06D8"/>
    <w:rsid w:val="00CA1763"/>
    <w:rsid w:val="00CA292D"/>
    <w:rsid w:val="00CA2D42"/>
    <w:rsid w:val="00CA32E6"/>
    <w:rsid w:val="00CA51FB"/>
    <w:rsid w:val="00CA5AFC"/>
    <w:rsid w:val="00CA7E3E"/>
    <w:rsid w:val="00CB0F2A"/>
    <w:rsid w:val="00CB2BBE"/>
    <w:rsid w:val="00CB4320"/>
    <w:rsid w:val="00CB43C4"/>
    <w:rsid w:val="00CB47C4"/>
    <w:rsid w:val="00CB4FCA"/>
    <w:rsid w:val="00CC09FF"/>
    <w:rsid w:val="00CC18F6"/>
    <w:rsid w:val="00CC3326"/>
    <w:rsid w:val="00CC4766"/>
    <w:rsid w:val="00CC5EF8"/>
    <w:rsid w:val="00CC7376"/>
    <w:rsid w:val="00CD1E73"/>
    <w:rsid w:val="00CD25C5"/>
    <w:rsid w:val="00CD3536"/>
    <w:rsid w:val="00CD72AA"/>
    <w:rsid w:val="00CE074F"/>
    <w:rsid w:val="00CE0D29"/>
    <w:rsid w:val="00CE24D3"/>
    <w:rsid w:val="00CE3F34"/>
    <w:rsid w:val="00CE4957"/>
    <w:rsid w:val="00CE6768"/>
    <w:rsid w:val="00CE7E7F"/>
    <w:rsid w:val="00CF01BB"/>
    <w:rsid w:val="00CF0492"/>
    <w:rsid w:val="00CF6AD2"/>
    <w:rsid w:val="00CF79FF"/>
    <w:rsid w:val="00CF7D83"/>
    <w:rsid w:val="00D00355"/>
    <w:rsid w:val="00D008C6"/>
    <w:rsid w:val="00D028F6"/>
    <w:rsid w:val="00D04173"/>
    <w:rsid w:val="00D04B2F"/>
    <w:rsid w:val="00D05F9F"/>
    <w:rsid w:val="00D0668C"/>
    <w:rsid w:val="00D11C49"/>
    <w:rsid w:val="00D12634"/>
    <w:rsid w:val="00D21A4B"/>
    <w:rsid w:val="00D23569"/>
    <w:rsid w:val="00D23E3F"/>
    <w:rsid w:val="00D26D56"/>
    <w:rsid w:val="00D30AE1"/>
    <w:rsid w:val="00D338DA"/>
    <w:rsid w:val="00D35457"/>
    <w:rsid w:val="00D37C2A"/>
    <w:rsid w:val="00D402EA"/>
    <w:rsid w:val="00D40CD0"/>
    <w:rsid w:val="00D4179A"/>
    <w:rsid w:val="00D42B59"/>
    <w:rsid w:val="00D51182"/>
    <w:rsid w:val="00D5328D"/>
    <w:rsid w:val="00D566A5"/>
    <w:rsid w:val="00D5738D"/>
    <w:rsid w:val="00D57DF6"/>
    <w:rsid w:val="00D61E9F"/>
    <w:rsid w:val="00D6341E"/>
    <w:rsid w:val="00D63E36"/>
    <w:rsid w:val="00D64C1A"/>
    <w:rsid w:val="00D67C4E"/>
    <w:rsid w:val="00D70B82"/>
    <w:rsid w:val="00D7244E"/>
    <w:rsid w:val="00D731C7"/>
    <w:rsid w:val="00D744CA"/>
    <w:rsid w:val="00D7451B"/>
    <w:rsid w:val="00D7458E"/>
    <w:rsid w:val="00D74A34"/>
    <w:rsid w:val="00D7580B"/>
    <w:rsid w:val="00D7601E"/>
    <w:rsid w:val="00D833CB"/>
    <w:rsid w:val="00D8364D"/>
    <w:rsid w:val="00D8449C"/>
    <w:rsid w:val="00D85334"/>
    <w:rsid w:val="00D85557"/>
    <w:rsid w:val="00D85600"/>
    <w:rsid w:val="00D8734E"/>
    <w:rsid w:val="00D906FC"/>
    <w:rsid w:val="00D91013"/>
    <w:rsid w:val="00D91124"/>
    <w:rsid w:val="00D91181"/>
    <w:rsid w:val="00D94E14"/>
    <w:rsid w:val="00DA0B8A"/>
    <w:rsid w:val="00DA3D04"/>
    <w:rsid w:val="00DA488C"/>
    <w:rsid w:val="00DA4F3F"/>
    <w:rsid w:val="00DA5A08"/>
    <w:rsid w:val="00DA5B11"/>
    <w:rsid w:val="00DA5E8C"/>
    <w:rsid w:val="00DA5F86"/>
    <w:rsid w:val="00DA73F4"/>
    <w:rsid w:val="00DB078C"/>
    <w:rsid w:val="00DB132B"/>
    <w:rsid w:val="00DB2FE1"/>
    <w:rsid w:val="00DB3722"/>
    <w:rsid w:val="00DC044D"/>
    <w:rsid w:val="00DC495E"/>
    <w:rsid w:val="00DC7F81"/>
    <w:rsid w:val="00DD10E4"/>
    <w:rsid w:val="00DD2A3B"/>
    <w:rsid w:val="00DD4D7D"/>
    <w:rsid w:val="00DD608B"/>
    <w:rsid w:val="00DD712C"/>
    <w:rsid w:val="00DE1E9C"/>
    <w:rsid w:val="00DE5EED"/>
    <w:rsid w:val="00DF02A7"/>
    <w:rsid w:val="00DF0C8C"/>
    <w:rsid w:val="00DF16E6"/>
    <w:rsid w:val="00DF1F2D"/>
    <w:rsid w:val="00DF2148"/>
    <w:rsid w:val="00DF339B"/>
    <w:rsid w:val="00DF4323"/>
    <w:rsid w:val="00E03CA4"/>
    <w:rsid w:val="00E0439E"/>
    <w:rsid w:val="00E04581"/>
    <w:rsid w:val="00E04D54"/>
    <w:rsid w:val="00E11A31"/>
    <w:rsid w:val="00E128CB"/>
    <w:rsid w:val="00E133CC"/>
    <w:rsid w:val="00E13528"/>
    <w:rsid w:val="00E21909"/>
    <w:rsid w:val="00E21FB5"/>
    <w:rsid w:val="00E24ED5"/>
    <w:rsid w:val="00E25C8A"/>
    <w:rsid w:val="00E31A5A"/>
    <w:rsid w:val="00E31F92"/>
    <w:rsid w:val="00E337C9"/>
    <w:rsid w:val="00E372B7"/>
    <w:rsid w:val="00E40185"/>
    <w:rsid w:val="00E40996"/>
    <w:rsid w:val="00E41A9F"/>
    <w:rsid w:val="00E41D9E"/>
    <w:rsid w:val="00E43316"/>
    <w:rsid w:val="00E439A3"/>
    <w:rsid w:val="00E43ECC"/>
    <w:rsid w:val="00E440D4"/>
    <w:rsid w:val="00E4418E"/>
    <w:rsid w:val="00E44DCF"/>
    <w:rsid w:val="00E45263"/>
    <w:rsid w:val="00E47C9E"/>
    <w:rsid w:val="00E50520"/>
    <w:rsid w:val="00E532F5"/>
    <w:rsid w:val="00E55B67"/>
    <w:rsid w:val="00E614CC"/>
    <w:rsid w:val="00E65A9C"/>
    <w:rsid w:val="00E704A3"/>
    <w:rsid w:val="00E70737"/>
    <w:rsid w:val="00E719F0"/>
    <w:rsid w:val="00E738D6"/>
    <w:rsid w:val="00E74170"/>
    <w:rsid w:val="00E74FA4"/>
    <w:rsid w:val="00E76B78"/>
    <w:rsid w:val="00E776A0"/>
    <w:rsid w:val="00E776ED"/>
    <w:rsid w:val="00E77D09"/>
    <w:rsid w:val="00E81EDD"/>
    <w:rsid w:val="00E82865"/>
    <w:rsid w:val="00E830BD"/>
    <w:rsid w:val="00E840FD"/>
    <w:rsid w:val="00E84262"/>
    <w:rsid w:val="00E851E6"/>
    <w:rsid w:val="00E936DA"/>
    <w:rsid w:val="00E93C9F"/>
    <w:rsid w:val="00E93D13"/>
    <w:rsid w:val="00E953F2"/>
    <w:rsid w:val="00E95D76"/>
    <w:rsid w:val="00E95F40"/>
    <w:rsid w:val="00E967DA"/>
    <w:rsid w:val="00E9786C"/>
    <w:rsid w:val="00EA41A7"/>
    <w:rsid w:val="00EA5A17"/>
    <w:rsid w:val="00EB127F"/>
    <w:rsid w:val="00EB16D5"/>
    <w:rsid w:val="00EB3169"/>
    <w:rsid w:val="00EB390F"/>
    <w:rsid w:val="00EB62B6"/>
    <w:rsid w:val="00EB7746"/>
    <w:rsid w:val="00EB7FE4"/>
    <w:rsid w:val="00EC03C2"/>
    <w:rsid w:val="00EC10DB"/>
    <w:rsid w:val="00EC1F81"/>
    <w:rsid w:val="00EC22B4"/>
    <w:rsid w:val="00EC22BA"/>
    <w:rsid w:val="00EC37A2"/>
    <w:rsid w:val="00EC5CD4"/>
    <w:rsid w:val="00EC65CA"/>
    <w:rsid w:val="00EC7C0F"/>
    <w:rsid w:val="00ED0202"/>
    <w:rsid w:val="00ED04DC"/>
    <w:rsid w:val="00ED16AA"/>
    <w:rsid w:val="00ED2B4D"/>
    <w:rsid w:val="00ED3239"/>
    <w:rsid w:val="00ED5343"/>
    <w:rsid w:val="00ED7AD0"/>
    <w:rsid w:val="00EE0A27"/>
    <w:rsid w:val="00EE0FA6"/>
    <w:rsid w:val="00EE285F"/>
    <w:rsid w:val="00EE2A12"/>
    <w:rsid w:val="00EE2CC8"/>
    <w:rsid w:val="00EE34FA"/>
    <w:rsid w:val="00EE51FF"/>
    <w:rsid w:val="00EF12FE"/>
    <w:rsid w:val="00EF2539"/>
    <w:rsid w:val="00EF4566"/>
    <w:rsid w:val="00EF4613"/>
    <w:rsid w:val="00EF4697"/>
    <w:rsid w:val="00EF4C04"/>
    <w:rsid w:val="00EF5A8C"/>
    <w:rsid w:val="00F009B8"/>
    <w:rsid w:val="00F00C3F"/>
    <w:rsid w:val="00F04611"/>
    <w:rsid w:val="00F04D73"/>
    <w:rsid w:val="00F06BEF"/>
    <w:rsid w:val="00F07B6F"/>
    <w:rsid w:val="00F07C40"/>
    <w:rsid w:val="00F1680A"/>
    <w:rsid w:val="00F16DC8"/>
    <w:rsid w:val="00F21170"/>
    <w:rsid w:val="00F21D30"/>
    <w:rsid w:val="00F22B1A"/>
    <w:rsid w:val="00F23B09"/>
    <w:rsid w:val="00F25037"/>
    <w:rsid w:val="00F25836"/>
    <w:rsid w:val="00F26827"/>
    <w:rsid w:val="00F30291"/>
    <w:rsid w:val="00F349B3"/>
    <w:rsid w:val="00F34B46"/>
    <w:rsid w:val="00F34E7F"/>
    <w:rsid w:val="00F3561B"/>
    <w:rsid w:val="00F409C9"/>
    <w:rsid w:val="00F41505"/>
    <w:rsid w:val="00F42ACF"/>
    <w:rsid w:val="00F43A3A"/>
    <w:rsid w:val="00F44CA4"/>
    <w:rsid w:val="00F46DCC"/>
    <w:rsid w:val="00F475C7"/>
    <w:rsid w:val="00F5395D"/>
    <w:rsid w:val="00F544C9"/>
    <w:rsid w:val="00F5737A"/>
    <w:rsid w:val="00F57D0F"/>
    <w:rsid w:val="00F605B9"/>
    <w:rsid w:val="00F61CD4"/>
    <w:rsid w:val="00F642D4"/>
    <w:rsid w:val="00F650BD"/>
    <w:rsid w:val="00F65492"/>
    <w:rsid w:val="00F6569A"/>
    <w:rsid w:val="00F671CA"/>
    <w:rsid w:val="00F70867"/>
    <w:rsid w:val="00F70F7E"/>
    <w:rsid w:val="00F72AA7"/>
    <w:rsid w:val="00F72CEA"/>
    <w:rsid w:val="00F73A13"/>
    <w:rsid w:val="00F7428F"/>
    <w:rsid w:val="00F76103"/>
    <w:rsid w:val="00F77E03"/>
    <w:rsid w:val="00F80A17"/>
    <w:rsid w:val="00F80C28"/>
    <w:rsid w:val="00F86594"/>
    <w:rsid w:val="00F8742C"/>
    <w:rsid w:val="00F8794A"/>
    <w:rsid w:val="00F87C27"/>
    <w:rsid w:val="00F9638F"/>
    <w:rsid w:val="00FA0609"/>
    <w:rsid w:val="00FA14AA"/>
    <w:rsid w:val="00FA2341"/>
    <w:rsid w:val="00FA28DB"/>
    <w:rsid w:val="00FA30E3"/>
    <w:rsid w:val="00FA5935"/>
    <w:rsid w:val="00FA6564"/>
    <w:rsid w:val="00FA7A00"/>
    <w:rsid w:val="00FA7D17"/>
    <w:rsid w:val="00FB1F5D"/>
    <w:rsid w:val="00FB2737"/>
    <w:rsid w:val="00FB2CAD"/>
    <w:rsid w:val="00FB2D48"/>
    <w:rsid w:val="00FB4527"/>
    <w:rsid w:val="00FB4DA7"/>
    <w:rsid w:val="00FB5549"/>
    <w:rsid w:val="00FB564A"/>
    <w:rsid w:val="00FC07B8"/>
    <w:rsid w:val="00FC1F7E"/>
    <w:rsid w:val="00FC5E8A"/>
    <w:rsid w:val="00FC6C20"/>
    <w:rsid w:val="00FD0BAE"/>
    <w:rsid w:val="00FD2F13"/>
    <w:rsid w:val="00FD378B"/>
    <w:rsid w:val="00FE2592"/>
    <w:rsid w:val="00FE2836"/>
    <w:rsid w:val="00FE3029"/>
    <w:rsid w:val="00FE32F1"/>
    <w:rsid w:val="00FE3C6D"/>
    <w:rsid w:val="00FE3F17"/>
    <w:rsid w:val="00FE4219"/>
    <w:rsid w:val="00FE7433"/>
    <w:rsid w:val="00FF26C9"/>
    <w:rsid w:val="00FF2E48"/>
    <w:rsid w:val="00FF31A1"/>
    <w:rsid w:val="00FF40AC"/>
    <w:rsid w:val="00FF4B4D"/>
    <w:rsid w:val="01453A14"/>
    <w:rsid w:val="02193718"/>
    <w:rsid w:val="03045253"/>
    <w:rsid w:val="031765AB"/>
    <w:rsid w:val="03B86720"/>
    <w:rsid w:val="03E17ACA"/>
    <w:rsid w:val="04DA3BBE"/>
    <w:rsid w:val="06110369"/>
    <w:rsid w:val="08A7247E"/>
    <w:rsid w:val="0A977223"/>
    <w:rsid w:val="0BE65DF4"/>
    <w:rsid w:val="0D547535"/>
    <w:rsid w:val="0DF76096"/>
    <w:rsid w:val="0F1D66E0"/>
    <w:rsid w:val="13A6407E"/>
    <w:rsid w:val="13B36C86"/>
    <w:rsid w:val="14D26F15"/>
    <w:rsid w:val="1585042C"/>
    <w:rsid w:val="166C451C"/>
    <w:rsid w:val="16724C84"/>
    <w:rsid w:val="17342109"/>
    <w:rsid w:val="183D6D9C"/>
    <w:rsid w:val="18C96E4C"/>
    <w:rsid w:val="19687E48"/>
    <w:rsid w:val="19E00326"/>
    <w:rsid w:val="1BA50EE0"/>
    <w:rsid w:val="1BC01709"/>
    <w:rsid w:val="1D721295"/>
    <w:rsid w:val="201C4693"/>
    <w:rsid w:val="2023302E"/>
    <w:rsid w:val="2078417A"/>
    <w:rsid w:val="21723F5A"/>
    <w:rsid w:val="257F750E"/>
    <w:rsid w:val="266D4CF0"/>
    <w:rsid w:val="26971D6D"/>
    <w:rsid w:val="270D2737"/>
    <w:rsid w:val="27351CB2"/>
    <w:rsid w:val="27400656"/>
    <w:rsid w:val="27C8371D"/>
    <w:rsid w:val="281713B7"/>
    <w:rsid w:val="29233D8C"/>
    <w:rsid w:val="29585285"/>
    <w:rsid w:val="2A2878AC"/>
    <w:rsid w:val="2A9A4646"/>
    <w:rsid w:val="2B4B2E19"/>
    <w:rsid w:val="2C2F4908"/>
    <w:rsid w:val="2E7B1F74"/>
    <w:rsid w:val="2EA73F41"/>
    <w:rsid w:val="2F2D726A"/>
    <w:rsid w:val="2F5D3E4C"/>
    <w:rsid w:val="2F6F57AC"/>
    <w:rsid w:val="2FF700B2"/>
    <w:rsid w:val="31097D0B"/>
    <w:rsid w:val="319D6CD7"/>
    <w:rsid w:val="31AB0C25"/>
    <w:rsid w:val="326C0551"/>
    <w:rsid w:val="32715B68"/>
    <w:rsid w:val="339F04B3"/>
    <w:rsid w:val="349B3370"/>
    <w:rsid w:val="352C5D76"/>
    <w:rsid w:val="36722445"/>
    <w:rsid w:val="36C24BE4"/>
    <w:rsid w:val="37553E76"/>
    <w:rsid w:val="3B375A1C"/>
    <w:rsid w:val="3E594080"/>
    <w:rsid w:val="40295CD4"/>
    <w:rsid w:val="424F608A"/>
    <w:rsid w:val="425F778B"/>
    <w:rsid w:val="4278084D"/>
    <w:rsid w:val="42862F6A"/>
    <w:rsid w:val="43E4263E"/>
    <w:rsid w:val="45EB289C"/>
    <w:rsid w:val="47665118"/>
    <w:rsid w:val="477D2EEB"/>
    <w:rsid w:val="47F92050"/>
    <w:rsid w:val="48DB1376"/>
    <w:rsid w:val="4AF27FDB"/>
    <w:rsid w:val="4D031EC5"/>
    <w:rsid w:val="4D19039B"/>
    <w:rsid w:val="4D471547"/>
    <w:rsid w:val="4D9F3131"/>
    <w:rsid w:val="4DC94652"/>
    <w:rsid w:val="4F9F566B"/>
    <w:rsid w:val="51500431"/>
    <w:rsid w:val="53F046E7"/>
    <w:rsid w:val="5517089B"/>
    <w:rsid w:val="557B4484"/>
    <w:rsid w:val="55AC59CE"/>
    <w:rsid w:val="563E2BBB"/>
    <w:rsid w:val="56486A5C"/>
    <w:rsid w:val="57C17FAA"/>
    <w:rsid w:val="57C93442"/>
    <w:rsid w:val="580746F5"/>
    <w:rsid w:val="58C61471"/>
    <w:rsid w:val="59A0270B"/>
    <w:rsid w:val="5A4B62FE"/>
    <w:rsid w:val="5B0F5D9A"/>
    <w:rsid w:val="5B44356A"/>
    <w:rsid w:val="5D6879E4"/>
    <w:rsid w:val="5E336236"/>
    <w:rsid w:val="5F93445E"/>
    <w:rsid w:val="62F6093E"/>
    <w:rsid w:val="63BD79F5"/>
    <w:rsid w:val="66B33A51"/>
    <w:rsid w:val="66E22694"/>
    <w:rsid w:val="6B54127A"/>
    <w:rsid w:val="6B577045"/>
    <w:rsid w:val="6BCA388B"/>
    <w:rsid w:val="6C2B67AC"/>
    <w:rsid w:val="6CC664D5"/>
    <w:rsid w:val="6D2650E5"/>
    <w:rsid w:val="6EAA21F6"/>
    <w:rsid w:val="705777F5"/>
    <w:rsid w:val="70A602DC"/>
    <w:rsid w:val="71834994"/>
    <w:rsid w:val="72B172DF"/>
    <w:rsid w:val="732B3CF3"/>
    <w:rsid w:val="73DD7754"/>
    <w:rsid w:val="75022074"/>
    <w:rsid w:val="758807CB"/>
    <w:rsid w:val="780661E3"/>
    <w:rsid w:val="78660DA0"/>
    <w:rsid w:val="788C05D2"/>
    <w:rsid w:val="78994A9D"/>
    <w:rsid w:val="7A8D2E9A"/>
    <w:rsid w:val="7B4A02D1"/>
    <w:rsid w:val="7BDF08C7"/>
    <w:rsid w:val="7C2C729B"/>
    <w:rsid w:val="7C4F2043"/>
    <w:rsid w:val="7C861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4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next w:val="1"/>
    <w:link w:val="27"/>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6">
    <w:name w:val="heading 5"/>
    <w:basedOn w:val="1"/>
    <w:next w:val="1"/>
    <w:link w:val="28"/>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paragraph" w:styleId="7">
    <w:name w:val="heading 6"/>
    <w:basedOn w:val="1"/>
    <w:next w:val="1"/>
    <w:link w:val="29"/>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42"/>
    <w:unhideWhenUsed/>
    <w:qFormat/>
    <w:uiPriority w:val="0"/>
    <w:rPr>
      <w:rFonts w:ascii="宋体" w:eastAsia="宋体"/>
      <w:sz w:val="18"/>
      <w:szCs w:val="18"/>
    </w:rPr>
  </w:style>
  <w:style w:type="paragraph" w:styleId="9">
    <w:name w:val="annotation text"/>
    <w:basedOn w:val="1"/>
    <w:link w:val="44"/>
    <w:qFormat/>
    <w:uiPriority w:val="99"/>
    <w:pPr>
      <w:jc w:val="left"/>
    </w:pPr>
    <w:rPr>
      <w:rFonts w:ascii="Times New Roman" w:hAnsi="Times New Roman" w:eastAsia="宋体" w:cs="Times New Roman"/>
      <w:szCs w:val="24"/>
    </w:rPr>
  </w:style>
  <w:style w:type="paragraph" w:styleId="10">
    <w:name w:val="Balloon Text"/>
    <w:basedOn w:val="1"/>
    <w:link w:val="43"/>
    <w:semiHidden/>
    <w:unhideWhenUsed/>
    <w:qFormat/>
    <w:uiPriority w:val="99"/>
    <w:rPr>
      <w:sz w:val="18"/>
      <w:szCs w:val="18"/>
    </w:rPr>
  </w:style>
  <w:style w:type="paragraph" w:styleId="11">
    <w:name w:val="footer"/>
    <w:basedOn w:val="1"/>
    <w:link w:val="24"/>
    <w:unhideWhenUsed/>
    <w:qFormat/>
    <w:uiPriority w:val="0"/>
    <w:pPr>
      <w:tabs>
        <w:tab w:val="center" w:pos="4153"/>
        <w:tab w:val="right" w:pos="8306"/>
      </w:tabs>
      <w:snapToGrid w:val="0"/>
      <w:jc w:val="left"/>
    </w:pPr>
    <w:rPr>
      <w:sz w:val="18"/>
      <w:szCs w:val="18"/>
    </w:rPr>
  </w:style>
  <w:style w:type="paragraph" w:styleId="12">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9"/>
    <w:next w:val="9"/>
    <w:link w:val="51"/>
    <w:semiHidden/>
    <w:unhideWhenUsed/>
    <w:qFormat/>
    <w:uiPriority w:val="99"/>
    <w:rPr>
      <w:rFonts w:asciiTheme="minorHAnsi" w:hAnsiTheme="minorHAnsi" w:eastAsiaTheme="minorEastAsia" w:cstheme="minorBidi"/>
      <w:b/>
      <w:bCs/>
      <w:szCs w:val="2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styleId="22">
    <w:name w:val="annotation reference"/>
    <w:qFormat/>
    <w:uiPriority w:val="99"/>
    <w:rPr>
      <w:sz w:val="21"/>
      <w:szCs w:val="21"/>
    </w:rPr>
  </w:style>
  <w:style w:type="character" w:customStyle="1" w:styleId="23">
    <w:name w:val="页眉 字符"/>
    <w:basedOn w:val="19"/>
    <w:link w:val="12"/>
    <w:qFormat/>
    <w:uiPriority w:val="0"/>
    <w:rPr>
      <w:sz w:val="18"/>
      <w:szCs w:val="18"/>
    </w:rPr>
  </w:style>
  <w:style w:type="character" w:customStyle="1" w:styleId="24">
    <w:name w:val="页脚 字符"/>
    <w:basedOn w:val="19"/>
    <w:link w:val="11"/>
    <w:qFormat/>
    <w:uiPriority w:val="0"/>
    <w:rPr>
      <w:sz w:val="18"/>
      <w:szCs w:val="18"/>
    </w:rPr>
  </w:style>
  <w:style w:type="character" w:customStyle="1" w:styleId="25">
    <w:name w:val="标题 1 字符"/>
    <w:basedOn w:val="19"/>
    <w:link w:val="2"/>
    <w:qFormat/>
    <w:uiPriority w:val="9"/>
    <w:rPr>
      <w:rFonts w:ascii="宋体" w:hAnsi="宋体" w:eastAsia="宋体" w:cs="宋体"/>
      <w:b/>
      <w:bCs/>
      <w:kern w:val="36"/>
      <w:sz w:val="48"/>
      <w:szCs w:val="48"/>
    </w:rPr>
  </w:style>
  <w:style w:type="character" w:customStyle="1" w:styleId="26">
    <w:name w:val="标题 3 字符"/>
    <w:basedOn w:val="19"/>
    <w:link w:val="4"/>
    <w:qFormat/>
    <w:uiPriority w:val="9"/>
    <w:rPr>
      <w:rFonts w:ascii="宋体" w:hAnsi="宋体" w:eastAsia="宋体" w:cs="宋体"/>
      <w:b/>
      <w:bCs/>
      <w:kern w:val="0"/>
      <w:sz w:val="27"/>
      <w:szCs w:val="27"/>
    </w:rPr>
  </w:style>
  <w:style w:type="character" w:customStyle="1" w:styleId="27">
    <w:name w:val="标题 4 字符"/>
    <w:basedOn w:val="19"/>
    <w:link w:val="5"/>
    <w:qFormat/>
    <w:uiPriority w:val="9"/>
    <w:rPr>
      <w:rFonts w:ascii="宋体" w:hAnsi="宋体" w:eastAsia="宋体" w:cs="宋体"/>
      <w:b/>
      <w:bCs/>
      <w:kern w:val="0"/>
      <w:sz w:val="24"/>
      <w:szCs w:val="24"/>
    </w:rPr>
  </w:style>
  <w:style w:type="character" w:customStyle="1" w:styleId="28">
    <w:name w:val="标题 5 字符"/>
    <w:basedOn w:val="19"/>
    <w:link w:val="6"/>
    <w:qFormat/>
    <w:uiPriority w:val="9"/>
    <w:rPr>
      <w:rFonts w:ascii="宋体" w:hAnsi="宋体" w:eastAsia="宋体" w:cs="宋体"/>
      <w:b/>
      <w:bCs/>
      <w:kern w:val="0"/>
      <w:sz w:val="20"/>
      <w:szCs w:val="20"/>
    </w:rPr>
  </w:style>
  <w:style w:type="character" w:customStyle="1" w:styleId="29">
    <w:name w:val="标题 6 字符"/>
    <w:basedOn w:val="19"/>
    <w:link w:val="7"/>
    <w:qFormat/>
    <w:uiPriority w:val="9"/>
    <w:rPr>
      <w:rFonts w:ascii="宋体" w:hAnsi="宋体" w:eastAsia="宋体" w:cs="宋体"/>
      <w:b/>
      <w:bCs/>
      <w:kern w:val="0"/>
      <w:sz w:val="15"/>
      <w:szCs w:val="15"/>
    </w:rPr>
  </w:style>
  <w:style w:type="character" w:customStyle="1" w:styleId="30">
    <w:name w:val="customize__projectname"/>
    <w:basedOn w:val="19"/>
    <w:qFormat/>
    <w:uiPriority w:val="0"/>
  </w:style>
  <w:style w:type="character" w:customStyle="1" w:styleId="31">
    <w:name w:val="customize_recordno"/>
    <w:basedOn w:val="19"/>
    <w:qFormat/>
    <w:uiPriority w:val="0"/>
  </w:style>
  <w:style w:type="character" w:customStyle="1" w:styleId="32">
    <w:name w:val="customize_project_code"/>
    <w:basedOn w:val="19"/>
    <w:qFormat/>
    <w:uiPriority w:val="0"/>
  </w:style>
  <w:style w:type="character" w:customStyle="1" w:styleId="33">
    <w:name w:val="customize_cgr"/>
    <w:basedOn w:val="19"/>
    <w:qFormat/>
    <w:uiPriority w:val="0"/>
  </w:style>
  <w:style w:type="character" w:customStyle="1" w:styleId="34">
    <w:name w:val="customize_agent"/>
    <w:basedOn w:val="19"/>
    <w:qFormat/>
    <w:uiPriority w:val="0"/>
  </w:style>
  <w:style w:type="character" w:customStyle="1" w:styleId="35">
    <w:name w:val="customize_cgrdz"/>
    <w:basedOn w:val="19"/>
    <w:qFormat/>
    <w:uiPriority w:val="0"/>
  </w:style>
  <w:style w:type="character" w:customStyle="1" w:styleId="36">
    <w:name w:val="customize_cgrdh"/>
    <w:basedOn w:val="19"/>
    <w:qFormat/>
    <w:uiPriority w:val="0"/>
  </w:style>
  <w:style w:type="character" w:customStyle="1" w:styleId="37">
    <w:name w:val="customize_agentadd"/>
    <w:basedOn w:val="19"/>
    <w:qFormat/>
    <w:uiPriority w:val="0"/>
  </w:style>
  <w:style w:type="character" w:customStyle="1" w:styleId="38">
    <w:name w:val="customize_agenttel"/>
    <w:basedOn w:val="19"/>
    <w:qFormat/>
    <w:uiPriority w:val="0"/>
  </w:style>
  <w:style w:type="character" w:customStyle="1" w:styleId="39">
    <w:name w:val="editlist"/>
    <w:basedOn w:val="19"/>
    <w:qFormat/>
    <w:uiPriority w:val="0"/>
  </w:style>
  <w:style w:type="character" w:customStyle="1" w:styleId="40">
    <w:name w:val="edittexttarea"/>
    <w:basedOn w:val="19"/>
    <w:qFormat/>
    <w:uiPriority w:val="0"/>
  </w:style>
  <w:style w:type="character" w:customStyle="1" w:styleId="41">
    <w:name w:val="editinput"/>
    <w:basedOn w:val="19"/>
    <w:qFormat/>
    <w:uiPriority w:val="0"/>
  </w:style>
  <w:style w:type="character" w:customStyle="1" w:styleId="42">
    <w:name w:val="文档结构图 字符"/>
    <w:basedOn w:val="19"/>
    <w:link w:val="8"/>
    <w:qFormat/>
    <w:uiPriority w:val="0"/>
    <w:rPr>
      <w:rFonts w:ascii="宋体" w:eastAsia="宋体"/>
      <w:sz w:val="18"/>
      <w:szCs w:val="18"/>
    </w:rPr>
  </w:style>
  <w:style w:type="character" w:customStyle="1" w:styleId="43">
    <w:name w:val="批注框文本 字符"/>
    <w:basedOn w:val="19"/>
    <w:link w:val="10"/>
    <w:semiHidden/>
    <w:qFormat/>
    <w:uiPriority w:val="99"/>
    <w:rPr>
      <w:sz w:val="18"/>
      <w:szCs w:val="18"/>
    </w:rPr>
  </w:style>
  <w:style w:type="character" w:customStyle="1" w:styleId="44">
    <w:name w:val="批注文字 字符"/>
    <w:basedOn w:val="19"/>
    <w:link w:val="9"/>
    <w:qFormat/>
    <w:uiPriority w:val="99"/>
    <w:rPr>
      <w:rFonts w:ascii="Times New Roman" w:hAnsi="Times New Roman" w:eastAsia="宋体" w:cs="Times New Roman"/>
      <w:szCs w:val="24"/>
    </w:rPr>
  </w:style>
  <w:style w:type="character" w:customStyle="1" w:styleId="45">
    <w:name w:val="标题 2 字符"/>
    <w:basedOn w:val="19"/>
    <w:link w:val="3"/>
    <w:qFormat/>
    <w:uiPriority w:val="9"/>
    <w:rPr>
      <w:rFonts w:asciiTheme="majorHAnsi" w:hAnsiTheme="majorHAnsi" w:eastAsiaTheme="majorEastAsia" w:cstheme="majorBidi"/>
      <w:b/>
      <w:bCs/>
      <w:sz w:val="32"/>
      <w:szCs w:val="32"/>
    </w:rPr>
  </w:style>
  <w:style w:type="paragraph" w:styleId="46">
    <w:name w:val="List Paragraph"/>
    <w:basedOn w:val="1"/>
    <w:qFormat/>
    <w:uiPriority w:val="34"/>
    <w:pPr>
      <w:ind w:firstLine="420" w:firstLineChars="200"/>
    </w:pPr>
  </w:style>
  <w:style w:type="paragraph" w:customStyle="1" w:styleId="47">
    <w:name w:val="TOC 标题1"/>
    <w:basedOn w:val="2"/>
    <w:next w:val="1"/>
    <w:semiHidden/>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376092" w:themeColor="accent1" w:themeShade="BF"/>
      <w:kern w:val="0"/>
      <w:sz w:val="28"/>
      <w:szCs w:val="28"/>
    </w:rPr>
  </w:style>
  <w:style w:type="table" w:customStyle="1" w:styleId="48">
    <w:name w:val="网格型1"/>
    <w:basedOn w:val="17"/>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9">
    <w:name w:val="网格型31"/>
    <w:basedOn w:val="17"/>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0">
    <w:name w:val="网格型4"/>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
    <w:name w:val="批注主题 字符"/>
    <w:basedOn w:val="44"/>
    <w:link w:val="16"/>
    <w:semiHidden/>
    <w:qFormat/>
    <w:uiPriority w:val="99"/>
    <w:rPr>
      <w:rFonts w:ascii="Times New Roman" w:hAnsi="Times New Roman" w:eastAsia="宋体" w:cs="Times New Roman"/>
      <w:b/>
      <w:bCs/>
      <w:kern w:val="2"/>
      <w:sz w:val="21"/>
      <w:szCs w:val="22"/>
    </w:rPr>
  </w:style>
  <w:style w:type="paragraph" w:customStyle="1" w:styleId="52">
    <w:name w:val="col-sm-1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3">
    <w:name w:val="col-sm-6"/>
    <w:basedOn w:val="19"/>
    <w:qFormat/>
    <w:uiPriority w:val="0"/>
  </w:style>
  <w:style w:type="paragraph" w:customStyle="1" w:styleId="54">
    <w:name w:val="null3"/>
    <w:hidden/>
    <w:qFormat/>
    <w:uiPriority w:val="0"/>
    <w:rPr>
      <w:rFonts w:hint="eastAsia" w:asciiTheme="minorHAnsi" w:hAnsiTheme="minorHAnsi" w:eastAsiaTheme="minorEastAsia" w:cstheme="minorBidi"/>
      <w:lang w:val="en-US" w:eastAsia="zh-CN" w:bidi="ar-SA"/>
    </w:rPr>
  </w:style>
  <w:style w:type="table" w:customStyle="1" w:styleId="55">
    <w:name w:val="网格型5"/>
    <w:basedOn w:val="1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6">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7">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FD184-9414-41B8-A37D-275991D02338}">
  <ds:schemaRefs/>
</ds:datastoreItem>
</file>

<file path=docProps/app.xml><?xml version="1.0" encoding="utf-8"?>
<Properties xmlns="http://schemas.openxmlformats.org/officeDocument/2006/extended-properties" xmlns:vt="http://schemas.openxmlformats.org/officeDocument/2006/docPropsVTypes">
  <Template>Normal.dotm</Template>
  <Company>cyu</Company>
  <Pages>111</Pages>
  <Words>1086</Words>
  <Characters>1168</Characters>
  <Lines>518</Lines>
  <Paragraphs>145</Paragraphs>
  <TotalTime>4</TotalTime>
  <ScaleCrop>false</ScaleCrop>
  <LinksUpToDate>false</LinksUpToDate>
  <CharactersWithSpaces>1264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2025-05-21T09:46:00Z</dcterms:created>
  <dc:creator>lenovo</dc:creator>
  <cp:lastModifiedBy>QYH</cp:lastModifiedBy>
  <cp:lastPrinted>2022-08-21T02:58:00Z</cp:lastPrinted>
  <dcterms:modified xsi:type="dcterms:W3CDTF">2025-05-28T08:37:08Z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CC20C5B94E46452AAF17AFC713B1C551_13</vt:lpwstr>
  </property>
  <property fmtid="{D5CDD505-2E9C-101B-9397-08002B2CF9AE}" pid="4" name="KSOTemplateDocerSaveRecord">
    <vt:lpwstr>eyJoZGlkIjoiNTFmMmU4MzBkMmI0NmZkMTg4NWIxMmYyZjM5NDJlMWYiLCJ1c2VySWQiOiIyNzc5NDExNDkifQ==</vt:lpwstr>
  </property>
</Properties>
</file>