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厦门市“十五五”住建事业发展专项规划</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CGXM-2025-350201-01227[2025]00594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[350201]GWCG[CS]2025013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厦门市住房和建设局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厦门市公物采购招投标有限公司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厦门市住房和建设局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厦门市“十五五”住建事业发展专项规划</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厦门市“十五五”住建事业发展专项规划</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CGXM-2025-350201-01227[2025]00594</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[350201]GWCG[CS]2025013</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厦门市“十五五”住建事业发展专项规划</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1,800,000.00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厦门市“十五五”住建事业发展专项规划</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厦门市“十五五”住建事业发展专项规划</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厦门市“十五五”住建事业发展专项规划</w:t>
            </w:r>
          </w:p>
        </w:tc>
        <w:tc>
          <w:tcPr>
            <w:tcW w:type="dxa" w:w="2076"/>
          </w:tcPr>
          <w:p>
            <w:pPr>
              <w:pStyle w:val="null3"/>
              <w:jc w:val="left"/>
            </w:pPr>
            <w:r>
              <w:rPr>
                <w:rFonts w:ascii="仿宋_GB2312" w:hAnsi="仿宋_GB2312" w:cs="仿宋_GB2312" w:eastAsia="仿宋_GB2312"/>
              </w:rPr>
              <w:t>按磋商文件要求</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应在响应文件中提供报价明细</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信用记录要求（磋商文件其他地方要求与本条款要求不一致的，以本条款要求为准）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2、截止时点：查询供应商响应文件递交截止当天前三年内的信用信息。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5、供应商无需提供信用信息查询结果。若供应商自行提供查询结果的，仍以评审当天查询结果为准。</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厦门市住房和建设局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福建省厦门市思明区厦禾路362号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0592-8123033</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厦门市公物采购招投标有限公司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厦门市思明区湖滨南路81号10楼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黄龙华、黄丽萍</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0592-2279310、2233021</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厦门市公物采购招投标有限公司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信用记录要求（磋商文件其他地方要求与本条款要求不一致的，以本条款要求为准）</w:t>
                  </w:r>
                </w:p>
              </w:tc>
              <w:tc>
                <w:tcPr>
                  <w:tcW w:type="dxa" w:w="1418"/>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2、截止时点：查询供应商响应文件递交截止当天前三年内的信用信息。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5、供应商无需提供信用信息查询结果。若供应商自行提供查询结果的，仍以评审当天查询结果为准。</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由磋商小组确定。</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单个包的总金额为准，按差额定率累进法计取，具体按以下标准计取：（0，100万元]，1.5%；（100万元，500万元]，0.8%；（500万元，1000万元]，0.45%；（1000万元，5000万元]，0.25%； 2、经评审专家认定中标（成交）供应商为中小企业的，中标（成交）后可享受代理服务费下浮10%的优惠。 3、代理服务费由中标（成交）供应商在领取中标（成交）通知书的同时，以转账、电汇、现金存款等付款方式一次性缴清。 4、因供应商自身原因导致最终无法承接项目的，代理服务费不予退还。 5、服务项目非因供应商自身原因导致未续签合同的，供应商可向代理机构办理退还相应服务费。 6、供应商对代理服务费计算方法有疑问的可随时咨询代理机构，提交投标（响应）文件后即视为对代理服务费收取无异议。</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本项目磋商文件第三章增加补充条款，补充条款内容与磋商文件其他地方内容不一致的，以补充条款内容为准。请供应商仔细阅读。 ※若有与电子竞争性磋商活动有关的规定及内容应在表2中填写，不在此处填写）。</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5.00%</w:t>
            </w:r>
          </w:p>
        </w:tc>
        <w:tc>
          <w:tcPr>
            <w:tcW w:type="dxa" w:w="4153"/>
          </w:tcPr>
          <w:p>
            <w:pPr>
              <w:pStyle w:val="null3"/>
              <w:jc w:val="left"/>
            </w:pPr>
            <w:r>
              <w:rPr>
                <w:rFonts w:ascii="仿宋_GB2312" w:hAnsi="仿宋_GB2312" w:cs="仿宋_GB2312" w:eastAsia="仿宋_GB2312"/>
              </w:rPr>
              <w:t>价格扣除办法详见补充条款</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价格扣除办法详见补充条款</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根据供应商对厦门市住房事业发展历程和现状的阐述进行评价，住房类型包括但不限于商品住房、保障类住房等： ①对上述内容进行阐述，内容符合项目需求的得2.4分； ②在满足① 的基础上，对厦门住房事业发展历程和现状理解分析全面、准确，有提供相关数据的得3分； ③未提供或内容不符合上述情形的得0分。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根据供应商对厦门市建设行业的发展历程和现状的阐述进行评价，包括但不限于智能建造、建筑节能及建筑工业化等： ①对上述内容进行阐述，内容符合项目需求的得2.4分； ②在满足① 的基础上，对厦门市建设行业理解分析全面、准确，有提供相关数据的得3分； ③未提供或内容不符合上述情形的得0分。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根据供应商提供的厦门市目前在售、配租配售的各类住房的项目名称及区域分布图进行评价，住房类型包括但不限于目前在售的普通商品住房、配租配售类的保障类住房、安商房等： ①对上述内容进行阐述，内容符合项目需求的得2.4分； ②在满足① 的基础上，对厦门市各类住房理解全面、认识到位的得3分； ③未提供或内容不符合上述情形的得0分。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根据供应商提供的对厦门市“十四五”住房发展规划、厦门“十四五”保障性住房建设规划的目标完成情况进行评价： ①对上述内容进行阐述，内容符合项目需求的得2.4分； ②在满足① 的基础上，对上述内容目标完成情况阐述分析全面、准确，对存在不足提出意见、建议的得3分； ③未提供或内容不符合上述情形的得0分。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根据供应商提供的对“十四五”建设事业专项规划的目标完成情况进行评价： ①对上述内容进行阐述，内容符合项目需求的得2.4分； ②在满足① 的基础上，对上述内容目标完成情况阐述分析全面、准确，对存在不足提出意见、建议的得3分； ③未提供或内容不符合上述情形的得0分。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根据供应商提供的厦门市“十五五”住建事业发展专项规划框架进行评价： 对该项内容有做出响应，能撰写规划框架，且符合本项目实施要求的得3分；未提供相关内容或提供的内容不符合本项目要求的得0分。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根据供应商对本项目的背景和编制必要性的阐述进行评价： 对该项内容有做出响应，能阐述项目背景和必要性，且符合本项目实施要求的得3分；未提供相关内容或提供的内容不符合本项目要求的得0分。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根据供应商针对本项目所提供的重点、难点分析进行评价： 对该项内容有做出响应，能阐述项目重点、难点，且符合本项目实施要求的得3分；未提供相关内容或提供的内容不符合本项目要求的得0分。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供应商需使用灰度模型、arima、决策森林三种算法提供“十五五”人口、住房需求量等的测算结果。每提供一项算法及结果得1分，满分3分；未提供的不得分。</w:t>
            </w:r>
          </w:p>
        </w:tc>
      </w:tr>
      <w:tr>
        <w:tc>
          <w:tcPr>
            <w:tcW w:type="dxa" w:w="3322"/>
          </w:tcPr>
          <w:p>
            <w:pPr>
              <w:pStyle w:val="null3"/>
              <w:jc w:val="left"/>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根据供应商提供的对厦门商品住房市场表现情况掌握程度进行评价： 供应商有相关平台，并可以连贯性掌握商品住房市场。提供市场监测平台证明的得3分；未提供的不得分。</w:t>
            </w:r>
          </w:p>
        </w:tc>
      </w:tr>
      <w:tr>
        <w:tc>
          <w:tcPr>
            <w:tcW w:type="dxa" w:w="3322"/>
          </w:tcPr>
          <w:p>
            <w:pPr>
              <w:pStyle w:val="null3"/>
              <w:jc w:val="left"/>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根据投标人针对厦门全市绿色建筑情况分析进行评价: 有提供厦门全市绿色建筑情况分析，内容包含①现状分析、②目前存在的问题、③发展的具体对策以及发展目标，内容符合情况的每点得1分，满分3分。未提供或不满足上述要求的不得分。</w:t>
            </w:r>
          </w:p>
        </w:tc>
      </w:tr>
      <w:tr>
        <w:tc>
          <w:tcPr>
            <w:tcW w:type="dxa" w:w="3322"/>
          </w:tcPr>
          <w:p>
            <w:pPr>
              <w:pStyle w:val="null3"/>
              <w:jc w:val="left"/>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根据供应商针对本项目提供的项目进度安排情况进行评价： 有提供针对本项目的项目进度安排，内容包括但不限于①项目进度安排情况、②进度保障措施，内容符合情况的每点得1.5分，满分3分。未提供或不满足上述要求的不得分。</w:t>
            </w:r>
          </w:p>
        </w:tc>
      </w:tr>
      <w:tr>
        <w:tc>
          <w:tcPr>
            <w:tcW w:type="dxa" w:w="3322"/>
          </w:tcPr>
          <w:p>
            <w:pPr>
              <w:pStyle w:val="null3"/>
              <w:jc w:val="left"/>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根据供应商的调研方案、收集数据方案进行评价: 有提供上述方案，内容包括但不限于①调研方案、②收集数据，内容符合情况的每点得1.5分，满分3分。未提供或不满足上述要求的不得分。</w:t>
            </w:r>
          </w:p>
        </w:tc>
      </w:tr>
      <w:tr>
        <w:tc>
          <w:tcPr>
            <w:tcW w:type="dxa" w:w="3322"/>
          </w:tcPr>
          <w:p>
            <w:pPr>
              <w:pStyle w:val="null3"/>
              <w:jc w:val="left"/>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根据供应商针对本项目提供的沟通协调方案进行评价： ①对该项内容有做出响应，提供沟通协调方案，符合项目需求的得2分； ②在满足①的基础上，沟通协调方案内容中能提供包括但不限于与本地政府部门、行业主体等保持良好沟通或合作往来证明的得3分； ③未提供相关内容或提供的内容不符合上述情形的得0分。</w:t>
            </w:r>
          </w:p>
        </w:tc>
      </w:tr>
      <w:tr>
        <w:tc>
          <w:tcPr>
            <w:tcW w:type="dxa" w:w="3322"/>
          </w:tcPr>
          <w:p>
            <w:pPr>
              <w:pStyle w:val="null3"/>
              <w:jc w:val="left"/>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根据供应商拟投入本项目的项目负责人（1人）进行评价： ①具有10年及以上的工作经历，提供相关工作经验证明（如过往劳动合同或过往社保缴交证明或相关工作经验合同等）； ②具有工程或房地产类相关专业教授级高级职称，提供职称证书； 以上每满足一项得1分，满分2分。 注：除提供以上证明材料外，还须提供社保缴纳证明（社保要求详见第五章9.4条），否则不得分。</w:t>
            </w:r>
          </w:p>
        </w:tc>
      </w:tr>
      <w:tr>
        <w:tc>
          <w:tcPr>
            <w:tcW w:type="dxa" w:w="3322"/>
          </w:tcPr>
          <w:p>
            <w:pPr>
              <w:pStyle w:val="null3"/>
              <w:jc w:val="left"/>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根据供应商拟投入本项目的项目负责人（1人）进行评价： 拟投入本项目的项目负责人自2021年1月1日以来（以完成时间为准）参与过住房或建设规划相关研究课题及住房建设类课题研究，每提供一个得1分，最高得3分。须提供相关的证明材料（应能体现参与人员的名字，若合同未能体现的，应提供委托方盖章确认的其他佐证材料）、社保缴纳证明，并加盖供应商公章，否则不得分。 注：技术评分项1-15、1-16项目负责人需为同一人员，否则不得分。1-16、1-17、2-1的课题均不得重复得分。</w:t>
            </w:r>
          </w:p>
        </w:tc>
      </w:tr>
      <w:tr>
        <w:tc>
          <w:tcPr>
            <w:tcW w:type="dxa" w:w="3322"/>
          </w:tcPr>
          <w:p>
            <w:pPr>
              <w:pStyle w:val="null3"/>
              <w:jc w:val="left"/>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根据供应商拟投入本项目的技术负责人（1人，不得与项目负责人重复）进行评价： ①具有10年及以上的工作经历，提供相关工作经验证明（如过往劳动合同或过往社保缴交证明或相关工作经验合同等）； ②具有建筑或房地产类相关专业高级或以上职称，提供职称证书； ③2021年1月1日（以完成时间为准）以来承担住房或建设专项规划课题，提供相关研究课题的合同复印件（应能体现参与人员的名字，若合同未能体现的，应提供委托方盖章确认的其他佐证材料）。 以上每满足一项得1分，满分3分。 注：除提供以上证明材料外，还须提供社保缴纳证明（社保要求详见第五章9.4条），否则不得分。1-16、1-17、2-1的课题均不得重复得分。</w:t>
            </w:r>
          </w:p>
        </w:tc>
      </w:tr>
      <w:tr>
        <w:tc>
          <w:tcPr>
            <w:tcW w:type="dxa" w:w="3322"/>
          </w:tcPr>
          <w:p>
            <w:pPr>
              <w:pStyle w:val="null3"/>
              <w:jc w:val="left"/>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根据供应商拟为本项目配备的专业工作团队成员（项目负责人、技术负责人除外）进行评价： 工作团队中每具有1名建筑或房地产类相关专业高级工程师或以上职称的得1分，满分3分。 注：须提供相关人员有效证书扫描件、社保缴纳证明（社保要求详见第五章9.4条），否则不得分。 评分项1-18、1-19同一人员，不重复得分。</w:t>
            </w:r>
          </w:p>
        </w:tc>
      </w:tr>
      <w:tr>
        <w:tc>
          <w:tcPr>
            <w:tcW w:type="dxa" w:w="3322"/>
          </w:tcPr>
          <w:p>
            <w:pPr>
              <w:pStyle w:val="null3"/>
              <w:jc w:val="left"/>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根据供应商拟为本项目配备的专业工作团队成员（项目负责人、技术负责人除外）进行评价：工作团队中每具有1名建筑或房地产类相关专业中级工程师职称的得1分，满分3分。 注：须提供相关人员有效证书扫描件、社保缴纳证明（社保要求详见第五章9.4条），否则不得分。 评分项1-18、1-19同一人员，不重复得分。</w:t>
            </w:r>
          </w:p>
        </w:tc>
      </w:tr>
      <w:tr>
        <w:tc>
          <w:tcPr>
            <w:tcW w:type="dxa" w:w="3322"/>
          </w:tcPr>
          <w:p>
            <w:pPr>
              <w:pStyle w:val="null3"/>
              <w:jc w:val="left"/>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根据供应商提供的项目保密措施进行评价： 提供详实的公司保密工作方案，内容包括但不限于①保密工作办法、②服务人员管理、③突发事件处理机制及预案，内容符合项目需求的每点得1分，满分3分。未提供或不满足上述要求的不得分。</w:t>
            </w:r>
          </w:p>
        </w:tc>
      </w:tr>
      <w:tr>
        <w:tc>
          <w:tcPr>
            <w:tcW w:type="dxa" w:w="3322"/>
          </w:tcPr>
          <w:p>
            <w:pPr>
              <w:pStyle w:val="null3"/>
              <w:jc w:val="left"/>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在本项目服务期内，在接到采购人作业需求后，能在1个小时内响应抵达需求现场，并在采购人确认无误后1个工作日内开展工作的得3分；承诺在半个工作日内响应抵达需求现场，并在采购人确认无误后3个工作日内开展工作的得1分；须提供书面承诺函并加盖供应商公章，否则不得分。</w:t>
            </w:r>
          </w:p>
        </w:tc>
      </w:tr>
      <w:tr>
        <w:tc>
          <w:tcPr>
            <w:tcW w:type="dxa" w:w="3322"/>
          </w:tcPr>
          <w:p>
            <w:pPr>
              <w:pStyle w:val="null3"/>
              <w:jc w:val="left"/>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供应商承诺：本项目配备的团队成员若不符合要求，采购人有权提出更换，成交供应商必须无条件予以配合。供应商须提供书面承诺函，完全满足的得3分，否则不得分。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根据供应商提供2021年1月1日(以完成时间为准)以来实施或完成住房或建设相关课题，每提供一份得1.5分，满分3分。 须提供证明文件，未提供不得分。 本项与项目负责人、技术负责人的课题评价不得重复得分。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供应商具有相关主管部门授牌的住房或建设领域公共技术服务平台，具备能够为本项目提供持续开展技术服务、科技研发的转化能力的得3分。 须提供合同文本扫描件，否则不得分。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供应商提供2021年1月1日(以完成时间为准)以来主编完成紧密关联住房和建设规划重点方向的相关规范标准，每提供一项得1分，满分3分。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供应商2021年1月1日(以落款时间为准)以来，获得住房或建设科技相关荣誉，每提供一项得1分，满分3分。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供应商可提供本地化服务的得3分，否则不得分。供应商需提供自身机构的营业执照证明，也可以提供在本地设立的项目部、办公室、办事处等机构证明或承诺成交后能提供本地化服务，未提供的不得分。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项目后续服务保障情况进行评价：售后服务保障情况包括但不限于项目后续服务内容、服务方式、服务人员安排，有利于项目顺利实施的得2分；未提供相关内容或提供的内容不符合上述情形的得0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供应商承诺能自觉接受采购人及其各级行政主管部门管理、监督和检查的得3分，未承诺的不得分。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供应商承诺能按采购人实际需求（除采购文件要求外）提供成果文件（包括数量、规格、形式等）且不再另行收费的得3分，未提供承诺的不得分。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供应商承诺采购人在使用其所提供的任何一部分成果，均不受第三方关于侵犯知识产权指控的得2分，未提供承诺的不得分。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outlineLvl w:val="2"/>
      </w:pPr>
      <w:r>
        <w:rPr>
          <w:rFonts w:ascii="仿宋_GB2312" w:hAnsi="仿宋_GB2312" w:cs="仿宋_GB2312" w:eastAsia="仿宋_GB2312"/>
          <w:sz w:val="21"/>
          <w:b/>
          <w:color w:val="000000"/>
          <w:shd w:fill="FFFFFF" w:val="clear"/>
        </w:rPr>
        <w:t xml:space="preserve">1 </w:t>
      </w:r>
      <w:r>
        <w:rPr>
          <w:rFonts w:ascii="仿宋_GB2312" w:hAnsi="仿宋_GB2312" w:cs="仿宋_GB2312" w:eastAsia="仿宋_GB2312"/>
          <w:sz w:val="21"/>
          <w:b/>
          <w:color w:val="000000"/>
          <w:shd w:fill="FFFFFF" w:val="clear"/>
        </w:rPr>
        <w:t xml:space="preserve"> </w:t>
      </w:r>
      <w:r>
        <w:rPr>
          <w:rFonts w:ascii="仿宋_GB2312" w:hAnsi="仿宋_GB2312" w:cs="仿宋_GB2312" w:eastAsia="仿宋_GB2312"/>
          <w:sz w:val="28"/>
          <w:b/>
          <w:color w:val="000000"/>
        </w:rPr>
        <w:t>项目概况</w:t>
      </w:r>
    </w:p>
    <w:p>
      <w:pPr>
        <w:pStyle w:val="null3"/>
        <w:ind w:firstLine="480"/>
        <w:jc w:val="left"/>
      </w:pPr>
      <w:r>
        <w:rPr>
          <w:rFonts w:ascii="仿宋_GB2312" w:hAnsi="仿宋_GB2312" w:cs="仿宋_GB2312" w:eastAsia="仿宋_GB2312"/>
          <w:sz w:val="24"/>
          <w:color w:val="000000"/>
        </w:rPr>
        <w:t xml:space="preserve">1.1 </w:t>
      </w:r>
      <w:r>
        <w:rPr>
          <w:rFonts w:ascii="仿宋_GB2312" w:hAnsi="仿宋_GB2312" w:cs="仿宋_GB2312" w:eastAsia="仿宋_GB2312"/>
          <w:sz w:val="24"/>
          <w:color w:val="000000"/>
        </w:rPr>
        <w:t>本项目为厦门市住房和建设局的厦门市</w:t>
      </w:r>
      <w:r>
        <w:rPr>
          <w:rFonts w:ascii="仿宋_GB2312" w:hAnsi="仿宋_GB2312" w:cs="仿宋_GB2312" w:eastAsia="仿宋_GB2312"/>
          <w:sz w:val="24"/>
          <w:color w:val="000000"/>
        </w:rPr>
        <w:t>“十五五”住建事业发展专项规划项目。</w:t>
      </w:r>
    </w:p>
    <w:p>
      <w:pPr>
        <w:pStyle w:val="null3"/>
        <w:ind w:firstLine="480"/>
        <w:jc w:val="left"/>
      </w:pP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“十五五”</w:t>
      </w:r>
      <w:r>
        <w:rPr>
          <w:rFonts w:ascii="仿宋_GB2312" w:hAnsi="仿宋_GB2312" w:cs="仿宋_GB2312" w:eastAsia="仿宋_GB2312"/>
          <w:sz w:val="24"/>
          <w:color w:val="000000"/>
        </w:rPr>
        <w:t>期间</w:t>
      </w:r>
      <w:r>
        <w:rPr>
          <w:rFonts w:ascii="仿宋_GB2312" w:hAnsi="仿宋_GB2312" w:cs="仿宋_GB2312" w:eastAsia="仿宋_GB2312"/>
          <w:sz w:val="24"/>
          <w:color w:val="000000"/>
        </w:rPr>
        <w:t>是我国基本实现社会主义现代化承前启后的关键阶段，也是我市在更高起点上推进高质量发展、加快建设高</w:t>
      </w:r>
      <w:r>
        <w:rPr>
          <w:rFonts w:ascii="仿宋_GB2312" w:hAnsi="仿宋_GB2312" w:cs="仿宋_GB2312" w:eastAsia="仿宋_GB2312"/>
          <w:sz w:val="24"/>
          <w:color w:val="000000"/>
        </w:rPr>
        <w:t>素质高颜值现代化国际化城市的关键窗口期。住房与城乡建设事业作为支撑城市能级跃升、保障民生福祉、促进经济社会协调发展的核心领域，其规划编制关乎城市空间布局优化、基础设施完善、居住品质提升等。科学编制《厦门市</w:t>
      </w:r>
      <w:r>
        <w:rPr>
          <w:rFonts w:ascii="仿宋_GB2312" w:hAnsi="仿宋_GB2312" w:cs="仿宋_GB2312" w:eastAsia="仿宋_GB2312"/>
          <w:sz w:val="24"/>
          <w:color w:val="000000"/>
        </w:rPr>
        <w:t>“十五五”住建事业发展专项规划》，是深入贯彻落实党的二十届三中全会精神、主动对接国家重大区域发展战略的必然要求，是推动城市发展方式转型的重要引擎。通过规划引领，可进一步全面深化改革，充分释放住房城乡建设稳增长潜力，有力保障和改善民生，系统防范化解风险隐患，统筹推进“四好”建设，加快构建房地产发展新模式，大力推进城市更新，促进建筑业转型升级，为厦门在“十五五”期间实现高质量发展提供坚实支撑，助力厦门率先实现社会主义现代化，建成高素质高颜值现代化国际化城市。</w:t>
      </w:r>
    </w:p>
    <w:p>
      <w:pPr>
        <w:pStyle w:val="null3"/>
        <w:numPr>
          <w:ilvl w:val="1"/>
          <w:numId w:val="1"/>
        </w:numPr>
        <w:spacing w:before="150" w:after="150"/>
      </w:pPr>
    </w:p>
    <w:p>
      <w:pPr>
        <w:pStyle w:val="null3"/>
        <w:jc w:val="left"/>
        <w:outlineLvl w:val="2"/>
      </w:pPr>
      <w:r>
        <w:rPr>
          <w:rFonts w:ascii="仿宋_GB2312" w:hAnsi="仿宋_GB2312" w:cs="仿宋_GB2312" w:eastAsia="仿宋_GB2312"/>
          <w:sz w:val="28"/>
          <w:b/>
        </w:rPr>
        <w:t>二、技术要求</w:t>
      </w:r>
    </w:p>
    <w:p>
      <w:pPr>
        <w:pStyle w:val="null3"/>
        <w:jc w:val="left"/>
        <w:outlineLvl w:val="2"/>
      </w:pPr>
      <w:r>
        <w:rPr>
          <w:rFonts w:ascii="仿宋_GB2312" w:hAnsi="仿宋_GB2312" w:cs="仿宋_GB2312" w:eastAsia="仿宋_GB2312"/>
          <w:sz w:val="28"/>
        </w:rPr>
        <w:t xml:space="preserve">2 </w:t>
      </w:r>
      <w:r>
        <w:rPr>
          <w:rFonts w:ascii="仿宋_GB2312" w:hAnsi="仿宋_GB2312" w:cs="仿宋_GB2312" w:eastAsia="仿宋_GB2312"/>
          <w:sz w:val="28"/>
          <w:b/>
        </w:rPr>
        <w:t>服务要求</w:t>
      </w:r>
    </w:p>
    <w:p>
      <w:pPr>
        <w:pStyle w:val="null3"/>
        <w:ind w:firstLine="482"/>
      </w:pPr>
      <w:r>
        <w:rPr>
          <w:rFonts w:ascii="仿宋_GB2312" w:hAnsi="仿宋_GB2312" w:cs="仿宋_GB2312" w:eastAsia="仿宋_GB2312"/>
          <w:sz w:val="24"/>
        </w:rPr>
        <w:t xml:space="preserve">2.1 </w:t>
      </w:r>
      <w:r>
        <w:rPr>
          <w:rFonts w:ascii="仿宋_GB2312" w:hAnsi="仿宋_GB2312" w:cs="仿宋_GB2312" w:eastAsia="仿宋_GB2312"/>
          <w:sz w:val="24"/>
          <w:b/>
        </w:rPr>
        <w:t>编制《厦门市</w:t>
      </w:r>
      <w:r>
        <w:rPr>
          <w:rFonts w:ascii="仿宋_GB2312" w:hAnsi="仿宋_GB2312" w:cs="仿宋_GB2312" w:eastAsia="仿宋_GB2312"/>
          <w:sz w:val="24"/>
          <w:b/>
        </w:rPr>
        <w:t>“十五五”住建事业发展专项规划》</w:t>
      </w:r>
    </w:p>
    <w:p>
      <w:pPr>
        <w:pStyle w:val="null3"/>
        <w:ind w:left="435" w:firstLine="413"/>
      </w:pPr>
      <w:r>
        <w:rPr>
          <w:rFonts w:ascii="仿宋_GB2312" w:hAnsi="仿宋_GB2312" w:cs="仿宋_GB2312" w:eastAsia="仿宋_GB2312"/>
          <w:sz w:val="24"/>
        </w:rPr>
        <w:t xml:space="preserve">2.1.1 </w:t>
      </w:r>
      <w:r>
        <w:rPr>
          <w:rFonts w:ascii="仿宋_GB2312" w:hAnsi="仿宋_GB2312" w:cs="仿宋_GB2312" w:eastAsia="仿宋_GB2312"/>
          <w:sz w:val="24"/>
          <w:b/>
        </w:rPr>
        <w:t>主要内容</w:t>
      </w:r>
    </w:p>
    <w:p>
      <w:pPr>
        <w:pStyle w:val="null3"/>
        <w:ind w:firstLine="480"/>
      </w:pPr>
      <w:r>
        <w:rPr>
          <w:rFonts w:ascii="仿宋_GB2312" w:hAnsi="仿宋_GB2312" w:cs="仿宋_GB2312" w:eastAsia="仿宋_GB2312"/>
          <w:sz w:val="24"/>
        </w:rPr>
        <w:t>通过资料收集、开展座谈、现场走访、问卷调研、</w:t>
      </w:r>
      <w:r>
        <w:rPr>
          <w:rFonts w:ascii="仿宋_GB2312" w:hAnsi="仿宋_GB2312" w:cs="仿宋_GB2312" w:eastAsia="仿宋_GB2312"/>
          <w:sz w:val="24"/>
        </w:rPr>
        <w:t>AI征集等方式，对我市“十四五”时期住建领域在住房保障、城市更新、基础设施等方面取得的成绩进行总结。梳理国家、省、市住建板块相关政策，借鉴其它国家、城市成功经验，紧扣推进全市住建领域发展的重大理论和实践问题，在综合考虑我市经济发展水平、产业发展、人口变动、住房建设与居住现状的基础上，理清规划期内需集中解决的关键任务和薄弱环节，力争改革创新，明确“十五五”期间我市住建领域发展的总体思路、规划目标、实施方案与保障机制，形成厦门市“十五五”住建事业发展专项规划。</w:t>
      </w:r>
    </w:p>
    <w:p>
      <w:pPr>
        <w:pStyle w:val="null3"/>
        <w:ind w:left="435" w:firstLine="413"/>
      </w:pPr>
      <w:r>
        <w:rPr>
          <w:rFonts w:ascii="仿宋_GB2312" w:hAnsi="仿宋_GB2312" w:cs="仿宋_GB2312" w:eastAsia="仿宋_GB2312"/>
          <w:sz w:val="24"/>
        </w:rPr>
        <w:t xml:space="preserve">2.1.2 </w:t>
      </w:r>
      <w:r>
        <w:rPr>
          <w:rFonts w:ascii="仿宋_GB2312" w:hAnsi="仿宋_GB2312" w:cs="仿宋_GB2312" w:eastAsia="仿宋_GB2312"/>
          <w:sz w:val="24"/>
          <w:b/>
        </w:rPr>
        <w:t>编制要求</w:t>
      </w:r>
    </w:p>
    <w:p>
      <w:pPr>
        <w:pStyle w:val="null3"/>
        <w:ind w:firstLine="480"/>
      </w:pPr>
      <w:r>
        <w:rPr>
          <w:rFonts w:ascii="仿宋_GB2312" w:hAnsi="仿宋_GB2312" w:cs="仿宋_GB2312" w:eastAsia="仿宋_GB2312"/>
          <w:sz w:val="24"/>
        </w:rPr>
        <w:t>①《厦门市“十五五”住建事业发展专项规划》编制需合理确定技术路线，做好专项研究。规划编制必须基于扎实、全面的基础调研。数据要求全面、详实和准确。</w:t>
      </w:r>
    </w:p>
    <w:p>
      <w:pPr>
        <w:pStyle w:val="null3"/>
        <w:ind w:firstLine="480"/>
      </w:pPr>
      <w:r>
        <w:rPr>
          <w:rFonts w:ascii="仿宋_GB2312" w:hAnsi="仿宋_GB2312" w:cs="仿宋_GB2312" w:eastAsia="仿宋_GB2312"/>
          <w:sz w:val="24"/>
        </w:rPr>
        <w:t>②坚持问题导向与目标导向相结合。规划编制既要精准总结我市住房和建设发展成效和存在问题、发展的机遇和挑战等，也要针对目标和需求展开定量分析，树立发展目标，并提出相应的实施方案和保障机制。</w:t>
      </w:r>
    </w:p>
    <w:p>
      <w:pPr>
        <w:pStyle w:val="null3"/>
        <w:ind w:firstLine="480"/>
      </w:pPr>
      <w:r>
        <w:rPr>
          <w:rFonts w:ascii="仿宋_GB2312" w:hAnsi="仿宋_GB2312" w:cs="仿宋_GB2312" w:eastAsia="仿宋_GB2312"/>
          <w:sz w:val="24"/>
        </w:rPr>
        <w:t>③规划编制方法要求科学合理。规划编制要结合我市当前及未来人口与产业发展情况，运用相关经济学、统计学模型进行科学演算，提出“十五五”期间我市住房和建设发展的总体目标、结构目标、调控目标、管理目标等。</w:t>
      </w:r>
    </w:p>
    <w:p>
      <w:pPr>
        <w:pStyle w:val="null3"/>
        <w:ind w:firstLine="480"/>
      </w:pPr>
      <w:r>
        <w:rPr>
          <w:rFonts w:ascii="仿宋_GB2312" w:hAnsi="仿宋_GB2312" w:cs="仿宋_GB2312" w:eastAsia="仿宋_GB2312"/>
          <w:sz w:val="24"/>
        </w:rPr>
        <w:t>④规划内容与成果要求做好衔接。规划编制内容和成果与《厦门市国民经济和社会发展第十五个五年规划纲要》《厦门市住房发展规划（2020-2035年）》《厦门市国民经济和社会发展第十四个五年规划和二〇三五年远景目标纲要》《厦门市国土空间总体规划（2021-2035年）》等文件做好衔接，要求目标清晰、措施明确，能有效引导我市住房发展工作。</w:t>
      </w:r>
    </w:p>
    <w:p>
      <w:pPr>
        <w:pStyle w:val="null3"/>
        <w:ind w:firstLine="480"/>
      </w:pPr>
      <w:r>
        <w:rPr>
          <w:rFonts w:ascii="仿宋_GB2312" w:hAnsi="仿宋_GB2312" w:cs="仿宋_GB2312" w:eastAsia="仿宋_GB2312"/>
          <w:sz w:val="24"/>
        </w:rPr>
        <w:t>⑤规划编制要求对标典型城市。做好住建事业“十五五”专项规划，除了立足我市经济社会和住房领域发展实际，还应针对性地筛选国内外与我市资源禀赋、发展定位有关联度的典型城市，通过典型案例研究，提出前瞻性的探索，使本规划内容更加充实、丰富。</w:t>
      </w:r>
    </w:p>
    <w:p>
      <w:pPr>
        <w:pStyle w:val="null3"/>
        <w:ind w:firstLine="480"/>
      </w:pPr>
      <w:r>
        <w:rPr>
          <w:rFonts w:ascii="仿宋_GB2312" w:hAnsi="仿宋_GB2312" w:cs="仿宋_GB2312" w:eastAsia="仿宋_GB2312"/>
          <w:sz w:val="24"/>
        </w:rPr>
        <w:t>⑥规划期限</w:t>
      </w:r>
    </w:p>
    <w:p>
      <w:pPr>
        <w:pStyle w:val="null3"/>
        <w:ind w:firstLine="480"/>
      </w:pPr>
      <w:r>
        <w:rPr>
          <w:rFonts w:ascii="仿宋_GB2312" w:hAnsi="仿宋_GB2312" w:cs="仿宋_GB2312" w:eastAsia="仿宋_GB2312"/>
          <w:sz w:val="24"/>
        </w:rPr>
        <w:t>本项目规划期限为</w:t>
      </w:r>
      <w:r>
        <w:rPr>
          <w:rFonts w:ascii="仿宋_GB2312" w:hAnsi="仿宋_GB2312" w:cs="仿宋_GB2312" w:eastAsia="仿宋_GB2312"/>
          <w:sz w:val="24"/>
        </w:rPr>
        <w:t>5年，自2026年至2030年。</w:t>
      </w:r>
    </w:p>
    <w:p>
      <w:pPr>
        <w:pStyle w:val="null3"/>
        <w:ind w:firstLine="480"/>
      </w:pPr>
      <w:r>
        <w:rPr>
          <w:rFonts w:ascii="仿宋_GB2312" w:hAnsi="仿宋_GB2312" w:cs="仿宋_GB2312" w:eastAsia="仿宋_GB2312"/>
          <w:sz w:val="24"/>
        </w:rPr>
        <w:t>⑦规划范围</w:t>
      </w:r>
    </w:p>
    <w:p>
      <w:pPr>
        <w:pStyle w:val="null3"/>
        <w:ind w:firstLine="480"/>
      </w:pPr>
      <w:r>
        <w:rPr>
          <w:rFonts w:ascii="仿宋_GB2312" w:hAnsi="仿宋_GB2312" w:cs="仿宋_GB2312" w:eastAsia="仿宋_GB2312"/>
          <w:sz w:val="24"/>
        </w:rPr>
        <w:t>本项目规划范围为厦门市。</w:t>
      </w:r>
    </w:p>
    <w:p>
      <w:pPr>
        <w:pStyle w:val="null3"/>
        <w:ind w:firstLine="482"/>
      </w:pPr>
      <w:r>
        <w:rPr>
          <w:rFonts w:ascii="仿宋_GB2312" w:hAnsi="仿宋_GB2312" w:cs="仿宋_GB2312" w:eastAsia="仿宋_GB2312"/>
          <w:sz w:val="24"/>
        </w:rPr>
        <w:t xml:space="preserve">2.2 </w:t>
      </w:r>
      <w:r>
        <w:rPr>
          <w:rFonts w:ascii="仿宋_GB2312" w:hAnsi="仿宋_GB2312" w:cs="仿宋_GB2312" w:eastAsia="仿宋_GB2312"/>
          <w:sz w:val="24"/>
          <w:b/>
        </w:rPr>
        <w:t>《厦门市</w:t>
      </w:r>
      <w:r>
        <w:rPr>
          <w:rFonts w:ascii="仿宋_GB2312" w:hAnsi="仿宋_GB2312" w:cs="仿宋_GB2312" w:eastAsia="仿宋_GB2312"/>
          <w:sz w:val="24"/>
          <w:b/>
        </w:rPr>
        <w:t>“十五五”住建事业发展专项规划》年度评估</w:t>
      </w:r>
    </w:p>
    <w:p>
      <w:pPr>
        <w:pStyle w:val="null3"/>
        <w:ind w:firstLine="480"/>
      </w:pPr>
      <w:r>
        <w:rPr>
          <w:rFonts w:ascii="仿宋_GB2312" w:hAnsi="仿宋_GB2312" w:cs="仿宋_GB2312" w:eastAsia="仿宋_GB2312"/>
          <w:sz w:val="24"/>
        </w:rPr>
        <w:t>为确保</w:t>
      </w:r>
      <w:r>
        <w:rPr>
          <w:rFonts w:ascii="仿宋_GB2312" w:hAnsi="仿宋_GB2312" w:cs="仿宋_GB2312" w:eastAsia="仿宋_GB2312"/>
          <w:sz w:val="24"/>
        </w:rPr>
        <w:t>“十五五”规划实施的方向与目标保持一致，通过每年开展年度评估，监测规划实施的进度，及时发现进度及指标滞后部分，并根据新阶段发展形势要求提出调整措施，确保“十五五”规划的顺利完成。年度评估分别在2026年、2027年、2029年、2030年，其中2030年为实施总结评估。</w:t>
      </w:r>
    </w:p>
    <w:p>
      <w:pPr>
        <w:pStyle w:val="null3"/>
        <w:ind w:firstLine="482"/>
      </w:pPr>
      <w:r>
        <w:rPr>
          <w:rFonts w:ascii="仿宋_GB2312" w:hAnsi="仿宋_GB2312" w:cs="仿宋_GB2312" w:eastAsia="仿宋_GB2312"/>
          <w:sz w:val="24"/>
        </w:rPr>
        <w:t xml:space="preserve">2.3 </w:t>
      </w:r>
      <w:r>
        <w:rPr>
          <w:rFonts w:ascii="仿宋_GB2312" w:hAnsi="仿宋_GB2312" w:cs="仿宋_GB2312" w:eastAsia="仿宋_GB2312"/>
          <w:sz w:val="24"/>
          <w:b/>
        </w:rPr>
        <w:t>《厦门市</w:t>
      </w:r>
      <w:r>
        <w:rPr>
          <w:rFonts w:ascii="仿宋_GB2312" w:hAnsi="仿宋_GB2312" w:cs="仿宋_GB2312" w:eastAsia="仿宋_GB2312"/>
          <w:sz w:val="24"/>
          <w:b/>
        </w:rPr>
        <w:t>“十五五”住建事业发展专项规划》中期评估</w:t>
      </w:r>
    </w:p>
    <w:p>
      <w:pPr>
        <w:pStyle w:val="null3"/>
        <w:ind w:firstLine="480"/>
      </w:pPr>
      <w:r>
        <w:rPr>
          <w:rFonts w:ascii="仿宋_GB2312" w:hAnsi="仿宋_GB2312" w:cs="仿宋_GB2312" w:eastAsia="仿宋_GB2312"/>
          <w:sz w:val="24"/>
        </w:rPr>
        <w:t>为进一步促进规划顺利实施，根据市发改委相关通知要求，并根据新阶段发展形势要求，开展</w:t>
      </w:r>
      <w:r>
        <w:rPr>
          <w:rFonts w:ascii="仿宋_GB2312" w:hAnsi="仿宋_GB2312" w:cs="仿宋_GB2312" w:eastAsia="仿宋_GB2312"/>
          <w:sz w:val="24"/>
        </w:rPr>
        <w:t>“十五五”规划实施情况中期评估工作，对规划实施以来主要目标、具体目标落实情况进行梳理，总结发现规划实施过程中存在的困难和问题，在此基础上提出进一步推进规划实施的相关优化举措，奋力跑好规划工作“下半场”。其中包括规划实施总体进展情况、规划实施面临的主要问题、进一步推进规划实施的对策建议等。</w:t>
      </w:r>
    </w:p>
    <w:p>
      <w:pPr>
        <w:pStyle w:val="null3"/>
        <w:ind w:firstLine="482"/>
      </w:pPr>
      <w:r>
        <w:rPr>
          <w:rFonts w:ascii="仿宋_GB2312" w:hAnsi="仿宋_GB2312" w:cs="仿宋_GB2312" w:eastAsia="仿宋_GB2312"/>
          <w:sz w:val="24"/>
        </w:rPr>
        <w:t xml:space="preserve">2.4 </w:t>
      </w:r>
      <w:r>
        <w:rPr>
          <w:rFonts w:ascii="仿宋_GB2312" w:hAnsi="仿宋_GB2312" w:cs="仿宋_GB2312" w:eastAsia="仿宋_GB2312"/>
          <w:sz w:val="24"/>
          <w:b/>
        </w:rPr>
        <w:t>《</w:t>
      </w:r>
      <w:r>
        <w:rPr>
          <w:rFonts w:ascii="仿宋_GB2312" w:hAnsi="仿宋_GB2312" w:cs="仿宋_GB2312" w:eastAsia="仿宋_GB2312"/>
          <w:sz w:val="24"/>
          <w:b/>
        </w:rPr>
        <w:t>“十四五”建设事业专项规划》实施总结评估</w:t>
      </w:r>
    </w:p>
    <w:p>
      <w:pPr>
        <w:pStyle w:val="null3"/>
        <w:ind w:firstLine="360"/>
      </w:pPr>
      <w:r>
        <w:rPr>
          <w:rFonts w:ascii="仿宋_GB2312" w:hAnsi="仿宋_GB2312" w:cs="仿宋_GB2312" w:eastAsia="仿宋_GB2312"/>
          <w:sz w:val="24"/>
        </w:rPr>
        <w:t>为客观总结《</w:t>
      </w:r>
      <w:r>
        <w:rPr>
          <w:rFonts w:ascii="仿宋_GB2312" w:hAnsi="仿宋_GB2312" w:cs="仿宋_GB2312" w:eastAsia="仿宋_GB2312"/>
          <w:sz w:val="24"/>
        </w:rPr>
        <w:t>“十四五”建设事业专项规划》实施的成绩和经验，精准查找存在的问题和不足，客观全面，系统评估“十四五”实施成果。需对《“十四五”建设事业专项规划》进行实施总结评估。</w:t>
      </w:r>
    </w:p>
    <w:p>
      <w:pPr>
        <w:pStyle w:val="null3"/>
        <w:ind w:firstLine="482"/>
      </w:pPr>
      <w:r>
        <w:rPr>
          <w:rFonts w:ascii="仿宋_GB2312" w:hAnsi="仿宋_GB2312" w:cs="仿宋_GB2312" w:eastAsia="仿宋_GB2312"/>
          <w:sz w:val="24"/>
        </w:rPr>
        <w:t xml:space="preserve">2.5 </w:t>
      </w:r>
      <w:r>
        <w:rPr>
          <w:rFonts w:ascii="仿宋_GB2312" w:hAnsi="仿宋_GB2312" w:cs="仿宋_GB2312" w:eastAsia="仿宋_GB2312"/>
          <w:sz w:val="24"/>
          <w:b/>
        </w:rPr>
        <w:t>《</w:t>
      </w:r>
      <w:r>
        <w:rPr>
          <w:rFonts w:ascii="仿宋_GB2312" w:hAnsi="仿宋_GB2312" w:cs="仿宋_GB2312" w:eastAsia="仿宋_GB2312"/>
          <w:sz w:val="24"/>
          <w:b/>
        </w:rPr>
        <w:t>“十四五”住房发展规划》实施总结评估</w:t>
      </w:r>
    </w:p>
    <w:p>
      <w:pPr>
        <w:pStyle w:val="null3"/>
        <w:ind w:firstLine="360"/>
      </w:pPr>
      <w:r>
        <w:rPr>
          <w:rFonts w:ascii="仿宋_GB2312" w:hAnsi="仿宋_GB2312" w:cs="仿宋_GB2312" w:eastAsia="仿宋_GB2312"/>
          <w:sz w:val="24"/>
        </w:rPr>
        <w:t>为客观总结《</w:t>
      </w:r>
      <w:r>
        <w:rPr>
          <w:rFonts w:ascii="仿宋_GB2312" w:hAnsi="仿宋_GB2312" w:cs="仿宋_GB2312" w:eastAsia="仿宋_GB2312"/>
          <w:sz w:val="24"/>
        </w:rPr>
        <w:t>“十四五”住房发展规划》实施的成绩和经验，精准查找存在的问题和不足，客观全面，系统评估“十四五”实施成果。需对《“十四五”住房发展规划》进行实施总结评估。</w:t>
      </w:r>
    </w:p>
    <w:p>
      <w:pPr>
        <w:pStyle w:val="null3"/>
        <w:ind w:firstLine="482"/>
      </w:pPr>
      <w:r>
        <w:rPr>
          <w:rFonts w:ascii="仿宋_GB2312" w:hAnsi="仿宋_GB2312" w:cs="仿宋_GB2312" w:eastAsia="仿宋_GB2312"/>
          <w:sz w:val="24"/>
        </w:rPr>
        <w:t xml:space="preserve">2.6 </w:t>
      </w:r>
      <w:r>
        <w:rPr>
          <w:rFonts w:ascii="仿宋_GB2312" w:hAnsi="仿宋_GB2312" w:cs="仿宋_GB2312" w:eastAsia="仿宋_GB2312"/>
          <w:sz w:val="24"/>
          <w:b/>
        </w:rPr>
        <w:t>《</w:t>
      </w:r>
      <w:r>
        <w:rPr>
          <w:rFonts w:ascii="仿宋_GB2312" w:hAnsi="仿宋_GB2312" w:cs="仿宋_GB2312" w:eastAsia="仿宋_GB2312"/>
          <w:sz w:val="24"/>
          <w:b/>
        </w:rPr>
        <w:t>“十四五”保障性住房建设规划》实施总结评估</w:t>
      </w:r>
    </w:p>
    <w:p>
      <w:pPr>
        <w:pStyle w:val="null3"/>
        <w:ind w:firstLine="360"/>
      </w:pPr>
      <w:r>
        <w:rPr>
          <w:rFonts w:ascii="仿宋_GB2312" w:hAnsi="仿宋_GB2312" w:cs="仿宋_GB2312" w:eastAsia="仿宋_GB2312"/>
          <w:sz w:val="24"/>
        </w:rPr>
        <w:t>为客观总结《</w:t>
      </w:r>
      <w:r>
        <w:rPr>
          <w:rFonts w:ascii="仿宋_GB2312" w:hAnsi="仿宋_GB2312" w:cs="仿宋_GB2312" w:eastAsia="仿宋_GB2312"/>
          <w:sz w:val="24"/>
        </w:rPr>
        <w:t>“十四五”保障性住房建设规划》实施的成绩和经验，精准查找存在的问题和不足，客观全面，系统评估“十四五”实施成果。需对《“十四五”保障性住房建设规划》进行实施总结评估。</w:t>
      </w:r>
    </w:p>
    <w:p>
      <w:pPr>
        <w:pStyle w:val="null3"/>
        <w:spacing w:before="150" w:after="150"/>
        <w:ind w:left="420"/>
      </w:pPr>
      <w:r>
        <w:rPr>
          <w:rFonts w:ascii="仿宋_GB2312" w:hAnsi="仿宋_GB2312" w:cs="仿宋_GB2312" w:eastAsia="仿宋_GB2312"/>
          <w:sz w:val="28"/>
        </w:rPr>
        <w:t xml:space="preserve">3 </w:t>
      </w:r>
      <w:r>
        <w:rPr>
          <w:rFonts w:ascii="仿宋_GB2312" w:hAnsi="仿宋_GB2312" w:cs="仿宋_GB2312" w:eastAsia="仿宋_GB2312"/>
          <w:sz w:val="28"/>
          <w:b/>
        </w:rPr>
        <w:t>成果要求</w:t>
      </w:r>
    </w:p>
    <w:p>
      <w:pPr>
        <w:pStyle w:val="null3"/>
        <w:ind w:firstLine="530"/>
      </w:pPr>
      <w:r>
        <w:rPr>
          <w:rFonts w:ascii="仿宋_GB2312" w:hAnsi="仿宋_GB2312" w:cs="仿宋_GB2312" w:eastAsia="仿宋_GB2312"/>
          <w:sz w:val="24"/>
        </w:rPr>
        <w:t>本次厦门市</w:t>
      </w:r>
      <w:r>
        <w:rPr>
          <w:rFonts w:ascii="仿宋_GB2312" w:hAnsi="仿宋_GB2312" w:cs="仿宋_GB2312" w:eastAsia="仿宋_GB2312"/>
          <w:sz w:val="24"/>
        </w:rPr>
        <w:t>“十五五”住建事业发展专项规划及配套服务需提交成果内容包括但不限于以下内容：</w:t>
      </w:r>
    </w:p>
    <w:p>
      <w:pPr>
        <w:pStyle w:val="null3"/>
        <w:ind w:firstLine="482"/>
      </w:pPr>
      <w:r>
        <w:rPr>
          <w:rFonts w:ascii="仿宋_GB2312" w:hAnsi="仿宋_GB2312" w:cs="仿宋_GB2312" w:eastAsia="仿宋_GB2312"/>
          <w:sz w:val="24"/>
        </w:rPr>
        <w:t xml:space="preserve">3.1 </w:t>
      </w:r>
      <w:r>
        <w:rPr>
          <w:rFonts w:ascii="仿宋_GB2312" w:hAnsi="仿宋_GB2312" w:cs="仿宋_GB2312" w:eastAsia="仿宋_GB2312"/>
          <w:sz w:val="24"/>
          <w:b/>
        </w:rPr>
        <w:t>纸质成果</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《厦门市</w:t>
      </w:r>
      <w:r>
        <w:rPr>
          <w:rFonts w:ascii="仿宋_GB2312" w:hAnsi="仿宋_GB2312" w:cs="仿宋_GB2312" w:eastAsia="仿宋_GB2312"/>
          <w:sz w:val="24"/>
        </w:rPr>
        <w:t>“十五五”住建事业发展专项规划》</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《厦门市</w:t>
      </w:r>
      <w:r>
        <w:rPr>
          <w:rFonts w:ascii="仿宋_GB2312" w:hAnsi="仿宋_GB2312" w:cs="仿宋_GB2312" w:eastAsia="仿宋_GB2312"/>
          <w:sz w:val="24"/>
        </w:rPr>
        <w:t>“十五五”住建事业发展专项规划》2026年年度评估</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《厦门市</w:t>
      </w:r>
      <w:r>
        <w:rPr>
          <w:rFonts w:ascii="仿宋_GB2312" w:hAnsi="仿宋_GB2312" w:cs="仿宋_GB2312" w:eastAsia="仿宋_GB2312"/>
          <w:sz w:val="24"/>
        </w:rPr>
        <w:t>“十五五”住建事业发展专项规划》2027年年度评估</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《厦门市</w:t>
      </w:r>
      <w:r>
        <w:rPr>
          <w:rFonts w:ascii="仿宋_GB2312" w:hAnsi="仿宋_GB2312" w:cs="仿宋_GB2312" w:eastAsia="仿宋_GB2312"/>
          <w:sz w:val="24"/>
        </w:rPr>
        <w:t>“十五五”住建事业发展专项规划》中期评估</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《厦门市</w:t>
      </w:r>
      <w:r>
        <w:rPr>
          <w:rFonts w:ascii="仿宋_GB2312" w:hAnsi="仿宋_GB2312" w:cs="仿宋_GB2312" w:eastAsia="仿宋_GB2312"/>
          <w:sz w:val="24"/>
        </w:rPr>
        <w:t>“十五五”住建事业发展专项规划》2029年年度评估</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《厦门市</w:t>
      </w:r>
      <w:r>
        <w:rPr>
          <w:rFonts w:ascii="仿宋_GB2312" w:hAnsi="仿宋_GB2312" w:cs="仿宋_GB2312" w:eastAsia="仿宋_GB2312"/>
          <w:sz w:val="24"/>
        </w:rPr>
        <w:t>“十五五”住建事业发展专项规划》实施总结评估</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“十四五”建设事业专项规划》实施总结评估</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“十四五”住房发展规划》实施总结评估</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“十四五”保障性住房建设规划》实施总结评估</w:t>
      </w:r>
    </w:p>
    <w:p>
      <w:pPr>
        <w:pStyle w:val="null3"/>
        <w:ind w:firstLine="482"/>
      </w:pPr>
      <w:r>
        <w:rPr>
          <w:rFonts w:ascii="仿宋_GB2312" w:hAnsi="仿宋_GB2312" w:cs="仿宋_GB2312" w:eastAsia="仿宋_GB2312"/>
          <w:sz w:val="24"/>
        </w:rPr>
        <w:t xml:space="preserve">3.2 </w:t>
      </w:r>
      <w:r>
        <w:rPr>
          <w:rFonts w:ascii="仿宋_GB2312" w:hAnsi="仿宋_GB2312" w:cs="仿宋_GB2312" w:eastAsia="仿宋_GB2312"/>
          <w:sz w:val="24"/>
          <w:b/>
        </w:rPr>
        <w:t>电子成果</w:t>
      </w:r>
    </w:p>
    <w:p>
      <w:pPr>
        <w:pStyle w:val="null3"/>
        <w:ind w:firstLine="480"/>
      </w:pPr>
      <w:r>
        <w:rPr>
          <w:rFonts w:ascii="仿宋_GB2312" w:hAnsi="仿宋_GB2312" w:cs="仿宋_GB2312" w:eastAsia="仿宋_GB2312"/>
          <w:sz w:val="24"/>
        </w:rPr>
        <w:t>所有纸质成果的电子文件</w:t>
      </w:r>
      <w:r>
        <w:rPr>
          <w:rFonts w:ascii="仿宋_GB2312" w:hAnsi="仿宋_GB2312" w:cs="仿宋_GB2312" w:eastAsia="仿宋_GB2312"/>
          <w:sz w:val="24"/>
        </w:rPr>
        <w:t>2份。</w:t>
      </w:r>
    </w:p>
    <w:p>
      <w:pPr>
        <w:pStyle w:val="null3"/>
        <w:ind w:firstLine="480"/>
      </w:pPr>
      <w:r>
        <w:rPr>
          <w:rFonts w:ascii="仿宋_GB2312" w:hAnsi="仿宋_GB2312" w:cs="仿宋_GB2312" w:eastAsia="仿宋_GB2312"/>
          <w:sz w:val="24"/>
        </w:rPr>
        <w:t>对厦门市</w:t>
      </w:r>
      <w:r>
        <w:rPr>
          <w:rFonts w:ascii="仿宋_GB2312" w:hAnsi="仿宋_GB2312" w:cs="仿宋_GB2312" w:eastAsia="仿宋_GB2312"/>
          <w:sz w:val="24"/>
        </w:rPr>
        <w:t>“十五五”住建事业发展专项规划工作设计并制作一个汇报视频。</w:t>
      </w:r>
    </w:p>
    <w:p>
      <w:pPr>
        <w:pStyle w:val="null3"/>
        <w:spacing w:before="150" w:after="150"/>
        <w:ind w:left="420"/>
      </w:pPr>
      <w:r>
        <w:rPr>
          <w:rFonts w:ascii="仿宋_GB2312" w:hAnsi="仿宋_GB2312" w:cs="仿宋_GB2312" w:eastAsia="仿宋_GB2312"/>
          <w:sz w:val="28"/>
        </w:rPr>
        <w:t xml:space="preserve">4 </w:t>
      </w:r>
      <w:r>
        <w:rPr>
          <w:rFonts w:ascii="仿宋_GB2312" w:hAnsi="仿宋_GB2312" w:cs="仿宋_GB2312" w:eastAsia="仿宋_GB2312"/>
          <w:sz w:val="28"/>
          <w:b/>
        </w:rPr>
        <w:t>进度要求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1）《厦门市“十五五”住建事业发展专项规划》需在2025年</w:t>
      </w:r>
      <w:r>
        <w:rPr>
          <w:rFonts w:ascii="仿宋_GB2312" w:hAnsi="仿宋_GB2312" w:cs="仿宋_GB2312" w:eastAsia="仿宋_GB2312"/>
          <w:sz w:val="24"/>
        </w:rPr>
        <w:t>9</w:t>
      </w:r>
      <w:r>
        <w:rPr>
          <w:rFonts w:ascii="仿宋_GB2312" w:hAnsi="仿宋_GB2312" w:cs="仿宋_GB2312" w:eastAsia="仿宋_GB2312"/>
          <w:sz w:val="24"/>
        </w:rPr>
        <w:t>月需开展走访调研、收集资料、开展座谈问卷、</w:t>
      </w:r>
      <w:r>
        <w:rPr>
          <w:rFonts w:ascii="仿宋_GB2312" w:hAnsi="仿宋_GB2312" w:cs="仿宋_GB2312" w:eastAsia="仿宋_GB2312"/>
          <w:sz w:val="24"/>
        </w:rPr>
        <w:t>AI征集、整理数据等工作；2025年</w:t>
      </w:r>
      <w:r>
        <w:rPr>
          <w:rFonts w:ascii="仿宋_GB2312" w:hAnsi="仿宋_GB2312" w:cs="仿宋_GB2312" w:eastAsia="仿宋_GB2312"/>
          <w:sz w:val="24"/>
        </w:rPr>
        <w:t>9</w:t>
      </w:r>
      <w:r>
        <w:rPr>
          <w:rFonts w:ascii="仿宋_GB2312" w:hAnsi="仿宋_GB2312" w:cs="仿宋_GB2312" w:eastAsia="仿宋_GB2312"/>
          <w:sz w:val="24"/>
        </w:rPr>
        <w:t>月完成资料整理、规划初稿；</w:t>
      </w:r>
      <w:r>
        <w:rPr>
          <w:rFonts w:ascii="仿宋_GB2312" w:hAnsi="仿宋_GB2312" w:cs="仿宋_GB2312" w:eastAsia="仿宋_GB2312"/>
          <w:sz w:val="24"/>
        </w:rPr>
        <w:t>2025年1</w:t>
      </w:r>
      <w:r>
        <w:rPr>
          <w:rFonts w:ascii="仿宋_GB2312" w:hAnsi="仿宋_GB2312" w:cs="仿宋_GB2312" w:eastAsia="仿宋_GB2312"/>
          <w:sz w:val="24"/>
        </w:rPr>
        <w:t>1</w:t>
      </w:r>
      <w:r>
        <w:rPr>
          <w:rFonts w:ascii="仿宋_GB2312" w:hAnsi="仿宋_GB2312" w:cs="仿宋_GB2312" w:eastAsia="仿宋_GB2312"/>
          <w:sz w:val="24"/>
        </w:rPr>
        <w:t>月前完成一轮规划修改；</w:t>
      </w:r>
      <w:r>
        <w:rPr>
          <w:rFonts w:ascii="仿宋_GB2312" w:hAnsi="仿宋_GB2312" w:cs="仿宋_GB2312" w:eastAsia="仿宋_GB2312"/>
          <w:sz w:val="24"/>
        </w:rPr>
        <w:t>2025年12月完成进行论证和二轮修改；2026年2月正式结题。</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2）《厦门市“十五五”住建事业发展专项规划》中期评估需在2028年中提交，具体时间根据采购人节点要求。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3）《厦门市“十五五”住建事业发展专项规划》2026年年度评估需在2026年11月底提交，具体时间根据采购人节点要求。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4）《厦门市“十五五”住建事业发展专项规划》2027年年度评估需在2027年11月底提交，具体时间根据采购人节点要求。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5）《厦门市“十五五”住建事业发展专项规划》2029年年度评估需在2029年11月底提交，具体时间根据采购人节点要求。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6）《厦门市“十五五”住建事业发展专项规划》实施总结评估需在2030年底提交，具体时间根据采购人节点要求。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7）《“十四五”建设事业专项规划》实施总结评估、《“十四五”住房发展规划》实施总结评估、《“十四五”保障性住房建设规划》实施总结评估，需在2025年9月底前提交初稿，2025年10月底提交最终成果。</w:t>
      </w:r>
    </w:p>
    <w:p>
      <w:pPr>
        <w:pStyle w:val="null3"/>
        <w:spacing w:before="150" w:after="150"/>
        <w:ind w:left="420"/>
      </w:pPr>
      <w:r>
        <w:rPr>
          <w:rFonts w:ascii="仿宋_GB2312" w:hAnsi="仿宋_GB2312" w:cs="仿宋_GB2312" w:eastAsia="仿宋_GB2312"/>
          <w:sz w:val="28"/>
        </w:rPr>
        <w:t xml:space="preserve">5 </w:t>
      </w:r>
      <w:r>
        <w:rPr>
          <w:rFonts w:ascii="仿宋_GB2312" w:hAnsi="仿宋_GB2312" w:cs="仿宋_GB2312" w:eastAsia="仿宋_GB2312"/>
          <w:sz w:val="28"/>
          <w:b/>
        </w:rPr>
        <w:t>相关标准规范</w:t>
      </w:r>
    </w:p>
    <w:p>
      <w:pPr>
        <w:pStyle w:val="null3"/>
        <w:ind w:firstLine="480"/>
      </w:pPr>
      <w:r>
        <w:rPr>
          <w:rFonts w:ascii="仿宋_GB2312" w:hAnsi="仿宋_GB2312" w:cs="仿宋_GB2312" w:eastAsia="仿宋_GB2312"/>
          <w:sz w:val="24"/>
        </w:rPr>
        <w:t>《中华人民共和国城乡规划法》</w:t>
      </w:r>
    </w:p>
    <w:p>
      <w:pPr>
        <w:pStyle w:val="null3"/>
        <w:ind w:firstLine="480"/>
      </w:pPr>
      <w:r>
        <w:rPr>
          <w:rFonts w:ascii="仿宋_GB2312" w:hAnsi="仿宋_GB2312" w:cs="仿宋_GB2312" w:eastAsia="仿宋_GB2312"/>
          <w:sz w:val="24"/>
        </w:rPr>
        <w:t>《城市居住区规划设计标准》（</w:t>
      </w:r>
      <w:r>
        <w:rPr>
          <w:rFonts w:ascii="仿宋_GB2312" w:hAnsi="仿宋_GB2312" w:cs="仿宋_GB2312" w:eastAsia="仿宋_GB2312"/>
          <w:sz w:val="24"/>
        </w:rPr>
        <w:t>GB 50180-2018）</w:t>
      </w:r>
    </w:p>
    <w:p>
      <w:pPr>
        <w:pStyle w:val="null3"/>
        <w:ind w:firstLine="480"/>
      </w:pPr>
      <w:r>
        <w:rPr>
          <w:rFonts w:ascii="仿宋_GB2312" w:hAnsi="仿宋_GB2312" w:cs="仿宋_GB2312" w:eastAsia="仿宋_GB2312"/>
          <w:sz w:val="24"/>
        </w:rPr>
        <w:t>《绿色建筑评价标准》（</w:t>
      </w:r>
      <w:r>
        <w:rPr>
          <w:rFonts w:ascii="仿宋_GB2312" w:hAnsi="仿宋_GB2312" w:cs="仿宋_GB2312" w:eastAsia="仿宋_GB2312"/>
          <w:sz w:val="24"/>
        </w:rPr>
        <w:t>GB/T 50378-2019）(2024版)</w:t>
      </w:r>
    </w:p>
    <w:p>
      <w:pPr>
        <w:pStyle w:val="null3"/>
        <w:ind w:firstLine="480"/>
      </w:pPr>
      <w:r>
        <w:rPr>
          <w:rFonts w:ascii="仿宋_GB2312" w:hAnsi="仿宋_GB2312" w:cs="仿宋_GB2312" w:eastAsia="仿宋_GB2312"/>
          <w:sz w:val="24"/>
        </w:rPr>
        <w:t>《城市抗震防灾规划标准》（</w:t>
      </w:r>
      <w:r>
        <w:rPr>
          <w:rFonts w:ascii="仿宋_GB2312" w:hAnsi="仿宋_GB2312" w:cs="仿宋_GB2312" w:eastAsia="仿宋_GB2312"/>
          <w:sz w:val="24"/>
        </w:rPr>
        <w:t>GB 50413-2007）</w:t>
      </w:r>
    </w:p>
    <w:p>
      <w:pPr>
        <w:pStyle w:val="null3"/>
        <w:ind w:firstLine="480"/>
      </w:pPr>
      <w:r>
        <w:rPr>
          <w:rFonts w:ascii="仿宋_GB2312" w:hAnsi="仿宋_GB2312" w:cs="仿宋_GB2312" w:eastAsia="仿宋_GB2312"/>
          <w:sz w:val="24"/>
        </w:rPr>
        <w:t>《国家新型城镇化规划（</w:t>
      </w:r>
      <w:r>
        <w:rPr>
          <w:rFonts w:ascii="仿宋_GB2312" w:hAnsi="仿宋_GB2312" w:cs="仿宋_GB2312" w:eastAsia="仿宋_GB2312"/>
          <w:sz w:val="24"/>
        </w:rPr>
        <w:t>2021-2035年）》</w:t>
      </w:r>
    </w:p>
    <w:p>
      <w:pPr>
        <w:pStyle w:val="null3"/>
        <w:ind w:firstLine="480"/>
      </w:pPr>
      <w:r>
        <w:rPr>
          <w:rFonts w:ascii="仿宋_GB2312" w:hAnsi="仿宋_GB2312" w:cs="仿宋_GB2312" w:eastAsia="仿宋_GB2312"/>
          <w:sz w:val="24"/>
        </w:rPr>
        <w:t>《福建省城乡规划条例》</w:t>
      </w:r>
    </w:p>
    <w:p>
      <w:pPr>
        <w:pStyle w:val="null3"/>
        <w:ind w:firstLine="480"/>
      </w:pPr>
      <w:r>
        <w:rPr>
          <w:rFonts w:ascii="仿宋_GB2312" w:hAnsi="仿宋_GB2312" w:cs="仿宋_GB2312" w:eastAsia="仿宋_GB2312"/>
          <w:sz w:val="24"/>
        </w:rPr>
        <w:t>《福建省国民经济和社会发展第十四个五年规划和二〇三五年远景目标纲要》</w:t>
      </w:r>
    </w:p>
    <w:p>
      <w:pPr>
        <w:pStyle w:val="null3"/>
        <w:ind w:firstLine="480"/>
      </w:pPr>
      <w:r>
        <w:rPr>
          <w:rFonts w:ascii="仿宋_GB2312" w:hAnsi="仿宋_GB2312" w:cs="仿宋_GB2312" w:eastAsia="仿宋_GB2312"/>
          <w:sz w:val="24"/>
        </w:rPr>
        <w:t>《厦门市城市规划条例》</w:t>
      </w:r>
    </w:p>
    <w:p>
      <w:pPr>
        <w:pStyle w:val="null3"/>
        <w:ind w:firstLine="480"/>
      </w:pPr>
      <w:r>
        <w:rPr>
          <w:rFonts w:ascii="仿宋_GB2312" w:hAnsi="仿宋_GB2312" w:cs="仿宋_GB2312" w:eastAsia="仿宋_GB2312"/>
          <w:sz w:val="24"/>
        </w:rPr>
        <w:t>《厦门市城市规划管理技术规定》</w:t>
      </w:r>
    </w:p>
    <w:p>
      <w:pPr>
        <w:pStyle w:val="null3"/>
        <w:ind w:firstLine="480"/>
      </w:pPr>
      <w:r>
        <w:rPr>
          <w:rFonts w:ascii="仿宋_GB2312" w:hAnsi="仿宋_GB2312" w:cs="仿宋_GB2312" w:eastAsia="仿宋_GB2312"/>
          <w:sz w:val="24"/>
        </w:rPr>
        <w:t>《厦门市绿色建筑行动实施方案》</w:t>
      </w:r>
    </w:p>
    <w:p>
      <w:pPr>
        <w:pStyle w:val="null3"/>
        <w:ind w:firstLine="480"/>
      </w:pPr>
      <w:r>
        <w:rPr>
          <w:rFonts w:ascii="仿宋_GB2312" w:hAnsi="仿宋_GB2312" w:cs="仿宋_GB2312" w:eastAsia="仿宋_GB2312"/>
          <w:sz w:val="24"/>
        </w:rPr>
        <w:t>《厦门市国民经济和社会发展第十四个五年规划和二〇三五年远景目标纲要》</w:t>
      </w:r>
    </w:p>
    <w:p>
      <w:pPr>
        <w:pStyle w:val="null3"/>
        <w:ind w:firstLine="480"/>
      </w:pPr>
      <w:r>
        <w:rPr>
          <w:rFonts w:ascii="仿宋_GB2312" w:hAnsi="仿宋_GB2312" w:cs="仿宋_GB2312" w:eastAsia="仿宋_GB2312"/>
          <w:sz w:val="24"/>
        </w:rPr>
        <w:t>《厦门市国土空间总体规划（</w:t>
      </w:r>
      <w:r>
        <w:rPr>
          <w:rFonts w:ascii="仿宋_GB2312" w:hAnsi="仿宋_GB2312" w:cs="仿宋_GB2312" w:eastAsia="仿宋_GB2312"/>
          <w:sz w:val="24"/>
        </w:rPr>
        <w:t>2021-2035年）》</w:t>
      </w:r>
    </w:p>
    <w:p>
      <w:pPr>
        <w:pStyle w:val="null3"/>
        <w:ind w:firstLine="480"/>
      </w:pPr>
      <w:r>
        <w:rPr>
          <w:rFonts w:ascii="仿宋_GB2312" w:hAnsi="仿宋_GB2312" w:cs="仿宋_GB2312" w:eastAsia="仿宋_GB2312"/>
          <w:sz w:val="24"/>
        </w:rPr>
        <w:t>《厦门市住房发展规划（</w:t>
      </w:r>
      <w:r>
        <w:rPr>
          <w:rFonts w:ascii="仿宋_GB2312" w:hAnsi="仿宋_GB2312" w:cs="仿宋_GB2312" w:eastAsia="仿宋_GB2312"/>
          <w:sz w:val="24"/>
        </w:rPr>
        <w:t>2020-2035年）》</w:t>
      </w:r>
    </w:p>
    <w:p>
      <w:pPr>
        <w:pStyle w:val="null3"/>
        <w:ind w:firstLine="480"/>
      </w:pPr>
      <w:r>
        <w:rPr>
          <w:rFonts w:ascii="仿宋_GB2312" w:hAnsi="仿宋_GB2312" w:cs="仿宋_GB2312" w:eastAsia="仿宋_GB2312"/>
          <w:sz w:val="24"/>
        </w:rPr>
        <w:t>《厦门市</w:t>
      </w:r>
      <w:r>
        <w:rPr>
          <w:rFonts w:ascii="仿宋_GB2312" w:hAnsi="仿宋_GB2312" w:cs="仿宋_GB2312" w:eastAsia="仿宋_GB2312"/>
          <w:sz w:val="24"/>
        </w:rPr>
        <w:t>“十四五”住房发展规划》</w:t>
      </w:r>
    </w:p>
    <w:p>
      <w:pPr>
        <w:pStyle w:val="null3"/>
        <w:ind w:firstLine="480"/>
      </w:pPr>
      <w:r>
        <w:rPr>
          <w:rFonts w:ascii="仿宋_GB2312" w:hAnsi="仿宋_GB2312" w:cs="仿宋_GB2312" w:eastAsia="仿宋_GB2312"/>
          <w:sz w:val="24"/>
        </w:rPr>
        <w:t>《厦门市</w:t>
      </w:r>
      <w:r>
        <w:rPr>
          <w:rFonts w:ascii="仿宋_GB2312" w:hAnsi="仿宋_GB2312" w:cs="仿宋_GB2312" w:eastAsia="仿宋_GB2312"/>
          <w:sz w:val="24"/>
        </w:rPr>
        <w:t>“十四五”建设事业专项规划》</w:t>
      </w:r>
    </w:p>
    <w:p>
      <w:pPr>
        <w:pStyle w:val="null3"/>
        <w:ind w:firstLine="480"/>
      </w:pPr>
      <w:r>
        <w:rPr>
          <w:rFonts w:ascii="仿宋_GB2312" w:hAnsi="仿宋_GB2312" w:cs="仿宋_GB2312" w:eastAsia="仿宋_GB2312"/>
          <w:sz w:val="24"/>
        </w:rPr>
        <w:t>《厦门市</w:t>
      </w:r>
      <w:r>
        <w:rPr>
          <w:rFonts w:ascii="仿宋_GB2312" w:hAnsi="仿宋_GB2312" w:cs="仿宋_GB2312" w:eastAsia="仿宋_GB2312"/>
          <w:sz w:val="24"/>
        </w:rPr>
        <w:t>“十四五”保障性住房建设规划》</w:t>
      </w:r>
    </w:p>
    <w:p>
      <w:pPr>
        <w:pStyle w:val="null3"/>
        <w:spacing w:before="150" w:after="150"/>
        <w:ind w:left="420"/>
      </w:pPr>
      <w:r>
        <w:rPr>
          <w:rFonts w:ascii="仿宋_GB2312" w:hAnsi="仿宋_GB2312" w:cs="仿宋_GB2312" w:eastAsia="仿宋_GB2312"/>
          <w:sz w:val="28"/>
        </w:rPr>
        <w:t xml:space="preserve">6 </w:t>
      </w:r>
      <w:r>
        <w:rPr>
          <w:rFonts w:ascii="仿宋_GB2312" w:hAnsi="仿宋_GB2312" w:cs="仿宋_GB2312" w:eastAsia="仿宋_GB2312"/>
          <w:sz w:val="28"/>
          <w:b/>
        </w:rPr>
        <w:t>项目实施管理要求</w:t>
      </w:r>
    </w:p>
    <w:p>
      <w:pPr>
        <w:pStyle w:val="null3"/>
        <w:ind w:firstLine="482"/>
      </w:pPr>
      <w:r>
        <w:rPr>
          <w:rFonts w:ascii="仿宋_GB2312" w:hAnsi="仿宋_GB2312" w:cs="仿宋_GB2312" w:eastAsia="仿宋_GB2312"/>
          <w:sz w:val="24"/>
        </w:rPr>
        <w:t xml:space="preserve">6.1 </w:t>
      </w:r>
      <w:r>
        <w:rPr>
          <w:rFonts w:ascii="仿宋_GB2312" w:hAnsi="仿宋_GB2312" w:cs="仿宋_GB2312" w:eastAsia="仿宋_GB2312"/>
          <w:sz w:val="24"/>
          <w:b/>
        </w:rPr>
        <w:t>项目实施要求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1）供应商要全面履行合同义务。根据采购人要求，按照采购人要求组织项目团队，要全面落实责任，按期完成各时间节点的工作任务。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2）供应商遵循采购人制定的标准规范，服从采购人的管理。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3）供应商在采集工作中，应自行挖掘相关渠道，承担获取数据的相关费用。</w:t>
      </w:r>
    </w:p>
    <w:p>
      <w:pPr>
        <w:pStyle w:val="null3"/>
        <w:ind w:firstLine="482"/>
      </w:pPr>
      <w:r>
        <w:rPr>
          <w:rFonts w:ascii="仿宋_GB2312" w:hAnsi="仿宋_GB2312" w:cs="仿宋_GB2312" w:eastAsia="仿宋_GB2312"/>
          <w:sz w:val="24"/>
        </w:rPr>
        <w:t xml:space="preserve">6.2 </w:t>
      </w:r>
      <w:r>
        <w:rPr>
          <w:rFonts w:ascii="仿宋_GB2312" w:hAnsi="仿宋_GB2312" w:cs="仿宋_GB2312" w:eastAsia="仿宋_GB2312"/>
          <w:sz w:val="24"/>
          <w:b/>
        </w:rPr>
        <w:t>项目管理要求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1）供应商所有参与人员接受采购人的统一管理。服务期间，成交供应商如违反采购人管理要求，采购人有权采取没收履约保证金等符合相关规定的经济处罚措施。</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供应商需对采购文件中要求的目的和内容等，应在响应文件中提供详细的工作实施内容说明方案，主要包括实施思路、技术路线、内容纲要等；实施服务期内人员部署和安排要征得采购人同意，未经采购人同意不得随意进行人员变更。</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3）供应商在项目实施的过程中需依法依规履行相应责任，包括但不限于《中华人民共和国政府采购法》、《中华人民共和国招标投标法》、《中华人民共和国民法典》等。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供应商在项目实施的全过程中需要做好政治思想素质、法律合规意识、服务意识与责任担当、诚信与职业道德四个层面的意识形态工作，需具备坚定的政治立场和正确的思想导向，具备强烈法律合规意识、服务意识和责任担当、高尚的职业道德和诚信意识。</w:t>
      </w:r>
    </w:p>
    <w:p>
      <w:pPr>
        <w:pStyle w:val="null3"/>
        <w:spacing w:before="150" w:after="150"/>
        <w:ind w:left="420"/>
      </w:pPr>
      <w:r>
        <w:rPr>
          <w:rFonts w:ascii="仿宋_GB2312" w:hAnsi="仿宋_GB2312" w:cs="仿宋_GB2312" w:eastAsia="仿宋_GB2312"/>
          <w:sz w:val="28"/>
        </w:rPr>
        <w:t xml:space="preserve">7 </w:t>
      </w:r>
      <w:r>
        <w:rPr>
          <w:rFonts w:ascii="仿宋_GB2312" w:hAnsi="仿宋_GB2312" w:cs="仿宋_GB2312" w:eastAsia="仿宋_GB2312"/>
          <w:sz w:val="28"/>
          <w:b/>
        </w:rPr>
        <w:t>服务要求</w:t>
      </w:r>
    </w:p>
    <w:p>
      <w:pPr>
        <w:pStyle w:val="null3"/>
        <w:ind w:firstLine="480"/>
      </w:pPr>
      <w:r>
        <w:rPr>
          <w:rFonts w:ascii="仿宋_GB2312" w:hAnsi="仿宋_GB2312" w:cs="仿宋_GB2312" w:eastAsia="仿宋_GB2312"/>
          <w:sz w:val="24"/>
        </w:rPr>
        <w:t>供应商认为有利于采购人的其他优惠条款应单独列明。</w:t>
      </w:r>
    </w:p>
    <w:p>
      <w:pPr>
        <w:pStyle w:val="null3"/>
        <w:ind w:firstLine="480"/>
      </w:pPr>
      <w:r>
        <w:rPr>
          <w:rFonts w:ascii="仿宋_GB2312" w:hAnsi="仿宋_GB2312" w:cs="仿宋_GB2312" w:eastAsia="仿宋_GB2312"/>
          <w:sz w:val="24"/>
        </w:rPr>
        <w:t>供应商在项目结束前应做好资料、档案文件等完整资料的整理和移交，情况的现场鉴证。</w:t>
      </w:r>
    </w:p>
    <w:p>
      <w:pPr>
        <w:pStyle w:val="null3"/>
        <w:ind w:firstLine="480"/>
      </w:pPr>
      <w:r>
        <w:rPr>
          <w:rFonts w:ascii="仿宋_GB2312" w:hAnsi="仿宋_GB2312" w:cs="仿宋_GB2312" w:eastAsia="仿宋_GB2312"/>
          <w:sz w:val="24"/>
        </w:rPr>
        <w:t>对发现的错漏、不符合质量要求的内容在采购人要求的时间内进行重新提交。</w:t>
      </w:r>
      <w:r>
        <w:rPr>
          <w:rFonts w:ascii="仿宋_GB2312" w:hAnsi="仿宋_GB2312" w:cs="仿宋_GB2312" w:eastAsia="仿宋_GB2312"/>
          <w:sz w:val="24"/>
        </w:rPr>
        <w:t>在项目验收前，</w:t>
      </w:r>
      <w:r>
        <w:rPr>
          <w:rFonts w:ascii="仿宋_GB2312" w:hAnsi="仿宋_GB2312" w:cs="仿宋_GB2312" w:eastAsia="仿宋_GB2312"/>
          <w:sz w:val="24"/>
        </w:rPr>
        <w:t>供应商对项目质量、数据、成果，准确性负责，免费修改维护。</w:t>
      </w:r>
    </w:p>
    <w:p>
      <w:pPr>
        <w:pStyle w:val="null3"/>
        <w:ind w:firstLine="480"/>
      </w:pPr>
      <w:r>
        <w:rPr>
          <w:rFonts w:ascii="仿宋_GB2312" w:hAnsi="仿宋_GB2312" w:cs="仿宋_GB2312" w:eastAsia="仿宋_GB2312"/>
          <w:sz w:val="24"/>
        </w:rPr>
        <w:t>供应商应具有专业从事类似研究工作的经验和业绩项目经验</w:t>
      </w:r>
      <w:r>
        <w:rPr>
          <w:rFonts w:ascii="仿宋_GB2312" w:hAnsi="仿宋_GB2312" w:cs="仿宋_GB2312" w:eastAsia="仿宋_GB2312"/>
          <w:sz w:val="24"/>
        </w:rPr>
        <w:t>,了解和熟悉该领域项目特点，具有专业、成熟的业务流程，应在响应文件中提供详细明确的流程，以及需要相互配合的工作及事务，费用已包含在投标报价中。</w:t>
      </w:r>
    </w:p>
    <w:p>
      <w:pPr>
        <w:pStyle w:val="null3"/>
        <w:spacing w:before="150" w:after="150"/>
        <w:ind w:left="420"/>
      </w:pPr>
      <w:r>
        <w:rPr>
          <w:rFonts w:ascii="仿宋_GB2312" w:hAnsi="仿宋_GB2312" w:cs="仿宋_GB2312" w:eastAsia="仿宋_GB2312"/>
          <w:sz w:val="28"/>
        </w:rPr>
        <w:t xml:space="preserve">8 </w:t>
      </w:r>
      <w:r>
        <w:rPr>
          <w:rFonts w:ascii="仿宋_GB2312" w:hAnsi="仿宋_GB2312" w:cs="仿宋_GB2312" w:eastAsia="仿宋_GB2312"/>
          <w:sz w:val="28"/>
          <w:b/>
        </w:rPr>
        <w:t>项目配置</w:t>
      </w:r>
      <w:r>
        <w:rPr>
          <w:rFonts w:ascii="仿宋_GB2312" w:hAnsi="仿宋_GB2312" w:cs="仿宋_GB2312" w:eastAsia="仿宋_GB2312"/>
          <w:sz w:val="28"/>
          <w:b/>
        </w:rPr>
        <w:t>要求</w:t>
      </w:r>
    </w:p>
    <w:p>
      <w:pPr>
        <w:pStyle w:val="null3"/>
        <w:ind w:firstLine="425"/>
      </w:pPr>
      <w:r>
        <w:rPr>
          <w:rFonts w:ascii="仿宋_GB2312" w:hAnsi="仿宋_GB2312" w:cs="仿宋_GB2312" w:eastAsia="仿宋_GB2312"/>
          <w:sz w:val="24"/>
        </w:rPr>
        <w:t xml:space="preserve">8.1 </w:t>
      </w:r>
      <w:r>
        <w:rPr>
          <w:rFonts w:ascii="仿宋_GB2312" w:hAnsi="仿宋_GB2312" w:cs="仿宋_GB2312" w:eastAsia="仿宋_GB2312"/>
          <w:sz w:val="24"/>
          <w:b/>
        </w:rPr>
        <w:t>团队人员配置要求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项目负责人（</w:t>
      </w:r>
      <w:r>
        <w:rPr>
          <w:rFonts w:ascii="仿宋_GB2312" w:hAnsi="仿宋_GB2312" w:cs="仿宋_GB2312" w:eastAsia="仿宋_GB2312"/>
          <w:sz w:val="24"/>
        </w:rPr>
        <w:t>1名）</w:t>
      </w:r>
      <w:r>
        <w:rPr>
          <w:rFonts w:ascii="仿宋_GB2312" w:hAnsi="仿宋_GB2312" w:cs="仿宋_GB2312" w:eastAsia="仿宋_GB2312"/>
          <w:sz w:val="24"/>
        </w:rPr>
        <w:t>：统筹项目全过程管理，协调各方资源确保规划符合法律法规及技术规范。</w:t>
      </w:r>
      <w:r>
        <w:rPr>
          <w:rFonts w:ascii="仿宋_GB2312" w:hAnsi="仿宋_GB2312" w:cs="仿宋_GB2312" w:eastAsia="仿宋_GB2312"/>
          <w:sz w:val="24"/>
        </w:rPr>
        <w:t>具有</w:t>
      </w:r>
      <w:r>
        <w:rPr>
          <w:rFonts w:ascii="仿宋_GB2312" w:hAnsi="仿宋_GB2312" w:cs="仿宋_GB2312" w:eastAsia="仿宋_GB2312"/>
          <w:sz w:val="24"/>
        </w:rPr>
        <w:t>10年及以上的工作经历，提供相关工作经验证明（如过往劳动合同或过往社保缴交证明或相关工作经验合同等）</w:t>
      </w:r>
      <w:r>
        <w:rPr>
          <w:rFonts w:ascii="仿宋_GB2312" w:hAnsi="仿宋_GB2312" w:cs="仿宋_GB2312" w:eastAsia="仿宋_GB2312"/>
          <w:sz w:val="24"/>
        </w:rPr>
        <w:t>。</w:t>
      </w:r>
      <w:r>
        <w:rPr>
          <w:rFonts w:ascii="仿宋_GB2312" w:hAnsi="仿宋_GB2312" w:cs="仿宋_GB2312" w:eastAsia="仿宋_GB2312"/>
          <w:sz w:val="24"/>
        </w:rPr>
        <w:t>具有工程或房地产类</w:t>
      </w:r>
      <w:r>
        <w:rPr>
          <w:rFonts w:ascii="仿宋_GB2312" w:hAnsi="仿宋_GB2312" w:cs="仿宋_GB2312" w:eastAsia="仿宋_GB2312"/>
          <w:sz w:val="24"/>
        </w:rPr>
        <w:t>相关专业</w:t>
      </w:r>
      <w:r>
        <w:rPr>
          <w:rFonts w:ascii="仿宋_GB2312" w:hAnsi="仿宋_GB2312" w:cs="仿宋_GB2312" w:eastAsia="仿宋_GB2312"/>
          <w:sz w:val="24"/>
        </w:rPr>
        <w:t>教授级高级职称，提供职称证书；</w:t>
      </w:r>
      <w:r>
        <w:rPr>
          <w:rFonts w:ascii="仿宋_GB2312" w:hAnsi="仿宋_GB2312" w:cs="仿宋_GB2312" w:eastAsia="仿宋_GB2312"/>
          <w:sz w:val="24"/>
        </w:rPr>
        <w:t>2021年1月1日</w:t>
      </w:r>
      <w:r>
        <w:rPr>
          <w:rFonts w:ascii="仿宋_GB2312" w:hAnsi="仿宋_GB2312" w:cs="仿宋_GB2312" w:eastAsia="仿宋_GB2312"/>
          <w:sz w:val="24"/>
        </w:rPr>
        <w:t>以来（以完成时间为准）参与</w:t>
      </w:r>
      <w:r>
        <w:rPr>
          <w:rFonts w:ascii="仿宋_GB2312" w:hAnsi="仿宋_GB2312" w:cs="仿宋_GB2312" w:eastAsia="仿宋_GB2312"/>
          <w:sz w:val="24"/>
        </w:rPr>
        <w:t>过住房或建设规划相关研究课题及住房建设类课题研究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技术负责人（</w:t>
      </w:r>
      <w:r>
        <w:rPr>
          <w:rFonts w:ascii="仿宋_GB2312" w:hAnsi="仿宋_GB2312" w:cs="仿宋_GB2312" w:eastAsia="仿宋_GB2312"/>
          <w:sz w:val="24"/>
        </w:rPr>
        <w:t>1名）</w:t>
      </w:r>
      <w:r>
        <w:rPr>
          <w:rFonts w:ascii="仿宋_GB2312" w:hAnsi="仿宋_GB2312" w:cs="仿宋_GB2312" w:eastAsia="仿宋_GB2312"/>
          <w:sz w:val="24"/>
        </w:rPr>
        <w:t>：主导技术方案设计，解决规划编制中的专业难题，把控成果质量。</w:t>
      </w:r>
      <w:r>
        <w:rPr>
          <w:rFonts w:ascii="仿宋_GB2312" w:hAnsi="仿宋_GB2312" w:cs="仿宋_GB2312" w:eastAsia="仿宋_GB2312"/>
          <w:sz w:val="24"/>
        </w:rPr>
        <w:t>具有</w:t>
      </w:r>
      <w:r>
        <w:rPr>
          <w:rFonts w:ascii="仿宋_GB2312" w:hAnsi="仿宋_GB2312" w:cs="仿宋_GB2312" w:eastAsia="仿宋_GB2312"/>
          <w:sz w:val="24"/>
        </w:rPr>
        <w:t>10年及以上的工作经历，提供相关工作经验证明（如过往劳动合同或过往社保缴交证明或相关工作经验合同等）；具有建筑或房地产类</w:t>
      </w:r>
      <w:r>
        <w:rPr>
          <w:rFonts w:ascii="仿宋_GB2312" w:hAnsi="仿宋_GB2312" w:cs="仿宋_GB2312" w:eastAsia="仿宋_GB2312"/>
          <w:sz w:val="24"/>
        </w:rPr>
        <w:t>相关专业</w:t>
      </w:r>
      <w:r>
        <w:rPr>
          <w:rFonts w:ascii="仿宋_GB2312" w:hAnsi="仿宋_GB2312" w:cs="仿宋_GB2312" w:eastAsia="仿宋_GB2312"/>
          <w:sz w:val="24"/>
        </w:rPr>
        <w:t>高级</w:t>
      </w:r>
      <w:r>
        <w:rPr>
          <w:rFonts w:ascii="仿宋_GB2312" w:hAnsi="仿宋_GB2312" w:cs="仿宋_GB2312" w:eastAsia="仿宋_GB2312"/>
          <w:sz w:val="24"/>
        </w:rPr>
        <w:t>或以上</w:t>
      </w:r>
      <w:r>
        <w:rPr>
          <w:rFonts w:ascii="仿宋_GB2312" w:hAnsi="仿宋_GB2312" w:cs="仿宋_GB2312" w:eastAsia="仿宋_GB2312"/>
          <w:sz w:val="24"/>
        </w:rPr>
        <w:t>职称</w:t>
      </w:r>
      <w:r>
        <w:rPr>
          <w:rFonts w:ascii="仿宋_GB2312" w:hAnsi="仿宋_GB2312" w:cs="仿宋_GB2312" w:eastAsia="仿宋_GB2312"/>
          <w:sz w:val="24"/>
        </w:rPr>
        <w:t>；</w:t>
      </w:r>
      <w:r>
        <w:rPr>
          <w:rFonts w:ascii="仿宋_GB2312" w:hAnsi="仿宋_GB2312" w:cs="仿宋_GB2312" w:eastAsia="仿宋_GB2312"/>
          <w:sz w:val="24"/>
        </w:rPr>
        <w:t>2021年1月1日</w:t>
      </w:r>
      <w:r>
        <w:rPr>
          <w:rFonts w:ascii="仿宋_GB2312" w:hAnsi="仿宋_GB2312" w:cs="仿宋_GB2312" w:eastAsia="仿宋_GB2312"/>
          <w:sz w:val="24"/>
        </w:rPr>
        <w:t>（以完成时间为准）</w:t>
      </w:r>
      <w:r>
        <w:rPr>
          <w:rFonts w:ascii="仿宋_GB2312" w:hAnsi="仿宋_GB2312" w:cs="仿宋_GB2312" w:eastAsia="仿宋_GB2312"/>
          <w:sz w:val="24"/>
        </w:rPr>
        <w:t>以</w:t>
      </w:r>
      <w:r>
        <w:rPr>
          <w:rFonts w:ascii="仿宋_GB2312" w:hAnsi="仿宋_GB2312" w:cs="仿宋_GB2312" w:eastAsia="仿宋_GB2312"/>
          <w:sz w:val="24"/>
        </w:rPr>
        <w:t>来承担住房或建设专项规划课题，提供相关研究课题的合同复印件（应能体现参与人员的名字，若合同未能体现的，应提供委托方盖章确认的其他佐证材料）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技术人员：供应商应根据本项目情况配置充足的技术人员团队</w:t>
      </w:r>
      <w:r>
        <w:rPr>
          <w:rFonts w:ascii="仿宋_GB2312" w:hAnsi="仿宋_GB2312" w:cs="仿宋_GB2312" w:eastAsia="仿宋_GB2312"/>
          <w:sz w:val="24"/>
        </w:rPr>
        <w:t>。</w:t>
      </w:r>
      <w:r>
        <w:rPr>
          <w:rFonts w:ascii="仿宋_GB2312" w:hAnsi="仿宋_GB2312" w:cs="仿宋_GB2312" w:eastAsia="仿宋_GB2312"/>
          <w:sz w:val="24"/>
        </w:rPr>
        <w:t>具有建筑或房地产类</w:t>
      </w:r>
      <w:r>
        <w:rPr>
          <w:rFonts w:ascii="仿宋_GB2312" w:hAnsi="仿宋_GB2312" w:cs="仿宋_GB2312" w:eastAsia="仿宋_GB2312"/>
          <w:sz w:val="24"/>
        </w:rPr>
        <w:t>相关专业中级或以上工程师</w:t>
      </w:r>
      <w:r>
        <w:rPr>
          <w:rFonts w:ascii="仿宋_GB2312" w:hAnsi="仿宋_GB2312" w:cs="仿宋_GB2312" w:eastAsia="仿宋_GB2312"/>
          <w:sz w:val="24"/>
        </w:rPr>
        <w:t>职称</w:t>
      </w:r>
      <w:r>
        <w:rPr>
          <w:rFonts w:ascii="仿宋_GB2312" w:hAnsi="仿宋_GB2312" w:cs="仿宋_GB2312" w:eastAsia="仿宋_GB2312"/>
          <w:sz w:val="24"/>
        </w:rPr>
        <w:t>；</w:t>
      </w:r>
    </w:p>
    <w:p>
      <w:pPr>
        <w:pStyle w:val="null3"/>
        <w:spacing w:before="150" w:after="150"/>
        <w:ind w:left="420"/>
      </w:pPr>
      <w:r>
        <w:rPr>
          <w:rFonts w:ascii="仿宋_GB2312" w:hAnsi="仿宋_GB2312" w:cs="仿宋_GB2312" w:eastAsia="仿宋_GB2312"/>
          <w:sz w:val="28"/>
        </w:rPr>
        <w:t xml:space="preserve">9 </w:t>
      </w:r>
      <w:r>
        <w:rPr>
          <w:rFonts w:ascii="仿宋_GB2312" w:hAnsi="仿宋_GB2312" w:cs="仿宋_GB2312" w:eastAsia="仿宋_GB2312"/>
          <w:sz w:val="28"/>
          <w:b/>
        </w:rPr>
        <w:t>技术响应要求</w:t>
      </w:r>
    </w:p>
    <w:p>
      <w:pPr>
        <w:pStyle w:val="null3"/>
        <w:ind w:firstLine="425"/>
      </w:pPr>
      <w:r>
        <w:rPr>
          <w:rFonts w:ascii="仿宋_GB2312" w:hAnsi="仿宋_GB2312" w:cs="仿宋_GB2312" w:eastAsia="仿宋_GB2312"/>
          <w:sz w:val="24"/>
        </w:rPr>
        <w:t xml:space="preserve">9.1 </w:t>
      </w:r>
      <w:r>
        <w:rPr>
          <w:rFonts w:ascii="仿宋_GB2312" w:hAnsi="仿宋_GB2312" w:cs="仿宋_GB2312" w:eastAsia="仿宋_GB2312"/>
          <w:sz w:val="24"/>
        </w:rPr>
        <w:t>供应商应根据服务要求，制定相应的服务方案</w:t>
      </w:r>
      <w:r>
        <w:rPr>
          <w:rFonts w:ascii="仿宋_GB2312" w:hAnsi="仿宋_GB2312" w:cs="仿宋_GB2312" w:eastAsia="仿宋_GB2312"/>
          <w:sz w:val="24"/>
        </w:rPr>
        <w:t>、</w:t>
      </w:r>
      <w:r>
        <w:rPr>
          <w:rFonts w:ascii="仿宋_GB2312" w:hAnsi="仿宋_GB2312" w:cs="仿宋_GB2312" w:eastAsia="仿宋_GB2312"/>
          <w:sz w:val="24"/>
        </w:rPr>
        <w:t>措施、需求及现状分析等</w:t>
      </w:r>
      <w:r>
        <w:rPr>
          <w:rFonts w:ascii="仿宋_GB2312" w:hAnsi="仿宋_GB2312" w:cs="仿宋_GB2312" w:eastAsia="仿宋_GB2312"/>
          <w:sz w:val="24"/>
        </w:rPr>
        <w:t>，具体要求详见服务要求及评分条款。</w:t>
      </w:r>
    </w:p>
    <w:p>
      <w:pPr>
        <w:pStyle w:val="null3"/>
        <w:ind w:firstLine="425"/>
      </w:pPr>
      <w:r>
        <w:rPr>
          <w:rFonts w:ascii="仿宋_GB2312" w:hAnsi="仿宋_GB2312" w:cs="仿宋_GB2312" w:eastAsia="仿宋_GB2312"/>
          <w:sz w:val="24"/>
        </w:rPr>
        <w:t xml:space="preserve">9.2 </w:t>
      </w:r>
      <w:r>
        <w:rPr>
          <w:rFonts w:ascii="仿宋_GB2312" w:hAnsi="仿宋_GB2312" w:cs="仿宋_GB2312" w:eastAsia="仿宋_GB2312"/>
          <w:sz w:val="24"/>
        </w:rPr>
        <w:t>本章的要求为基本要求，评分条款若有对优于本章要求进行加分的，供应商符合要求并提供相应证明材料的可获加分，具体详见评分条款。</w:t>
      </w:r>
    </w:p>
    <w:p>
      <w:pPr>
        <w:pStyle w:val="null3"/>
        <w:ind w:firstLine="425"/>
      </w:pPr>
      <w:r>
        <w:rPr>
          <w:rFonts w:ascii="仿宋_GB2312" w:hAnsi="仿宋_GB2312" w:cs="仿宋_GB2312" w:eastAsia="仿宋_GB2312"/>
          <w:sz w:val="24"/>
        </w:rPr>
        <w:t xml:space="preserve">9.3 </w:t>
      </w:r>
      <w:r>
        <w:rPr>
          <w:rFonts w:ascii="仿宋_GB2312" w:hAnsi="仿宋_GB2312" w:cs="仿宋_GB2312" w:eastAsia="仿宋_GB2312"/>
          <w:sz w:val="24"/>
        </w:rPr>
        <w:t>供应商应根据服务要求及评分条款的要求明确成交后投入本项目的管理人员、服务人员、技术人员等信息，并提供相应的佐证材料，未按要求提供的将可能导致不得分。</w:t>
      </w:r>
    </w:p>
    <w:p>
      <w:pPr>
        <w:pStyle w:val="null3"/>
        <w:ind w:firstLine="425"/>
      </w:pPr>
      <w:r>
        <w:rPr>
          <w:rFonts w:ascii="仿宋_GB2312" w:hAnsi="仿宋_GB2312" w:cs="仿宋_GB2312" w:eastAsia="仿宋_GB2312"/>
          <w:sz w:val="24"/>
        </w:rPr>
        <w:t xml:space="preserve">9.4 </w:t>
      </w:r>
      <w:r>
        <w:rPr>
          <w:rFonts w:ascii="仿宋_GB2312" w:hAnsi="仿宋_GB2312" w:cs="仿宋_GB2312" w:eastAsia="仿宋_GB2312"/>
          <w:sz w:val="24"/>
          <w:b/>
        </w:rPr>
        <w:t>评分条款中若要求提供人员社保证明的，</w:t>
      </w:r>
      <w:r>
        <w:rPr>
          <w:rFonts w:ascii="仿宋_GB2312" w:hAnsi="仿宋_GB2312" w:cs="仿宋_GB2312" w:eastAsia="仿宋_GB2312"/>
          <w:sz w:val="24"/>
          <w:b/>
        </w:rPr>
        <w:t>应提供提交响应文件截止时间前六个月（不含提交响应文件截止时间的当月）中任一月份供应商为人员缴纳社保的凭据或政府部门出具的证明。提交响应文件截止时间当月成立或享受社保减免政策的供应商，无法提供相关社保缴纳证明材料的，提供依法缴纳社会保障资金承诺书（格式自拟）即可。未按要求提供的不予认可。</w:t>
      </w:r>
    </w:p>
    <w:p>
      <w:pPr>
        <w:pStyle w:val="null3"/>
        <w:ind w:firstLine="425"/>
      </w:pPr>
      <w:r>
        <w:rPr>
          <w:rFonts w:ascii="仿宋_GB2312" w:hAnsi="仿宋_GB2312" w:cs="仿宋_GB2312" w:eastAsia="仿宋_GB2312"/>
          <w:sz w:val="24"/>
        </w:rPr>
        <w:t xml:space="preserve">9.5 </w:t>
      </w:r>
      <w:r>
        <w:rPr>
          <w:rFonts w:ascii="仿宋_GB2312" w:hAnsi="仿宋_GB2312" w:cs="仿宋_GB2312" w:eastAsia="仿宋_GB2312"/>
          <w:sz w:val="24"/>
        </w:rPr>
        <w:t>供应商成交后不得将本项目转包，否则采购人有权终止合同并追究成交供应商的违约责任。</w:t>
      </w:r>
    </w:p>
    <w:p>
      <w:pPr>
        <w:pStyle w:val="null3"/>
        <w:ind w:firstLine="425"/>
      </w:pPr>
      <w:r>
        <w:rPr>
          <w:rFonts w:ascii="仿宋_GB2312" w:hAnsi="仿宋_GB2312" w:cs="仿宋_GB2312" w:eastAsia="仿宋_GB2312"/>
          <w:sz w:val="24"/>
        </w:rPr>
        <w:t xml:space="preserve">9.6 </w:t>
      </w:r>
      <w:r>
        <w:rPr>
          <w:rFonts w:ascii="仿宋_GB2312" w:hAnsi="仿宋_GB2312" w:cs="仿宋_GB2312" w:eastAsia="仿宋_GB2312"/>
          <w:sz w:val="24"/>
        </w:rPr>
        <w:t>供应商需使用灰度模型、</w:t>
      </w:r>
      <w:r>
        <w:rPr>
          <w:rFonts w:ascii="仿宋_GB2312" w:hAnsi="仿宋_GB2312" w:cs="仿宋_GB2312" w:eastAsia="仿宋_GB2312"/>
          <w:sz w:val="24"/>
        </w:rPr>
        <w:t>arima、决策森林三种算法提供“十五五”人口、住房需求量等的测算结果。</w:t>
      </w:r>
    </w:p>
    <w:p>
      <w:pPr>
        <w:pStyle w:val="null3"/>
        <w:ind w:firstLine="425"/>
      </w:pPr>
      <w:r>
        <w:rPr>
          <w:rFonts w:ascii="仿宋_GB2312" w:hAnsi="仿宋_GB2312" w:cs="仿宋_GB2312" w:eastAsia="仿宋_GB2312"/>
          <w:sz w:val="24"/>
        </w:rPr>
        <w:t xml:space="preserve">9.7 </w:t>
      </w:r>
      <w:r>
        <w:rPr>
          <w:rFonts w:ascii="仿宋_GB2312" w:hAnsi="仿宋_GB2312" w:cs="仿宋_GB2312" w:eastAsia="仿宋_GB2312"/>
          <w:sz w:val="24"/>
        </w:rPr>
        <w:t>供应商承诺：本项目配备的团队成员若不符合要求，采购人有权提出更换，成交供应商必须无条件予以配合</w:t>
      </w:r>
      <w:r>
        <w:rPr>
          <w:rFonts w:ascii="仿宋_GB2312" w:hAnsi="仿宋_GB2312" w:cs="仿宋_GB2312" w:eastAsia="仿宋_GB2312"/>
          <w:sz w:val="24"/>
        </w:rPr>
        <w:t>。</w:t>
      </w:r>
    </w:p>
    <w:p>
      <w:pPr>
        <w:pStyle w:val="null3"/>
        <w:ind w:firstLine="425"/>
      </w:pPr>
      <w:r>
        <w:rPr>
          <w:rFonts w:ascii="仿宋_GB2312" w:hAnsi="仿宋_GB2312" w:cs="仿宋_GB2312" w:eastAsia="仿宋_GB2312"/>
          <w:sz w:val="24"/>
        </w:rPr>
        <w:t xml:space="preserve">9.8 </w:t>
      </w:r>
      <w:r>
        <w:rPr>
          <w:rFonts w:ascii="仿宋_GB2312" w:hAnsi="仿宋_GB2312" w:cs="仿宋_GB2312" w:eastAsia="仿宋_GB2312"/>
          <w:sz w:val="24"/>
        </w:rPr>
        <w:t>供应商承诺在本项目服务期内，在接到采购人作业需求后，能在半个工作日内响应</w:t>
      </w:r>
      <w:r>
        <w:rPr>
          <w:rFonts w:ascii="仿宋_GB2312" w:hAnsi="仿宋_GB2312" w:cs="仿宋_GB2312" w:eastAsia="仿宋_GB2312"/>
          <w:sz w:val="24"/>
        </w:rPr>
        <w:t>抵达需求现场</w:t>
      </w:r>
      <w:r>
        <w:rPr>
          <w:rFonts w:ascii="仿宋_GB2312" w:hAnsi="仿宋_GB2312" w:cs="仿宋_GB2312" w:eastAsia="仿宋_GB2312"/>
          <w:sz w:val="24"/>
        </w:rPr>
        <w:t>，并在采购人确认无误后</w:t>
      </w:r>
      <w:r>
        <w:rPr>
          <w:rFonts w:ascii="仿宋_GB2312" w:hAnsi="仿宋_GB2312" w:cs="仿宋_GB2312" w:eastAsia="仿宋_GB2312"/>
          <w:sz w:val="24"/>
        </w:rPr>
        <w:t>3个工作日内开展工作</w:t>
      </w:r>
      <w:r>
        <w:rPr>
          <w:rFonts w:ascii="仿宋_GB2312" w:hAnsi="仿宋_GB2312" w:cs="仿宋_GB2312" w:eastAsia="仿宋_GB2312"/>
          <w:sz w:val="24"/>
        </w:rPr>
        <w:t>。</w:t>
      </w:r>
    </w:p>
    <w:p>
      <w:pPr>
        <w:pStyle w:val="null3"/>
        <w:ind w:firstLine="425"/>
      </w:pPr>
      <w:r>
        <w:rPr>
          <w:rFonts w:ascii="仿宋_GB2312" w:hAnsi="仿宋_GB2312" w:cs="仿宋_GB2312" w:eastAsia="仿宋_GB2312"/>
          <w:sz w:val="24"/>
        </w:rPr>
        <w:t xml:space="preserve">9.9 </w:t>
      </w:r>
      <w:r>
        <w:rPr>
          <w:rFonts w:ascii="仿宋_GB2312" w:hAnsi="仿宋_GB2312" w:cs="仿宋_GB2312" w:eastAsia="仿宋_GB2312"/>
          <w:sz w:val="24"/>
        </w:rPr>
        <w:t>供应商</w:t>
      </w:r>
      <w:r>
        <w:rPr>
          <w:rFonts w:ascii="仿宋_GB2312" w:hAnsi="仿宋_GB2312" w:cs="仿宋_GB2312" w:eastAsia="仿宋_GB2312"/>
          <w:sz w:val="24"/>
        </w:rPr>
        <w:t>提供的采购标的应符合国家知识产权法律、法规的规定；</w:t>
      </w:r>
      <w:r>
        <w:rPr>
          <w:rFonts w:ascii="仿宋_GB2312" w:hAnsi="仿宋_GB2312" w:cs="仿宋_GB2312" w:eastAsia="仿宋_GB2312"/>
          <w:sz w:val="24"/>
        </w:rPr>
        <w:t>供应商成交</w:t>
      </w:r>
      <w:r>
        <w:rPr>
          <w:rFonts w:ascii="仿宋_GB2312" w:hAnsi="仿宋_GB2312" w:cs="仿宋_GB2312" w:eastAsia="仿宋_GB2312"/>
          <w:sz w:val="24"/>
        </w:rPr>
        <w:t>后需保证</w:t>
      </w:r>
      <w:r>
        <w:rPr>
          <w:rFonts w:ascii="仿宋_GB2312" w:hAnsi="仿宋_GB2312" w:cs="仿宋_GB2312" w:eastAsia="仿宋_GB2312"/>
          <w:sz w:val="24"/>
        </w:rPr>
        <w:t>采购</w:t>
      </w:r>
      <w:r>
        <w:rPr>
          <w:rFonts w:ascii="仿宋_GB2312" w:hAnsi="仿宋_GB2312" w:cs="仿宋_GB2312" w:eastAsia="仿宋_GB2312"/>
          <w:sz w:val="24"/>
        </w:rPr>
        <w:t>人不受到第三方关于侵犯知识产权及专利权、商标权或工业设计权等知识产权方面的指控，若任何第三方提出此方面指控均与</w:t>
      </w:r>
      <w:r>
        <w:rPr>
          <w:rFonts w:ascii="仿宋_GB2312" w:hAnsi="仿宋_GB2312" w:cs="仿宋_GB2312" w:eastAsia="仿宋_GB2312"/>
          <w:sz w:val="24"/>
        </w:rPr>
        <w:t>采购人</w:t>
      </w:r>
      <w:r>
        <w:rPr>
          <w:rFonts w:ascii="仿宋_GB2312" w:hAnsi="仿宋_GB2312" w:cs="仿宋_GB2312" w:eastAsia="仿宋_GB2312"/>
          <w:sz w:val="24"/>
        </w:rPr>
        <w:t>无关，</w:t>
      </w:r>
      <w:r>
        <w:rPr>
          <w:rFonts w:ascii="仿宋_GB2312" w:hAnsi="仿宋_GB2312" w:cs="仿宋_GB2312" w:eastAsia="仿宋_GB2312"/>
          <w:sz w:val="24"/>
        </w:rPr>
        <w:t>成交供应商</w:t>
      </w:r>
      <w:r>
        <w:rPr>
          <w:rFonts w:ascii="仿宋_GB2312" w:hAnsi="仿宋_GB2312" w:cs="仿宋_GB2312" w:eastAsia="仿宋_GB2312"/>
          <w:sz w:val="24"/>
        </w:rPr>
        <w:t>应与第三方交涉，并承担可能发生的一切法律责任、费用和后果；若</w:t>
      </w:r>
      <w:r>
        <w:rPr>
          <w:rFonts w:ascii="仿宋_GB2312" w:hAnsi="仿宋_GB2312" w:cs="仿宋_GB2312" w:eastAsia="仿宋_GB2312"/>
          <w:sz w:val="24"/>
        </w:rPr>
        <w:t>采购人</w:t>
      </w:r>
      <w:r>
        <w:rPr>
          <w:rFonts w:ascii="仿宋_GB2312" w:hAnsi="仿宋_GB2312" w:cs="仿宋_GB2312" w:eastAsia="仿宋_GB2312"/>
          <w:sz w:val="24"/>
        </w:rPr>
        <w:t>因此而遭致损失，则</w:t>
      </w:r>
      <w:r>
        <w:rPr>
          <w:rFonts w:ascii="仿宋_GB2312" w:hAnsi="仿宋_GB2312" w:cs="仿宋_GB2312" w:eastAsia="仿宋_GB2312"/>
          <w:sz w:val="24"/>
        </w:rPr>
        <w:t>成交供应商</w:t>
      </w:r>
      <w:r>
        <w:rPr>
          <w:rFonts w:ascii="仿宋_GB2312" w:hAnsi="仿宋_GB2312" w:cs="仿宋_GB2312" w:eastAsia="仿宋_GB2312"/>
          <w:sz w:val="24"/>
        </w:rPr>
        <w:t>应赔偿该损失。</w:t>
      </w:r>
    </w:p>
    <w:p>
      <w:pPr>
        <w:pStyle w:val="null3"/>
        <w:ind w:firstLine="425"/>
      </w:pPr>
      <w:r>
        <w:rPr>
          <w:rFonts w:ascii="仿宋_GB2312" w:hAnsi="仿宋_GB2312" w:cs="仿宋_GB2312" w:eastAsia="仿宋_GB2312"/>
          <w:sz w:val="24"/>
        </w:rPr>
        <w:t xml:space="preserve">9.10 </w:t>
      </w:r>
      <w:r>
        <w:rPr>
          <w:rFonts w:ascii="仿宋_GB2312" w:hAnsi="仿宋_GB2312" w:cs="仿宋_GB2312" w:eastAsia="仿宋_GB2312"/>
          <w:sz w:val="24"/>
        </w:rPr>
        <w:t>供应商应明确所提供的服务与采购需求存在的正负偏离情况。对照磋商文件要求，在《技术和服务要求响应表》中逐条说明所提供的服务对采购需求的响应情况。供应商若未对采购需求进行逐条响应，将可能导致不利的评审后果。</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合同签订后五年。（具体详见本章“4、进度要求”）</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服务地点及成果交付地点：采购人指定的地点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采购人将根据采购文件、响应文件、合同及有关标准和规范进行验收直至合格。</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1、期次1，说明：1.验收依据：采购文件、成交供应商响应文件及国家有关的标准规范规定，均为验收依据。 2.成交供应商提供的工作成果必须符合国家相应的有关标准、规范要求，并经采购人验收通过。 3.验收过程所产生的一切费用由成交供应商承担。 4.验收时成交供应商必须派代表参加。</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1、第一阶段付款：【合同签订后，采购人收到成交供应商提供的相应金额发票，达到付款条件起7日内，支付人民币20万元】，达到付款条件起7日内，支付合同总金额的12.00%</w:t>
            </w:r>
          </w:p>
          <w:p>
            <w:pPr>
              <w:pStyle w:val="null3"/>
            </w:pPr>
            <w:r>
              <w:rPr>
                <w:rFonts w:ascii="仿宋_GB2312" w:hAnsi="仿宋_GB2312" w:cs="仿宋_GB2312" w:eastAsia="仿宋_GB2312"/>
              </w:rPr>
              <w:t>2、第二阶段付款：【“十四五”三个实施总结完成及《厦门市“十五五”住建事业发展专项规划》完成初稿后，采购人收到成交供应商提供的相应金额发票，达到付款条件起7日内，支付合同至总金额的50.00%】，达到付款条件起7日内，支付合同总金额的38.00%</w:t>
            </w:r>
          </w:p>
          <w:p>
            <w:pPr>
              <w:pStyle w:val="null3"/>
            </w:pPr>
            <w:r>
              <w:rPr>
                <w:rFonts w:ascii="仿宋_GB2312" w:hAnsi="仿宋_GB2312" w:cs="仿宋_GB2312" w:eastAsia="仿宋_GB2312"/>
              </w:rPr>
              <w:t>3、第三阶段付款：【《厦门市“十五五”住建事业发展专项规划》正式结题后，采购人收到成交供应商提供的相应金额发票，达到付款条件起7日内，支付合同至总金额的80.00%】，达到付款条件起7日内，支付合同总金额的30.00%</w:t>
            </w:r>
          </w:p>
          <w:p>
            <w:pPr>
              <w:pStyle w:val="null3"/>
            </w:pPr>
            <w:r>
              <w:rPr>
                <w:rFonts w:ascii="仿宋_GB2312" w:hAnsi="仿宋_GB2312" w:cs="仿宋_GB2312" w:eastAsia="仿宋_GB2312"/>
              </w:rPr>
              <w:t>4、第四阶段付款：【《厦门市“十五五”住建事业发展专项规划》中期评估完成后，采购人收到成交供应商提供的相应金额发票，达到付款条件起7日内，支付合同至总金额的90.00%】，达到付款条件起7日内，支付合同总金额的10.00%</w:t>
            </w:r>
          </w:p>
          <w:p>
            <w:pPr>
              <w:pStyle w:val="null3"/>
            </w:pPr>
            <w:r>
              <w:rPr>
                <w:rFonts w:ascii="仿宋_GB2312" w:hAnsi="仿宋_GB2312" w:cs="仿宋_GB2312" w:eastAsia="仿宋_GB2312"/>
              </w:rPr>
              <w:t>5、第五阶段付款：【《厦门市“十五五”住建事业发展专项规划》实施总结评估等本项目所有服务内容完成后，采购人收到成交供应商提供的相应金额发票，达到付款条件起7日内，支付合同至总金额的100.00%】，达到付款条件起7日内，支付合同总金额的10.00%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r>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（一）本表由于系统限制编辑，若本章其他地方内容与本表内容不一致的，以其他地方表述内容为准。 （二）合同支付方式（以此为准）： 1、第一阶段付款：合同签订后，采购人收到成交供应商提供的相应金额发票，达到付款条件起7日内，支付人民币20万元。 3、第二阶段付款：“十四五”三个实施总结完成及《厦门市“十五五”住建事业发展专项规划》完成初稿后，采购人收到成交供应商提供的相应金额发票，达到付款条件起7日内，支付合同至总金额的50.00%。 2、第三阶段付款：《厦门市“十五五”住建事业发展专项规划》正式结题后，采购人收到成交供应商提供的相应金额发票，达到付款条件起7日内，支付合同至总金额的80.00%。 3、第四阶段付款：《厦门市“十五五”住建事业发展专项规划》中期评估完成后，采购人收到成交供应商提供的相应金额发票，达到付款条件起7日内，支付合同至总金额的90.00%。 4、第五阶段付款：《厦门市“十五五”住建事业发展专项规划》实施总结评估等本项目所有服务内容完成后，采购人收到成交供应商提供的相应金额发票，达到付款条件起7日内，支付合同至总金额的100.00%。</w:t>
            </w:r>
          </w:p>
        </w:tc>
      </w:tr>
    </w:tbl>
    <w:p>
      <w:pPr>
        <w:pStyle w:val="null3"/>
        <w:jc w:val="left"/>
      </w:pPr>
      <w:r>
        <w:rPr>
          <w:rFonts w:ascii="仿宋_GB2312" w:hAnsi="仿宋_GB2312" w:cs="仿宋_GB2312" w:eastAsia="仿宋_GB2312"/>
        </w:rPr>
        <w:t>其他商务要求：</w:t>
      </w:r>
    </w:p>
    <w:p>
      <w:pPr>
        <w:pStyle w:val="null3"/>
        <w:jc w:val="left"/>
        <w:outlineLvl w:val="2"/>
      </w:pPr>
      <w:r>
        <w:rPr>
          <w:rFonts w:ascii="仿宋_GB2312" w:hAnsi="仿宋_GB2312" w:cs="仿宋_GB2312" w:eastAsia="仿宋_GB2312"/>
          <w:sz w:val="28"/>
          <w:color w:val="000000"/>
        </w:rPr>
        <w:t xml:space="preserve">9 </w:t>
      </w:r>
      <w:r>
        <w:rPr>
          <w:rFonts w:ascii="仿宋_GB2312" w:hAnsi="仿宋_GB2312" w:cs="仿宋_GB2312" w:eastAsia="仿宋_GB2312"/>
          <w:sz w:val="28"/>
          <w:b/>
          <w:color w:val="000000"/>
        </w:rPr>
        <w:t>报价要求</w:t>
      </w:r>
    </w:p>
    <w:p>
      <w:pPr>
        <w:pStyle w:val="null3"/>
        <w:ind w:firstLine="425"/>
        <w:jc w:val="left"/>
      </w:pPr>
      <w:r>
        <w:rPr>
          <w:rFonts w:ascii="仿宋_GB2312" w:hAnsi="仿宋_GB2312" w:cs="仿宋_GB2312" w:eastAsia="仿宋_GB2312"/>
          <w:sz w:val="24"/>
          <w:color w:val="000000"/>
        </w:rPr>
        <w:t xml:space="preserve">9.1 </w:t>
      </w:r>
      <w:r>
        <w:rPr>
          <w:rFonts w:ascii="仿宋_GB2312" w:hAnsi="仿宋_GB2312" w:cs="仿宋_GB2312" w:eastAsia="仿宋_GB2312"/>
          <w:sz w:val="24"/>
          <w:color w:val="000000"/>
        </w:rPr>
        <w:t>本次报价应以人民币为货币单位，应分单价、小计和总价。</w:t>
      </w:r>
    </w:p>
    <w:p>
      <w:pPr>
        <w:pStyle w:val="null3"/>
        <w:ind w:firstLine="425"/>
        <w:jc w:val="left"/>
      </w:pPr>
      <w:r>
        <w:rPr>
          <w:rFonts w:ascii="仿宋_GB2312" w:hAnsi="仿宋_GB2312" w:cs="仿宋_GB2312" w:eastAsia="仿宋_GB2312"/>
          <w:sz w:val="24"/>
          <w:color w:val="000000"/>
        </w:rPr>
        <w:t xml:space="preserve">9.2 </w:t>
      </w:r>
      <w:r>
        <w:rPr>
          <w:rFonts w:ascii="仿宋_GB2312" w:hAnsi="仿宋_GB2312" w:cs="仿宋_GB2312" w:eastAsia="仿宋_GB2312"/>
          <w:sz w:val="24"/>
          <w:color w:val="000000"/>
        </w:rPr>
        <w:t>本项目设有最高限价，投标报价超过最高限价的为无效响应。</w:t>
      </w:r>
    </w:p>
    <w:p>
      <w:pPr>
        <w:pStyle w:val="null3"/>
        <w:ind w:firstLine="425"/>
        <w:jc w:val="left"/>
      </w:pPr>
      <w:r>
        <w:rPr>
          <w:rFonts w:ascii="仿宋_GB2312" w:hAnsi="仿宋_GB2312" w:cs="仿宋_GB2312" w:eastAsia="仿宋_GB2312"/>
          <w:sz w:val="24"/>
          <w:color w:val="000000"/>
        </w:rPr>
        <w:t xml:space="preserve">9.3 </w:t>
      </w:r>
      <w:r>
        <w:rPr>
          <w:rFonts w:ascii="仿宋_GB2312" w:hAnsi="仿宋_GB2312" w:cs="仿宋_GB2312" w:eastAsia="仿宋_GB2312"/>
          <w:sz w:val="24"/>
          <w:color w:val="000000"/>
        </w:rPr>
        <w:t>本次招标为国内采购，请供应商报人民币价。</w:t>
      </w:r>
    </w:p>
    <w:p>
      <w:pPr>
        <w:pStyle w:val="null3"/>
        <w:ind w:firstLine="425"/>
        <w:jc w:val="left"/>
      </w:pPr>
      <w:r>
        <w:rPr>
          <w:rFonts w:ascii="仿宋_GB2312" w:hAnsi="仿宋_GB2312" w:cs="仿宋_GB2312" w:eastAsia="仿宋_GB2312"/>
          <w:sz w:val="24"/>
          <w:color w:val="000000"/>
        </w:rPr>
        <w:t xml:space="preserve">9.4 </w:t>
      </w:r>
      <w:r>
        <w:rPr>
          <w:rFonts w:ascii="仿宋_GB2312" w:hAnsi="仿宋_GB2312" w:cs="仿宋_GB2312" w:eastAsia="仿宋_GB2312"/>
          <w:sz w:val="24"/>
          <w:color w:val="000000"/>
        </w:rPr>
        <w:t>本项目投标报价为完成项目的全部服务内容并提交正式成果材料经采购人确认所有可能发生的费用。总报价包括但不限于以下：技术服务、资料收集、整理、分析、论证、审批、审查工作、成果材料、招标代理服务费等为完成本项目所有可能发生的一切费用。供应商漏报、少报的费用，视为此项费用已隐含在总报价中，成交后不得再向采购人收取任何费用。</w:t>
      </w:r>
    </w:p>
    <w:p>
      <w:pPr>
        <w:pStyle w:val="null3"/>
        <w:ind w:firstLine="425"/>
        <w:jc w:val="left"/>
      </w:pPr>
      <w:r>
        <w:rPr>
          <w:rFonts w:ascii="仿宋_GB2312" w:hAnsi="仿宋_GB2312" w:cs="仿宋_GB2312" w:eastAsia="仿宋_GB2312"/>
          <w:sz w:val="24"/>
          <w:color w:val="000000"/>
        </w:rPr>
        <w:t xml:space="preserve">9.5 </w:t>
      </w:r>
      <w:r>
        <w:rPr>
          <w:rFonts w:ascii="仿宋_GB2312" w:hAnsi="仿宋_GB2312" w:cs="仿宋_GB2312" w:eastAsia="仿宋_GB2312"/>
          <w:sz w:val="24"/>
          <w:color w:val="000000"/>
        </w:rPr>
        <w:t>供应商漏报的单价或每单价报价中漏报、少报的费用，视为此项费用已隐含在响应报价中，成交后不得再向采购人收取任何费用。</w:t>
      </w:r>
    </w:p>
    <w:p>
      <w:pPr>
        <w:pStyle w:val="null3"/>
        <w:ind w:firstLine="425"/>
        <w:jc w:val="left"/>
      </w:pPr>
      <w:r>
        <w:rPr>
          <w:rFonts w:ascii="仿宋_GB2312" w:hAnsi="仿宋_GB2312" w:cs="仿宋_GB2312" w:eastAsia="仿宋_GB2312"/>
          <w:sz w:val="24"/>
          <w:color w:val="000000"/>
        </w:rPr>
        <w:t xml:space="preserve">9.6 </w:t>
      </w:r>
      <w:r>
        <w:rPr>
          <w:rFonts w:ascii="仿宋_GB2312" w:hAnsi="仿宋_GB2312" w:cs="仿宋_GB2312" w:eastAsia="仿宋_GB2312"/>
          <w:sz w:val="24"/>
          <w:color w:val="000000"/>
        </w:rPr>
        <w:t>供应商对本项目只能有一个报价，招标采购单位不接受有选择的报价。</w:t>
      </w:r>
    </w:p>
    <w:p>
      <w:pPr>
        <w:pStyle w:val="null3"/>
        <w:ind w:firstLine="425"/>
        <w:jc w:val="left"/>
      </w:pPr>
      <w:r>
        <w:rPr>
          <w:rFonts w:ascii="仿宋_GB2312" w:hAnsi="仿宋_GB2312" w:cs="仿宋_GB2312" w:eastAsia="仿宋_GB2312"/>
          <w:sz w:val="24"/>
          <w:color w:val="000000"/>
        </w:rPr>
        <w:t xml:space="preserve">9.7 </w:t>
      </w:r>
      <w:r>
        <w:rPr>
          <w:rFonts w:ascii="仿宋_GB2312" w:hAnsi="仿宋_GB2312" w:cs="仿宋_GB2312" w:eastAsia="仿宋_GB2312"/>
          <w:sz w:val="24"/>
          <w:color w:val="000000"/>
        </w:rPr>
        <w:t>供应商应根据本项目实际情况编辑详细报价书，并在客户端系统中上传完整的详细报价书，未按要求提交完整的详细报价书，由此产生的不利后果由供应商自行承担。</w:t>
      </w:r>
    </w:p>
    <w:p>
      <w:pPr>
        <w:pStyle w:val="null3"/>
        <w:spacing w:before="150" w:after="150"/>
        <w:ind w:left="420"/>
        <w:jc w:val="left"/>
      </w:pPr>
      <w:r>
        <w:rPr>
          <w:rFonts w:ascii="仿宋_GB2312" w:hAnsi="仿宋_GB2312" w:cs="仿宋_GB2312" w:eastAsia="仿宋_GB2312"/>
          <w:sz w:val="28"/>
          <w:color w:val="000000"/>
        </w:rPr>
        <w:t xml:space="preserve">10 </w:t>
      </w:r>
      <w:r>
        <w:rPr>
          <w:rFonts w:ascii="仿宋_GB2312" w:hAnsi="仿宋_GB2312" w:cs="仿宋_GB2312" w:eastAsia="仿宋_GB2312"/>
          <w:sz w:val="28"/>
          <w:b/>
          <w:color w:val="000000"/>
        </w:rPr>
        <w:t>保密及版权要求</w:t>
      </w:r>
    </w:p>
    <w:p>
      <w:pPr>
        <w:pStyle w:val="null3"/>
        <w:ind w:firstLine="425"/>
        <w:jc w:val="left"/>
      </w:pPr>
      <w:r>
        <w:rPr>
          <w:rFonts w:ascii="仿宋_GB2312" w:hAnsi="仿宋_GB2312" w:cs="仿宋_GB2312" w:eastAsia="仿宋_GB2312"/>
          <w:sz w:val="24"/>
          <w:color w:val="000000"/>
        </w:rPr>
        <w:t xml:space="preserve">10.1 </w:t>
      </w:r>
      <w:r>
        <w:rPr>
          <w:rFonts w:ascii="仿宋_GB2312" w:hAnsi="仿宋_GB2312" w:cs="仿宋_GB2312" w:eastAsia="仿宋_GB2312"/>
          <w:sz w:val="24"/>
          <w:color w:val="000000"/>
        </w:rPr>
        <w:t>供应商必须对采购人提供的资料及与本项目相关的一切资料履行保密责任，未经采购人书面许可，不得向任何第三方复制、转让、使用、引用，供应商也不得用于其他的任何场合。</w:t>
      </w:r>
    </w:p>
    <w:p>
      <w:pPr>
        <w:pStyle w:val="null3"/>
        <w:ind w:firstLine="425"/>
        <w:jc w:val="left"/>
      </w:pPr>
      <w:r>
        <w:rPr>
          <w:rFonts w:ascii="仿宋_GB2312" w:hAnsi="仿宋_GB2312" w:cs="仿宋_GB2312" w:eastAsia="仿宋_GB2312"/>
          <w:sz w:val="24"/>
          <w:color w:val="000000"/>
        </w:rPr>
        <w:t xml:space="preserve">10.2 </w:t>
      </w:r>
      <w:r>
        <w:rPr>
          <w:rFonts w:ascii="仿宋_GB2312" w:hAnsi="仿宋_GB2312" w:cs="仿宋_GB2312" w:eastAsia="仿宋_GB2312"/>
          <w:sz w:val="24"/>
          <w:color w:val="000000"/>
        </w:rPr>
        <w:t>供应商保证采购人在使用本项目所采购货物或其任何一部分时不受第三方提出侵犯其专利权、版权、商标权或其他权</w:t>
      </w:r>
      <w:r>
        <w:rPr>
          <w:rFonts w:ascii="仿宋_GB2312" w:hAnsi="仿宋_GB2312" w:cs="仿宋_GB2312" w:eastAsia="仿宋_GB2312"/>
          <w:sz w:val="24"/>
          <w:color w:val="000000"/>
        </w:rPr>
        <w:t>利的起诉。一旦出现侵权，供应商应承担全部责任。</w:t>
      </w:r>
    </w:p>
    <w:p>
      <w:pPr>
        <w:pStyle w:val="null3"/>
        <w:ind w:firstLine="425"/>
        <w:jc w:val="left"/>
      </w:pPr>
      <w:r>
        <w:rPr>
          <w:rFonts w:ascii="仿宋_GB2312" w:hAnsi="仿宋_GB2312" w:cs="仿宋_GB2312" w:eastAsia="仿宋_GB2312"/>
          <w:sz w:val="24"/>
          <w:color w:val="000000"/>
        </w:rPr>
        <w:t xml:space="preserve">10.3 </w:t>
      </w:r>
      <w:r>
        <w:rPr>
          <w:rFonts w:ascii="仿宋_GB2312" w:hAnsi="仿宋_GB2312" w:cs="仿宋_GB2312" w:eastAsia="仿宋_GB2312"/>
          <w:sz w:val="24"/>
          <w:color w:val="000000"/>
        </w:rPr>
        <w:t>本项目所有成果文件版权归采购人及供应商共同所有。供应商应保证采购人在使用其响应</w:t>
      </w:r>
      <w:r>
        <w:rPr>
          <w:rFonts w:ascii="仿宋_GB2312" w:hAnsi="仿宋_GB2312" w:cs="仿宋_GB2312" w:eastAsia="仿宋_GB2312"/>
          <w:sz w:val="24"/>
          <w:color w:val="000000"/>
        </w:rPr>
        <w:t>文件</w:t>
      </w:r>
      <w:r>
        <w:rPr>
          <w:rFonts w:ascii="仿宋_GB2312" w:hAnsi="仿宋_GB2312" w:cs="仿宋_GB2312" w:eastAsia="仿宋_GB2312"/>
          <w:sz w:val="24"/>
          <w:color w:val="000000"/>
        </w:rPr>
        <w:t>的任何一部分时免受其专利权、商标权或其它知识产权引起的一切索赔和诉讼。如果发生就供应商向采购人提供的本项目下所</w:t>
      </w:r>
      <w:r>
        <w:rPr>
          <w:rFonts w:ascii="仿宋_GB2312" w:hAnsi="仿宋_GB2312" w:cs="仿宋_GB2312" w:eastAsia="仿宋_GB2312"/>
          <w:sz w:val="24"/>
          <w:color w:val="000000"/>
        </w:rPr>
        <w:t>涉及的侵权指控，供应商应承担由此而引起的一切经济和法律责任。本条规定不因本项目的完成而失效。</w:t>
      </w:r>
    </w:p>
    <w:p>
      <w:pPr>
        <w:pStyle w:val="null3"/>
        <w:spacing w:before="150" w:after="150"/>
        <w:ind w:left="420"/>
        <w:jc w:val="left"/>
      </w:pPr>
      <w:r>
        <w:rPr>
          <w:rFonts w:ascii="仿宋_GB2312" w:hAnsi="仿宋_GB2312" w:cs="仿宋_GB2312" w:eastAsia="仿宋_GB2312"/>
          <w:sz w:val="28"/>
          <w:color w:val="000000"/>
        </w:rPr>
        <w:t xml:space="preserve">11 </w:t>
      </w:r>
      <w:r>
        <w:rPr>
          <w:rFonts w:ascii="仿宋_GB2312" w:hAnsi="仿宋_GB2312" w:cs="仿宋_GB2312" w:eastAsia="仿宋_GB2312"/>
          <w:sz w:val="28"/>
          <w:b/>
          <w:color w:val="000000"/>
        </w:rPr>
        <w:t>售后服务及验收标准</w:t>
      </w:r>
    </w:p>
    <w:p>
      <w:pPr>
        <w:pStyle w:val="null3"/>
        <w:ind w:firstLine="425"/>
        <w:jc w:val="left"/>
      </w:pPr>
      <w:r>
        <w:rPr>
          <w:rFonts w:ascii="仿宋_GB2312" w:hAnsi="仿宋_GB2312" w:cs="仿宋_GB2312" w:eastAsia="仿宋_GB2312"/>
          <w:sz w:val="24"/>
          <w:b/>
          <w:color w:val="000000"/>
        </w:rPr>
        <w:t xml:space="preserve">11.1 </w:t>
      </w:r>
      <w:r>
        <w:rPr>
          <w:rFonts w:ascii="仿宋_GB2312" w:hAnsi="仿宋_GB2312" w:cs="仿宋_GB2312" w:eastAsia="仿宋_GB2312"/>
          <w:sz w:val="24"/>
          <w:b/>
          <w:color w:val="000000"/>
        </w:rPr>
        <w:t>售后服务</w:t>
      </w:r>
    </w:p>
    <w:p>
      <w:pPr>
        <w:pStyle w:val="null3"/>
        <w:ind w:firstLine="480"/>
        <w:jc w:val="left"/>
      </w:pPr>
      <w:r>
        <w:rPr>
          <w:rFonts w:ascii="仿宋_GB2312" w:hAnsi="仿宋_GB2312" w:cs="仿宋_GB2312" w:eastAsia="仿宋_GB2312"/>
          <w:sz w:val="24"/>
          <w:color w:val="000000"/>
        </w:rPr>
        <w:t>供应商应根据本采购项目特点提供切实可行且满足采购人工作需要的售后服务，并在响应文件中提供详细具体的售后服务承诺条款及保证。</w:t>
      </w:r>
    </w:p>
    <w:p>
      <w:pPr>
        <w:pStyle w:val="null3"/>
        <w:ind w:firstLine="425"/>
        <w:jc w:val="left"/>
      </w:pPr>
      <w:r>
        <w:rPr>
          <w:rFonts w:ascii="仿宋_GB2312" w:hAnsi="仿宋_GB2312" w:cs="仿宋_GB2312" w:eastAsia="仿宋_GB2312"/>
          <w:sz w:val="24"/>
          <w:b/>
          <w:color w:val="000000"/>
        </w:rPr>
        <w:t xml:space="preserve">11.2 </w:t>
      </w:r>
      <w:r>
        <w:rPr>
          <w:rFonts w:ascii="仿宋_GB2312" w:hAnsi="仿宋_GB2312" w:cs="仿宋_GB2312" w:eastAsia="仿宋_GB2312"/>
          <w:sz w:val="24"/>
          <w:b/>
          <w:color w:val="000000"/>
        </w:rPr>
        <w:t>验收标准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1）规划方案须经有关部门审核通过，并经采购人组织验收并书面签字确认后通过验收。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2）采购人有权要求组织相关的方案评审论证会议，相关工作及费用由成交供应商承担。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3）验收过程所产生的一切费用由成交供应商承担。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4）验收时成交供应商必须派代表参加。</w:t>
      </w:r>
    </w:p>
    <w:p>
      <w:pPr>
        <w:pStyle w:val="null3"/>
        <w:ind w:left="420"/>
        <w:jc w:val="left"/>
      </w:pPr>
      <w:r>
        <w:rPr>
          <w:rFonts w:ascii="仿宋_GB2312" w:hAnsi="仿宋_GB2312" w:cs="仿宋_GB2312" w:eastAsia="仿宋_GB2312"/>
          <w:sz w:val="24"/>
          <w:b/>
          <w:color w:val="000000"/>
        </w:rPr>
        <w:t xml:space="preserve"> </w:t>
      </w:r>
    </w:p>
    <w:p>
      <w:pPr>
        <w:pStyle w:val="null3"/>
        <w:spacing w:before="150" w:after="150"/>
        <w:ind w:left="420"/>
        <w:jc w:val="left"/>
      </w:pPr>
      <w:r>
        <w:rPr>
          <w:rFonts w:ascii="仿宋_GB2312" w:hAnsi="仿宋_GB2312" w:cs="仿宋_GB2312" w:eastAsia="仿宋_GB2312"/>
          <w:sz w:val="28"/>
          <w:color w:val="000000"/>
        </w:rPr>
        <w:t xml:space="preserve">12 </w:t>
      </w:r>
      <w:r>
        <w:rPr>
          <w:rFonts w:ascii="仿宋_GB2312" w:hAnsi="仿宋_GB2312" w:cs="仿宋_GB2312" w:eastAsia="仿宋_GB2312"/>
          <w:sz w:val="28"/>
          <w:b/>
          <w:color w:val="000000"/>
        </w:rPr>
        <w:t>商务条件响应要求</w:t>
      </w:r>
    </w:p>
    <w:p>
      <w:pPr>
        <w:pStyle w:val="null3"/>
        <w:ind w:firstLine="425"/>
        <w:jc w:val="left"/>
      </w:pPr>
      <w:r>
        <w:rPr>
          <w:rFonts w:ascii="仿宋_GB2312" w:hAnsi="仿宋_GB2312" w:cs="仿宋_GB2312" w:eastAsia="仿宋_GB2312"/>
          <w:sz w:val="24"/>
          <w:color w:val="000000"/>
        </w:rPr>
        <w:t xml:space="preserve">12.1 </w:t>
      </w:r>
      <w:r>
        <w:rPr>
          <w:rFonts w:ascii="仿宋_GB2312" w:hAnsi="仿宋_GB2312" w:cs="仿宋_GB2312" w:eastAsia="仿宋_GB2312"/>
          <w:sz w:val="24"/>
          <w:color w:val="000000"/>
        </w:rPr>
        <w:t>供应商应根据商务条件要求及商务项评分条款提供相应的交付时间、售后服务、认证等证书、业绩经验</w:t>
      </w:r>
      <w:r>
        <w:rPr>
          <w:rFonts w:ascii="仿宋_GB2312" w:hAnsi="仿宋_GB2312" w:cs="仿宋_GB2312" w:eastAsia="仿宋_GB2312"/>
          <w:sz w:val="24"/>
          <w:color w:val="000000"/>
        </w:rPr>
        <w:t>、</w:t>
      </w:r>
      <w:r>
        <w:rPr>
          <w:rFonts w:ascii="仿宋_GB2312" w:hAnsi="仿宋_GB2312" w:cs="仿宋_GB2312" w:eastAsia="仿宋_GB2312"/>
          <w:sz w:val="24"/>
          <w:color w:val="000000"/>
        </w:rPr>
        <w:t>相关荣誉、本地化服务等</w:t>
      </w:r>
      <w:r>
        <w:rPr>
          <w:rFonts w:ascii="仿宋_GB2312" w:hAnsi="仿宋_GB2312" w:cs="仿宋_GB2312" w:eastAsia="仿宋_GB2312"/>
          <w:sz w:val="24"/>
          <w:color w:val="000000"/>
        </w:rPr>
        <w:t>，并按要求提供相应的佐证材料，未按要求提供的将可能导致不得分。</w:t>
      </w:r>
    </w:p>
    <w:p>
      <w:pPr>
        <w:pStyle w:val="null3"/>
        <w:ind w:firstLine="425"/>
        <w:jc w:val="left"/>
      </w:pPr>
      <w:r>
        <w:rPr>
          <w:rFonts w:ascii="仿宋_GB2312" w:hAnsi="仿宋_GB2312" w:cs="仿宋_GB2312" w:eastAsia="仿宋_GB2312"/>
          <w:sz w:val="24"/>
          <w:color w:val="000000"/>
        </w:rPr>
        <w:t xml:space="preserve">12.2 </w:t>
      </w:r>
      <w:r>
        <w:rPr>
          <w:rFonts w:ascii="仿宋_GB2312" w:hAnsi="仿宋_GB2312" w:cs="仿宋_GB2312" w:eastAsia="仿宋_GB2312"/>
          <w:sz w:val="24"/>
          <w:color w:val="000000"/>
        </w:rPr>
        <w:t>根据供应商实施或完成住房或建设相关课题</w:t>
      </w:r>
      <w:r>
        <w:rPr>
          <w:rFonts w:ascii="仿宋_GB2312" w:hAnsi="仿宋_GB2312" w:cs="仿宋_GB2312" w:eastAsia="仿宋_GB2312"/>
          <w:sz w:val="24"/>
          <w:color w:val="000000"/>
        </w:rPr>
        <w:t>，</w:t>
      </w:r>
      <w:r>
        <w:rPr>
          <w:rFonts w:ascii="仿宋_GB2312" w:hAnsi="仿宋_GB2312" w:cs="仿宋_GB2312" w:eastAsia="仿宋_GB2312"/>
          <w:sz w:val="24"/>
          <w:color w:val="000000"/>
        </w:rPr>
        <w:t>能</w:t>
      </w:r>
      <w:r>
        <w:rPr>
          <w:rFonts w:ascii="仿宋_GB2312" w:hAnsi="仿宋_GB2312" w:cs="仿宋_GB2312" w:eastAsia="仿宋_GB2312"/>
          <w:sz w:val="24"/>
          <w:color w:val="000000"/>
        </w:rPr>
        <w:t>为本项目提供科学依据和数据支撑。</w:t>
      </w:r>
    </w:p>
    <w:p>
      <w:pPr>
        <w:pStyle w:val="null3"/>
        <w:ind w:firstLine="425"/>
        <w:jc w:val="left"/>
      </w:pPr>
      <w:r>
        <w:rPr>
          <w:rFonts w:ascii="仿宋_GB2312" w:hAnsi="仿宋_GB2312" w:cs="仿宋_GB2312" w:eastAsia="仿宋_GB2312"/>
          <w:sz w:val="24"/>
          <w:color w:val="000000"/>
        </w:rPr>
        <w:t xml:space="preserve">12.3 </w:t>
      </w:r>
      <w:r>
        <w:rPr>
          <w:rFonts w:ascii="仿宋_GB2312" w:hAnsi="仿宋_GB2312" w:cs="仿宋_GB2312" w:eastAsia="仿宋_GB2312"/>
          <w:sz w:val="24"/>
          <w:color w:val="000000"/>
        </w:rPr>
        <w:t>供应商具有相关主管部门授牌的住房或建设领域公共技术服务平台，具备能够为本项目提供持续开展技术服务、科技研发的转化能力</w:t>
      </w:r>
      <w:r>
        <w:rPr>
          <w:rFonts w:ascii="仿宋_GB2312" w:hAnsi="仿宋_GB2312" w:cs="仿宋_GB2312" w:eastAsia="仿宋_GB2312"/>
          <w:sz w:val="24"/>
          <w:color w:val="000000"/>
        </w:rPr>
        <w:t>。</w:t>
      </w:r>
    </w:p>
    <w:p>
      <w:pPr>
        <w:pStyle w:val="null3"/>
        <w:ind w:firstLine="425"/>
        <w:jc w:val="left"/>
      </w:pPr>
      <w:r>
        <w:rPr>
          <w:rFonts w:ascii="仿宋_GB2312" w:hAnsi="仿宋_GB2312" w:cs="仿宋_GB2312" w:eastAsia="仿宋_GB2312"/>
          <w:sz w:val="24"/>
          <w:color w:val="000000"/>
        </w:rPr>
        <w:t xml:space="preserve">12.4 </w:t>
      </w:r>
      <w:r>
        <w:rPr>
          <w:rFonts w:ascii="仿宋_GB2312" w:hAnsi="仿宋_GB2312" w:cs="仿宋_GB2312" w:eastAsia="仿宋_GB2312"/>
          <w:sz w:val="24"/>
          <w:color w:val="000000"/>
        </w:rPr>
        <w:t>供应商主编完成紧密关联住房和建设规划重点方向的相关规范标准，能为编制本次专项规划提供技术依据以确保规划的科学性和可行性。</w:t>
      </w:r>
    </w:p>
    <w:p>
      <w:pPr>
        <w:pStyle w:val="null3"/>
        <w:ind w:firstLine="425"/>
        <w:jc w:val="left"/>
      </w:pPr>
      <w:r>
        <w:rPr>
          <w:rFonts w:ascii="仿宋_GB2312" w:hAnsi="仿宋_GB2312" w:cs="仿宋_GB2312" w:eastAsia="仿宋_GB2312"/>
          <w:sz w:val="24"/>
          <w:color w:val="000000"/>
        </w:rPr>
        <w:t xml:space="preserve">12.5 </w:t>
      </w:r>
      <w:r>
        <w:rPr>
          <w:rFonts w:ascii="仿宋_GB2312" w:hAnsi="仿宋_GB2312" w:cs="仿宋_GB2312" w:eastAsia="仿宋_GB2312"/>
          <w:sz w:val="24"/>
          <w:color w:val="000000"/>
        </w:rPr>
        <w:t>供应商承诺能自觉接受采购人及其各级行政主管部门管理、监督和检查。</w:t>
      </w:r>
    </w:p>
    <w:p>
      <w:pPr>
        <w:pStyle w:val="null3"/>
        <w:ind w:firstLine="425"/>
        <w:jc w:val="left"/>
      </w:pPr>
      <w:r>
        <w:rPr>
          <w:rFonts w:ascii="仿宋_GB2312" w:hAnsi="仿宋_GB2312" w:cs="仿宋_GB2312" w:eastAsia="仿宋_GB2312"/>
          <w:sz w:val="24"/>
          <w:color w:val="000000"/>
        </w:rPr>
        <w:t xml:space="preserve">12.6 </w:t>
      </w:r>
      <w:r>
        <w:rPr>
          <w:rFonts w:ascii="仿宋_GB2312" w:hAnsi="仿宋_GB2312" w:cs="仿宋_GB2312" w:eastAsia="仿宋_GB2312"/>
          <w:sz w:val="24"/>
          <w:color w:val="000000"/>
        </w:rPr>
        <w:t>供应商承诺能按采购人实际需求（除采购文件要求外）提供成果文件（包括数量、规格、形式等）且不再另行收费。</w:t>
      </w:r>
    </w:p>
    <w:p>
      <w:pPr>
        <w:pStyle w:val="null3"/>
        <w:jc w:val="left"/>
      </w:pPr>
      <w:r>
        <w:rPr>
          <w:rFonts w:ascii="仿宋_GB2312" w:hAnsi="仿宋_GB2312" w:cs="仿宋_GB2312" w:eastAsia="仿宋_GB2312"/>
          <w:sz w:val="24"/>
          <w:b/>
          <w:color w:val="000000"/>
        </w:rPr>
        <w:t xml:space="preserve"> </w:t>
      </w:r>
    </w:p>
    <w:p>
      <w:pPr>
        <w:pStyle w:val="null3"/>
        <w:jc w:val="left"/>
      </w:pPr>
      <w:r>
        <w:rPr>
          <w:rFonts w:ascii="仿宋_GB2312" w:hAnsi="仿宋_GB2312" w:cs="仿宋_GB2312" w:eastAsia="仿宋_GB2312"/>
          <w:sz w:val="32"/>
          <w:b/>
          <w:color w:val="000000"/>
        </w:rPr>
        <w:t>补充条款：</w:t>
      </w:r>
    </w:p>
    <w:p>
      <w:pPr>
        <w:pStyle w:val="null3"/>
        <w:jc w:val="left"/>
      </w:pPr>
      <w:r>
        <w:rPr>
          <w:rFonts w:ascii="仿宋_GB2312" w:hAnsi="仿宋_GB2312" w:cs="仿宋_GB2312" w:eastAsia="仿宋_GB2312"/>
          <w:sz w:val="32"/>
          <w:b/>
          <w:color w:val="000000"/>
        </w:rPr>
        <w:t>说明：本补充条款为磋商文件组成部分，补充条款内容与磋商文件其他地方内容不一致的，以本补充条款内容为准。请供应商仔细阅读。</w:t>
      </w:r>
    </w:p>
    <w:p>
      <w:pPr>
        <w:pStyle w:val="null3"/>
        <w:jc w:val="left"/>
      </w:pPr>
      <w:r>
        <w:rPr>
          <w:rFonts w:ascii="仿宋_GB2312" w:hAnsi="仿宋_GB2312" w:cs="仿宋_GB2312" w:eastAsia="仿宋_GB2312"/>
          <w:sz w:val="30"/>
          <w:b/>
          <w:color w:val="000000"/>
        </w:rPr>
        <w:t>一、对《第二章第</w:t>
      </w:r>
      <w:r>
        <w:rPr>
          <w:rFonts w:ascii="仿宋_GB2312" w:hAnsi="仿宋_GB2312" w:cs="仿宋_GB2312" w:eastAsia="仿宋_GB2312"/>
          <w:sz w:val="30"/>
          <w:b/>
          <w:color w:val="000000"/>
        </w:rPr>
        <w:t>1节  竞争性磋商须知前附表》的内容补充如下：</w:t>
      </w:r>
    </w:p>
    <w:tbl>
      <w:tblPr>
        <w:tblW w:w="0" w:type="auto"/>
        <w:tblBorders>
          <w:top w:val="none" w:color="000000" w:sz="4"/>
          <w:left w:val="none" w:color="000000" w:sz="4"/>
          <w:bottom w:val="none" w:color="000000" w:sz="4"/>
          <w:right w:val="none" w:color="000000" w:sz="4"/>
          <w:insideH w:val="none"/>
          <w:insideV w:val="none"/>
        </w:tblBorders>
      </w:tblPr>
      <w:tblGrid>
        <w:gridCol w:w="618"/>
        <w:gridCol w:w="995"/>
        <w:gridCol w:w="6693"/>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项号</w:t>
            </w:r>
          </w:p>
        </w:tc>
        <w:tc>
          <w:tcPr>
            <w:tcW w:type="dxa" w:w="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条款号</w:t>
            </w:r>
          </w:p>
        </w:tc>
        <w:tc>
          <w:tcPr>
            <w:tcW w:type="dxa" w:w="6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编列内容</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3.2.1</w:t>
            </w:r>
          </w:p>
        </w:tc>
        <w:tc>
          <w:tcPr>
            <w:tcW w:type="dxa" w:w="6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1）关于单位负责人授权书：电子响应文件中的本授权书可以提供原件的扫描件，也可以不提供原件的扫描件，只要有使用CA证书加盖电子章即可。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关于</w:t>
            </w:r>
            <w:r>
              <w:rPr>
                <w:rFonts w:ascii="仿宋_GB2312" w:hAnsi="仿宋_GB2312" w:cs="仿宋_GB2312" w:eastAsia="仿宋_GB2312"/>
                <w:sz w:val="24"/>
                <w:color w:val="000000"/>
              </w:rPr>
              <w:t>财务状况报告：</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1-6月期间评审的项目，供应商也可提供上上年度的年度财务报告。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3）对于“特定资格条件”的要求，供应商应满足所投采购包的要求。若为联合体的，除另有规定外，联合体有一方满足特定资格条件的要求即可。</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6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根据《厦门市财政局关于进一步减轻供应商参与政府采购活动成本负担的通知》（厦财采〔</w:t>
            </w:r>
            <w:r>
              <w:rPr>
                <w:rFonts w:ascii="仿宋_GB2312" w:hAnsi="仿宋_GB2312" w:cs="仿宋_GB2312" w:eastAsia="仿宋_GB2312"/>
                <w:sz w:val="24"/>
                <w:color w:val="000000"/>
              </w:rPr>
              <w:t>2021〕5号）规定，本项目不再要求供应商提交纸质响应文件及可读介质（光盘或U盘）。但供应商仍需提交CA证书用于解密电子响应文件。</w:t>
            </w:r>
          </w:p>
          <w:p>
            <w:pPr>
              <w:pStyle w:val="null3"/>
              <w:jc w:val="left"/>
            </w:pPr>
            <w:r>
              <w:rPr>
                <w:rFonts w:ascii="仿宋_GB2312" w:hAnsi="仿宋_GB2312" w:cs="仿宋_GB2312" w:eastAsia="仿宋_GB2312"/>
                <w:sz w:val="24"/>
                <w:color w:val="000000"/>
              </w:rPr>
              <w:t>同时，取消磋商文件中有关纸质响应文件的相关内容。</w:t>
            </w:r>
          </w:p>
          <w:p>
            <w:pPr>
              <w:pStyle w:val="null3"/>
              <w:jc w:val="left"/>
            </w:pPr>
            <w:r>
              <w:rPr>
                <w:rFonts w:ascii="仿宋_GB2312" w:hAnsi="仿宋_GB2312" w:cs="仿宋_GB2312" w:eastAsia="仿宋_GB2312"/>
                <w:sz w:val="24"/>
                <w:color w:val="000000"/>
              </w:rPr>
              <w:t>因评审场所条件限制，本项目无法进行远程磋商，供应商应派代表到现场，未到现场的将可能导致响应无效。</w:t>
            </w:r>
          </w:p>
        </w:tc>
      </w:tr>
      <w:tr>
        <w:tc>
          <w:tcPr>
            <w:tcW w:type="dxa" w:w="6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9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6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质疑函应采用下列方式之一提交：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1）邮件形式：将质疑函原件扫描发送至邮箱：xmgwcgzy@163.com。收到质疑函的时间以邮箱显示的收到时间为准。质疑答复过程中需要核对原件的，质疑人应提供原件核查，否则相关资料可能不被认可。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2）快递形式：将质疑函原件快递至厦门市湖滨南路81号光大银行大厦10楼前台，收件人：程小姐，电话：0592-2230888。收到质疑函的时间以快递签收时间为准。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3）现场送达：将质疑函原件现场送至厦门市湖滨南路81号光大银行大厦10楼前台。收到质疑函的时间以前台签收时间为准。</w:t>
            </w:r>
          </w:p>
          <w:p>
            <w:pPr>
              <w:pStyle w:val="null3"/>
              <w:jc w:val="left"/>
            </w:pPr>
            <w:r>
              <w:rPr>
                <w:rFonts w:ascii="仿宋_GB2312" w:hAnsi="仿宋_GB2312" w:cs="仿宋_GB2312" w:eastAsia="仿宋_GB2312"/>
                <w:sz w:val="24"/>
                <w:color w:val="000000"/>
              </w:rPr>
              <w:t>注：提交质疑函须附上系统报名截图，质疑函须符合第二章第</w:t>
            </w:r>
            <w:r>
              <w:rPr>
                <w:rFonts w:ascii="仿宋_GB2312" w:hAnsi="仿宋_GB2312" w:cs="仿宋_GB2312" w:eastAsia="仿宋_GB2312"/>
                <w:sz w:val="24"/>
                <w:color w:val="000000"/>
              </w:rPr>
              <w:t>20条质疑的要求。</w:t>
            </w:r>
          </w:p>
        </w:tc>
      </w:tr>
      <w:tr>
        <w:tc>
          <w:tcPr>
            <w:tcW w:type="dxa" w:w="618"/>
            <w:vMerge/>
            <w:tcBorders>
              <w:top w:val="none" w:color="000000" w:sz="4"/>
              <w:left w:val="single" w:color="000000" w:sz="4"/>
              <w:bottom w:val="single" w:color="000000" w:sz="4"/>
              <w:right w:val="single" w:color="000000" w:sz="4"/>
            </w:tcBorders>
          </w:tcPr>
          <w:p/>
        </w:tc>
        <w:tc>
          <w:tcPr>
            <w:tcW w:type="dxa" w:w="995"/>
            <w:vMerge/>
            <w:tcBorders>
              <w:top w:val="none" w:color="000000" w:sz="4"/>
              <w:left w:val="single" w:color="000000" w:sz="4"/>
              <w:bottom w:val="single" w:color="000000" w:sz="4"/>
              <w:right w:val="single" w:color="000000" w:sz="4"/>
            </w:tcBorders>
          </w:tcPr>
          <w:p/>
        </w:tc>
        <w:tc>
          <w:tcPr>
            <w:tcW w:type="dxa" w:w="6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是否允许成交供应商将本项目的非主体、非关键性工作进行分包：不允许。</w:t>
            </w:r>
          </w:p>
        </w:tc>
      </w:tr>
    </w:tbl>
    <w:p>
      <w:pPr>
        <w:pStyle w:val="null3"/>
        <w:jc w:val="left"/>
      </w:pPr>
      <w:r>
        <w:rPr>
          <w:rFonts w:ascii="仿宋_GB2312" w:hAnsi="仿宋_GB2312" w:cs="仿宋_GB2312" w:eastAsia="仿宋_GB2312"/>
          <w:sz w:val="24"/>
          <w:b/>
          <w:color w:val="000000"/>
        </w:rPr>
        <w:t xml:space="preserve"> </w:t>
      </w:r>
    </w:p>
    <w:p>
      <w:pPr>
        <w:pStyle w:val="null3"/>
        <w:jc w:val="left"/>
      </w:pPr>
      <w:r>
        <w:rPr>
          <w:rFonts w:ascii="仿宋_GB2312" w:hAnsi="仿宋_GB2312" w:cs="仿宋_GB2312" w:eastAsia="仿宋_GB2312"/>
          <w:sz w:val="30"/>
          <w:b/>
          <w:color w:val="000000"/>
        </w:rPr>
        <w:t>二、对《第二章第</w:t>
      </w:r>
      <w:r>
        <w:rPr>
          <w:rFonts w:ascii="仿宋_GB2312" w:hAnsi="仿宋_GB2312" w:cs="仿宋_GB2312" w:eastAsia="仿宋_GB2312"/>
          <w:sz w:val="30"/>
          <w:b/>
          <w:color w:val="000000"/>
        </w:rPr>
        <w:t>2节  竞争性磋商须知》的内容补充如下：</w:t>
      </w:r>
    </w:p>
    <w:p>
      <w:pPr>
        <w:pStyle w:val="null3"/>
        <w:ind w:firstLine="482"/>
        <w:jc w:val="left"/>
      </w:pPr>
      <w:r>
        <w:rPr>
          <w:rFonts w:ascii="仿宋_GB2312" w:hAnsi="仿宋_GB2312" w:cs="仿宋_GB2312" w:eastAsia="仿宋_GB2312"/>
          <w:sz w:val="24"/>
          <w:b/>
          <w:color w:val="000000"/>
        </w:rPr>
        <w:t>1、增加以下内容：</w:t>
      </w:r>
    </w:p>
    <w:p>
      <w:pPr>
        <w:pStyle w:val="null3"/>
        <w:ind w:firstLine="480"/>
        <w:jc w:val="left"/>
      </w:pPr>
      <w:r>
        <w:rPr>
          <w:rFonts w:ascii="仿宋_GB2312" w:hAnsi="仿宋_GB2312" w:cs="仿宋_GB2312" w:eastAsia="仿宋_GB2312"/>
          <w:sz w:val="24"/>
          <w:color w:val="000000"/>
        </w:rPr>
        <w:t>14.磋商程序以及评审标准和方法</w:t>
      </w:r>
    </w:p>
    <w:p>
      <w:pPr>
        <w:pStyle w:val="null3"/>
        <w:ind w:firstLine="480"/>
        <w:jc w:val="left"/>
      </w:pPr>
      <w:r>
        <w:rPr>
          <w:rFonts w:ascii="仿宋_GB2312" w:hAnsi="仿宋_GB2312" w:cs="仿宋_GB2312" w:eastAsia="仿宋_GB2312"/>
          <w:sz w:val="24"/>
          <w:color w:val="000000"/>
        </w:rPr>
        <w:t>14.11关于细微偏差</w:t>
      </w:r>
    </w:p>
    <w:p>
      <w:pPr>
        <w:pStyle w:val="null3"/>
        <w:ind w:firstLine="480"/>
        <w:jc w:val="left"/>
      </w:pPr>
      <w:r>
        <w:rPr>
          <w:rFonts w:ascii="仿宋_GB2312" w:hAnsi="仿宋_GB2312" w:cs="仿宋_GB2312" w:eastAsia="仿宋_GB2312"/>
          <w:sz w:val="24"/>
          <w:color w:val="000000"/>
        </w:rPr>
        <w:t>①细微偏差指响应文件实质性响应磋商文件要求，但在个别地方存在漏项或提供了不完整的技术信息和数据等情况，并且补正这些遗漏或不完整不会对其他供应商造成不公平的结果。细微偏差不影响响应文件的有效性。</w:t>
      </w:r>
    </w:p>
    <w:p>
      <w:pPr>
        <w:pStyle w:val="null3"/>
        <w:ind w:firstLine="480"/>
        <w:jc w:val="left"/>
      </w:pPr>
      <w:r>
        <w:rPr>
          <w:rFonts w:ascii="仿宋_GB2312" w:hAnsi="仿宋_GB2312" w:cs="仿宋_GB2312" w:eastAsia="仿宋_GB2312"/>
          <w:sz w:val="24"/>
          <w:color w:val="000000"/>
        </w:rPr>
        <w:t>②磋商小组将以书面形式要求存在细微偏差的供应商在规定的时间内予以补正。若无法补正，则磋商小组将按照不利于供应商的内容进行认定。</w:t>
      </w:r>
    </w:p>
    <w:p>
      <w:pPr>
        <w:pStyle w:val="null3"/>
        <w:ind w:firstLine="480"/>
        <w:jc w:val="left"/>
      </w:pPr>
      <w:r>
        <w:rPr>
          <w:rFonts w:ascii="仿宋_GB2312" w:hAnsi="仿宋_GB2312" w:cs="仿宋_GB2312" w:eastAsia="仿宋_GB2312"/>
          <w:sz w:val="24"/>
          <w:color w:val="000000"/>
        </w:rPr>
        <w:t>14.12关于响应描述（即响应文件中描述的内容）</w:t>
      </w:r>
    </w:p>
    <w:p>
      <w:pPr>
        <w:pStyle w:val="null3"/>
        <w:ind w:firstLine="480"/>
        <w:jc w:val="left"/>
      </w:pPr>
      <w:r>
        <w:rPr>
          <w:rFonts w:ascii="仿宋_GB2312" w:hAnsi="仿宋_GB2312" w:cs="仿宋_GB2312" w:eastAsia="仿宋_GB2312"/>
          <w:sz w:val="24"/>
          <w:color w:val="000000"/>
        </w:rPr>
        <w:t>①响应描述前后不一致且不涉及证明材料的：按照本章第14.3条规定执行。</w:t>
      </w:r>
    </w:p>
    <w:p>
      <w:pPr>
        <w:pStyle w:val="null3"/>
        <w:ind w:firstLine="480"/>
        <w:jc w:val="left"/>
      </w:pPr>
      <w:r>
        <w:rPr>
          <w:rFonts w:ascii="仿宋_GB2312" w:hAnsi="仿宋_GB2312" w:cs="仿宋_GB2312" w:eastAsia="仿宋_GB2312"/>
          <w:sz w:val="24"/>
          <w:color w:val="000000"/>
        </w:rPr>
        <w:t>②响应描述与证明材料不一致或多份证明材料之间不一致的：</w:t>
      </w:r>
    </w:p>
    <w:p>
      <w:pPr>
        <w:pStyle w:val="null3"/>
        <w:ind w:firstLine="480"/>
        <w:jc w:val="left"/>
      </w:pPr>
      <w:r>
        <w:rPr>
          <w:rFonts w:ascii="仿宋_GB2312" w:hAnsi="仿宋_GB2312" w:cs="仿宋_GB2312" w:eastAsia="仿宋_GB2312"/>
          <w:sz w:val="24"/>
          <w:color w:val="000000"/>
        </w:rPr>
        <w:t>a.磋商小组将要求供应商进行书面澄清，并按照不利于供应商的内容进行评审。</w:t>
      </w:r>
    </w:p>
    <w:p>
      <w:pPr>
        <w:pStyle w:val="null3"/>
        <w:ind w:firstLine="480"/>
        <w:jc w:val="left"/>
      </w:pPr>
      <w:r>
        <w:rPr>
          <w:rFonts w:ascii="仿宋_GB2312" w:hAnsi="仿宋_GB2312" w:cs="仿宋_GB2312" w:eastAsia="仿宋_GB2312"/>
          <w:sz w:val="24"/>
          <w:color w:val="000000"/>
        </w:rPr>
        <w:t>b.供应商按照要求进行澄清的，采购人以澄清内容为准进行验收；供应商未按照要求进行澄清的，采购人以响应描述或证明材料中有利于采购人的内容进行验收。供应商应对证明材料的真实性、有效性承担责任。</w:t>
      </w:r>
    </w:p>
    <w:p>
      <w:pPr>
        <w:pStyle w:val="null3"/>
        <w:ind w:firstLine="480"/>
        <w:jc w:val="left"/>
      </w:pPr>
      <w:r>
        <w:rPr>
          <w:rFonts w:ascii="仿宋_GB2312" w:hAnsi="仿宋_GB2312" w:cs="仿宋_GB2312" w:eastAsia="仿宋_GB2312"/>
          <w:sz w:val="24"/>
          <w:color w:val="000000"/>
        </w:rPr>
        <w:t>③若供应商的响应描述存在前后不一致、与证明材料不一致或多份证明材料之间不一致情形之一但在评审中未能发现，则采购人将以响应描述或证明材料中有利于采购人的内容进行验收，供应商应自行承担由此产生的风险及费用。</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政府采购政策</w:t>
      </w:r>
    </w:p>
    <w:p>
      <w:pPr>
        <w:pStyle w:val="null3"/>
        <w:ind w:firstLine="480"/>
        <w:jc w:val="left"/>
      </w:pPr>
      <w:r>
        <w:rPr>
          <w:rFonts w:ascii="仿宋_GB2312" w:hAnsi="仿宋_GB2312" w:cs="仿宋_GB2312" w:eastAsia="仿宋_GB2312"/>
          <w:sz w:val="24"/>
          <w:color w:val="000000"/>
        </w:rPr>
        <w:t>非专门面向中小企业采购项目优惠办法</w:t>
      </w:r>
    </w:p>
    <w:tbl>
      <w:tblPr>
        <w:tblW w:w="0" w:type="auto"/>
        <w:tblBorders>
          <w:top w:val="none" w:color="000000" w:sz="4"/>
          <w:left w:val="none" w:color="000000" w:sz="4"/>
          <w:bottom w:val="none" w:color="000000" w:sz="4"/>
          <w:right w:val="none" w:color="000000" w:sz="4"/>
          <w:insideH w:val="none"/>
          <w:insideV w:val="none"/>
        </w:tblBorders>
      </w:tblPr>
      <w:tblGrid>
        <w:gridCol w:w="1871"/>
        <w:gridCol w:w="6435"/>
      </w:tblGrid>
      <w:tr>
        <w:tc>
          <w:tcPr>
            <w:tcW w:type="dxa" w:w="1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中型、小型、微型企业界定</w:t>
            </w:r>
          </w:p>
        </w:tc>
        <w:tc>
          <w:tcPr>
            <w:tcW w:type="dxa" w:w="6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详见第二章第</w:t>
            </w:r>
            <w:r>
              <w:rPr>
                <w:rFonts w:ascii="仿宋_GB2312" w:hAnsi="仿宋_GB2312" w:cs="仿宋_GB2312" w:eastAsia="仿宋_GB2312"/>
                <w:sz w:val="24"/>
                <w:color w:val="000000"/>
              </w:rPr>
              <w:t>24.3条的相关规定。</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优惠办法</w:t>
            </w:r>
          </w:p>
        </w:tc>
        <w:tc>
          <w:tcPr>
            <w:tcW w:type="dxa" w:w="6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1、本项目服务全部由小微企业承接的，对总报价给予15%的扣除，用扣除后的价格参加评审。</w:t>
            </w:r>
          </w:p>
          <w:p>
            <w:pPr>
              <w:pStyle w:val="null3"/>
              <w:jc w:val="left"/>
            </w:pPr>
            <w:r>
              <w:rPr>
                <w:rFonts w:ascii="仿宋_GB2312" w:hAnsi="仿宋_GB2312" w:cs="仿宋_GB2312" w:eastAsia="仿宋_GB2312"/>
                <w:sz w:val="24"/>
                <w:color w:val="000000"/>
              </w:rPr>
              <w:t>2、若本项目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的扣除，用扣除后的价格参加评审。</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享受优惠政策</w:t>
            </w:r>
          </w:p>
          <w:p>
            <w:pPr>
              <w:pStyle w:val="null3"/>
              <w:jc w:val="center"/>
            </w:pPr>
            <w:r>
              <w:rPr>
                <w:rFonts w:ascii="仿宋_GB2312" w:hAnsi="仿宋_GB2312" w:cs="仿宋_GB2312" w:eastAsia="仿宋_GB2312"/>
                <w:sz w:val="24"/>
                <w:color w:val="000000"/>
              </w:rPr>
              <w:t>需提供的材料</w:t>
            </w:r>
          </w:p>
        </w:tc>
        <w:tc>
          <w:tcPr>
            <w:tcW w:type="dxa" w:w="6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响应文件中需提供《中小企业声明函》。若服务承接企业为监狱企业、残疾人福利性单位的，可不填写《中小企业声明函》，按第二章第</w:t>
            </w:r>
            <w:r>
              <w:rPr>
                <w:rFonts w:ascii="仿宋_GB2312" w:hAnsi="仿宋_GB2312" w:cs="仿宋_GB2312" w:eastAsia="仿宋_GB2312"/>
                <w:sz w:val="24"/>
                <w:color w:val="000000"/>
              </w:rPr>
              <w:t>24.3条的相关要求提供相应材料即可。</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注意事项</w:t>
            </w:r>
          </w:p>
        </w:tc>
        <w:tc>
          <w:tcPr>
            <w:tcW w:type="dxa" w:w="6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1、请供应商根据《关于印发中小企业划型标准规定的通知》（工信部联企业〔2011〕300号）规定的标准对企业规模进行认定。</w:t>
            </w:r>
          </w:p>
          <w:p>
            <w:pPr>
              <w:pStyle w:val="null3"/>
              <w:jc w:val="left"/>
            </w:pPr>
            <w:r>
              <w:rPr>
                <w:rFonts w:ascii="仿宋_GB2312" w:hAnsi="仿宋_GB2312" w:cs="仿宋_GB2312" w:eastAsia="仿宋_GB2312"/>
                <w:sz w:val="24"/>
                <w:color w:val="000000"/>
              </w:rPr>
              <w:t>2、供应商需对声明的真实性负责，成交结果将同时公告成交供应商的《中小企业声明函》，供应商提供的声明函内容不实的，则属于提供虚假材料谋取成交情形，依照《政府采购法》等国家有关规定追究相应责任。</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注：</w:t>
            </w:r>
            <w:r>
              <w:rPr>
                <w:rFonts w:ascii="仿宋_GB2312" w:hAnsi="仿宋_GB2312" w:cs="仿宋_GB2312" w:eastAsia="仿宋_GB2312"/>
                <w:sz w:val="24"/>
                <w:color w:val="000000"/>
              </w:rPr>
              <w:t>1、促进中小企业发展、促进残疾人就业、支持监狱企业发展的优惠政策只适用一次，供应商不重复享受优惠政策。</w:t>
            </w:r>
          </w:p>
          <w:p>
            <w:pPr>
              <w:pStyle w:val="null3"/>
              <w:jc w:val="left"/>
            </w:pPr>
            <w:r>
              <w:rPr>
                <w:rFonts w:ascii="仿宋_GB2312" w:hAnsi="仿宋_GB2312" w:cs="仿宋_GB2312" w:eastAsia="仿宋_GB2312"/>
                <w:sz w:val="24"/>
                <w:color w:val="000000"/>
              </w:rPr>
              <w:t>2、根据财政部、工信部《政府采购促进中小企业发展管理办法》、《福建省财政厅关于促进中小企业政府采购合同融资健康开展的通知》等政策，投标人中标后如需融资，可通过“福建省政府采购金融服务网”（网址：https://zfcg.czt.fujian.gov.cn/zcdservice/zcd/home/index）办理合同融资。</w:t>
            </w:r>
          </w:p>
        </w:tc>
      </w:tr>
    </w:tbl>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30"/>
          <w:b/>
          <w:color w:val="000000"/>
        </w:rPr>
        <w:t>三、对《第五章</w:t>
      </w:r>
      <w:r>
        <w:rPr>
          <w:rFonts w:ascii="仿宋_GB2312" w:hAnsi="仿宋_GB2312" w:cs="仿宋_GB2312" w:eastAsia="仿宋_GB2312"/>
          <w:sz w:val="30"/>
          <w:b/>
          <w:color w:val="000000"/>
        </w:rPr>
        <w:t xml:space="preserve">  </w:t>
      </w:r>
      <w:r>
        <w:rPr>
          <w:rFonts w:ascii="仿宋_GB2312" w:hAnsi="仿宋_GB2312" w:cs="仿宋_GB2312" w:eastAsia="仿宋_GB2312"/>
          <w:sz w:val="30"/>
          <w:b/>
          <w:color w:val="000000"/>
        </w:rPr>
        <w:t>首次响应文件格式》的内容补充如下：</w:t>
      </w:r>
    </w:p>
    <w:p>
      <w:pPr>
        <w:pStyle w:val="null3"/>
        <w:spacing w:before="45" w:after="45"/>
        <w:jc w:val="center"/>
      </w:pPr>
      <w:r>
        <w:rPr>
          <w:rFonts w:ascii="仿宋_GB2312" w:hAnsi="仿宋_GB2312" w:cs="仿宋_GB2312" w:eastAsia="仿宋_GB2312"/>
          <w:sz w:val="28"/>
          <w:b/>
          <w:color w:val="000000"/>
        </w:rPr>
        <w:t>附件</w:t>
      </w:r>
      <w:r>
        <w:rPr>
          <w:rFonts w:ascii="仿宋_GB2312" w:hAnsi="仿宋_GB2312" w:cs="仿宋_GB2312" w:eastAsia="仿宋_GB2312"/>
          <w:sz w:val="28"/>
          <w:b/>
          <w:color w:val="000000"/>
        </w:rPr>
        <w:t>2-2</w:t>
      </w:r>
      <w:r>
        <w:rPr>
          <w:rFonts w:ascii="仿宋_GB2312" w:hAnsi="仿宋_GB2312" w:cs="仿宋_GB2312" w:eastAsia="仿宋_GB2312"/>
          <w:sz w:val="28"/>
          <w:b/>
          <w:color w:val="000000"/>
        </w:rPr>
        <w:t>、磋商文件规定的价格扣除或加分证明材料（若有）</w:t>
      </w:r>
    </w:p>
    <w:p>
      <w:pPr>
        <w:pStyle w:val="null3"/>
        <w:spacing w:before="45" w:after="45"/>
        <w:jc w:val="center"/>
      </w:pPr>
      <w:r>
        <w:rPr>
          <w:rFonts w:ascii="仿宋_GB2312" w:hAnsi="仿宋_GB2312" w:cs="仿宋_GB2312" w:eastAsia="仿宋_GB2312"/>
          <w:sz w:val="28"/>
          <w:b/>
          <w:color w:val="000000"/>
        </w:rPr>
        <w:t>中小企业声明函（价格扣除适用，若有）</w:t>
      </w:r>
    </w:p>
    <w:p>
      <w:pPr>
        <w:pStyle w:val="null3"/>
        <w:jc w:val="center"/>
      </w:pPr>
      <w:r>
        <w:rPr>
          <w:rFonts w:ascii="仿宋_GB2312" w:hAnsi="仿宋_GB2312" w:cs="仿宋_GB2312" w:eastAsia="仿宋_GB2312"/>
          <w:sz w:val="32"/>
          <w:b/>
          <w:color w:val="000000"/>
        </w:rPr>
        <w:t>中小企业声明函（服务）</w:t>
      </w:r>
    </w:p>
    <w:p>
      <w:pPr>
        <w:pStyle w:val="null3"/>
        <w:ind w:firstLine="480"/>
        <w:jc w:val="left"/>
      </w:pPr>
      <w:r>
        <w:rPr>
          <w:rFonts w:ascii="仿宋_GB2312" w:hAnsi="仿宋_GB2312" w:cs="仿宋_GB2312" w:eastAsia="仿宋_GB2312"/>
          <w:sz w:val="24"/>
          <w:color w:val="000000"/>
        </w:rPr>
        <w:t>本公司（联合体）郑重声明，根据《政府采购促进中小企业发展管理办法》（财库〔</w:t>
      </w:r>
      <w:r>
        <w:rPr>
          <w:rFonts w:ascii="仿宋_GB2312" w:hAnsi="仿宋_GB2312" w:cs="仿宋_GB2312" w:eastAsia="仿宋_GB2312"/>
          <w:sz w:val="24"/>
          <w:color w:val="000000"/>
        </w:rPr>
        <w:t>2020〕46 号）的规定，本公司（联合体）参加【厦门市住房和建设局】的【厦门市“十五五”住建事业发展专项规划】采购活动，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sz w:val="24"/>
          <w:color w:val="000000"/>
        </w:rPr>
        <w:t>1.【厦门市“十五五”住建事业发展专项规划】，属于【</w:t>
      </w:r>
      <w:r>
        <w:rPr>
          <w:rFonts w:ascii="仿宋_GB2312" w:hAnsi="仿宋_GB2312" w:cs="仿宋_GB2312" w:eastAsia="仿宋_GB2312"/>
          <w:sz w:val="24"/>
          <w:color w:val="000000"/>
        </w:rPr>
        <w:t>其他未列明行业</w:t>
      </w:r>
      <w:r>
        <w:rPr>
          <w:rFonts w:ascii="仿宋_GB2312" w:hAnsi="仿宋_GB2312" w:cs="仿宋_GB2312" w:eastAsia="仿宋_GB2312"/>
          <w:sz w:val="24"/>
          <w:color w:val="000000"/>
        </w:rPr>
        <w:t>】；承接企业为【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】，从业人员【】人，营业收入为【】万元，资产总额为【】万元，属于【中型企业、小型企业、微型企业】（根据情况选择一项填写）；</w:t>
      </w:r>
    </w:p>
    <w:p>
      <w:pPr>
        <w:pStyle w:val="null3"/>
        <w:ind w:firstLine="480"/>
        <w:jc w:val="left"/>
      </w:pPr>
      <w:r>
        <w:rPr>
          <w:rFonts w:ascii="仿宋_GB2312" w:hAnsi="仿宋_GB2312" w:cs="仿宋_GB2312" w:eastAsia="仿宋_GB2312"/>
          <w:sz w:val="24"/>
          <w:color w:val="000000"/>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sz w:val="24"/>
          <w:color w:val="000000"/>
        </w:rPr>
        <w:t>本企业对上述声明内容的真实性负责。如有虚假，将依法承担相应责任。</w:t>
      </w:r>
    </w:p>
    <w:p>
      <w:pPr>
        <w:pStyle w:val="null3"/>
        <w:ind w:firstLine="4080"/>
        <w:jc w:val="left"/>
      </w:pPr>
      <w:r>
        <w:rPr>
          <w:rFonts w:ascii="仿宋_GB2312" w:hAnsi="仿宋_GB2312" w:cs="仿宋_GB2312" w:eastAsia="仿宋_GB2312"/>
          <w:sz w:val="24"/>
          <w:color w:val="000000"/>
        </w:rPr>
        <w:t>企业名称（盖章）：</w:t>
      </w:r>
      <w:r>
        <w:rPr>
          <w:rFonts w:ascii="仿宋_GB2312" w:hAnsi="仿宋_GB2312" w:cs="仿宋_GB2312" w:eastAsia="仿宋_GB2312"/>
          <w:sz w:val="24"/>
          <w:color w:val="000000"/>
          <w:u w:val="single"/>
        </w:rPr>
        <w:t xml:space="preserve">              </w:t>
      </w:r>
    </w:p>
    <w:p>
      <w:pPr>
        <w:pStyle w:val="null3"/>
        <w:ind w:firstLine="4080"/>
        <w:jc w:val="left"/>
      </w:pPr>
      <w:r>
        <w:rPr>
          <w:rFonts w:ascii="仿宋_GB2312" w:hAnsi="仿宋_GB2312" w:cs="仿宋_GB2312" w:eastAsia="仿宋_GB2312"/>
          <w:sz w:val="24"/>
          <w:color w:val="000000"/>
        </w:rPr>
        <w:t>日期：</w:t>
      </w:r>
      <w:r>
        <w:rPr>
          <w:rFonts w:ascii="仿宋_GB2312" w:hAnsi="仿宋_GB2312" w:cs="仿宋_GB2312" w:eastAsia="仿宋_GB2312"/>
          <w:sz w:val="24"/>
          <w:color w:val="000000"/>
          <w:u w:val="single"/>
        </w:rPr>
        <w:t xml:space="preserve">                         </w:t>
      </w:r>
    </w:p>
    <w:p>
      <w:pPr>
        <w:pStyle w:val="null3"/>
        <w:jc w:val="left"/>
      </w:pPr>
      <w:r>
        <w:rPr>
          <w:rFonts w:ascii="仿宋_GB2312" w:hAnsi="仿宋_GB2312" w:cs="仿宋_GB2312" w:eastAsia="仿宋_GB2312"/>
          <w:sz w:val="24"/>
          <w:color w:val="000000"/>
        </w:rPr>
        <w:t>填写说明：</w:t>
      </w:r>
    </w:p>
    <w:p>
      <w:pPr>
        <w:pStyle w:val="null3"/>
        <w:ind w:firstLine="480"/>
        <w:jc w:val="left"/>
      </w:pPr>
      <w:r>
        <w:rPr>
          <w:rFonts w:ascii="仿宋_GB2312" w:hAnsi="仿宋_GB2312" w:cs="仿宋_GB2312" w:eastAsia="仿宋_GB2312"/>
          <w:sz w:val="24"/>
          <w:color w:val="000000"/>
        </w:rPr>
        <w:t>1、填报的企业类型与划型标准不对应的，将可能导致不享受价格扣除。</w:t>
      </w:r>
    </w:p>
    <w:p>
      <w:pPr>
        <w:pStyle w:val="null3"/>
        <w:ind w:firstLine="480"/>
        <w:jc w:val="left"/>
      </w:pPr>
      <w:r>
        <w:rPr>
          <w:rFonts w:ascii="仿宋_GB2312" w:hAnsi="仿宋_GB2312" w:cs="仿宋_GB2312" w:eastAsia="仿宋_GB2312"/>
          <w:sz w:val="24"/>
          <w:color w:val="000000"/>
        </w:rPr>
        <w:t>2、从业人员、营业收入、资产总额填报上一年度数据，无上一年度数据的新成立企业可不填报，在【】内填“\”即可。</w:t>
      </w:r>
    </w:p>
    <w:p>
      <w:pPr>
        <w:pStyle w:val="null3"/>
        <w:ind w:firstLine="480"/>
        <w:jc w:val="left"/>
      </w:pPr>
      <w:r>
        <w:rPr>
          <w:rFonts w:ascii="仿宋_GB2312" w:hAnsi="仿宋_GB2312" w:cs="仿宋_GB2312" w:eastAsia="仿宋_GB2312"/>
          <w:sz w:val="24"/>
          <w:color w:val="000000"/>
        </w:rPr>
        <w:t>3、营业收入、资产总额应按财务审计报告上的数据填写，可填写完整数值，也可填写取整至万元的数值，如1234.56789万元可填写为1234万元。若填报的数据与供应商自己提供的上一年度财务审计报告数据有出入的，将可能导致不享受价格扣除。</w:t>
      </w:r>
    </w:p>
    <w:p>
      <w:pPr>
        <w:pStyle w:val="null3"/>
        <w:ind w:firstLine="480"/>
        <w:jc w:val="left"/>
      </w:pPr>
      <w:r>
        <w:rPr>
          <w:rFonts w:ascii="仿宋_GB2312" w:hAnsi="仿宋_GB2312" w:cs="仿宋_GB2312" w:eastAsia="仿宋_GB2312"/>
          <w:sz w:val="24"/>
          <w:color w:val="000000"/>
        </w:rPr>
        <w:t>4、从业人员数量建议按企业在国家企业信用信息公示系统中填报的上一年度年报数据填写。</w:t>
      </w:r>
    </w:p>
    <w:p>
      <w:pPr>
        <w:pStyle w:val="null3"/>
        <w:ind w:firstLine="480"/>
        <w:jc w:val="left"/>
      </w:pPr>
      <w:r>
        <w:rPr>
          <w:rFonts w:ascii="仿宋_GB2312" w:hAnsi="仿宋_GB2312" w:cs="仿宋_GB2312" w:eastAsia="仿宋_GB2312"/>
          <w:sz w:val="24"/>
          <w:color w:val="000000"/>
        </w:rPr>
        <w:t>5、带【】的地方都要填写，同时不得删减、更改内容，否则将可能导致不享受价格扣除。</w:t>
      </w:r>
    </w:p>
    <w:p>
      <w:pPr>
        <w:pStyle w:val="null3"/>
        <w:ind w:firstLine="480"/>
        <w:jc w:val="left"/>
      </w:pPr>
      <w:r>
        <w:rPr>
          <w:rFonts w:ascii="仿宋_GB2312" w:hAnsi="仿宋_GB2312" w:cs="仿宋_GB2312" w:eastAsia="仿宋_GB2312"/>
          <w:sz w:val="24"/>
          <w:color w:val="000000"/>
        </w:rPr>
        <w:t>6、各行业划型标准为：</w:t>
      </w:r>
    </w:p>
    <w:p>
      <w:pPr>
        <w:pStyle w:val="null3"/>
        <w:ind w:firstLine="480"/>
        <w:jc w:val="left"/>
      </w:pPr>
      <w:r>
        <w:rPr>
          <w:rFonts w:ascii="仿宋_GB2312" w:hAnsi="仿宋_GB2312" w:cs="仿宋_GB2312" w:eastAsia="仿宋_GB2312"/>
          <w:sz w:val="24"/>
          <w:color w:val="000000"/>
        </w:rPr>
        <w:t>（一）农、林、牧、渔业。营业收入</w:t>
      </w:r>
      <w:r>
        <w:rPr>
          <w:rFonts w:ascii="仿宋_GB2312" w:hAnsi="仿宋_GB2312" w:cs="仿宋_GB2312" w:eastAsia="仿宋_GB2312"/>
          <w:sz w:val="24"/>
          <w:color w:val="000000"/>
        </w:rPr>
        <w:t>20000万元以下的为中小微型企业。其中，营业收入500万元及以上的为中型企业，营业收入50万元及以上的为小型企业，营业收入50万元以下的为微型企业。</w:t>
      </w:r>
    </w:p>
    <w:p>
      <w:pPr>
        <w:pStyle w:val="null3"/>
        <w:ind w:firstLine="480"/>
        <w:jc w:val="left"/>
      </w:pPr>
      <w:r>
        <w:rPr>
          <w:rFonts w:ascii="仿宋_GB2312" w:hAnsi="仿宋_GB2312" w:cs="仿宋_GB2312" w:eastAsia="仿宋_GB2312"/>
          <w:sz w:val="24"/>
          <w:color w:val="000000"/>
        </w:rPr>
        <w:t>（二）工业。从业人员</w:t>
      </w:r>
      <w:r>
        <w:rPr>
          <w:rFonts w:ascii="仿宋_GB2312" w:hAnsi="仿宋_GB2312" w:cs="仿宋_GB2312" w:eastAsia="仿宋_GB2312"/>
          <w:sz w:val="24"/>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80"/>
        <w:jc w:val="left"/>
      </w:pPr>
      <w:r>
        <w:rPr>
          <w:rFonts w:ascii="仿宋_GB2312" w:hAnsi="仿宋_GB2312" w:cs="仿宋_GB2312" w:eastAsia="仿宋_GB2312"/>
          <w:sz w:val="24"/>
          <w:color w:val="000000"/>
        </w:rPr>
        <w:t>（三）建筑业。营业收入</w:t>
      </w:r>
      <w:r>
        <w:rPr>
          <w:rFonts w:ascii="仿宋_GB2312" w:hAnsi="仿宋_GB2312" w:cs="仿宋_GB2312" w:eastAsia="仿宋_GB2312"/>
          <w:sz w:val="24"/>
          <w:color w:val="000000"/>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ind w:firstLine="480"/>
        <w:jc w:val="left"/>
      </w:pPr>
      <w:r>
        <w:rPr>
          <w:rFonts w:ascii="仿宋_GB2312" w:hAnsi="仿宋_GB2312" w:cs="仿宋_GB2312" w:eastAsia="仿宋_GB2312"/>
          <w:sz w:val="24"/>
          <w:color w:val="000000"/>
        </w:rPr>
        <w:t>（四）批发业。从业人员</w:t>
      </w:r>
      <w:r>
        <w:rPr>
          <w:rFonts w:ascii="仿宋_GB2312" w:hAnsi="仿宋_GB2312" w:cs="仿宋_GB2312" w:eastAsia="仿宋_GB2312"/>
          <w:sz w:val="24"/>
          <w:color w:val="000000"/>
        </w:rPr>
        <w:t>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ind w:firstLine="480"/>
        <w:jc w:val="left"/>
      </w:pPr>
      <w:r>
        <w:rPr>
          <w:rFonts w:ascii="仿宋_GB2312" w:hAnsi="仿宋_GB2312" w:cs="仿宋_GB2312" w:eastAsia="仿宋_GB2312"/>
          <w:sz w:val="24"/>
          <w:color w:val="000000"/>
        </w:rPr>
        <w:t>（五）零售业。从业人员</w:t>
      </w:r>
      <w:r>
        <w:rPr>
          <w:rFonts w:ascii="仿宋_GB2312" w:hAnsi="仿宋_GB2312" w:cs="仿宋_GB2312" w:eastAsia="仿宋_GB2312"/>
          <w:sz w:val="24"/>
          <w:color w:val="000000"/>
        </w:rPr>
        <w:t>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pStyle w:val="null3"/>
        <w:ind w:firstLine="480"/>
        <w:jc w:val="left"/>
      </w:pPr>
      <w:r>
        <w:rPr>
          <w:rFonts w:ascii="仿宋_GB2312" w:hAnsi="仿宋_GB2312" w:cs="仿宋_GB2312" w:eastAsia="仿宋_GB2312"/>
          <w:sz w:val="24"/>
          <w:color w:val="000000"/>
        </w:rPr>
        <w:t>（六）交通运输业。从业人员</w:t>
      </w:r>
      <w:r>
        <w:rPr>
          <w:rFonts w:ascii="仿宋_GB2312" w:hAnsi="仿宋_GB2312" w:cs="仿宋_GB2312" w:eastAsia="仿宋_GB2312"/>
          <w:sz w:val="24"/>
          <w:color w:val="000000"/>
        </w:rPr>
        <w:t>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pStyle w:val="null3"/>
        <w:ind w:firstLine="480"/>
        <w:jc w:val="left"/>
      </w:pPr>
      <w:r>
        <w:rPr>
          <w:rFonts w:ascii="仿宋_GB2312" w:hAnsi="仿宋_GB2312" w:cs="仿宋_GB2312" w:eastAsia="仿宋_GB2312"/>
          <w:sz w:val="24"/>
          <w:color w:val="000000"/>
        </w:rPr>
        <w:t>（七）仓储业。从业人员</w:t>
      </w:r>
      <w:r>
        <w:rPr>
          <w:rFonts w:ascii="仿宋_GB2312" w:hAnsi="仿宋_GB2312" w:cs="仿宋_GB2312" w:eastAsia="仿宋_GB2312"/>
          <w:sz w:val="24"/>
          <w:color w:val="000000"/>
        </w:rPr>
        <w:t>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pStyle w:val="null3"/>
        <w:ind w:firstLine="480"/>
        <w:jc w:val="left"/>
      </w:pPr>
      <w:r>
        <w:rPr>
          <w:rFonts w:ascii="仿宋_GB2312" w:hAnsi="仿宋_GB2312" w:cs="仿宋_GB2312" w:eastAsia="仿宋_GB2312"/>
          <w:sz w:val="24"/>
          <w:color w:val="000000"/>
        </w:rPr>
        <w:t>（八）邮政业。从业人员</w:t>
      </w:r>
      <w:r>
        <w:rPr>
          <w:rFonts w:ascii="仿宋_GB2312" w:hAnsi="仿宋_GB2312" w:cs="仿宋_GB2312" w:eastAsia="仿宋_GB2312"/>
          <w:sz w:val="24"/>
          <w:color w:val="000000"/>
        </w:rPr>
        <w:t>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pStyle w:val="null3"/>
        <w:ind w:firstLine="480"/>
        <w:jc w:val="left"/>
      </w:pPr>
      <w:r>
        <w:rPr>
          <w:rFonts w:ascii="仿宋_GB2312" w:hAnsi="仿宋_GB2312" w:cs="仿宋_GB2312" w:eastAsia="仿宋_GB2312"/>
          <w:sz w:val="24"/>
          <w:color w:val="000000"/>
        </w:rPr>
        <w:t>（九）住宿业。从业人员</w:t>
      </w:r>
      <w:r>
        <w:rPr>
          <w:rFonts w:ascii="仿宋_GB2312" w:hAnsi="仿宋_GB2312" w:cs="仿宋_GB2312" w:eastAsia="仿宋_GB2312"/>
          <w:sz w:val="24"/>
          <w:color w:val="000000"/>
        </w:rPr>
        <w:t>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ind w:firstLine="480"/>
        <w:jc w:val="left"/>
      </w:pPr>
      <w:r>
        <w:rPr>
          <w:rFonts w:ascii="仿宋_GB2312" w:hAnsi="仿宋_GB2312" w:cs="仿宋_GB2312" w:eastAsia="仿宋_GB2312"/>
          <w:sz w:val="24"/>
          <w:color w:val="000000"/>
        </w:rPr>
        <w:t>（十）餐饮业。从业人员</w:t>
      </w:r>
      <w:r>
        <w:rPr>
          <w:rFonts w:ascii="仿宋_GB2312" w:hAnsi="仿宋_GB2312" w:cs="仿宋_GB2312" w:eastAsia="仿宋_GB2312"/>
          <w:sz w:val="24"/>
          <w:color w:val="000000"/>
        </w:rPr>
        <w:t>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ind w:firstLine="480"/>
        <w:jc w:val="left"/>
      </w:pPr>
      <w:r>
        <w:rPr>
          <w:rFonts w:ascii="仿宋_GB2312" w:hAnsi="仿宋_GB2312" w:cs="仿宋_GB2312" w:eastAsia="仿宋_GB2312"/>
          <w:sz w:val="24"/>
          <w:color w:val="000000"/>
        </w:rPr>
        <w:t>（十一）信息传输业。从业人员</w:t>
      </w:r>
      <w:r>
        <w:rPr>
          <w:rFonts w:ascii="仿宋_GB2312" w:hAnsi="仿宋_GB2312" w:cs="仿宋_GB2312" w:eastAsia="仿宋_GB2312"/>
          <w:sz w:val="24"/>
          <w:color w:val="000000"/>
        </w:rPr>
        <w:t>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pStyle w:val="null3"/>
        <w:ind w:firstLine="480"/>
        <w:jc w:val="left"/>
      </w:pPr>
      <w:r>
        <w:rPr>
          <w:rFonts w:ascii="仿宋_GB2312" w:hAnsi="仿宋_GB2312" w:cs="仿宋_GB2312" w:eastAsia="仿宋_GB2312"/>
          <w:sz w:val="24"/>
          <w:color w:val="000000"/>
        </w:rPr>
        <w:t>（十二）软件和信息技术服务业。从业人员</w:t>
      </w:r>
      <w:r>
        <w:rPr>
          <w:rFonts w:ascii="仿宋_GB2312" w:hAnsi="仿宋_GB2312" w:cs="仿宋_GB2312" w:eastAsia="仿宋_GB2312"/>
          <w:sz w:val="24"/>
          <w:color w:val="000000"/>
        </w:rPr>
        <w:t>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ind w:firstLine="480"/>
        <w:jc w:val="left"/>
      </w:pPr>
      <w:r>
        <w:rPr>
          <w:rFonts w:ascii="仿宋_GB2312" w:hAnsi="仿宋_GB2312" w:cs="仿宋_GB2312" w:eastAsia="仿宋_GB2312"/>
          <w:sz w:val="24"/>
          <w:color w:val="000000"/>
        </w:rPr>
        <w:t>（十三）房地产开发经营。营业收入</w:t>
      </w:r>
      <w:r>
        <w:rPr>
          <w:rFonts w:ascii="仿宋_GB2312" w:hAnsi="仿宋_GB2312" w:cs="仿宋_GB2312" w:eastAsia="仿宋_GB2312"/>
          <w:sz w:val="24"/>
          <w:color w:val="000000"/>
        </w:rPr>
        <w:t>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pStyle w:val="null3"/>
        <w:ind w:firstLine="480"/>
        <w:jc w:val="left"/>
      </w:pPr>
      <w:r>
        <w:rPr>
          <w:rFonts w:ascii="仿宋_GB2312" w:hAnsi="仿宋_GB2312" w:cs="仿宋_GB2312" w:eastAsia="仿宋_GB2312"/>
          <w:sz w:val="24"/>
          <w:color w:val="000000"/>
        </w:rPr>
        <w:t>（十四）物业管理。从业人员</w:t>
      </w:r>
      <w:r>
        <w:rPr>
          <w:rFonts w:ascii="仿宋_GB2312" w:hAnsi="仿宋_GB2312" w:cs="仿宋_GB2312" w:eastAsia="仿宋_GB2312"/>
          <w:sz w:val="24"/>
          <w:color w:val="000000"/>
        </w:rPr>
        <w:t>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ull3"/>
        <w:ind w:firstLine="480"/>
        <w:jc w:val="left"/>
      </w:pPr>
      <w:r>
        <w:rPr>
          <w:rFonts w:ascii="仿宋_GB2312" w:hAnsi="仿宋_GB2312" w:cs="仿宋_GB2312" w:eastAsia="仿宋_GB2312"/>
          <w:sz w:val="24"/>
          <w:color w:val="000000"/>
        </w:rPr>
        <w:t>（十五）租赁和商务服务业。从业人员</w:t>
      </w:r>
      <w:r>
        <w:rPr>
          <w:rFonts w:ascii="仿宋_GB2312" w:hAnsi="仿宋_GB2312" w:cs="仿宋_GB2312" w:eastAsia="仿宋_GB2312"/>
          <w:sz w:val="24"/>
          <w:color w:val="000000"/>
        </w:rPr>
        <w:t>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ind w:firstLine="480"/>
        <w:jc w:val="left"/>
      </w:pPr>
      <w:r>
        <w:rPr>
          <w:rFonts w:ascii="仿宋_GB2312" w:hAnsi="仿宋_GB2312" w:cs="仿宋_GB2312" w:eastAsia="仿宋_GB2312"/>
          <w:sz w:val="24"/>
          <w:color w:val="000000"/>
        </w:rPr>
        <w:t>（十六）其他未列明行业。从业人员</w:t>
      </w:r>
      <w:r>
        <w:rPr>
          <w:rFonts w:ascii="仿宋_GB2312" w:hAnsi="仿宋_GB2312" w:cs="仿宋_GB2312" w:eastAsia="仿宋_GB2312"/>
          <w:sz w:val="24"/>
          <w:color w:val="000000"/>
        </w:rPr>
        <w:t>300人以下的为中小微型企业。其中，从业人员100人及以上的为中型企业；从业人员10人及以上的为小型企业；从业人员10人以下的为微型企业。</w:t>
      </w:r>
    </w:p>
    <w:p>
      <w:pPr>
        <w:pStyle w:val="null3"/>
        <w:ind w:firstLine="480"/>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color w:val="000000"/>
        </w:rPr>
        <w:t>附件</w:t>
      </w:r>
      <w:r>
        <w:rPr>
          <w:rFonts w:ascii="仿宋_GB2312" w:hAnsi="仿宋_GB2312" w:cs="仿宋_GB2312" w:eastAsia="仿宋_GB2312"/>
          <w:sz w:val="28"/>
          <w:b/>
          <w:color w:val="000000"/>
        </w:rPr>
        <w:t>9、供应商提交的其他资料</w:t>
      </w:r>
    </w:p>
    <w:p>
      <w:pPr>
        <w:pStyle w:val="null3"/>
        <w:jc w:val="center"/>
      </w:pPr>
      <w:r>
        <w:rPr>
          <w:rFonts w:ascii="仿宋_GB2312" w:hAnsi="仿宋_GB2312" w:cs="仿宋_GB2312" w:eastAsia="仿宋_GB2312"/>
          <w:sz w:val="28"/>
          <w:b/>
          <w:color w:val="000000"/>
        </w:rPr>
        <w:t>附件</w:t>
      </w:r>
      <w:r>
        <w:rPr>
          <w:rFonts w:ascii="仿宋_GB2312" w:hAnsi="仿宋_GB2312" w:cs="仿宋_GB2312" w:eastAsia="仿宋_GB2312"/>
          <w:sz w:val="28"/>
          <w:b/>
          <w:color w:val="000000"/>
        </w:rPr>
        <w:t>9-1、带“★”号条款逐条响应情况表</w:t>
      </w:r>
    </w:p>
    <w:p>
      <w:pPr>
        <w:pStyle w:val="null3"/>
        <w:jc w:val="left"/>
      </w:pPr>
      <w:r>
        <w:rPr>
          <w:rFonts w:ascii="仿宋_GB2312" w:hAnsi="仿宋_GB2312" w:cs="仿宋_GB2312" w:eastAsia="仿宋_GB2312"/>
          <w:sz w:val="24"/>
          <w:color w:val="000000"/>
        </w:rPr>
        <w:t>项目名称：</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项目编号</w:t>
      </w:r>
      <w:r>
        <w:rPr>
          <w:rFonts w:ascii="仿宋_GB2312" w:hAnsi="仿宋_GB2312" w:cs="仿宋_GB2312" w:eastAsia="仿宋_GB2312"/>
          <w:sz w:val="24"/>
          <w:color w:val="000000"/>
        </w:rPr>
        <w:t>：</w:t>
      </w:r>
      <w:r>
        <w:rPr>
          <w:rFonts w:ascii="仿宋_GB2312" w:hAnsi="仿宋_GB2312" w:cs="仿宋_GB2312" w:eastAsia="仿宋_GB2312"/>
          <w:sz w:val="24"/>
          <w:color w:val="000000"/>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12"/>
        <w:gridCol w:w="3165"/>
        <w:gridCol w:w="1739"/>
        <w:gridCol w:w="2490"/>
      </w:tblGrid>
      <w:tr>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条款号</w:t>
            </w:r>
          </w:p>
        </w:tc>
        <w:tc>
          <w:tcPr>
            <w:tcW w:type="dxa" w:w="3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磋商文件中带</w:t>
            </w:r>
            <w:r>
              <w:rPr>
                <w:rFonts w:ascii="仿宋_GB2312" w:hAnsi="仿宋_GB2312" w:cs="仿宋_GB2312" w:eastAsia="仿宋_GB2312"/>
                <w:sz w:val="24"/>
                <w:color w:val="000000"/>
              </w:rPr>
              <w:t>“★”号的条款</w:t>
            </w:r>
          </w:p>
        </w:tc>
        <w:tc>
          <w:tcPr>
            <w:tcW w:type="dxa" w:w="1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响应</w:t>
            </w:r>
            <w:r>
              <w:rPr>
                <w:rFonts w:ascii="仿宋_GB2312" w:hAnsi="仿宋_GB2312" w:cs="仿宋_GB2312" w:eastAsia="仿宋_GB2312"/>
                <w:sz w:val="24"/>
                <w:color w:val="000000"/>
              </w:rPr>
              <w:t>内容</w:t>
            </w:r>
          </w:p>
        </w:tc>
        <w:tc>
          <w:tcPr>
            <w:tcW w:type="dxa" w:w="2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对应响应文件页码</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bl>
    <w:p>
      <w:pPr>
        <w:pStyle w:val="null3"/>
        <w:ind w:firstLine="482"/>
        <w:jc w:val="left"/>
      </w:pPr>
      <w:r>
        <w:rPr>
          <w:rFonts w:ascii="仿宋_GB2312" w:hAnsi="仿宋_GB2312" w:cs="仿宋_GB2312" w:eastAsia="仿宋_GB2312"/>
          <w:sz w:val="24"/>
          <w:b/>
          <w:color w:val="000000"/>
        </w:rPr>
        <w:t>以上</w:t>
      </w:r>
      <w:r>
        <w:rPr>
          <w:rFonts w:ascii="仿宋_GB2312" w:hAnsi="仿宋_GB2312" w:cs="仿宋_GB2312" w:eastAsia="仿宋_GB2312"/>
          <w:sz w:val="24"/>
          <w:b/>
          <w:color w:val="000000"/>
        </w:rPr>
        <w:t>★号条款为磋商文件中的所有★号条款，无论是技术指标或文字描述要求，供应商必须逐条如实地书面响应。</w:t>
      </w:r>
    </w:p>
    <w:p>
      <w:pPr>
        <w:pStyle w:val="null3"/>
        <w:ind w:firstLine="482"/>
        <w:jc w:val="left"/>
      </w:pPr>
      <w:r>
        <w:rPr>
          <w:rFonts w:ascii="仿宋_GB2312" w:hAnsi="仿宋_GB2312" w:cs="仿宋_GB2312" w:eastAsia="仿宋_GB2312"/>
          <w:sz w:val="24"/>
          <w:b/>
          <w:color w:val="000000"/>
        </w:rPr>
        <w:t xml:space="preserve"> </w:t>
      </w:r>
    </w:p>
    <w:p>
      <w:pPr>
        <w:pStyle w:val="null3"/>
        <w:ind w:firstLine="4200"/>
        <w:jc w:val="left"/>
      </w:pPr>
      <w:r>
        <w:rPr>
          <w:rFonts w:ascii="仿宋_GB2312" w:hAnsi="仿宋_GB2312" w:cs="仿宋_GB2312" w:eastAsia="仿宋_GB2312"/>
          <w:sz w:val="24"/>
          <w:color w:val="000000"/>
        </w:rPr>
        <w:t>供应商全称（加盖公章）：</w:t>
      </w:r>
      <w:r>
        <w:rPr>
          <w:rFonts w:ascii="仿宋_GB2312" w:hAnsi="仿宋_GB2312" w:cs="仿宋_GB2312" w:eastAsia="仿宋_GB2312"/>
          <w:sz w:val="24"/>
          <w:color w:val="000000"/>
          <w:u w:val="single"/>
        </w:rPr>
        <w:t xml:space="preserve">               </w:t>
      </w:r>
    </w:p>
    <w:p>
      <w:pPr>
        <w:pStyle w:val="null3"/>
        <w:ind w:firstLine="4200"/>
        <w:jc w:val="left"/>
      </w:pPr>
      <w:r>
        <w:rPr>
          <w:rFonts w:ascii="仿宋_GB2312" w:hAnsi="仿宋_GB2312" w:cs="仿宋_GB2312" w:eastAsia="仿宋_GB2312"/>
          <w:sz w:val="24"/>
          <w:color w:val="000000"/>
        </w:rPr>
        <w:t>供应商代表签字：</w:t>
      </w:r>
      <w:r>
        <w:rPr>
          <w:rFonts w:ascii="仿宋_GB2312" w:hAnsi="仿宋_GB2312" w:cs="仿宋_GB2312" w:eastAsia="仿宋_GB2312"/>
          <w:sz w:val="24"/>
          <w:color w:val="000000"/>
          <w:u w:val="single"/>
        </w:rPr>
        <w:t xml:space="preserve">                      </w:t>
      </w:r>
    </w:p>
    <w:p>
      <w:pPr>
        <w:pStyle w:val="null3"/>
        <w:ind w:firstLine="4200"/>
        <w:jc w:val="left"/>
      </w:pP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u w:val="single"/>
        </w:rPr>
        <w:t xml:space="preserve">                            </w:t>
      </w:r>
    </w:p>
    <w:p>
      <w:pPr>
        <w:pStyle w:val="null3"/>
        <w:jc w:val="center"/>
      </w:pPr>
      <w:r>
        <w:rPr>
          <w:rFonts w:ascii="仿宋_GB2312" w:hAnsi="仿宋_GB2312" w:cs="仿宋_GB2312" w:eastAsia="仿宋_GB2312"/>
          <w:sz w:val="28"/>
          <w:b/>
          <w:color w:val="000000"/>
        </w:rPr>
        <w:t>附件</w:t>
      </w:r>
      <w:r>
        <w:rPr>
          <w:rFonts w:ascii="仿宋_GB2312" w:hAnsi="仿宋_GB2312" w:cs="仿宋_GB2312" w:eastAsia="仿宋_GB2312"/>
          <w:sz w:val="28"/>
          <w:b/>
          <w:color w:val="000000"/>
        </w:rPr>
        <w:t>9-2、技术商务评分响应索引表</w:t>
      </w:r>
    </w:p>
    <w:tbl>
      <w:tblPr>
        <w:tblW w:w="0" w:type="auto"/>
        <w:tblBorders>
          <w:top w:val="none" w:color="000000" w:sz="4"/>
          <w:left w:val="none" w:color="000000" w:sz="4"/>
          <w:bottom w:val="none" w:color="000000" w:sz="4"/>
          <w:right w:val="none" w:color="000000" w:sz="4"/>
          <w:insideH w:val="none"/>
          <w:insideV w:val="none"/>
        </w:tblBorders>
      </w:tblPr>
      <w:tblGrid>
        <w:gridCol w:w="1582"/>
        <w:gridCol w:w="6625"/>
        <w:gridCol w:w="4230"/>
      </w:tblGrid>
      <w:tr>
        <w:tc>
          <w:tcPr>
            <w:tcW w:type="dxa" w:w="1582"/>
            <w:tcBorders>
              <w:top w:val="double" w:color="000000" w:sz="12"/>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6625"/>
            <w:tcBorders>
              <w:top w:val="double" w:color="000000" w:sz="12"/>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评分标准要求</w:t>
            </w:r>
          </w:p>
        </w:tc>
        <w:tc>
          <w:tcPr>
            <w:tcW w:type="dxa" w:w="4230"/>
            <w:tcBorders>
              <w:top w:val="double" w:color="000000" w:sz="12"/>
              <w:left w:val="single" w:color="000000" w:sz="4"/>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对应响应文件页码</w:t>
            </w:r>
          </w:p>
        </w:tc>
      </w:tr>
      <w:tr>
        <w:tc>
          <w:tcPr>
            <w:tcW w:type="dxa" w:w="12437"/>
            <w:gridSpan w:val="3"/>
            <w:tcBorders>
              <w:top w:val="single" w:color="000000" w:sz="4"/>
              <w:left w:val="double" w:color="000000" w:sz="12"/>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技术因素评分</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r>
      <w:tr>
        <w:tc>
          <w:tcPr>
            <w:tcW w:type="dxa" w:w="12437"/>
            <w:gridSpan w:val="3"/>
            <w:tcBorders>
              <w:top w:val="single" w:color="000000" w:sz="4"/>
              <w:left w:val="double" w:color="000000" w:sz="12"/>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商务因素评分</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r>
      <w:tr>
        <w:tc>
          <w:tcPr>
            <w:tcW w:type="dxa" w:w="1582"/>
            <w:tcBorders>
              <w:top w:val="single" w:color="000000" w:sz="4"/>
              <w:left w:val="double" w:color="000000" w:sz="12"/>
              <w:bottom w:val="double" w:color="000000" w:sz="12"/>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6625"/>
            <w:tcBorders>
              <w:top w:val="single" w:color="000000" w:sz="4"/>
              <w:left w:val="single" w:color="000000" w:sz="4"/>
              <w:bottom w:val="double" w:color="000000" w:sz="12"/>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double" w:color="000000" w:sz="12"/>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p>
        </w:tc>
      </w:tr>
    </w:tbl>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color w:val="000000"/>
        </w:rPr>
        <w:t>关于</w:t>
      </w:r>
      <w:r>
        <w:rPr>
          <w:rFonts w:ascii="仿宋_GB2312" w:hAnsi="仿宋_GB2312" w:cs="仿宋_GB2312" w:eastAsia="仿宋_GB2312"/>
          <w:sz w:val="32"/>
          <w:color w:val="000000"/>
        </w:rPr>
        <w:t>串标情形及后果的告知函</w:t>
      </w:r>
    </w:p>
    <w:p>
      <w:pPr>
        <w:pStyle w:val="null3"/>
        <w:ind w:firstLine="482"/>
        <w:jc w:val="left"/>
      </w:pPr>
      <w:r>
        <w:rPr>
          <w:rFonts w:ascii="仿宋_GB2312" w:hAnsi="仿宋_GB2312" w:cs="仿宋_GB2312" w:eastAsia="仿宋_GB2312"/>
          <w:sz w:val="24"/>
          <w:b/>
          <w:color w:val="000000"/>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2"/>
        <w:jc w:val="left"/>
      </w:pPr>
      <w:r>
        <w:rPr>
          <w:rFonts w:ascii="仿宋_GB2312" w:hAnsi="仿宋_GB2312" w:cs="仿宋_GB2312" w:eastAsia="仿宋_GB2312"/>
          <w:sz w:val="24"/>
          <w:b/>
          <w:color w:val="000000"/>
        </w:rPr>
        <w:t>一、串标情形</w:t>
      </w:r>
    </w:p>
    <w:p>
      <w:pPr>
        <w:pStyle w:val="null3"/>
        <w:ind w:firstLine="482"/>
        <w:jc w:val="left"/>
      </w:pPr>
      <w:r>
        <w:rPr>
          <w:rFonts w:ascii="仿宋_GB2312" w:hAnsi="仿宋_GB2312" w:cs="仿宋_GB2312" w:eastAsia="仿宋_GB2312"/>
          <w:sz w:val="24"/>
          <w:b/>
          <w:color w:val="000000"/>
        </w:rPr>
        <w:t>1、《政府采购法》第二十五条</w:t>
      </w:r>
      <w:r>
        <w:rPr>
          <w:rFonts w:ascii="仿宋_GB2312" w:hAnsi="仿宋_GB2312" w:cs="仿宋_GB2312" w:eastAsia="仿宋_GB2312"/>
          <w:sz w:val="24"/>
          <w:color w:val="000000"/>
        </w:rPr>
        <w:t>：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82"/>
        <w:jc w:val="left"/>
      </w:pPr>
      <w:r>
        <w:rPr>
          <w:rFonts w:ascii="仿宋_GB2312" w:hAnsi="仿宋_GB2312" w:cs="仿宋_GB2312" w:eastAsia="仿宋_GB2312"/>
          <w:sz w:val="24"/>
          <w:b/>
          <w:color w:val="000000"/>
        </w:rPr>
        <w:t>2、《政府采购法实施条例》第七十四条</w:t>
      </w:r>
      <w:r>
        <w:rPr>
          <w:rFonts w:ascii="仿宋_GB2312" w:hAnsi="仿宋_GB2312" w:cs="仿宋_GB2312" w:eastAsia="仿宋_GB2312"/>
          <w:sz w:val="24"/>
          <w:color w:val="000000"/>
        </w:rPr>
        <w:t>：有下列情形之一的，属于恶意串通，对供应商依照政府采购法第七十七条第一款的规定追究法律责任，对采购人、采购代理机构及其工作人员依照政府采购法第七十二条的规定追究法律责任：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jc w:val="left"/>
      </w:pPr>
      <w:r>
        <w:rPr>
          <w:rFonts w:ascii="仿宋_GB2312" w:hAnsi="仿宋_GB2312" w:cs="仿宋_GB2312" w:eastAsia="仿宋_GB2312"/>
          <w:sz w:val="24"/>
          <w:color w:val="000000"/>
        </w:rPr>
        <w:t>（一）供应商直接或者间接从采购人或者采购代理机构处获得其他供应商的相关情况并修改其投标文件或者响应文件；</w:t>
      </w:r>
    </w:p>
    <w:p>
      <w:pPr>
        <w:pStyle w:val="null3"/>
        <w:ind w:firstLine="480"/>
        <w:jc w:val="left"/>
      </w:pPr>
      <w:r>
        <w:rPr>
          <w:rFonts w:ascii="仿宋_GB2312" w:hAnsi="仿宋_GB2312" w:cs="仿宋_GB2312" w:eastAsia="仿宋_GB2312"/>
          <w:sz w:val="24"/>
          <w:color w:val="000000"/>
        </w:rPr>
        <w:t>（二）供应商按照采购人或者采购代理机构的授意撤换、修改投标文件或者响应文件；</w:t>
      </w:r>
    </w:p>
    <w:p>
      <w:pPr>
        <w:pStyle w:val="null3"/>
        <w:ind w:firstLine="480"/>
        <w:jc w:val="left"/>
      </w:pPr>
      <w:r>
        <w:rPr>
          <w:rFonts w:ascii="仿宋_GB2312" w:hAnsi="仿宋_GB2312" w:cs="仿宋_GB2312" w:eastAsia="仿宋_GB2312"/>
          <w:sz w:val="24"/>
          <w:color w:val="000000"/>
        </w:rPr>
        <w:t>（三）供应商之间协商报价、技术方案等投标文件或者响应文件的实质性内容；</w:t>
      </w:r>
    </w:p>
    <w:p>
      <w:pPr>
        <w:pStyle w:val="null3"/>
        <w:ind w:firstLine="480"/>
        <w:jc w:val="left"/>
      </w:pPr>
      <w:r>
        <w:rPr>
          <w:rFonts w:ascii="仿宋_GB2312" w:hAnsi="仿宋_GB2312" w:cs="仿宋_GB2312" w:eastAsia="仿宋_GB2312"/>
          <w:sz w:val="24"/>
          <w:color w:val="000000"/>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sz w:val="24"/>
          <w:color w:val="000000"/>
        </w:rPr>
        <w:t>（五）供应商之间事先约定由某一特定供应商中标、成交；</w:t>
      </w:r>
    </w:p>
    <w:p>
      <w:pPr>
        <w:pStyle w:val="null3"/>
        <w:ind w:firstLine="480"/>
        <w:jc w:val="left"/>
      </w:pPr>
      <w:r>
        <w:rPr>
          <w:rFonts w:ascii="仿宋_GB2312" w:hAnsi="仿宋_GB2312" w:cs="仿宋_GB2312" w:eastAsia="仿宋_GB2312"/>
          <w:sz w:val="24"/>
          <w:color w:val="000000"/>
        </w:rPr>
        <w:t>（六）供应商之间商定部分供应商放弃参加政府采购活动或者放弃中标、成交；</w:t>
      </w:r>
    </w:p>
    <w:p>
      <w:pPr>
        <w:pStyle w:val="null3"/>
        <w:ind w:firstLine="480"/>
        <w:jc w:val="left"/>
      </w:pPr>
      <w:r>
        <w:rPr>
          <w:rFonts w:ascii="仿宋_GB2312" w:hAnsi="仿宋_GB2312" w:cs="仿宋_GB2312" w:eastAsia="仿宋_GB2312"/>
          <w:sz w:val="24"/>
          <w:color w:val="000000"/>
        </w:rPr>
        <w:t>（七）供应商与采购人或者采购代理机构之间、供应商相互之间，为谋求特定供应商中标、成交或者排斥其他供应商的其他串通行为。</w:t>
      </w:r>
    </w:p>
    <w:p>
      <w:pPr>
        <w:pStyle w:val="null3"/>
        <w:ind w:firstLine="482"/>
        <w:jc w:val="left"/>
      </w:pPr>
      <w:r>
        <w:rPr>
          <w:rFonts w:ascii="仿宋_GB2312" w:hAnsi="仿宋_GB2312" w:cs="仿宋_GB2312" w:eastAsia="仿宋_GB2312"/>
          <w:sz w:val="24"/>
          <w:b/>
          <w:color w:val="000000"/>
        </w:rPr>
        <w:t>3、《福建省财政厅关于电子化政府采购项目中视为串标情形认定与处理的指导意见》（闽财购〔2018〕30号</w:t>
      </w:r>
      <w:r>
        <w:rPr>
          <w:rFonts w:ascii="仿宋_GB2312" w:hAnsi="仿宋_GB2312" w:cs="仿宋_GB2312" w:eastAsia="仿宋_GB2312"/>
          <w:sz w:val="24"/>
          <w:b/>
          <w:color w:val="000000"/>
        </w:rPr>
        <w:t>）</w:t>
      </w:r>
    </w:p>
    <w:p>
      <w:pPr>
        <w:pStyle w:val="null3"/>
        <w:ind w:firstLine="480"/>
        <w:jc w:val="left"/>
      </w:pPr>
      <w:r>
        <w:rPr>
          <w:rFonts w:ascii="仿宋_GB2312" w:hAnsi="仿宋_GB2312" w:cs="仿宋_GB2312" w:eastAsia="仿宋_GB2312"/>
          <w:sz w:val="24"/>
          <w:color w:val="000000"/>
        </w:rPr>
        <w:t>一、电子化招标项目视为串通情形的认定</w:t>
      </w:r>
    </w:p>
    <w:p>
      <w:pPr>
        <w:pStyle w:val="null3"/>
        <w:ind w:firstLine="480"/>
        <w:jc w:val="left"/>
      </w:pPr>
      <w:r>
        <w:rPr>
          <w:rFonts w:ascii="仿宋_GB2312" w:hAnsi="仿宋_GB2312" w:cs="仿宋_GB2312" w:eastAsia="仿宋_GB2312"/>
          <w:sz w:val="24"/>
          <w:color w:val="000000"/>
        </w:rPr>
        <w:t>（一）保证金验核阶段</w:t>
      </w:r>
    </w:p>
    <w:p>
      <w:pPr>
        <w:pStyle w:val="null3"/>
        <w:ind w:firstLine="480"/>
        <w:jc w:val="left"/>
      </w:pPr>
      <w:r>
        <w:rPr>
          <w:rFonts w:ascii="仿宋_GB2312" w:hAnsi="仿宋_GB2312" w:cs="仿宋_GB2312" w:eastAsia="仿宋_GB2312"/>
          <w:sz w:val="24"/>
          <w:color w:val="000000"/>
        </w:rPr>
        <w:t>不同投标人的投标保证金转出账户的银行账户名称相同的，属于《政府采购货物和服务招标投标管理办法》（财政部令第</w:t>
      </w:r>
      <w:r>
        <w:rPr>
          <w:rFonts w:ascii="仿宋_GB2312" w:hAnsi="仿宋_GB2312" w:cs="仿宋_GB2312" w:eastAsia="仿宋_GB2312"/>
          <w:sz w:val="24"/>
          <w:color w:val="000000"/>
        </w:rPr>
        <w:t>87号）第三十七条第（六）项“不同投标人的投标保证金从同一单位或者个人的账户转出”的情形。</w:t>
      </w:r>
    </w:p>
    <w:p>
      <w:pPr>
        <w:pStyle w:val="null3"/>
        <w:ind w:firstLine="480"/>
        <w:jc w:val="left"/>
      </w:pPr>
      <w:r>
        <w:rPr>
          <w:rFonts w:ascii="仿宋_GB2312" w:hAnsi="仿宋_GB2312" w:cs="仿宋_GB2312" w:eastAsia="仿宋_GB2312"/>
          <w:sz w:val="24"/>
          <w:color w:val="000000"/>
        </w:rPr>
        <w:t>（二）电子响应文件解密阶段</w:t>
      </w:r>
    </w:p>
    <w:p>
      <w:pPr>
        <w:pStyle w:val="null3"/>
        <w:ind w:firstLine="480"/>
        <w:jc w:val="left"/>
      </w:pPr>
      <w:r>
        <w:rPr>
          <w:rFonts w:ascii="仿宋_GB2312" w:hAnsi="仿宋_GB2312" w:cs="仿宋_GB2312" w:eastAsia="仿宋_GB2312"/>
          <w:sz w:val="24"/>
          <w:color w:val="000000"/>
        </w:rPr>
        <w:t>电子响应文件的个性特征与本采购项目的其他响应人存在雷同的，按照以下方式进行认定：</w:t>
      </w:r>
    </w:p>
    <w:p>
      <w:pPr>
        <w:pStyle w:val="null3"/>
        <w:ind w:firstLine="480"/>
        <w:jc w:val="left"/>
      </w:pPr>
      <w:r>
        <w:rPr>
          <w:rFonts w:ascii="仿宋_GB2312" w:hAnsi="仿宋_GB2312" w:cs="仿宋_GB2312" w:eastAsia="仿宋_GB2312"/>
          <w:sz w:val="24"/>
          <w:color w:val="000000"/>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left"/>
      </w:pPr>
      <w:r>
        <w:rPr>
          <w:rFonts w:ascii="仿宋_GB2312" w:hAnsi="仿宋_GB2312" w:cs="仿宋_GB2312" w:eastAsia="仿宋_GB2312"/>
          <w:sz w:val="24"/>
          <w:color w:val="000000"/>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left"/>
      </w:pPr>
      <w:r>
        <w:rPr>
          <w:rFonts w:ascii="仿宋_GB2312" w:hAnsi="仿宋_GB2312" w:cs="仿宋_GB2312" w:eastAsia="仿宋_GB2312"/>
          <w:sz w:val="24"/>
          <w:color w:val="000000"/>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0"/>
        <w:jc w:val="left"/>
      </w:pPr>
      <w:r>
        <w:rPr>
          <w:rFonts w:ascii="仿宋_GB2312" w:hAnsi="仿宋_GB2312" w:cs="仿宋_GB2312" w:eastAsia="仿宋_GB2312"/>
          <w:sz w:val="24"/>
          <w:color w:val="000000"/>
        </w:rPr>
        <w:t>二、电子化非招标项目视为串通情形的认定</w:t>
      </w:r>
    </w:p>
    <w:p>
      <w:pPr>
        <w:pStyle w:val="null3"/>
        <w:ind w:firstLine="480"/>
        <w:jc w:val="left"/>
      </w:pPr>
      <w:r>
        <w:rPr>
          <w:rFonts w:ascii="仿宋_GB2312" w:hAnsi="仿宋_GB2312" w:cs="仿宋_GB2312" w:eastAsia="仿宋_GB2312"/>
          <w:sz w:val="24"/>
          <w:color w:val="000000"/>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color w:val="000000"/>
        </w:rPr>
        <w:t>“供应商与采购人或者采购代理机构之间、供应商相互之间，为谋求特定供应商中标、成交或者排斥其他供应商的其他串通行为”。</w:t>
      </w:r>
    </w:p>
    <w:p>
      <w:pPr>
        <w:pStyle w:val="null3"/>
        <w:ind w:firstLine="482"/>
        <w:jc w:val="left"/>
      </w:pPr>
      <w:r>
        <w:rPr>
          <w:rFonts w:ascii="仿宋_GB2312" w:hAnsi="仿宋_GB2312" w:cs="仿宋_GB2312" w:eastAsia="仿宋_GB2312"/>
          <w:sz w:val="24"/>
          <w:b/>
          <w:color w:val="000000"/>
        </w:rPr>
        <w:t>二、后果</w:t>
      </w:r>
    </w:p>
    <w:p>
      <w:pPr>
        <w:pStyle w:val="null3"/>
        <w:ind w:firstLine="482"/>
        <w:jc w:val="left"/>
      </w:pPr>
      <w:r>
        <w:rPr>
          <w:rFonts w:ascii="仿宋_GB2312" w:hAnsi="仿宋_GB2312" w:cs="仿宋_GB2312" w:eastAsia="仿宋_GB2312"/>
          <w:sz w:val="24"/>
          <w:b/>
          <w:color w:val="000000"/>
        </w:rPr>
        <w:t>1、《政府采购法》第七十七条</w:t>
      </w:r>
      <w:r>
        <w:rPr>
          <w:rFonts w:ascii="仿宋_GB2312" w:hAnsi="仿宋_GB2312" w:cs="仿宋_GB2312" w:eastAsia="仿宋_GB2312"/>
          <w:sz w:val="24"/>
          <w:color w:val="000000"/>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jc w:val="left"/>
      </w:pPr>
      <w:r>
        <w:rPr>
          <w:rFonts w:ascii="仿宋_GB2312" w:hAnsi="仿宋_GB2312" w:cs="仿宋_GB2312" w:eastAsia="仿宋_GB2312"/>
          <w:sz w:val="24"/>
          <w:color w:val="000000"/>
        </w:rPr>
        <w:t>（三）与采购人、其他供应商或者采购代理机构恶意串通的；</w:t>
      </w:r>
    </w:p>
    <w:p>
      <w:pPr>
        <w:pStyle w:val="null3"/>
        <w:ind w:firstLine="480"/>
        <w:jc w:val="left"/>
      </w:pPr>
      <w:r>
        <w:rPr>
          <w:rFonts w:ascii="仿宋_GB2312" w:hAnsi="仿宋_GB2312" w:cs="仿宋_GB2312" w:eastAsia="仿宋_GB2312"/>
          <w:sz w:val="24"/>
          <w:color w:val="000000"/>
        </w:rPr>
        <w:t>供应商有前款第（一）至（五）项情形之一的，中标、成交无效。</w:t>
      </w:r>
    </w:p>
    <w:p>
      <w:pPr>
        <w:pStyle w:val="null3"/>
        <w:ind w:firstLine="482"/>
        <w:jc w:val="left"/>
      </w:pPr>
      <w:r>
        <w:rPr>
          <w:rFonts w:ascii="仿宋_GB2312" w:hAnsi="仿宋_GB2312" w:cs="仿宋_GB2312" w:eastAsia="仿宋_GB2312"/>
          <w:sz w:val="24"/>
          <w:b/>
          <w:color w:val="000000"/>
        </w:rPr>
        <w:t>2、《政府采购竞争性磋商采购方式管理暂行办法》（财库〔2014〕214号）第三十一条</w:t>
      </w:r>
      <w:r>
        <w:rPr>
          <w:rFonts w:ascii="仿宋_GB2312" w:hAnsi="仿宋_GB2312" w:cs="仿宋_GB2312" w:eastAsia="仿宋_GB2312"/>
          <w:sz w:val="24"/>
          <w:color w:val="000000"/>
        </w:rPr>
        <w:t>：有下列情形之一的，磋商保证金不予退还：</w:t>
      </w:r>
    </w:p>
    <w:p>
      <w:pPr>
        <w:pStyle w:val="null3"/>
        <w:ind w:firstLine="480"/>
        <w:jc w:val="left"/>
      </w:pPr>
      <w:r>
        <w:rPr>
          <w:rFonts w:ascii="仿宋_GB2312" w:hAnsi="仿宋_GB2312" w:cs="仿宋_GB2312" w:eastAsia="仿宋_GB2312"/>
          <w:sz w:val="24"/>
          <w:color w:val="000000"/>
        </w:rPr>
        <w:t>（四）供应商与采购人、其他供应商或者采购代理机构恶意串通的；</w:t>
      </w:r>
    </w:p>
    <w:p>
      <w:pPr>
        <w:pStyle w:val="null3"/>
        <w:ind w:firstLine="482"/>
        <w:jc w:val="left"/>
      </w:pPr>
      <w:r>
        <w:rPr>
          <w:rFonts w:ascii="仿宋_GB2312" w:hAnsi="仿宋_GB2312" w:cs="仿宋_GB2312" w:eastAsia="仿宋_GB2312"/>
          <w:sz w:val="24"/>
          <w:b/>
          <w:color w:val="000000"/>
        </w:rPr>
        <w:t>3、《福建省财政厅关于电子化政府采购项目中视为串标情形认定与处理的指导意见》（闽财购〔2018〕30号</w:t>
      </w:r>
      <w:r>
        <w:rPr>
          <w:rFonts w:ascii="仿宋_GB2312" w:hAnsi="仿宋_GB2312" w:cs="仿宋_GB2312" w:eastAsia="仿宋_GB2312"/>
          <w:sz w:val="24"/>
          <w:b/>
          <w:color w:val="000000"/>
        </w:rPr>
        <w:t>）</w:t>
      </w:r>
    </w:p>
    <w:p>
      <w:pPr>
        <w:pStyle w:val="null3"/>
        <w:ind w:firstLine="480"/>
        <w:jc w:val="left"/>
      </w:pPr>
      <w:r>
        <w:rPr>
          <w:rFonts w:ascii="仿宋_GB2312" w:hAnsi="仿宋_GB2312" w:cs="仿宋_GB2312" w:eastAsia="仿宋_GB2312"/>
          <w:sz w:val="24"/>
          <w:color w:val="000000"/>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2"/>
        <w:jc w:val="left"/>
      </w:pPr>
      <w:r>
        <w:rPr>
          <w:rFonts w:ascii="仿宋_GB2312" w:hAnsi="仿宋_GB2312" w:cs="仿宋_GB2312" w:eastAsia="仿宋_GB2312"/>
          <w:sz w:val="24"/>
          <w:b/>
          <w:color w:val="000000"/>
        </w:rPr>
        <w:t>三、虚假响应风险提示</w:t>
      </w:r>
    </w:p>
    <w:p>
      <w:pPr>
        <w:pStyle w:val="null3"/>
        <w:ind w:firstLine="480"/>
        <w:jc w:val="left"/>
      </w:pPr>
      <w:r>
        <w:rPr>
          <w:rFonts w:ascii="仿宋_GB2312" w:hAnsi="仿宋_GB2312" w:cs="仿宋_GB2312" w:eastAsia="仿宋_GB2312"/>
          <w:sz w:val="24"/>
          <w:color w:val="000000"/>
        </w:rPr>
        <w:t>《政府采购法》第七十七条规定：</w:t>
      </w:r>
      <w:r>
        <w:rPr>
          <w:rFonts w:ascii="仿宋_GB2312" w:hAnsi="仿宋_GB2312" w:cs="仿宋_GB2312" w:eastAsia="仿宋_GB2312"/>
          <w:sz w:val="24"/>
          <w:color w:val="000000"/>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成交的违法行为的执法力度。相关行政处罚案件，供应商可登陆中国政府采购网的“政府采购严重违法失信行为记录名单”查询，望引以为戒。</w:t>
      </w:r>
    </w:p>
    <w:p>
      <w:pPr>
        <w:pStyle w:val="null3"/>
        <w:ind w:firstLine="480"/>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详见其他商务要求中的“补充条款”。</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[350201]GWCG[CS]2025013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厦门市“十五五”住建事业发展专项规划</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1(厦门市“十五五”住建事业发展专项规划)</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厦门市“十五五”住建事业发展专项规划</w:t>
            </w:r>
          </w:p>
        </w:tc>
        <w:tc>
          <w:tcPr>
            <w:tcW w:type="dxa" w:w="1661"/>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[350201]GWCG[CS]2025013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厦门市“十五五”住建事业发展专项规划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厦门市“十五五”住建事业发展专项规划</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厦门市“十五五”住建事业发展专项规划</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厦门市“十五五”住建事业发展专项规划</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