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71656">
      <w:pPr>
        <w:spacing w:line="440" w:lineRule="exact"/>
        <w:rPr>
          <w:rFonts w:eastAsia="黑体"/>
          <w:color w:val="auto"/>
          <w:sz w:val="31"/>
          <w:szCs w:val="31"/>
          <w:highlight w:val="none"/>
        </w:rPr>
      </w:pPr>
      <w:bookmarkStart w:id="0" w:name="_Toc330218594"/>
      <w:bookmarkStart w:id="1" w:name="_Toc330217880"/>
      <w:bookmarkStart w:id="2" w:name="_Toc330218029"/>
    </w:p>
    <w:p w14:paraId="0C5FD789">
      <w:pPr>
        <w:jc w:val="center"/>
        <w:rPr>
          <w:rFonts w:ascii="华文中宋" w:hAnsi="华文中宋" w:eastAsia="华文中宋" w:cs="华文中宋"/>
          <w:b/>
          <w:color w:val="auto"/>
          <w:sz w:val="52"/>
          <w:szCs w:val="52"/>
          <w:highlight w:val="none"/>
        </w:rPr>
      </w:pPr>
    </w:p>
    <w:p w14:paraId="1F47940D">
      <w:pPr>
        <w:pStyle w:val="2"/>
        <w:rPr>
          <w:rFonts w:ascii="华文中宋" w:hAnsi="华文中宋" w:eastAsia="华文中宋" w:cs="华文中宋"/>
          <w:b/>
          <w:color w:val="auto"/>
          <w:sz w:val="52"/>
          <w:szCs w:val="52"/>
          <w:highlight w:val="none"/>
        </w:rPr>
      </w:pPr>
    </w:p>
    <w:p w14:paraId="1D9B5EB4">
      <w:pPr>
        <w:jc w:val="center"/>
        <w:rPr>
          <w:rFonts w:ascii="华文中宋" w:hAnsi="华文中宋" w:eastAsia="华文中宋" w:cs="华文中宋"/>
          <w:b/>
          <w:color w:val="auto"/>
          <w:sz w:val="52"/>
          <w:szCs w:val="52"/>
          <w:highlight w:val="none"/>
        </w:rPr>
      </w:pPr>
    </w:p>
    <w:p w14:paraId="36BA0BED">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厦门市水运工程</w:t>
      </w:r>
    </w:p>
    <w:p w14:paraId="5DC1AE05">
      <w:pPr>
        <w:pStyle w:val="2"/>
        <w:rPr>
          <w:color w:val="auto"/>
          <w:highlight w:val="none"/>
        </w:rPr>
      </w:pPr>
    </w:p>
    <w:p w14:paraId="4BC1731B">
      <w:pPr>
        <w:spacing w:line="1000" w:lineRule="exact"/>
        <w:jc w:val="center"/>
        <w:rPr>
          <w:rFonts w:ascii="华文中宋" w:hAnsi="华文中宋" w:eastAsia="华文中宋" w:cs="华文中宋"/>
          <w:b/>
          <w:color w:val="auto"/>
          <w:sz w:val="72"/>
          <w:szCs w:val="72"/>
          <w:highlight w:val="none"/>
        </w:rPr>
      </w:pPr>
      <w:r>
        <w:rPr>
          <w:rFonts w:hint="eastAsia" w:ascii="华文中宋" w:hAnsi="华文中宋" w:eastAsia="华文中宋" w:cs="华文中宋"/>
          <w:b/>
          <w:color w:val="auto"/>
          <w:sz w:val="72"/>
          <w:szCs w:val="72"/>
          <w:highlight w:val="none"/>
        </w:rPr>
        <w:t>勘察设计招标文件</w:t>
      </w:r>
    </w:p>
    <w:p w14:paraId="12A5E934">
      <w:pPr>
        <w:spacing w:line="440" w:lineRule="exact"/>
        <w:jc w:val="center"/>
        <w:rPr>
          <w:rFonts w:hint="eastAsia" w:eastAsia="黑体"/>
          <w:color w:val="auto"/>
          <w:sz w:val="36"/>
          <w:szCs w:val="36"/>
          <w:highlight w:val="none"/>
        </w:rPr>
      </w:pPr>
    </w:p>
    <w:p w14:paraId="64A5D9F4">
      <w:pPr>
        <w:spacing w:line="440" w:lineRule="exact"/>
        <w:jc w:val="center"/>
        <w:rPr>
          <w:rFonts w:hint="eastAsia" w:eastAsia="黑体"/>
          <w:color w:val="auto"/>
          <w:sz w:val="36"/>
          <w:szCs w:val="36"/>
          <w:highlight w:val="none"/>
        </w:rPr>
      </w:pPr>
      <w:r>
        <w:rPr>
          <w:rFonts w:hint="eastAsia" w:eastAsia="黑体"/>
          <w:color w:val="auto"/>
          <w:sz w:val="36"/>
          <w:szCs w:val="36"/>
          <w:highlight w:val="none"/>
        </w:rPr>
        <w:t>（</w:t>
      </w:r>
      <w:r>
        <w:rPr>
          <w:rFonts w:hint="eastAsia" w:eastAsia="黑体"/>
          <w:color w:val="auto"/>
          <w:sz w:val="36"/>
          <w:szCs w:val="36"/>
          <w:highlight w:val="none"/>
          <w:lang w:val="zh-CN"/>
        </w:rPr>
        <w:t>“评定分离”版</w:t>
      </w:r>
      <w:r>
        <w:rPr>
          <w:rFonts w:hint="eastAsia" w:eastAsia="黑体"/>
          <w:color w:val="auto"/>
          <w:sz w:val="36"/>
          <w:szCs w:val="36"/>
          <w:highlight w:val="none"/>
        </w:rPr>
        <w:t>）</w:t>
      </w:r>
    </w:p>
    <w:p w14:paraId="7E6CCD82">
      <w:pPr>
        <w:spacing w:line="440" w:lineRule="exact"/>
        <w:jc w:val="center"/>
        <w:rPr>
          <w:rFonts w:hint="eastAsia" w:eastAsia="黑体"/>
          <w:color w:val="auto"/>
          <w:sz w:val="36"/>
          <w:szCs w:val="36"/>
          <w:highlight w:val="none"/>
        </w:rPr>
      </w:pPr>
    </w:p>
    <w:p w14:paraId="51A55D79">
      <w:pPr>
        <w:spacing w:line="360" w:lineRule="auto"/>
        <w:ind w:firstLine="420" w:firstLineChars="200"/>
        <w:rPr>
          <w:rFonts w:ascii="宋体" w:hAnsi="宋体"/>
          <w:color w:val="auto"/>
          <w:szCs w:val="21"/>
          <w:highlight w:val="none"/>
        </w:rPr>
      </w:pPr>
    </w:p>
    <w:p w14:paraId="5D69EAE9">
      <w:pPr>
        <w:spacing w:line="360" w:lineRule="auto"/>
        <w:ind w:firstLine="1687"/>
        <w:jc w:val="center"/>
        <w:rPr>
          <w:rFonts w:ascii="宋体" w:hAnsi="宋体"/>
          <w:b/>
          <w:color w:val="auto"/>
          <w:sz w:val="84"/>
          <w:szCs w:val="84"/>
          <w:highlight w:val="none"/>
        </w:rPr>
      </w:pPr>
    </w:p>
    <w:p w14:paraId="326CBEB7">
      <w:pPr>
        <w:pStyle w:val="2"/>
        <w:rPr>
          <w:color w:val="auto"/>
          <w:highlight w:val="none"/>
        </w:rPr>
      </w:pPr>
    </w:p>
    <w:p w14:paraId="34505775">
      <w:pPr>
        <w:spacing w:line="360" w:lineRule="auto"/>
        <w:ind w:firstLine="1687"/>
        <w:jc w:val="center"/>
        <w:rPr>
          <w:rFonts w:ascii="宋体" w:hAnsi="宋体"/>
          <w:b/>
          <w:color w:val="auto"/>
          <w:sz w:val="84"/>
          <w:szCs w:val="84"/>
          <w:highlight w:val="none"/>
        </w:rPr>
      </w:pPr>
    </w:p>
    <w:p w14:paraId="6DD9697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厦门市住房和建设局</w:t>
      </w:r>
    </w:p>
    <w:p w14:paraId="29773239">
      <w:pPr>
        <w:spacing w:line="360" w:lineRule="auto"/>
        <w:jc w:val="center"/>
        <w:rPr>
          <w:rFonts w:ascii="宋体" w:hAnsi="宋体" w:cs="宋体"/>
          <w:b/>
          <w:color w:val="auto"/>
          <w:sz w:val="32"/>
          <w:szCs w:val="32"/>
          <w:highlight w:val="none"/>
        </w:rPr>
        <w:sectPr>
          <w:headerReference r:id="rId5" w:type="default"/>
          <w:headerReference r:id="rId6" w:type="even"/>
          <w:footerReference r:id="rId7" w:type="even"/>
          <w:footnotePr>
            <w:numRestart w:val="eachPage"/>
          </w:footnotePr>
          <w:pgSz w:w="11906" w:h="16838"/>
          <w:pgMar w:top="1418" w:right="1418" w:bottom="1418" w:left="1418" w:header="851" w:footer="992" w:gutter="567"/>
          <w:cols w:space="720" w:num="1"/>
          <w:titlePg/>
          <w:docGrid w:type="lines" w:linePitch="312" w:charSpace="0"/>
        </w:sectPr>
      </w:pPr>
      <w:r>
        <w:rPr>
          <w:rFonts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ascii="宋体" w:hAnsi="宋体" w:cs="宋体"/>
          <w:b/>
          <w:color w:val="auto"/>
          <w:sz w:val="32"/>
          <w:szCs w:val="32"/>
          <w:highlight w:val="none"/>
        </w:rPr>
        <w:t>年</w:t>
      </w:r>
      <w:r>
        <w:rPr>
          <w:rFonts w:hint="eastAsia" w:ascii="宋体" w:hAnsi="宋体" w:cs="宋体"/>
          <w:b/>
          <w:color w:val="auto"/>
          <w:sz w:val="32"/>
          <w:szCs w:val="32"/>
          <w:highlight w:val="none"/>
        </w:rPr>
        <w:t>1</w:t>
      </w:r>
      <w:r>
        <w:rPr>
          <w:rFonts w:ascii="宋体" w:hAnsi="宋体" w:cs="宋体"/>
          <w:b/>
          <w:color w:val="auto"/>
          <w:sz w:val="32"/>
          <w:szCs w:val="32"/>
          <w:highlight w:val="none"/>
        </w:rPr>
        <w:t>月</w:t>
      </w:r>
    </w:p>
    <w:bookmarkEnd w:id="0"/>
    <w:bookmarkEnd w:id="1"/>
    <w:bookmarkEnd w:id="2"/>
    <w:p w14:paraId="4E43B73F">
      <w:pPr>
        <w:pStyle w:val="3"/>
        <w:rPr>
          <w:rFonts w:eastAsia="宋体"/>
          <w:color w:val="auto"/>
          <w:highlight w:val="none"/>
        </w:rPr>
      </w:pPr>
      <w:bookmarkStart w:id="3" w:name="_Toc488649868"/>
      <w:r>
        <w:rPr>
          <w:rFonts w:hint="eastAsia" w:eastAsia="宋体"/>
          <w:color w:val="auto"/>
          <w:highlight w:val="none"/>
        </w:rPr>
        <w:t>说明</w:t>
      </w:r>
      <w:bookmarkEnd w:id="3"/>
    </w:p>
    <w:p w14:paraId="7C7F4C8B">
      <w:pPr>
        <w:tabs>
          <w:tab w:val="left" w:pos="480"/>
        </w:tabs>
        <w:spacing w:line="360" w:lineRule="auto"/>
        <w:ind w:firstLine="480" w:firstLineChars="200"/>
        <w:rPr>
          <w:rFonts w:ascii="宋体" w:hAnsi="宋体"/>
          <w:color w:val="auto"/>
          <w:sz w:val="30"/>
          <w:szCs w:val="30"/>
          <w:highlight w:val="none"/>
        </w:rPr>
      </w:pPr>
      <w:r>
        <w:rPr>
          <w:rFonts w:hint="eastAsia" w:ascii="宋体" w:hAnsi="宋体"/>
          <w:snapToGrid w:val="0"/>
          <w:color w:val="auto"/>
          <w:kern w:val="0"/>
          <w:sz w:val="24"/>
          <w:highlight w:val="none"/>
        </w:rPr>
        <w:t>1、《厦门市水运工程勘察设计招标文件》（“评定分离”版</w:t>
      </w:r>
      <w:bookmarkStart w:id="854" w:name="_GoBack"/>
      <w:bookmarkEnd w:id="854"/>
      <w:r>
        <w:rPr>
          <w:rFonts w:hint="eastAsia" w:ascii="宋体" w:hAnsi="宋体"/>
          <w:snapToGrid w:val="0"/>
          <w:color w:val="auto"/>
          <w:kern w:val="0"/>
          <w:sz w:val="24"/>
          <w:highlight w:val="none"/>
        </w:rPr>
        <w:t>）以福建省港航事业发展中心发布《福建省水运工程勘察设计招标文件示范文本》（202</w:t>
      </w:r>
      <w:r>
        <w:rPr>
          <w:rFonts w:hint="eastAsia" w:ascii="宋体" w:hAnsi="宋体"/>
          <w:snapToGrid w:val="0"/>
          <w:color w:val="auto"/>
          <w:kern w:val="0"/>
          <w:sz w:val="24"/>
          <w:highlight w:val="none"/>
          <w:lang w:val="en-US" w:eastAsia="zh-CN"/>
        </w:rPr>
        <w:t>4</w:t>
      </w:r>
      <w:r>
        <w:rPr>
          <w:rFonts w:hint="eastAsia" w:ascii="宋体" w:hAnsi="宋体"/>
          <w:snapToGrid w:val="0"/>
          <w:color w:val="auto"/>
          <w:kern w:val="0"/>
          <w:sz w:val="24"/>
          <w:highlight w:val="none"/>
        </w:rPr>
        <w:t>版）（以下简称“省范本”）为基础，以《中华人民共和国招标投标法》、《电子招标投标办法》等法律和部门规章为依据，根据《厦门市住房和建设局关于印发建设工程招投标评定分离办法的通知》（厦住建规〔2024〕6号）并结合厦门市实际情况进行编制。</w:t>
      </w:r>
    </w:p>
    <w:p w14:paraId="2CF2FF80">
      <w:pPr>
        <w:tabs>
          <w:tab w:val="left" w:pos="480"/>
        </w:tabs>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2、本招标文件（范本）适用于厦门市行政区域内依法必须进行公开招投标且采用“评定分离”评标定标办法的水运勘察设计项目。</w:t>
      </w:r>
    </w:p>
    <w:p w14:paraId="6D75E13F">
      <w:pPr>
        <w:tabs>
          <w:tab w:val="left" w:pos="480"/>
        </w:tabs>
        <w:spacing w:line="360" w:lineRule="auto"/>
        <w:ind w:firstLine="480" w:firstLineChars="200"/>
        <w:rPr>
          <w:rFonts w:ascii="Arial" w:hAnsi="Arial" w:cs="Arial"/>
          <w:color w:val="auto"/>
          <w:sz w:val="24"/>
          <w:highlight w:val="none"/>
        </w:rPr>
      </w:pPr>
      <w:r>
        <w:rPr>
          <w:rFonts w:hint="eastAsia" w:ascii="宋体" w:hAnsi="宋体"/>
          <w:snapToGrid w:val="0"/>
          <w:color w:val="auto"/>
          <w:kern w:val="0"/>
          <w:sz w:val="24"/>
          <w:highlight w:val="none"/>
        </w:rPr>
        <w:t>3、本勘察设计招标文件范本可</w:t>
      </w:r>
      <w:r>
        <w:rPr>
          <w:rFonts w:ascii="宋体" w:hAnsi="宋体"/>
          <w:snapToGrid w:val="0"/>
          <w:color w:val="auto"/>
          <w:kern w:val="0"/>
          <w:sz w:val="24"/>
          <w:highlight w:val="none"/>
        </w:rPr>
        <w:t>适用于</w:t>
      </w:r>
      <w:r>
        <w:rPr>
          <w:rFonts w:ascii="Arial" w:hAnsi="Arial" w:cs="Arial"/>
          <w:color w:val="auto"/>
          <w:sz w:val="24"/>
          <w:highlight w:val="none"/>
        </w:rPr>
        <w:t>全部使用国有资金投资或者国有资金投资占控股或者主导地位</w:t>
      </w:r>
      <w:r>
        <w:rPr>
          <w:rFonts w:hint="eastAsia" w:ascii="Arial" w:hAnsi="Arial" w:cs="Arial"/>
          <w:color w:val="auto"/>
          <w:sz w:val="24"/>
          <w:highlight w:val="none"/>
        </w:rPr>
        <w:t>依法应当公开招标的</w:t>
      </w:r>
      <w:r>
        <w:rPr>
          <w:rFonts w:hint="eastAsia" w:ascii="宋体" w:hAnsi="宋体"/>
          <w:color w:val="auto"/>
          <w:sz w:val="24"/>
          <w:highlight w:val="none"/>
        </w:rPr>
        <w:t>我省省级及以下有关部门审批、核准或备案</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水运工程</w:t>
      </w:r>
      <w:r>
        <w:rPr>
          <w:rFonts w:hint="eastAsia" w:ascii="宋体" w:hAnsi="宋体"/>
          <w:snapToGrid w:val="0"/>
          <w:color w:val="auto"/>
          <w:kern w:val="0"/>
          <w:sz w:val="24"/>
          <w:highlight w:val="none"/>
        </w:rPr>
        <w:t>建设项目（含陆岛交通码头）</w:t>
      </w:r>
      <w:r>
        <w:rPr>
          <w:rFonts w:ascii="宋体" w:hAnsi="宋体"/>
          <w:snapToGrid w:val="0"/>
          <w:color w:val="auto"/>
          <w:kern w:val="0"/>
          <w:sz w:val="24"/>
          <w:highlight w:val="none"/>
        </w:rPr>
        <w:t>勘察设计</w:t>
      </w:r>
      <w:r>
        <w:rPr>
          <w:rFonts w:hint="eastAsia" w:ascii="宋体" w:hAnsi="宋体"/>
          <w:snapToGrid w:val="0"/>
          <w:color w:val="auto"/>
          <w:kern w:val="0"/>
          <w:sz w:val="24"/>
          <w:highlight w:val="none"/>
        </w:rPr>
        <w:t>招标或设计招标；勘察单独招标时，按建设主管</w:t>
      </w:r>
      <w:r>
        <w:rPr>
          <w:rFonts w:hint="eastAsia" w:ascii="Arial" w:hAnsi="Arial" w:cs="Arial"/>
          <w:color w:val="auto"/>
          <w:sz w:val="24"/>
          <w:highlight w:val="none"/>
        </w:rPr>
        <w:t>部门发布的勘察招标范本执行</w:t>
      </w:r>
      <w:r>
        <w:rPr>
          <w:rFonts w:ascii="Arial" w:hAnsi="Arial" w:cs="Arial"/>
          <w:color w:val="auto"/>
          <w:sz w:val="24"/>
          <w:highlight w:val="none"/>
        </w:rPr>
        <w:t>。</w:t>
      </w:r>
      <w:r>
        <w:rPr>
          <w:rFonts w:hint="eastAsia" w:ascii="Arial" w:hAnsi="Arial" w:cs="Arial"/>
          <w:color w:val="auto"/>
          <w:sz w:val="24"/>
          <w:highlight w:val="none"/>
        </w:rPr>
        <w:t>其余水运工程项目勘察设计招标可参照执行。</w:t>
      </w:r>
    </w:p>
    <w:p w14:paraId="3D8D5832">
      <w:pPr>
        <w:widowControl/>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4、招标人在设定投标人资质资格要求时，应严格按照《</w:t>
      </w:r>
      <w:r>
        <w:rPr>
          <w:color w:val="auto"/>
          <w:highlight w:val="none"/>
        </w:rPr>
        <w:fldChar w:fldCharType="begin"/>
      </w:r>
      <w:r>
        <w:rPr>
          <w:color w:val="auto"/>
          <w:highlight w:val="none"/>
        </w:rPr>
        <w:instrText xml:space="preserve"> HYPERLINK "http://www.mohurd.gov.cn/wbdt/xzzx/zzfjbz/201306/W020170330094407.doc" \t "_blank" </w:instrText>
      </w:r>
      <w:r>
        <w:rPr>
          <w:color w:val="auto"/>
          <w:highlight w:val="none"/>
        </w:rPr>
        <w:fldChar w:fldCharType="separate"/>
      </w:r>
      <w:r>
        <w:rPr>
          <w:rFonts w:hint="eastAsia" w:ascii="宋体" w:hAnsi="宋体"/>
          <w:snapToGrid w:val="0"/>
          <w:color w:val="auto"/>
          <w:kern w:val="0"/>
          <w:sz w:val="24"/>
          <w:highlight w:val="none"/>
        </w:rPr>
        <w:t>工程勘察资质标准</w:t>
      </w:r>
      <w:r>
        <w:rPr>
          <w:rFonts w:hint="eastAsia" w:ascii="宋体" w:hAnsi="宋体"/>
          <w:snapToGrid w:val="0"/>
          <w:color w:val="auto"/>
          <w:kern w:val="0"/>
          <w:sz w:val="24"/>
          <w:highlight w:val="none"/>
        </w:rPr>
        <w:fldChar w:fldCharType="end"/>
      </w:r>
      <w:r>
        <w:rPr>
          <w:rFonts w:hint="eastAsia" w:ascii="宋体" w:hAnsi="宋体"/>
          <w:snapToGrid w:val="0"/>
          <w:color w:val="auto"/>
          <w:kern w:val="0"/>
          <w:sz w:val="24"/>
          <w:highlight w:val="none"/>
        </w:rPr>
        <w:t>》、《工程设计资质标准》中企业资质等级所承接范围的规定设定企业资质，并与招标项目工程建设规模等级相适应，不得设定与项目等级不相应、过高的资质要求。</w:t>
      </w:r>
    </w:p>
    <w:p w14:paraId="05CEE068">
      <w:pPr>
        <w:widowControl/>
        <w:tabs>
          <w:tab w:val="left" w:pos="480"/>
        </w:tabs>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5、联合体参与投标的，只需由联合体牵头单位加盖电子章即可。投标文件中要求的相关证件、单据可由联合体牵头方彩色扫描并加盖电子公章，其他需要联合体成员单位盖章的资料由各自单位盖单位公章或电子公章后统一由联合体牵头方上传。</w:t>
      </w:r>
    </w:p>
    <w:p w14:paraId="1BCD3CF6">
      <w:pPr>
        <w:widowControl/>
        <w:tabs>
          <w:tab w:val="left" w:pos="480"/>
        </w:tabs>
        <w:spacing w:line="360" w:lineRule="auto"/>
        <w:ind w:firstLine="480" w:firstLineChars="200"/>
        <w:rPr>
          <w:rFonts w:ascii="宋体" w:hAnsi="宋体"/>
          <w:snapToGrid w:val="0"/>
          <w:color w:val="auto"/>
          <w:kern w:val="0"/>
          <w:sz w:val="24"/>
          <w:highlight w:val="none"/>
        </w:rPr>
      </w:pPr>
      <w:r>
        <w:rPr>
          <w:rFonts w:hint="eastAsia" w:ascii="宋体" w:hAnsi="宋体"/>
          <w:color w:val="auto"/>
          <w:sz w:val="24"/>
          <w:highlight w:val="none"/>
        </w:rPr>
        <w:t>6、范本中以空格下划线标示的，由招标人编制招标文件或投标人编制投标文件时填入具体内容,不需要填写时应在空格处用“/”标示，以□标识的选项由招标人根据实际情况选择，并确保与有关章节内容和要求一致。其余部分应不加修改的引用。</w:t>
      </w:r>
    </w:p>
    <w:p w14:paraId="2AD05BB1">
      <w:pPr>
        <w:widowControl/>
        <w:tabs>
          <w:tab w:val="left" w:pos="4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7、水运工程勘察设计招标文件的编制除应符合本范本规定外，还应符合国家现行有关法律、法规、标准的规定。</w:t>
      </w:r>
      <w:bookmarkStart w:id="4" w:name="_Toc326241874"/>
      <w:bookmarkStart w:id="5" w:name="_Toc346269433"/>
      <w:bookmarkStart w:id="6" w:name="_Toc335721908"/>
      <w:bookmarkStart w:id="7" w:name="_Toc335660667"/>
    </w:p>
    <w:p w14:paraId="48993167">
      <w:pPr>
        <w:widowControl/>
        <w:tabs>
          <w:tab w:val="left" w:pos="4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8、在福建省交通运输厅最新发布的信用考核定级为AA、A级且在有效期限内的单位，资格审查阶段，当其他条件满足时，其履约信誉可免于审查，直接通过资格审查。</w:t>
      </w:r>
      <w:bookmarkStart w:id="8" w:name="_Toc488649869"/>
    </w:p>
    <w:p w14:paraId="0862F34C">
      <w:pPr>
        <w:widowControl/>
        <w:tabs>
          <w:tab w:val="left" w:pos="480"/>
        </w:tabs>
        <w:spacing w:line="360" w:lineRule="auto"/>
        <w:ind w:firstLine="480"/>
        <w:rPr>
          <w:color w:val="auto"/>
          <w:highlight w:val="none"/>
        </w:rPr>
      </w:pPr>
      <w:r>
        <w:rPr>
          <w:rFonts w:hint="eastAsia" w:ascii="宋体" w:hAnsi="宋体"/>
          <w:color w:val="auto"/>
          <w:sz w:val="24"/>
          <w:highlight w:val="none"/>
        </w:rPr>
        <w:t>9、招标人设定最高投标限价可结合有关计价依据、工程特点、市场要素价格水平等，并贴近市场实际。</w:t>
      </w:r>
    </w:p>
    <w:p w14:paraId="1FE207C5">
      <w:pPr>
        <w:widowControl/>
        <w:tabs>
          <w:tab w:val="left" w:pos="480"/>
        </w:tabs>
        <w:spacing w:line="360" w:lineRule="auto"/>
        <w:ind w:firstLine="480"/>
        <w:rPr>
          <w:rFonts w:ascii="宋体" w:hAnsi="宋体"/>
          <w:color w:val="auto"/>
          <w:sz w:val="24"/>
          <w:highlight w:val="none"/>
        </w:rPr>
      </w:pPr>
      <w:r>
        <w:rPr>
          <w:rFonts w:hint="eastAsia" w:ascii="宋体" w:hAnsi="宋体"/>
          <w:color w:val="auto"/>
          <w:sz w:val="24"/>
          <w:highlight w:val="none"/>
        </w:rPr>
        <w:t>10、各单位在使用本招标文件（范本）时，有任何意见和建议，请及时反馈厦门市建设工程招投标中心，以便进一步修改和完善。参加编制主要单位和人员名单如下：</w:t>
      </w:r>
    </w:p>
    <w:p w14:paraId="57564C2D">
      <w:pPr>
        <w:widowControl/>
        <w:tabs>
          <w:tab w:val="left" w:pos="480"/>
        </w:tabs>
        <w:spacing w:line="360" w:lineRule="auto"/>
        <w:ind w:firstLine="480"/>
        <w:rPr>
          <w:rFonts w:ascii="宋体" w:hAnsi="宋体"/>
          <w:color w:val="auto"/>
          <w:sz w:val="24"/>
          <w:highlight w:val="none"/>
        </w:rPr>
      </w:pPr>
      <w:r>
        <w:rPr>
          <w:rFonts w:hint="eastAsia" w:ascii="宋体" w:hAnsi="宋体"/>
          <w:color w:val="auto"/>
          <w:sz w:val="24"/>
          <w:highlight w:val="none"/>
        </w:rPr>
        <w:t>①厦门市建设工程招投标中心 白晓东、沈毅敏、何财宁、王东一、郑永生；</w:t>
      </w:r>
    </w:p>
    <w:p w14:paraId="68180C48">
      <w:pPr>
        <w:widowControl/>
        <w:tabs>
          <w:tab w:val="left" w:pos="480"/>
        </w:tabs>
        <w:spacing w:line="360" w:lineRule="auto"/>
        <w:ind w:firstLine="480"/>
        <w:rPr>
          <w:rFonts w:ascii="宋体" w:hAnsi="宋体"/>
          <w:color w:val="auto"/>
          <w:sz w:val="24"/>
          <w:highlight w:val="none"/>
        </w:rPr>
        <w:sectPr>
          <w:headerReference r:id="rId8" w:type="default"/>
          <w:footerReference r:id="rId9" w:type="default"/>
          <w:pgSz w:w="11906" w:h="16838"/>
          <w:pgMar w:top="1418" w:right="1134" w:bottom="1418" w:left="1134" w:header="851" w:footer="992" w:gutter="0"/>
          <w:pgNumType w:start="1"/>
          <w:cols w:space="720" w:num="1"/>
          <w:docGrid w:type="lines" w:linePitch="312" w:charSpace="0"/>
        </w:sectPr>
      </w:pPr>
      <w:r>
        <w:rPr>
          <w:rFonts w:hint="eastAsia" w:ascii="宋体" w:hAnsi="宋体"/>
          <w:color w:val="auto"/>
          <w:sz w:val="24"/>
          <w:highlight w:val="none"/>
        </w:rPr>
        <w:t>②厦门港口开发建设有限公司 许宁。</w:t>
      </w:r>
    </w:p>
    <w:p w14:paraId="1458DF70">
      <w:pPr>
        <w:pStyle w:val="41"/>
        <w:rPr>
          <w:color w:val="auto"/>
          <w:highlight w:val="none"/>
        </w:rPr>
      </w:pPr>
    </w:p>
    <w:p w14:paraId="24E7DAC1">
      <w:pPr>
        <w:pStyle w:val="41"/>
        <w:ind w:firstLine="480"/>
        <w:rPr>
          <w:rFonts w:ascii="宋体" w:hAnsi="宋体"/>
          <w:color w:val="auto"/>
          <w:sz w:val="24"/>
          <w:highlight w:val="none"/>
        </w:rPr>
      </w:pPr>
    </w:p>
    <w:p w14:paraId="03C0180D">
      <w:pPr>
        <w:pStyle w:val="41"/>
        <w:ind w:firstLine="480"/>
        <w:rPr>
          <w:rFonts w:ascii="宋体" w:hAnsi="宋体"/>
          <w:color w:val="auto"/>
          <w:sz w:val="24"/>
          <w:highlight w:val="none"/>
        </w:rPr>
      </w:pPr>
    </w:p>
    <w:p w14:paraId="55E19B49">
      <w:pPr>
        <w:pStyle w:val="41"/>
        <w:ind w:firstLine="480"/>
        <w:rPr>
          <w:rFonts w:ascii="宋体" w:hAnsi="宋体"/>
          <w:color w:val="auto"/>
          <w:sz w:val="24"/>
          <w:highlight w:val="none"/>
        </w:rPr>
      </w:pPr>
    </w:p>
    <w:p w14:paraId="5E033A41">
      <w:pPr>
        <w:jc w:val="center"/>
        <w:rPr>
          <w:rFonts w:ascii="华文中宋" w:hAnsi="华文中宋" w:eastAsia="华文中宋" w:cs="华文中宋"/>
          <w:b/>
          <w:color w:val="auto"/>
          <w:sz w:val="52"/>
          <w:szCs w:val="52"/>
          <w:highlight w:val="none"/>
        </w:rPr>
      </w:pPr>
    </w:p>
    <w:p w14:paraId="36CCA4C0">
      <w:pPr>
        <w:jc w:val="center"/>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u w:val="single"/>
        </w:rPr>
        <w:t xml:space="preserve">        （项目名称）</w:t>
      </w:r>
    </w:p>
    <w:p w14:paraId="6190495E">
      <w:pPr>
        <w:jc w:val="center"/>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勘察设计招标文件</w:t>
      </w:r>
    </w:p>
    <w:p w14:paraId="4D79C449">
      <w:pPr>
        <w:rPr>
          <w:rFonts w:ascii="华文中宋" w:hAnsi="华文中宋" w:eastAsia="华文中宋" w:cs="华文中宋"/>
          <w:color w:val="auto"/>
          <w:highlight w:val="none"/>
        </w:rPr>
      </w:pPr>
    </w:p>
    <w:p w14:paraId="73F68C03">
      <w:pPr>
        <w:ind w:firstLine="2249" w:firstLineChars="700"/>
        <w:rPr>
          <w:rFonts w:ascii="华文中宋" w:hAnsi="华文中宋" w:eastAsia="华文中宋" w:cs="华文中宋"/>
          <w:b/>
          <w:color w:val="auto"/>
          <w:sz w:val="32"/>
          <w:szCs w:val="32"/>
          <w:highlight w:val="none"/>
        </w:rPr>
      </w:pPr>
    </w:p>
    <w:p w14:paraId="2D7B0383">
      <w:pPr>
        <w:jc w:val="center"/>
        <w:rPr>
          <w:rFonts w:ascii="华文中宋" w:hAnsi="华文中宋" w:eastAsia="华文中宋" w:cs="华文中宋"/>
          <w:b/>
          <w:color w:val="auto"/>
          <w:sz w:val="72"/>
          <w:szCs w:val="72"/>
          <w:highlight w:val="none"/>
        </w:rPr>
      </w:pPr>
    </w:p>
    <w:p w14:paraId="27250C4B">
      <w:pPr>
        <w:jc w:val="center"/>
        <w:rPr>
          <w:rFonts w:ascii="宋体" w:hAnsi="宋体"/>
          <w:b/>
          <w:color w:val="auto"/>
          <w:sz w:val="32"/>
          <w:szCs w:val="32"/>
          <w:highlight w:val="none"/>
        </w:rPr>
      </w:pPr>
    </w:p>
    <w:p w14:paraId="344753D8">
      <w:pPr>
        <w:spacing w:line="360" w:lineRule="auto"/>
        <w:ind w:left="3054" w:leftChars="393" w:hanging="2229" w:hangingChars="694"/>
        <w:rPr>
          <w:rFonts w:ascii="宋体" w:hAnsi="宋体"/>
          <w:b/>
          <w:color w:val="auto"/>
          <w:sz w:val="32"/>
          <w:highlight w:val="none"/>
        </w:rPr>
      </w:pPr>
    </w:p>
    <w:p w14:paraId="7A1F2CB7">
      <w:pPr>
        <w:spacing w:line="360" w:lineRule="auto"/>
        <w:ind w:left="3054" w:leftChars="393" w:hanging="2229" w:hangingChars="694"/>
        <w:rPr>
          <w:rFonts w:ascii="宋体" w:hAnsi="宋体"/>
          <w:b/>
          <w:color w:val="auto"/>
          <w:sz w:val="32"/>
          <w:highlight w:val="none"/>
        </w:rPr>
      </w:pPr>
    </w:p>
    <w:p w14:paraId="4F9FC20F">
      <w:pPr>
        <w:spacing w:line="360" w:lineRule="auto"/>
        <w:ind w:left="3054" w:leftChars="393" w:hanging="2229" w:hangingChars="694"/>
        <w:rPr>
          <w:rFonts w:ascii="宋体" w:hAnsi="宋体"/>
          <w:b/>
          <w:color w:val="auto"/>
          <w:sz w:val="32"/>
          <w:highlight w:val="none"/>
        </w:rPr>
      </w:pPr>
    </w:p>
    <w:p w14:paraId="1BBE5A24">
      <w:pPr>
        <w:spacing w:line="360" w:lineRule="auto"/>
        <w:ind w:left="3054" w:leftChars="393" w:hanging="2229" w:hangingChars="694"/>
        <w:rPr>
          <w:rFonts w:ascii="宋体" w:hAnsi="宋体"/>
          <w:b/>
          <w:color w:val="auto"/>
          <w:sz w:val="32"/>
          <w:highlight w:val="none"/>
        </w:rPr>
      </w:pPr>
    </w:p>
    <w:p w14:paraId="19F2F423">
      <w:pPr>
        <w:spacing w:line="360" w:lineRule="auto"/>
        <w:ind w:left="3054" w:leftChars="393" w:hanging="2229" w:hangingChars="694"/>
        <w:rPr>
          <w:rFonts w:ascii="宋体" w:hAnsi="宋体"/>
          <w:b/>
          <w:color w:val="auto"/>
          <w:sz w:val="32"/>
          <w:highlight w:val="none"/>
        </w:rPr>
      </w:pPr>
    </w:p>
    <w:p w14:paraId="11B0E8A8">
      <w:pPr>
        <w:adjustRightInd w:val="0"/>
        <w:spacing w:line="360" w:lineRule="auto"/>
        <w:ind w:firstLine="1260" w:firstLineChars="450"/>
        <w:jc w:val="left"/>
        <w:textAlignment w:val="baseline"/>
        <w:rPr>
          <w:rFonts w:ascii="黑体" w:hAnsi="黑体" w:eastAsia="黑体"/>
          <w:color w:val="auto"/>
          <w:sz w:val="28"/>
          <w:highlight w:val="none"/>
        </w:rPr>
      </w:pPr>
      <w:r>
        <w:rPr>
          <w:rFonts w:hint="eastAsia" w:ascii="黑体" w:hAnsi="黑体" w:eastAsia="黑体"/>
          <w:color w:val="auto"/>
          <w:sz w:val="28"/>
          <w:highlight w:val="none"/>
        </w:rPr>
        <w:t>报建编号：</w:t>
      </w:r>
      <w:r>
        <w:rPr>
          <w:rFonts w:hint="eastAsia" w:ascii="黑体" w:hAnsi="黑体" w:eastAsia="黑体"/>
          <w:color w:val="auto"/>
          <w:sz w:val="28"/>
          <w:highlight w:val="none"/>
          <w:u w:val="single"/>
        </w:rPr>
        <w:t xml:space="preserve">  </w:t>
      </w:r>
      <w:r>
        <w:rPr>
          <w:rFonts w:hint="eastAsia"/>
          <w:color w:val="auto"/>
          <w:sz w:val="28"/>
          <w:szCs w:val="28"/>
          <w:highlight w:val="none"/>
          <w:u w:val="single"/>
        </w:rPr>
        <w:t xml:space="preserve">                </w:t>
      </w:r>
      <w:r>
        <w:rPr>
          <w:rFonts w:hint="eastAsia" w:ascii="黑体" w:hAnsi="黑体" w:eastAsia="黑体"/>
          <w:color w:val="auto"/>
          <w:sz w:val="28"/>
          <w:highlight w:val="none"/>
          <w:u w:val="single"/>
        </w:rPr>
        <w:t xml:space="preserve">                             </w:t>
      </w:r>
    </w:p>
    <w:p w14:paraId="3AC53A25">
      <w:pPr>
        <w:adjustRightInd w:val="0"/>
        <w:spacing w:line="360" w:lineRule="auto"/>
        <w:ind w:firstLine="1260" w:firstLineChars="450"/>
        <w:jc w:val="left"/>
        <w:textAlignment w:val="baseline"/>
        <w:rPr>
          <w:rFonts w:ascii="黑体" w:hAnsi="黑体" w:eastAsia="黑体"/>
          <w:color w:val="auto"/>
          <w:sz w:val="24"/>
          <w:highlight w:val="none"/>
        </w:rPr>
      </w:pPr>
      <w:r>
        <w:rPr>
          <w:rFonts w:hint="eastAsia" w:ascii="黑体" w:hAnsi="黑体" w:eastAsia="黑体"/>
          <w:color w:val="auto"/>
          <w:sz w:val="28"/>
          <w:highlight w:val="none"/>
        </w:rPr>
        <w:t>招标项目编号：</w:t>
      </w:r>
      <w:r>
        <w:rPr>
          <w:rFonts w:hint="eastAsia" w:ascii="黑体" w:hAnsi="黑体" w:eastAsia="黑体"/>
          <w:color w:val="auto"/>
          <w:sz w:val="28"/>
          <w:highlight w:val="none"/>
          <w:u w:val="single"/>
        </w:rPr>
        <w:t xml:space="preserve"> </w:t>
      </w:r>
      <w:r>
        <w:rPr>
          <w:rFonts w:hint="eastAsia" w:cs="宋体"/>
          <w:color w:val="auto"/>
          <w:sz w:val="28"/>
          <w:highlight w:val="none"/>
          <w:u w:val="single"/>
        </w:rPr>
        <w:t xml:space="preserve">                      </w:t>
      </w:r>
      <w:r>
        <w:rPr>
          <w:rFonts w:hint="eastAsia" w:ascii="黑体" w:hAnsi="黑体" w:eastAsia="黑体"/>
          <w:color w:val="auto"/>
          <w:sz w:val="28"/>
          <w:highlight w:val="none"/>
          <w:u w:val="single"/>
        </w:rPr>
        <w:t xml:space="preserve">                    </w:t>
      </w:r>
    </w:p>
    <w:p w14:paraId="0CB99794">
      <w:pPr>
        <w:adjustRightInd w:val="0"/>
        <w:spacing w:line="360" w:lineRule="auto"/>
        <w:ind w:firstLine="1260" w:firstLineChars="450"/>
        <w:textAlignment w:val="baseline"/>
        <w:rPr>
          <w:rFonts w:ascii="黑体" w:hAnsi="黑体" w:eastAsia="黑体"/>
          <w:color w:val="auto"/>
          <w:sz w:val="28"/>
          <w:highlight w:val="none"/>
        </w:rPr>
      </w:pPr>
      <w:r>
        <w:rPr>
          <w:rFonts w:hint="eastAsia" w:ascii="黑体" w:hAnsi="黑体" w:eastAsia="黑体"/>
          <w:color w:val="auto"/>
          <w:sz w:val="28"/>
          <w:highlight w:val="none"/>
        </w:rPr>
        <w:t>招标人：</w:t>
      </w:r>
      <w:r>
        <w:rPr>
          <w:rFonts w:hint="eastAsia"/>
          <w:color w:val="auto"/>
          <w:sz w:val="24"/>
          <w:highlight w:val="none"/>
          <w:u w:val="single"/>
        </w:rPr>
        <w:t xml:space="preserve">                                      </w:t>
      </w:r>
      <w:r>
        <w:rPr>
          <w:rFonts w:hint="eastAsia" w:ascii="黑体" w:hAnsi="黑体" w:eastAsia="黑体"/>
          <w:color w:val="auto"/>
          <w:sz w:val="28"/>
          <w:highlight w:val="none"/>
          <w:u w:val="single"/>
        </w:rPr>
        <w:t>（盖单位电子公章）</w:t>
      </w:r>
    </w:p>
    <w:p w14:paraId="34FC1F5B">
      <w:pPr>
        <w:adjustRightInd w:val="0"/>
        <w:spacing w:line="360" w:lineRule="auto"/>
        <w:ind w:firstLine="1260" w:firstLineChars="450"/>
        <w:textAlignment w:val="baseline"/>
        <w:rPr>
          <w:rFonts w:ascii="黑体" w:hAnsi="黑体" w:eastAsia="黑体"/>
          <w:color w:val="auto"/>
          <w:sz w:val="28"/>
          <w:highlight w:val="none"/>
          <w:u w:val="single"/>
        </w:rPr>
      </w:pPr>
      <w:r>
        <w:rPr>
          <w:rFonts w:hint="eastAsia" w:ascii="黑体" w:hAnsi="黑体" w:eastAsia="黑体"/>
          <w:color w:val="auto"/>
          <w:sz w:val="28"/>
          <w:highlight w:val="none"/>
        </w:rPr>
        <w:t>招标代理机构：</w:t>
      </w:r>
      <w:r>
        <w:rPr>
          <w:rFonts w:hint="eastAsia"/>
          <w:color w:val="auto"/>
          <w:sz w:val="24"/>
          <w:highlight w:val="none"/>
          <w:u w:val="single"/>
        </w:rPr>
        <w:t xml:space="preserve">                               </w:t>
      </w:r>
      <w:r>
        <w:rPr>
          <w:rFonts w:hint="eastAsia" w:ascii="黑体" w:hAnsi="黑体" w:eastAsia="黑体"/>
          <w:color w:val="auto"/>
          <w:sz w:val="28"/>
          <w:highlight w:val="none"/>
          <w:u w:val="single"/>
        </w:rPr>
        <w:t>（盖单位电子公章）</w:t>
      </w:r>
    </w:p>
    <w:p w14:paraId="0427F455">
      <w:pPr>
        <w:tabs>
          <w:tab w:val="left" w:pos="3804"/>
          <w:tab w:val="left" w:pos="4924"/>
          <w:tab w:val="left" w:pos="6182"/>
        </w:tabs>
        <w:autoSpaceDE w:val="0"/>
        <w:autoSpaceDN w:val="0"/>
        <w:spacing w:before="62"/>
        <w:ind w:firstLine="1274" w:firstLineChars="455"/>
        <w:jc w:val="left"/>
        <w:rPr>
          <w:rFonts w:ascii="黑体" w:hAnsi="黑体" w:eastAsia="黑体"/>
          <w:color w:val="auto"/>
          <w:sz w:val="28"/>
          <w:highlight w:val="none"/>
        </w:rPr>
        <w:sectPr>
          <w:pgSz w:w="11906" w:h="16838"/>
          <w:pgMar w:top="1418" w:right="1134" w:bottom="1418" w:left="1134" w:header="851" w:footer="992" w:gutter="0"/>
          <w:pgNumType w:start="1"/>
          <w:cols w:space="720" w:num="1"/>
          <w:docGrid w:type="lines" w:linePitch="312" w:charSpace="0"/>
        </w:sectPr>
      </w:pPr>
      <w:r>
        <w:rPr>
          <w:rFonts w:hint="eastAsia" w:ascii="黑体" w:hAnsi="黑体" w:eastAsia="黑体"/>
          <w:color w:val="auto"/>
          <w:sz w:val="28"/>
          <w:highlight w:val="none"/>
        </w:rPr>
        <w:t>编制日期：</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年</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月</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日</w:t>
      </w:r>
    </w:p>
    <w:p w14:paraId="6CF008F8">
      <w:pPr>
        <w:snapToGrid w:val="0"/>
        <w:spacing w:line="360" w:lineRule="auto"/>
        <w:jc w:val="center"/>
        <w:rPr>
          <w:rFonts w:ascii="宋体" w:hAnsi="宋体" w:cs="黑体"/>
          <w:b/>
          <w:snapToGrid w:val="0"/>
          <w:color w:val="auto"/>
          <w:kern w:val="0"/>
          <w:sz w:val="24"/>
          <w:highlight w:val="none"/>
        </w:rPr>
      </w:pPr>
      <w:r>
        <w:rPr>
          <w:rFonts w:hint="eastAsia" w:ascii="宋体" w:hAnsi="宋体" w:cs="黑体"/>
          <w:b/>
          <w:snapToGrid w:val="0"/>
          <w:color w:val="auto"/>
          <w:kern w:val="0"/>
          <w:sz w:val="32"/>
          <w:szCs w:val="32"/>
          <w:highlight w:val="none"/>
        </w:rPr>
        <w:t>目  次</w:t>
      </w:r>
    </w:p>
    <w:p w14:paraId="5E6098EE">
      <w:pPr>
        <w:snapToGrid w:val="0"/>
        <w:spacing w:line="360" w:lineRule="auto"/>
        <w:rPr>
          <w:rFonts w:ascii="宋体" w:hAnsi="宋体"/>
          <w:color w:val="auto"/>
          <w:sz w:val="24"/>
          <w:highlight w:val="none"/>
        </w:rPr>
      </w:pPr>
    </w:p>
    <w:p w14:paraId="5F197165">
      <w:pPr>
        <w:pStyle w:val="30"/>
        <w:tabs>
          <w:tab w:val="right" w:leader="dot" w:pos="9074"/>
        </w:tabs>
        <w:rPr>
          <w:rFonts w:ascii="宋体" w:hAnsi="宋体"/>
          <w:b w:val="0"/>
          <w:bCs w:val="0"/>
          <w:caps w:val="0"/>
          <w:color w:val="auto"/>
          <w:sz w:val="21"/>
          <w:szCs w:val="21"/>
          <w:highlight w:val="none"/>
        </w:rPr>
      </w:pP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TOC \o "1-1" \h \z \u </w:instrText>
      </w:r>
      <w:r>
        <w:rPr>
          <w:rFonts w:ascii="宋体" w:hAnsi="宋体"/>
          <w:b w:val="0"/>
          <w:color w:val="auto"/>
          <w:sz w:val="21"/>
          <w:szCs w:val="21"/>
          <w:highlight w:val="none"/>
        </w:rPr>
        <w:fldChar w:fldCharType="separate"/>
      </w:r>
      <w:r>
        <w:rPr>
          <w:color w:val="auto"/>
          <w:highlight w:val="none"/>
        </w:rPr>
        <w:fldChar w:fldCharType="begin"/>
      </w:r>
      <w:r>
        <w:rPr>
          <w:color w:val="auto"/>
          <w:highlight w:val="none"/>
        </w:rPr>
        <w:instrText xml:space="preserve"> HYPERLINK \l "_Toc488649868" </w:instrText>
      </w:r>
      <w:r>
        <w:rPr>
          <w:color w:val="auto"/>
          <w:highlight w:val="none"/>
        </w:rPr>
        <w:fldChar w:fldCharType="separate"/>
      </w:r>
      <w:r>
        <w:rPr>
          <w:rStyle w:val="47"/>
          <w:rFonts w:hint="eastAsia" w:ascii="宋体" w:hAnsi="宋体"/>
          <w:b w:val="0"/>
          <w:color w:val="auto"/>
          <w:sz w:val="21"/>
          <w:szCs w:val="21"/>
          <w:highlight w:val="none"/>
        </w:rPr>
        <w:t>说明</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_Toc488649868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1</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2EC63652">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"_Toc488649869" </w:instrText>
      </w:r>
      <w:r>
        <w:rPr>
          <w:color w:val="auto"/>
          <w:highlight w:val="none"/>
        </w:rPr>
        <w:fldChar w:fldCharType="separate"/>
      </w:r>
      <w:r>
        <w:rPr>
          <w:rStyle w:val="47"/>
          <w:rFonts w:hint="eastAsia" w:ascii="宋体" w:hAnsi="宋体"/>
          <w:b w:val="0"/>
          <w:color w:val="auto"/>
          <w:sz w:val="21"/>
          <w:szCs w:val="21"/>
          <w:highlight w:val="none"/>
        </w:rPr>
        <w:t>第一章</w:t>
      </w:r>
      <w:r>
        <w:rPr>
          <w:rStyle w:val="47"/>
          <w:rFonts w:ascii="宋体" w:hAnsi="宋体"/>
          <w:b w:val="0"/>
          <w:color w:val="auto"/>
          <w:sz w:val="21"/>
          <w:szCs w:val="21"/>
          <w:highlight w:val="none"/>
        </w:rPr>
        <w:t xml:space="preserve"> </w:t>
      </w:r>
      <w:r>
        <w:rPr>
          <w:rStyle w:val="47"/>
          <w:rFonts w:hint="eastAsia" w:ascii="宋体" w:hAnsi="宋体"/>
          <w:b w:val="0"/>
          <w:color w:val="auto"/>
          <w:sz w:val="21"/>
          <w:szCs w:val="21"/>
          <w:highlight w:val="none"/>
        </w:rPr>
        <w:t>招标公告</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_Toc488649869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1</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77D914FB">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"_Toc488649878" </w:instrText>
      </w:r>
      <w:r>
        <w:rPr>
          <w:color w:val="auto"/>
          <w:highlight w:val="none"/>
        </w:rPr>
        <w:fldChar w:fldCharType="separate"/>
      </w:r>
      <w:r>
        <w:rPr>
          <w:rStyle w:val="47"/>
          <w:rFonts w:hint="eastAsia" w:ascii="宋体" w:hAnsi="宋体"/>
          <w:b w:val="0"/>
          <w:snapToGrid w:val="0"/>
          <w:color w:val="auto"/>
          <w:kern w:val="0"/>
          <w:sz w:val="21"/>
          <w:szCs w:val="21"/>
          <w:highlight w:val="none"/>
        </w:rPr>
        <w:t>第二章</w:t>
      </w:r>
      <w:r>
        <w:rPr>
          <w:rStyle w:val="47"/>
          <w:rFonts w:ascii="宋体" w:hAnsi="宋体"/>
          <w:b w:val="0"/>
          <w:snapToGrid w:val="0"/>
          <w:color w:val="auto"/>
          <w:kern w:val="0"/>
          <w:sz w:val="21"/>
          <w:szCs w:val="21"/>
          <w:highlight w:val="none"/>
        </w:rPr>
        <w:t xml:space="preserve"> </w:t>
      </w:r>
      <w:r>
        <w:rPr>
          <w:rStyle w:val="47"/>
          <w:rFonts w:hint="eastAsia" w:ascii="宋体" w:hAnsi="宋体"/>
          <w:b w:val="0"/>
          <w:snapToGrid w:val="0"/>
          <w:color w:val="auto"/>
          <w:kern w:val="0"/>
          <w:sz w:val="21"/>
          <w:szCs w:val="21"/>
          <w:highlight w:val="none"/>
        </w:rPr>
        <w:t>投标人须知</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_Toc488649878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5</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2833EDE7">
      <w:pPr>
        <w:pStyle w:val="30"/>
        <w:tabs>
          <w:tab w:val="right" w:leader="dot" w:pos="9074"/>
        </w:tabs>
        <w:rPr>
          <w:rFonts w:ascii="宋体" w:hAnsi="宋体"/>
          <w:b w:val="0"/>
          <w:color w:val="auto"/>
          <w:sz w:val="21"/>
          <w:szCs w:val="21"/>
          <w:highlight w:val="none"/>
        </w:rPr>
      </w:pPr>
      <w:r>
        <w:rPr>
          <w:color w:val="auto"/>
          <w:highlight w:val="none"/>
        </w:rPr>
        <w:fldChar w:fldCharType="begin"/>
      </w:r>
      <w:r>
        <w:rPr>
          <w:color w:val="auto"/>
          <w:highlight w:val="none"/>
        </w:rPr>
        <w:instrText xml:space="preserve"> HYPERLINK \l "_Toc488649899" </w:instrText>
      </w:r>
      <w:r>
        <w:rPr>
          <w:color w:val="auto"/>
          <w:highlight w:val="none"/>
        </w:rPr>
        <w:fldChar w:fldCharType="separate"/>
      </w:r>
      <w:r>
        <w:rPr>
          <w:rStyle w:val="47"/>
          <w:rFonts w:hint="eastAsia" w:ascii="宋体" w:hAnsi="宋体"/>
          <w:b w:val="0"/>
          <w:snapToGrid w:val="0"/>
          <w:color w:val="auto"/>
          <w:kern w:val="0"/>
          <w:sz w:val="21"/>
          <w:szCs w:val="21"/>
          <w:highlight w:val="none"/>
        </w:rPr>
        <w:t>第三章</w:t>
      </w:r>
      <w:r>
        <w:rPr>
          <w:rStyle w:val="47"/>
          <w:rFonts w:ascii="宋体" w:hAnsi="宋体"/>
          <w:b w:val="0"/>
          <w:snapToGrid w:val="0"/>
          <w:color w:val="auto"/>
          <w:kern w:val="0"/>
          <w:sz w:val="21"/>
          <w:szCs w:val="21"/>
          <w:highlight w:val="none"/>
        </w:rPr>
        <w:t xml:space="preserve"> </w:t>
      </w:r>
      <w:r>
        <w:rPr>
          <w:rStyle w:val="47"/>
          <w:rFonts w:hint="eastAsia" w:ascii="宋体" w:hAnsi="宋体"/>
          <w:b w:val="0"/>
          <w:snapToGrid w:val="0"/>
          <w:color w:val="auto"/>
          <w:kern w:val="0"/>
          <w:sz w:val="21"/>
          <w:szCs w:val="21"/>
          <w:highlight w:val="none"/>
        </w:rPr>
        <w:t>评标办法</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_Toc488649899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38</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5F01E73A">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"_Toc488649910" </w:instrText>
      </w:r>
      <w:r>
        <w:rPr>
          <w:color w:val="auto"/>
          <w:highlight w:val="none"/>
        </w:rPr>
        <w:fldChar w:fldCharType="separate"/>
      </w:r>
      <w:r>
        <w:rPr>
          <w:rStyle w:val="47"/>
          <w:rFonts w:hint="eastAsia" w:ascii="宋体" w:hAnsi="宋体"/>
          <w:b w:val="0"/>
          <w:snapToGrid w:val="0"/>
          <w:color w:val="auto"/>
          <w:kern w:val="0"/>
          <w:sz w:val="21"/>
          <w:szCs w:val="21"/>
          <w:highlight w:val="none"/>
        </w:rPr>
        <w:t>第四章</w:t>
      </w:r>
      <w:r>
        <w:rPr>
          <w:rStyle w:val="47"/>
          <w:rFonts w:ascii="宋体" w:hAnsi="宋体"/>
          <w:b w:val="0"/>
          <w:snapToGrid w:val="0"/>
          <w:color w:val="auto"/>
          <w:kern w:val="0"/>
          <w:sz w:val="21"/>
          <w:szCs w:val="21"/>
          <w:highlight w:val="none"/>
        </w:rPr>
        <w:t xml:space="preserve"> </w:t>
      </w:r>
      <w:r>
        <w:rPr>
          <w:rStyle w:val="47"/>
          <w:rFonts w:hint="eastAsia" w:ascii="宋体" w:hAnsi="宋体"/>
          <w:b w:val="0"/>
          <w:snapToGrid w:val="0"/>
          <w:color w:val="auto"/>
          <w:kern w:val="0"/>
          <w:sz w:val="21"/>
          <w:szCs w:val="21"/>
          <w:highlight w:val="none"/>
        </w:rPr>
        <w:t>定标方案</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_Toc488649910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49</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2B4552FE">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"_Toc488649910" </w:instrText>
      </w:r>
      <w:r>
        <w:rPr>
          <w:color w:val="auto"/>
          <w:highlight w:val="none"/>
        </w:rPr>
        <w:fldChar w:fldCharType="separate"/>
      </w:r>
      <w:r>
        <w:rPr>
          <w:rStyle w:val="47"/>
          <w:rFonts w:hint="eastAsia" w:ascii="宋体" w:hAnsi="宋体"/>
          <w:b w:val="0"/>
          <w:snapToGrid w:val="0"/>
          <w:color w:val="auto"/>
          <w:kern w:val="0"/>
          <w:sz w:val="21"/>
          <w:szCs w:val="21"/>
          <w:highlight w:val="none"/>
        </w:rPr>
        <w:t>第五章</w:t>
      </w:r>
      <w:r>
        <w:rPr>
          <w:rStyle w:val="47"/>
          <w:rFonts w:ascii="宋体" w:hAnsi="宋体"/>
          <w:b w:val="0"/>
          <w:snapToGrid w:val="0"/>
          <w:color w:val="auto"/>
          <w:kern w:val="0"/>
          <w:sz w:val="21"/>
          <w:szCs w:val="21"/>
          <w:highlight w:val="none"/>
        </w:rPr>
        <w:t xml:space="preserve"> </w:t>
      </w:r>
      <w:r>
        <w:rPr>
          <w:rStyle w:val="47"/>
          <w:rFonts w:hint="eastAsia" w:ascii="宋体" w:hAnsi="宋体"/>
          <w:b w:val="0"/>
          <w:snapToGrid w:val="0"/>
          <w:color w:val="auto"/>
          <w:kern w:val="0"/>
          <w:sz w:val="21"/>
          <w:szCs w:val="21"/>
          <w:highlight w:val="none"/>
        </w:rPr>
        <w:t>合同条款及格式</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_Toc488649910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49</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244CE826">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"_Toc488649911" </w:instrText>
      </w:r>
      <w:r>
        <w:rPr>
          <w:color w:val="auto"/>
          <w:highlight w:val="none"/>
        </w:rPr>
        <w:fldChar w:fldCharType="separate"/>
      </w:r>
      <w:r>
        <w:rPr>
          <w:rStyle w:val="47"/>
          <w:rFonts w:hint="eastAsia" w:ascii="宋体" w:hAnsi="宋体"/>
          <w:b w:val="0"/>
          <w:snapToGrid w:val="0"/>
          <w:color w:val="auto"/>
          <w:kern w:val="0"/>
          <w:sz w:val="21"/>
          <w:szCs w:val="21"/>
          <w:highlight w:val="none"/>
        </w:rPr>
        <w:t>第一节</w:t>
      </w:r>
      <w:r>
        <w:rPr>
          <w:rStyle w:val="47"/>
          <w:rFonts w:ascii="宋体" w:hAnsi="宋体"/>
          <w:b w:val="0"/>
          <w:snapToGrid w:val="0"/>
          <w:color w:val="auto"/>
          <w:kern w:val="0"/>
          <w:sz w:val="21"/>
          <w:szCs w:val="21"/>
          <w:highlight w:val="none"/>
        </w:rPr>
        <w:t xml:space="preserve"> </w:t>
      </w:r>
      <w:r>
        <w:rPr>
          <w:rStyle w:val="47"/>
          <w:rFonts w:hint="eastAsia" w:ascii="宋体" w:hAnsi="宋体"/>
          <w:b w:val="0"/>
          <w:snapToGrid w:val="0"/>
          <w:color w:val="auto"/>
          <w:kern w:val="0"/>
          <w:sz w:val="21"/>
          <w:szCs w:val="21"/>
          <w:highlight w:val="none"/>
        </w:rPr>
        <w:t>通用合同条款</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_Toc488649911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58</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3E98FCDC">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"_Toc488649920" </w:instrText>
      </w:r>
      <w:r>
        <w:rPr>
          <w:color w:val="auto"/>
          <w:highlight w:val="none"/>
        </w:rPr>
        <w:fldChar w:fldCharType="separate"/>
      </w:r>
      <w:r>
        <w:rPr>
          <w:rStyle w:val="47"/>
          <w:rFonts w:hint="eastAsia" w:ascii="宋体" w:hAnsi="宋体"/>
          <w:b w:val="0"/>
          <w:snapToGrid w:val="0"/>
          <w:color w:val="auto"/>
          <w:kern w:val="0"/>
          <w:sz w:val="21"/>
          <w:szCs w:val="21"/>
          <w:highlight w:val="none"/>
        </w:rPr>
        <w:t>第二节</w:t>
      </w:r>
      <w:r>
        <w:rPr>
          <w:rStyle w:val="47"/>
          <w:rFonts w:ascii="宋体" w:hAnsi="宋体"/>
          <w:b w:val="0"/>
          <w:snapToGrid w:val="0"/>
          <w:color w:val="auto"/>
          <w:kern w:val="0"/>
          <w:sz w:val="21"/>
          <w:szCs w:val="21"/>
          <w:highlight w:val="none"/>
        </w:rPr>
        <w:t xml:space="preserve"> </w:t>
      </w:r>
      <w:r>
        <w:rPr>
          <w:rStyle w:val="47"/>
          <w:rFonts w:hint="eastAsia" w:ascii="宋体" w:hAnsi="宋体"/>
          <w:b w:val="0"/>
          <w:snapToGrid w:val="0"/>
          <w:color w:val="auto"/>
          <w:kern w:val="0"/>
          <w:sz w:val="21"/>
          <w:szCs w:val="21"/>
          <w:highlight w:val="none"/>
        </w:rPr>
        <w:t>专用合同条款</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_Toc488649920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64</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59524C7F">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"_Toc488649931" </w:instrText>
      </w:r>
      <w:r>
        <w:rPr>
          <w:color w:val="auto"/>
          <w:highlight w:val="none"/>
        </w:rPr>
        <w:fldChar w:fldCharType="separate"/>
      </w:r>
      <w:r>
        <w:rPr>
          <w:rStyle w:val="47"/>
          <w:rFonts w:hint="eastAsia" w:ascii="宋体" w:hAnsi="宋体"/>
          <w:b w:val="0"/>
          <w:snapToGrid w:val="0"/>
          <w:color w:val="auto"/>
          <w:kern w:val="0"/>
          <w:sz w:val="21"/>
          <w:szCs w:val="21"/>
          <w:highlight w:val="none"/>
        </w:rPr>
        <w:t>附件：合同协议书</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_Toc488649931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67</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5BB29F8D">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"_Toc488649932" </w:instrText>
      </w:r>
      <w:r>
        <w:rPr>
          <w:color w:val="auto"/>
          <w:highlight w:val="none"/>
        </w:rPr>
        <w:fldChar w:fldCharType="separate"/>
      </w:r>
      <w:r>
        <w:rPr>
          <w:rStyle w:val="47"/>
          <w:rFonts w:hint="eastAsia" w:ascii="宋体" w:hAnsi="宋体"/>
          <w:b w:val="0"/>
          <w:color w:val="auto"/>
          <w:sz w:val="21"/>
          <w:szCs w:val="21"/>
          <w:highlight w:val="none"/>
        </w:rPr>
        <w:t>第六章</w:t>
      </w:r>
      <w:r>
        <w:rPr>
          <w:rStyle w:val="47"/>
          <w:rFonts w:ascii="宋体" w:hAnsi="宋体"/>
          <w:b w:val="0"/>
          <w:color w:val="auto"/>
          <w:sz w:val="21"/>
          <w:szCs w:val="21"/>
          <w:highlight w:val="none"/>
        </w:rPr>
        <w:t xml:space="preserve"> </w:t>
      </w:r>
      <w:r>
        <w:rPr>
          <w:rStyle w:val="47"/>
          <w:rFonts w:hint="eastAsia" w:ascii="宋体" w:hAnsi="宋体"/>
          <w:b w:val="0"/>
          <w:color w:val="auto"/>
          <w:sz w:val="21"/>
          <w:szCs w:val="21"/>
          <w:highlight w:val="none"/>
        </w:rPr>
        <w:t>招标人提供的基础资料</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_Toc488649932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69</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7D966D7F">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"_Toc488649933" </w:instrText>
      </w:r>
      <w:r>
        <w:rPr>
          <w:color w:val="auto"/>
          <w:highlight w:val="none"/>
        </w:rPr>
        <w:fldChar w:fldCharType="separate"/>
      </w:r>
      <w:r>
        <w:rPr>
          <w:rStyle w:val="47"/>
          <w:rFonts w:hint="eastAsia" w:ascii="宋体" w:hAnsi="宋体"/>
          <w:b w:val="0"/>
          <w:snapToGrid w:val="0"/>
          <w:color w:val="auto"/>
          <w:kern w:val="0"/>
          <w:sz w:val="21"/>
          <w:szCs w:val="21"/>
          <w:highlight w:val="none"/>
        </w:rPr>
        <w:t>第七章</w:t>
      </w:r>
      <w:r>
        <w:rPr>
          <w:rStyle w:val="47"/>
          <w:rFonts w:ascii="宋体" w:hAnsi="宋体"/>
          <w:b w:val="0"/>
          <w:snapToGrid w:val="0"/>
          <w:color w:val="auto"/>
          <w:kern w:val="0"/>
          <w:sz w:val="21"/>
          <w:szCs w:val="21"/>
          <w:highlight w:val="none"/>
        </w:rPr>
        <w:t xml:space="preserve"> </w:t>
      </w:r>
      <w:r>
        <w:rPr>
          <w:rStyle w:val="47"/>
          <w:rFonts w:hint="eastAsia" w:ascii="宋体" w:hAnsi="宋体"/>
          <w:b w:val="0"/>
          <w:snapToGrid w:val="0"/>
          <w:color w:val="auto"/>
          <w:kern w:val="0"/>
          <w:sz w:val="21"/>
          <w:szCs w:val="21"/>
          <w:highlight w:val="none"/>
        </w:rPr>
        <w:t>勘察设计技术要求</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_Toc488649933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70</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3CF43F70">
      <w:pPr>
        <w:pStyle w:val="30"/>
        <w:tabs>
          <w:tab w:val="right" w:leader="dot" w:pos="9074"/>
        </w:tabs>
        <w:rPr>
          <w:rFonts w:ascii="宋体" w:hAnsi="宋体"/>
          <w:b w:val="0"/>
          <w:bCs w:val="0"/>
          <w:caps w:val="0"/>
          <w:color w:val="auto"/>
          <w:sz w:val="21"/>
          <w:szCs w:val="21"/>
          <w:highlight w:val="none"/>
        </w:rPr>
      </w:pPr>
      <w:r>
        <w:rPr>
          <w:color w:val="auto"/>
          <w:highlight w:val="none"/>
        </w:rPr>
        <w:fldChar w:fldCharType="begin"/>
      </w:r>
      <w:r>
        <w:rPr>
          <w:color w:val="auto"/>
          <w:highlight w:val="none"/>
        </w:rPr>
        <w:instrText xml:space="preserve"> HYPERLINK \l "_Toc488649936" </w:instrText>
      </w:r>
      <w:r>
        <w:rPr>
          <w:color w:val="auto"/>
          <w:highlight w:val="none"/>
        </w:rPr>
        <w:fldChar w:fldCharType="separate"/>
      </w:r>
      <w:r>
        <w:rPr>
          <w:rStyle w:val="47"/>
          <w:rFonts w:hint="eastAsia" w:ascii="宋体" w:hAnsi="宋体"/>
          <w:b w:val="0"/>
          <w:snapToGrid w:val="0"/>
          <w:color w:val="auto"/>
          <w:kern w:val="0"/>
          <w:sz w:val="21"/>
          <w:szCs w:val="21"/>
          <w:highlight w:val="none"/>
        </w:rPr>
        <w:t>第八章</w:t>
      </w:r>
      <w:r>
        <w:rPr>
          <w:rStyle w:val="47"/>
          <w:rFonts w:ascii="宋体" w:hAnsi="宋体"/>
          <w:b w:val="0"/>
          <w:snapToGrid w:val="0"/>
          <w:color w:val="auto"/>
          <w:kern w:val="0"/>
          <w:sz w:val="21"/>
          <w:szCs w:val="21"/>
          <w:highlight w:val="none"/>
        </w:rPr>
        <w:t xml:space="preserve"> </w:t>
      </w:r>
      <w:r>
        <w:rPr>
          <w:rStyle w:val="47"/>
          <w:rFonts w:hint="eastAsia" w:ascii="宋体" w:hAnsi="宋体"/>
          <w:b w:val="0"/>
          <w:snapToGrid w:val="0"/>
          <w:color w:val="auto"/>
          <w:kern w:val="0"/>
          <w:sz w:val="21"/>
          <w:szCs w:val="21"/>
          <w:highlight w:val="none"/>
        </w:rPr>
        <w:t>投标文件格式</w:t>
      </w:r>
      <w:r>
        <w:rPr>
          <w:rFonts w:ascii="宋体" w:hAnsi="宋体"/>
          <w:b w:val="0"/>
          <w:color w:val="auto"/>
          <w:sz w:val="21"/>
          <w:szCs w:val="21"/>
          <w:highlight w:val="none"/>
        </w:rPr>
        <w:tab/>
      </w:r>
      <w:r>
        <w:rPr>
          <w:rFonts w:ascii="宋体" w:hAnsi="宋体"/>
          <w:b w:val="0"/>
          <w:color w:val="auto"/>
          <w:sz w:val="21"/>
          <w:szCs w:val="21"/>
          <w:highlight w:val="none"/>
        </w:rPr>
        <w:fldChar w:fldCharType="begin"/>
      </w:r>
      <w:r>
        <w:rPr>
          <w:rFonts w:ascii="宋体" w:hAnsi="宋体"/>
          <w:b w:val="0"/>
          <w:color w:val="auto"/>
          <w:sz w:val="21"/>
          <w:szCs w:val="21"/>
          <w:highlight w:val="none"/>
        </w:rPr>
        <w:instrText xml:space="preserve"> PAGEREF _Toc488649936 \h </w:instrText>
      </w:r>
      <w:r>
        <w:rPr>
          <w:rFonts w:ascii="宋体" w:hAnsi="宋体"/>
          <w:b w:val="0"/>
          <w:color w:val="auto"/>
          <w:sz w:val="21"/>
          <w:szCs w:val="21"/>
          <w:highlight w:val="none"/>
        </w:rPr>
        <w:fldChar w:fldCharType="separate"/>
      </w:r>
      <w:r>
        <w:rPr>
          <w:rFonts w:ascii="宋体" w:hAnsi="宋体"/>
          <w:b w:val="0"/>
          <w:color w:val="auto"/>
          <w:sz w:val="21"/>
          <w:szCs w:val="21"/>
          <w:highlight w:val="none"/>
        </w:rPr>
        <w:t>75</w:t>
      </w:r>
      <w:r>
        <w:rPr>
          <w:rFonts w:ascii="宋体" w:hAnsi="宋体"/>
          <w:b w:val="0"/>
          <w:color w:val="auto"/>
          <w:sz w:val="21"/>
          <w:szCs w:val="21"/>
          <w:highlight w:val="none"/>
        </w:rPr>
        <w:fldChar w:fldCharType="end"/>
      </w:r>
      <w:r>
        <w:rPr>
          <w:rFonts w:ascii="宋体" w:hAnsi="宋体"/>
          <w:b w:val="0"/>
          <w:color w:val="auto"/>
          <w:sz w:val="21"/>
          <w:szCs w:val="21"/>
          <w:highlight w:val="none"/>
        </w:rPr>
        <w:fldChar w:fldCharType="end"/>
      </w:r>
    </w:p>
    <w:p w14:paraId="44905287">
      <w:pPr>
        <w:pStyle w:val="30"/>
        <w:tabs>
          <w:tab w:val="right" w:leader="dot" w:pos="9074"/>
        </w:tabs>
        <w:rPr>
          <w:rFonts w:ascii="宋体" w:hAnsi="宋体"/>
          <w:b w:val="0"/>
          <w:bCs w:val="0"/>
          <w:caps w:val="0"/>
          <w:color w:val="auto"/>
          <w:sz w:val="21"/>
          <w:szCs w:val="21"/>
          <w:highlight w:val="none"/>
        </w:rPr>
      </w:pPr>
    </w:p>
    <w:p w14:paraId="5FAB1602">
      <w:pPr>
        <w:snapToGrid w:val="0"/>
        <w:spacing w:line="360" w:lineRule="auto"/>
        <w:rPr>
          <w:rFonts w:ascii="宋体" w:hAnsi="宋体"/>
          <w:color w:val="auto"/>
          <w:highlight w:val="none"/>
        </w:rPr>
      </w:pPr>
      <w:r>
        <w:rPr>
          <w:rFonts w:ascii="宋体" w:hAnsi="宋体"/>
          <w:color w:val="auto"/>
          <w:szCs w:val="21"/>
          <w:highlight w:val="none"/>
        </w:rPr>
        <w:fldChar w:fldCharType="end"/>
      </w:r>
    </w:p>
    <w:p w14:paraId="593C11E6">
      <w:pPr>
        <w:pStyle w:val="3"/>
        <w:rPr>
          <w:rFonts w:eastAsia="宋体"/>
          <w:snapToGrid w:val="0"/>
          <w:color w:val="auto"/>
          <w:spacing w:val="0"/>
          <w:kern w:val="0"/>
          <w:highlight w:val="none"/>
        </w:rPr>
      </w:pPr>
    </w:p>
    <w:p w14:paraId="28DF1C91">
      <w:pPr>
        <w:pStyle w:val="4"/>
        <w:spacing w:before="31" w:after="31"/>
        <w:rPr>
          <w:color w:val="auto"/>
          <w:highlight w:val="none"/>
        </w:rPr>
      </w:pPr>
    </w:p>
    <w:p w14:paraId="271E4664">
      <w:pPr>
        <w:rPr>
          <w:color w:val="auto"/>
          <w:highlight w:val="none"/>
        </w:rPr>
      </w:pPr>
    </w:p>
    <w:p w14:paraId="4157E3C3">
      <w:pPr>
        <w:pStyle w:val="41"/>
        <w:rPr>
          <w:color w:val="auto"/>
          <w:highlight w:val="none"/>
        </w:rPr>
        <w:sectPr>
          <w:pgSz w:w="11906" w:h="16838"/>
          <w:pgMar w:top="1418" w:right="1134" w:bottom="1418" w:left="1134" w:header="851" w:footer="992" w:gutter="0"/>
          <w:pgNumType w:start="1"/>
          <w:cols w:space="720" w:num="1"/>
          <w:docGrid w:type="lines" w:linePitch="312" w:charSpace="0"/>
        </w:sectPr>
      </w:pPr>
    </w:p>
    <w:p w14:paraId="4ACA085E">
      <w:pPr>
        <w:pStyle w:val="3"/>
        <w:rPr>
          <w:rFonts w:eastAsia="宋体"/>
          <w:color w:val="auto"/>
          <w:sz w:val="24"/>
          <w:highlight w:val="none"/>
        </w:rPr>
      </w:pPr>
      <w:r>
        <w:rPr>
          <w:rFonts w:eastAsia="宋体"/>
          <w:color w:val="auto"/>
          <w:highlight w:val="none"/>
        </w:rPr>
        <w:t>第一章 招标公告</w:t>
      </w:r>
      <w:bookmarkEnd w:id="4"/>
      <w:bookmarkEnd w:id="5"/>
      <w:bookmarkEnd w:id="6"/>
      <w:bookmarkEnd w:id="7"/>
      <w:bookmarkEnd w:id="8"/>
    </w:p>
    <w:p w14:paraId="3D7B530A">
      <w:pPr>
        <w:snapToGrid w:val="0"/>
        <w:spacing w:line="360" w:lineRule="auto"/>
        <w:jc w:val="center"/>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（项目名称）勘察设计招标公告</w:t>
      </w:r>
    </w:p>
    <w:p w14:paraId="29305F00">
      <w:pPr>
        <w:pStyle w:val="92"/>
        <w:spacing w:before="120" w:beforeLines="50" w:after="0" w:afterLines="0" w:line="360" w:lineRule="auto"/>
        <w:jc w:val="left"/>
        <w:outlineLvl w:val="0"/>
        <w:rPr>
          <w:rFonts w:ascii="宋体" w:hAnsi="宋体" w:eastAsia="宋体"/>
          <w:b/>
          <w:color w:val="auto"/>
          <w:sz w:val="24"/>
          <w:highlight w:val="none"/>
        </w:rPr>
      </w:pPr>
      <w:bookmarkStart w:id="9" w:name="_Toc335660668"/>
      <w:bookmarkStart w:id="10" w:name="_Toc488649870"/>
      <w:bookmarkStart w:id="11" w:name="_Toc346269434"/>
      <w:bookmarkStart w:id="12" w:name="_Toc326241875"/>
      <w:bookmarkStart w:id="13" w:name="_Toc487654472"/>
      <w:bookmarkStart w:id="14" w:name="_Toc335721909"/>
      <w:r>
        <w:rPr>
          <w:rFonts w:ascii="宋体" w:hAnsi="宋体" w:eastAsia="宋体"/>
          <w:b/>
          <w:color w:val="auto"/>
          <w:sz w:val="24"/>
          <w:highlight w:val="none"/>
        </w:rPr>
        <w:t>1. 招标条件</w:t>
      </w:r>
      <w:bookmarkEnd w:id="9"/>
      <w:bookmarkEnd w:id="10"/>
      <w:bookmarkEnd w:id="11"/>
      <w:bookmarkEnd w:id="12"/>
      <w:bookmarkEnd w:id="13"/>
      <w:bookmarkEnd w:id="14"/>
    </w:p>
    <w:p w14:paraId="188A27A0">
      <w:pPr>
        <w:tabs>
          <w:tab w:val="left" w:pos="480"/>
        </w:tabs>
        <w:adjustRightIn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本招标项目</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（项目名称）已由</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（项目审批、核准或备案</w:t>
      </w:r>
      <w:r>
        <w:rPr>
          <w:rFonts w:hint="eastAsia" w:ascii="宋体" w:hAnsi="宋体"/>
          <w:snapToGrid w:val="0"/>
          <w:color w:val="auto"/>
          <w:kern w:val="0"/>
          <w:sz w:val="24"/>
          <w:highlight w:val="none"/>
        </w:rPr>
        <w:t>机关</w:t>
      </w:r>
      <w:r>
        <w:rPr>
          <w:rFonts w:ascii="宋体" w:hAnsi="宋体"/>
          <w:snapToGrid w:val="0"/>
          <w:color w:val="auto"/>
          <w:kern w:val="0"/>
          <w:sz w:val="24"/>
          <w:highlight w:val="none"/>
        </w:rPr>
        <w:t>名称</w:t>
      </w:r>
      <w:r>
        <w:rPr>
          <w:rFonts w:hint="eastAsia" w:ascii="宋体" w:hAnsi="宋体"/>
          <w:snapToGrid w:val="0"/>
          <w:color w:val="auto"/>
          <w:kern w:val="0"/>
          <w:sz w:val="24"/>
          <w:highlight w:val="none"/>
        </w:rPr>
        <w:t>）</w:t>
      </w:r>
      <w:r>
        <w:rPr>
          <w:rFonts w:ascii="宋体" w:hAnsi="宋体"/>
          <w:snapToGrid w:val="0"/>
          <w:color w:val="auto"/>
          <w:kern w:val="0"/>
          <w:sz w:val="24"/>
          <w:highlight w:val="none"/>
        </w:rPr>
        <w:t>以</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（批文名称及文号）批准建设，</w:t>
      </w:r>
      <w:r>
        <w:rPr>
          <w:rFonts w:hint="eastAsia" w:ascii="宋体" w:hAnsi="宋体"/>
          <w:snapToGrid w:val="0"/>
          <w:color w:val="auto"/>
          <w:kern w:val="0"/>
          <w:sz w:val="24"/>
          <w:highlight w:val="none"/>
        </w:rPr>
        <w:t>项目业主为</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r>
        <w:rPr>
          <w:rFonts w:ascii="宋体" w:hAnsi="宋体"/>
          <w:snapToGrid w:val="0"/>
          <w:color w:val="auto"/>
          <w:kern w:val="0"/>
          <w:sz w:val="24"/>
          <w:highlight w:val="none"/>
        </w:rPr>
        <w:t>建设资金来自</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（资金来源）</w:t>
      </w:r>
      <w:r>
        <w:rPr>
          <w:rFonts w:hint="eastAsia" w:ascii="宋体" w:hAnsi="宋体"/>
          <w:snapToGrid w:val="0"/>
          <w:color w:val="auto"/>
          <w:kern w:val="0"/>
          <w:sz w:val="24"/>
          <w:highlight w:val="none"/>
        </w:rPr>
        <w:t>，</w:t>
      </w:r>
      <w:r>
        <w:rPr>
          <w:rFonts w:ascii="宋体" w:hAnsi="宋体"/>
          <w:snapToGrid w:val="0"/>
          <w:color w:val="auto"/>
          <w:kern w:val="0"/>
          <w:sz w:val="24"/>
          <w:highlight w:val="none"/>
        </w:rPr>
        <w:t>招标人为</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（招标人名称），项目已具备招标条件，现对该项目的</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（设计</w:t>
      </w:r>
      <w:r>
        <w:rPr>
          <w:rFonts w:hint="eastAsia" w:ascii="宋体" w:hAnsi="宋体"/>
          <w:snapToGrid w:val="0"/>
          <w:color w:val="auto"/>
          <w:kern w:val="0"/>
          <w:sz w:val="24"/>
          <w:highlight w:val="none"/>
        </w:rPr>
        <w:t>或</w:t>
      </w:r>
      <w:r>
        <w:rPr>
          <w:rFonts w:ascii="宋体" w:hAnsi="宋体"/>
          <w:snapToGrid w:val="0"/>
          <w:color w:val="auto"/>
          <w:kern w:val="0"/>
          <w:sz w:val="24"/>
          <w:highlight w:val="none"/>
        </w:rPr>
        <w:t>勘察设计）</w:t>
      </w:r>
      <w:r>
        <w:rPr>
          <w:rFonts w:hint="eastAsia" w:ascii="宋体" w:hAnsi="宋体"/>
          <w:snapToGrid w:val="0"/>
          <w:color w:val="auto"/>
          <w:kern w:val="0"/>
          <w:sz w:val="24"/>
          <w:highlight w:val="none"/>
        </w:rPr>
        <w:t>采用“评定分离”办法</w:t>
      </w:r>
      <w:r>
        <w:rPr>
          <w:rFonts w:ascii="宋体" w:hAnsi="宋体"/>
          <w:snapToGrid w:val="0"/>
          <w:color w:val="auto"/>
          <w:kern w:val="0"/>
          <w:sz w:val="24"/>
          <w:highlight w:val="none"/>
        </w:rPr>
        <w:t>进行公开招标。</w:t>
      </w:r>
    </w:p>
    <w:p w14:paraId="0963F209">
      <w:pPr>
        <w:pStyle w:val="92"/>
        <w:spacing w:before="0" w:beforeLines="0" w:after="0" w:afterLines="0" w:line="360" w:lineRule="auto"/>
        <w:jc w:val="left"/>
        <w:outlineLvl w:val="0"/>
        <w:rPr>
          <w:rFonts w:ascii="宋体" w:hAnsi="宋体" w:eastAsia="宋体"/>
          <w:b/>
          <w:color w:val="auto"/>
          <w:highlight w:val="none"/>
        </w:rPr>
      </w:pPr>
      <w:bookmarkStart w:id="15" w:name="_Toc335660669"/>
      <w:bookmarkStart w:id="16" w:name="_Toc335721910"/>
      <w:bookmarkStart w:id="17" w:name="_Toc488649871"/>
      <w:bookmarkStart w:id="18" w:name="_Toc487654473"/>
      <w:bookmarkStart w:id="19" w:name="_Toc326241876"/>
      <w:bookmarkStart w:id="20" w:name="_Toc222741974"/>
      <w:bookmarkStart w:id="21" w:name="_Toc346269435"/>
      <w:r>
        <w:rPr>
          <w:rFonts w:ascii="宋体" w:hAnsi="宋体" w:eastAsia="宋体"/>
          <w:b/>
          <w:color w:val="auto"/>
          <w:highlight w:val="none"/>
        </w:rPr>
        <w:t>2. 项目概况与招标范围</w:t>
      </w:r>
      <w:bookmarkEnd w:id="15"/>
      <w:bookmarkEnd w:id="16"/>
      <w:bookmarkEnd w:id="17"/>
      <w:bookmarkEnd w:id="18"/>
      <w:bookmarkEnd w:id="19"/>
      <w:bookmarkEnd w:id="20"/>
      <w:bookmarkEnd w:id="21"/>
    </w:p>
    <w:p w14:paraId="2975EF0D">
      <w:pPr>
        <w:pStyle w:val="5"/>
        <w:ind w:left="0" w:firstLine="480" w:firstLineChars="200"/>
        <w:rPr>
          <w:rFonts w:ascii="宋体" w:hAnsi="宋体"/>
          <w:snapToGrid w:val="0"/>
          <w:color w:val="auto"/>
          <w:kern w:val="0"/>
          <w:highlight w:val="none"/>
        </w:rPr>
      </w:pPr>
      <w:bookmarkStart w:id="22" w:name="_Toc335660670"/>
      <w:r>
        <w:rPr>
          <w:rFonts w:ascii="宋体" w:hAnsi="宋体"/>
          <w:snapToGrid w:val="0"/>
          <w:color w:val="auto"/>
          <w:kern w:val="0"/>
          <w:highlight w:val="none"/>
        </w:rPr>
        <w:t>2.1 项目概况</w:t>
      </w:r>
      <w:r>
        <w:rPr>
          <w:rStyle w:val="49"/>
          <w:rFonts w:ascii="宋体" w:hAnsi="宋体"/>
          <w:snapToGrid w:val="0"/>
          <w:color w:val="auto"/>
          <w:kern w:val="0"/>
          <w:highlight w:val="none"/>
        </w:rPr>
        <w:footnoteReference w:id="0"/>
      </w:r>
      <w:r>
        <w:rPr>
          <w:rFonts w:ascii="宋体" w:hAnsi="宋体"/>
          <w:snapToGrid w:val="0"/>
          <w:color w:val="auto"/>
          <w:kern w:val="0"/>
          <w:highlight w:val="none"/>
        </w:rPr>
        <w:t>：</w:t>
      </w:r>
      <w:r>
        <w:rPr>
          <w:rFonts w:hint="eastAsia" w:ascii="宋体" w:hAnsi="宋体"/>
          <w:snapToGrid w:val="0"/>
          <w:color w:val="auto"/>
          <w:kern w:val="0"/>
          <w:highlight w:val="none"/>
          <w:u w:val="single"/>
        </w:rPr>
        <w:t xml:space="preserve">          </w:t>
      </w:r>
      <w:r>
        <w:rPr>
          <w:rFonts w:ascii="宋体" w:hAnsi="宋体"/>
          <w:snapToGrid w:val="0"/>
          <w:color w:val="auto"/>
          <w:kern w:val="0"/>
          <w:highlight w:val="none"/>
        </w:rPr>
        <w:t>（说明本次招标项目的建设规模</w:t>
      </w:r>
      <w:r>
        <w:rPr>
          <w:rFonts w:hint="eastAsia" w:ascii="宋体" w:hAnsi="宋体"/>
          <w:snapToGrid w:val="0"/>
          <w:color w:val="auto"/>
          <w:kern w:val="0"/>
          <w:highlight w:val="none"/>
        </w:rPr>
        <w:t>、主要建设内容、建设地点等</w:t>
      </w:r>
      <w:r>
        <w:rPr>
          <w:rFonts w:ascii="宋体" w:hAnsi="宋体"/>
          <w:snapToGrid w:val="0"/>
          <w:color w:val="auto"/>
          <w:kern w:val="0"/>
          <w:highlight w:val="none"/>
        </w:rPr>
        <w:t>）</w:t>
      </w:r>
      <w:bookmarkEnd w:id="22"/>
      <w:r>
        <w:rPr>
          <w:rFonts w:hint="eastAsia" w:ascii="宋体" w:hAnsi="宋体"/>
          <w:snapToGrid w:val="0"/>
          <w:color w:val="auto"/>
          <w:kern w:val="0"/>
          <w:highlight w:val="none"/>
        </w:rPr>
        <w:t>。</w:t>
      </w:r>
    </w:p>
    <w:p w14:paraId="60D0D694">
      <w:pPr>
        <w:pStyle w:val="5"/>
        <w:ind w:left="0" w:firstLine="480" w:firstLineChars="200"/>
        <w:rPr>
          <w:rFonts w:ascii="宋体" w:hAnsi="宋体"/>
          <w:snapToGrid w:val="0"/>
          <w:color w:val="auto"/>
          <w:kern w:val="0"/>
          <w:highlight w:val="none"/>
        </w:rPr>
      </w:pPr>
      <w:bookmarkStart w:id="23" w:name="_Toc335660671"/>
      <w:r>
        <w:rPr>
          <w:rFonts w:ascii="宋体" w:hAnsi="宋体"/>
          <w:snapToGrid w:val="0"/>
          <w:color w:val="auto"/>
          <w:kern w:val="0"/>
          <w:highlight w:val="none"/>
        </w:rPr>
        <w:t>2.2 招标范围：</w:t>
      </w:r>
      <w:r>
        <w:rPr>
          <w:rFonts w:hint="eastAsia" w:ascii="宋体" w:hAnsi="宋体"/>
          <w:snapToGrid w:val="0"/>
          <w:color w:val="auto"/>
          <w:kern w:val="0"/>
          <w:highlight w:val="none"/>
          <w:u w:val="single"/>
        </w:rPr>
        <w:t xml:space="preserve">       </w:t>
      </w:r>
      <w:r>
        <w:rPr>
          <w:rFonts w:ascii="宋体" w:hAnsi="宋体"/>
          <w:snapToGrid w:val="0"/>
          <w:color w:val="auto"/>
          <w:kern w:val="0"/>
          <w:highlight w:val="none"/>
        </w:rPr>
        <w:t>（说明勘察设计工作内容）</w:t>
      </w:r>
      <w:bookmarkEnd w:id="23"/>
      <w:r>
        <w:rPr>
          <w:rFonts w:hint="eastAsia" w:ascii="宋体" w:hAnsi="宋体"/>
          <w:snapToGrid w:val="0"/>
          <w:color w:val="auto"/>
          <w:kern w:val="0"/>
          <w:highlight w:val="none"/>
        </w:rPr>
        <w:t>。</w:t>
      </w:r>
    </w:p>
    <w:p w14:paraId="3F50B6B0">
      <w:pPr>
        <w:pStyle w:val="5"/>
        <w:ind w:left="0" w:firstLine="480" w:firstLineChars="200"/>
        <w:rPr>
          <w:rFonts w:ascii="宋体" w:hAnsi="宋体"/>
          <w:snapToGrid w:val="0"/>
          <w:color w:val="auto"/>
          <w:kern w:val="0"/>
          <w:highlight w:val="none"/>
        </w:rPr>
      </w:pPr>
      <w:bookmarkStart w:id="24" w:name="_Toc335660672"/>
      <w:r>
        <w:rPr>
          <w:rFonts w:ascii="宋体" w:hAnsi="宋体"/>
          <w:snapToGrid w:val="0"/>
          <w:color w:val="auto"/>
          <w:kern w:val="0"/>
          <w:highlight w:val="none"/>
        </w:rPr>
        <w:t>2.3 勘察设计周期：</w:t>
      </w:r>
      <w:bookmarkEnd w:id="24"/>
      <w:r>
        <w:rPr>
          <w:rFonts w:hint="eastAsia" w:ascii="宋体" w:hAnsi="宋体"/>
          <w:snapToGrid w:val="0"/>
          <w:color w:val="auto"/>
          <w:kern w:val="0"/>
          <w:highlight w:val="none"/>
          <w:u w:val="single"/>
        </w:rPr>
        <w:t xml:space="preserve">       </w:t>
      </w:r>
      <w:r>
        <w:rPr>
          <w:rFonts w:ascii="宋体" w:hAnsi="宋体"/>
          <w:snapToGrid w:val="0"/>
          <w:color w:val="auto"/>
          <w:kern w:val="0"/>
          <w:highlight w:val="none"/>
        </w:rPr>
        <w:t>（说明勘察</w:t>
      </w:r>
      <w:r>
        <w:rPr>
          <w:rFonts w:hint="eastAsia" w:ascii="宋体" w:hAnsi="宋体"/>
          <w:snapToGrid w:val="0"/>
          <w:color w:val="auto"/>
          <w:kern w:val="0"/>
          <w:highlight w:val="none"/>
        </w:rPr>
        <w:t>周期、</w:t>
      </w:r>
      <w:r>
        <w:rPr>
          <w:rFonts w:ascii="宋体" w:hAnsi="宋体"/>
          <w:snapToGrid w:val="0"/>
          <w:color w:val="auto"/>
          <w:kern w:val="0"/>
          <w:highlight w:val="none"/>
        </w:rPr>
        <w:t>设计</w:t>
      </w:r>
      <w:r>
        <w:rPr>
          <w:rFonts w:hint="eastAsia" w:ascii="宋体" w:hAnsi="宋体"/>
          <w:snapToGrid w:val="0"/>
          <w:color w:val="auto"/>
          <w:kern w:val="0"/>
          <w:highlight w:val="none"/>
        </w:rPr>
        <w:t>周期</w:t>
      </w:r>
      <w:r>
        <w:rPr>
          <w:rFonts w:ascii="宋体" w:hAnsi="宋体"/>
          <w:snapToGrid w:val="0"/>
          <w:color w:val="auto"/>
          <w:kern w:val="0"/>
          <w:highlight w:val="none"/>
        </w:rPr>
        <w:t>）</w:t>
      </w:r>
    </w:p>
    <w:p w14:paraId="78D60BDC">
      <w:pPr>
        <w:pStyle w:val="69"/>
        <w:snapToGrid/>
        <w:spacing w:line="360" w:lineRule="auto"/>
        <w:ind w:firstLine="482"/>
        <w:rPr>
          <w:b/>
          <w:snapToGrid w:val="0"/>
          <w:color w:val="auto"/>
          <w:kern w:val="0"/>
          <w:sz w:val="24"/>
          <w:szCs w:val="24"/>
          <w:highlight w:val="none"/>
        </w:rPr>
      </w:pPr>
      <w:r>
        <w:rPr>
          <w:rFonts w:hint="eastAsia"/>
          <w:b/>
          <w:snapToGrid w:val="0"/>
          <w:color w:val="auto"/>
          <w:kern w:val="0"/>
          <w:sz w:val="24"/>
          <w:szCs w:val="24"/>
          <w:highlight w:val="none"/>
        </w:rPr>
        <w:t>勘察周期：</w:t>
      </w:r>
    </w:p>
    <w:p w14:paraId="0EC9CA5A">
      <w:pPr>
        <w:pStyle w:val="69"/>
        <w:snapToGrid/>
        <w:spacing w:line="360" w:lineRule="auto"/>
        <w:ind w:firstLine="480"/>
        <w:rPr>
          <w:snapToGrid w:val="0"/>
          <w:color w:val="auto"/>
          <w:kern w:val="0"/>
          <w:sz w:val="24"/>
          <w:szCs w:val="24"/>
          <w:highlight w:val="none"/>
        </w:rPr>
      </w:pPr>
      <w:r>
        <w:rPr>
          <w:rFonts w:hint="eastAsia"/>
          <w:snapToGrid w:val="0"/>
          <w:color w:val="auto"/>
          <w:kern w:val="0"/>
          <w:sz w:val="24"/>
          <w:szCs w:val="24"/>
          <w:highlight w:val="none"/>
        </w:rPr>
        <w:t>中标人必须在签订合同书后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日历天内提交工程勘察报告及资料。</w:t>
      </w:r>
    </w:p>
    <w:p w14:paraId="20A0E35A">
      <w:pPr>
        <w:pStyle w:val="69"/>
        <w:snapToGrid/>
        <w:spacing w:line="360" w:lineRule="auto"/>
        <w:ind w:firstLine="482"/>
        <w:rPr>
          <w:b/>
          <w:snapToGrid w:val="0"/>
          <w:color w:val="auto"/>
          <w:kern w:val="0"/>
          <w:sz w:val="24"/>
          <w:szCs w:val="24"/>
          <w:highlight w:val="none"/>
        </w:rPr>
      </w:pPr>
      <w:r>
        <w:rPr>
          <w:rFonts w:hint="eastAsia"/>
          <w:b/>
          <w:snapToGrid w:val="0"/>
          <w:color w:val="auto"/>
          <w:kern w:val="0"/>
          <w:sz w:val="24"/>
          <w:szCs w:val="24"/>
          <w:highlight w:val="none"/>
        </w:rPr>
        <w:t>设计周期：</w:t>
      </w:r>
    </w:p>
    <w:p w14:paraId="3D86B44E">
      <w:pPr>
        <w:pStyle w:val="69"/>
        <w:snapToGrid/>
        <w:spacing w:line="360" w:lineRule="auto"/>
        <w:ind w:firstLine="480"/>
        <w:rPr>
          <w:snapToGrid w:val="0"/>
          <w:color w:val="auto"/>
          <w:kern w:val="0"/>
          <w:sz w:val="24"/>
          <w:szCs w:val="24"/>
          <w:highlight w:val="none"/>
        </w:rPr>
      </w:pPr>
      <w:r>
        <w:rPr>
          <w:rFonts w:hint="eastAsia"/>
          <w:snapToGrid w:val="0"/>
          <w:color w:val="auto"/>
          <w:kern w:val="0"/>
          <w:sz w:val="24"/>
          <w:szCs w:val="24"/>
          <w:highlight w:val="none"/>
        </w:rPr>
        <w:t>(1)初步设计阶段：提交工程勘察报告及资料后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日历天内须向业主提交初步设计文件送审稿（含概算文件），初步设计审查完毕后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日历天内按上级主管部门审查要求提交修改后的正式初步设计文件。</w:t>
      </w:r>
    </w:p>
    <w:p w14:paraId="0BD6C85B">
      <w:pPr>
        <w:pStyle w:val="69"/>
        <w:snapToGrid/>
        <w:spacing w:line="360" w:lineRule="auto"/>
        <w:ind w:firstLine="480"/>
        <w:rPr>
          <w:snapToGrid w:val="0"/>
          <w:color w:val="auto"/>
          <w:kern w:val="0"/>
          <w:sz w:val="24"/>
          <w:szCs w:val="24"/>
          <w:highlight w:val="none"/>
        </w:rPr>
      </w:pPr>
      <w:r>
        <w:rPr>
          <w:rFonts w:hint="eastAsia"/>
          <w:snapToGrid w:val="0"/>
          <w:color w:val="auto"/>
          <w:kern w:val="0"/>
          <w:sz w:val="24"/>
          <w:szCs w:val="24"/>
          <w:highlight w:val="none"/>
        </w:rPr>
        <w:t>(2) 施工图设计阶段：中标人在初步设计批复后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日历天内向业主提交施工图设计文件送审稿（含工程量清单），施工图设计审查完毕后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日历天内按上级主管部门审查要求提交修改后的正式施工图设计文件。</w:t>
      </w:r>
    </w:p>
    <w:p w14:paraId="31A4FC48">
      <w:pPr>
        <w:pStyle w:val="69"/>
        <w:snapToGrid/>
        <w:spacing w:line="360" w:lineRule="auto"/>
        <w:ind w:firstLine="480"/>
        <w:rPr>
          <w:snapToGrid w:val="0"/>
          <w:color w:val="auto"/>
          <w:kern w:val="0"/>
          <w:sz w:val="24"/>
          <w:highlight w:val="none"/>
          <w:u w:val="single"/>
        </w:rPr>
      </w:pPr>
      <w:r>
        <w:rPr>
          <w:rFonts w:hint="eastAsia"/>
          <w:snapToGrid w:val="0"/>
          <w:color w:val="auto"/>
          <w:kern w:val="0"/>
          <w:sz w:val="24"/>
          <w:szCs w:val="24"/>
          <w:highlight w:val="none"/>
        </w:rPr>
        <w:t>（3）施工现场配合服务期（但不限于）至交工验收为止，交工验收至竣工验收期间按相关规定履行中标人相应职责。</w:t>
      </w:r>
    </w:p>
    <w:p w14:paraId="12697D6F">
      <w:pPr>
        <w:pStyle w:val="92"/>
        <w:spacing w:before="120" w:beforeLines="50" w:after="0" w:afterLines="0" w:line="360" w:lineRule="auto"/>
        <w:jc w:val="left"/>
        <w:outlineLvl w:val="0"/>
        <w:rPr>
          <w:rFonts w:ascii="宋体" w:hAnsi="宋体" w:eastAsia="宋体"/>
          <w:b/>
          <w:snapToGrid w:val="0"/>
          <w:color w:val="auto"/>
          <w:kern w:val="0"/>
          <w:highlight w:val="none"/>
        </w:rPr>
      </w:pPr>
      <w:bookmarkStart w:id="25" w:name="_Toc487654474"/>
      <w:bookmarkStart w:id="26" w:name="_Toc335721911"/>
      <w:bookmarkStart w:id="27" w:name="_Toc346269436"/>
      <w:bookmarkStart w:id="28" w:name="_Toc326241877"/>
      <w:bookmarkStart w:id="29" w:name="_Toc488649872"/>
      <w:bookmarkStart w:id="30" w:name="_Toc335660673"/>
      <w:r>
        <w:rPr>
          <w:rFonts w:ascii="宋体" w:hAnsi="宋体" w:eastAsia="宋体"/>
          <w:b/>
          <w:snapToGrid w:val="0"/>
          <w:color w:val="auto"/>
          <w:kern w:val="0"/>
          <w:highlight w:val="none"/>
        </w:rPr>
        <w:t xml:space="preserve">3. </w:t>
      </w:r>
      <w:r>
        <w:rPr>
          <w:rFonts w:ascii="宋体" w:hAnsi="宋体" w:eastAsia="宋体"/>
          <w:b/>
          <w:color w:val="auto"/>
          <w:highlight w:val="none"/>
        </w:rPr>
        <w:t>投标人资格要求</w:t>
      </w:r>
      <w:bookmarkEnd w:id="25"/>
      <w:bookmarkEnd w:id="26"/>
      <w:bookmarkEnd w:id="27"/>
      <w:bookmarkEnd w:id="28"/>
      <w:bookmarkEnd w:id="29"/>
      <w:bookmarkEnd w:id="30"/>
    </w:p>
    <w:p w14:paraId="1717ADC7">
      <w:pPr>
        <w:pStyle w:val="5"/>
        <w:ind w:left="0" w:firstLine="480" w:firstLineChars="200"/>
        <w:rPr>
          <w:rFonts w:ascii="宋体" w:hAnsi="宋体"/>
          <w:snapToGrid w:val="0"/>
          <w:color w:val="auto"/>
          <w:kern w:val="0"/>
          <w:highlight w:val="none"/>
        </w:rPr>
      </w:pPr>
      <w:bookmarkStart w:id="31" w:name="_Toc335660674"/>
      <w:r>
        <w:rPr>
          <w:rFonts w:ascii="宋体" w:hAnsi="宋体"/>
          <w:snapToGrid w:val="0"/>
          <w:color w:val="auto"/>
          <w:kern w:val="0"/>
          <w:highlight w:val="none"/>
        </w:rPr>
        <w:t>3.1 资质要求：本次招标要求投标人</w:t>
      </w:r>
      <w:r>
        <w:rPr>
          <w:rFonts w:hint="eastAsia" w:ascii="宋体" w:hAnsi="宋体"/>
          <w:snapToGrid w:val="0"/>
          <w:color w:val="auto"/>
          <w:kern w:val="0"/>
          <w:highlight w:val="none"/>
        </w:rPr>
        <w:t>应</w:t>
      </w:r>
      <w:r>
        <w:rPr>
          <w:rFonts w:ascii="宋体" w:hAnsi="宋体"/>
          <w:snapToGrid w:val="0"/>
          <w:color w:val="auto"/>
          <w:kern w:val="0"/>
          <w:highlight w:val="none"/>
        </w:rPr>
        <w:t>具备</w:t>
      </w:r>
      <w:r>
        <w:rPr>
          <w:rFonts w:hint="eastAsia" w:ascii="宋体" w:hAnsi="宋体"/>
          <w:snapToGrid w:val="0"/>
          <w:color w:val="auto"/>
          <w:kern w:val="0"/>
          <w:highlight w:val="none"/>
          <w:u w:val="single"/>
        </w:rPr>
        <w:t xml:space="preserve">  （勘察设计资质）    </w:t>
      </w:r>
      <w:r>
        <w:rPr>
          <w:rFonts w:ascii="宋体" w:hAnsi="宋体"/>
          <w:snapToGrid w:val="0"/>
          <w:color w:val="auto"/>
          <w:kern w:val="0"/>
          <w:highlight w:val="none"/>
        </w:rPr>
        <w:t>资质</w:t>
      </w:r>
      <w:r>
        <w:rPr>
          <w:rFonts w:hint="eastAsia" w:ascii="宋体" w:hAnsi="宋体"/>
          <w:snapToGrid w:val="0"/>
          <w:color w:val="auto"/>
          <w:kern w:val="0"/>
          <w:highlight w:val="none"/>
        </w:rPr>
        <w:t>，且具备独立的法人资格、有效的营业执照</w:t>
      </w:r>
      <w:r>
        <w:rPr>
          <w:rFonts w:ascii="宋体" w:hAnsi="宋体"/>
          <w:snapToGrid w:val="0"/>
          <w:color w:val="auto"/>
          <w:kern w:val="0"/>
          <w:highlight w:val="none"/>
        </w:rPr>
        <w:t>。</w:t>
      </w:r>
      <w:bookmarkEnd w:id="31"/>
    </w:p>
    <w:p w14:paraId="54E97BA8">
      <w:pPr>
        <w:pStyle w:val="5"/>
        <w:ind w:left="0" w:firstLine="480" w:firstLineChars="200"/>
        <w:rPr>
          <w:rFonts w:ascii="宋体" w:hAnsi="宋体"/>
          <w:color w:val="auto"/>
          <w:highlight w:val="none"/>
        </w:rPr>
      </w:pPr>
      <w:bookmarkStart w:id="32" w:name="_Toc335660675"/>
      <w:r>
        <w:rPr>
          <w:rFonts w:ascii="宋体" w:hAnsi="宋体"/>
          <w:snapToGrid w:val="0"/>
          <w:color w:val="auto"/>
          <w:kern w:val="0"/>
          <w:highlight w:val="none"/>
        </w:rPr>
        <w:t>3.2 业绩要求：</w:t>
      </w:r>
      <w:r>
        <w:rPr>
          <w:rFonts w:hint="eastAsia" w:ascii="宋体" w:hAnsi="宋体"/>
          <w:color w:val="auto"/>
          <w:highlight w:val="none"/>
          <w:u w:val="single"/>
        </w:rPr>
        <w:t xml:space="preserve">     （说明承担项目主要业绩要求）</w:t>
      </w:r>
      <w:r>
        <w:rPr>
          <w:rFonts w:hint="eastAsia" w:ascii="宋体" w:hAnsi="宋体"/>
          <w:color w:val="auto"/>
          <w:highlight w:val="none"/>
        </w:rPr>
        <w:t>。</w:t>
      </w:r>
    </w:p>
    <w:bookmarkEnd w:id="32"/>
    <w:p w14:paraId="79CC49F4">
      <w:pPr>
        <w:pStyle w:val="5"/>
        <w:ind w:left="0" w:firstLine="480" w:firstLineChars="200"/>
        <w:rPr>
          <w:rFonts w:ascii="宋体" w:hAnsi="宋体"/>
          <w:b/>
          <w:snapToGrid w:val="0"/>
          <w:color w:val="auto"/>
          <w:kern w:val="0"/>
          <w:highlight w:val="none"/>
        </w:rPr>
      </w:pPr>
      <w:bookmarkStart w:id="33" w:name="_Toc335660676"/>
      <w:r>
        <w:rPr>
          <w:rFonts w:ascii="宋体" w:hAnsi="宋体"/>
          <w:snapToGrid w:val="0"/>
          <w:color w:val="auto"/>
          <w:kern w:val="0"/>
          <w:highlight w:val="none"/>
        </w:rPr>
        <w:t>3.3</w:t>
      </w:r>
      <w:r>
        <w:rPr>
          <w:rFonts w:hint="eastAsia" w:ascii="宋体" w:hAnsi="宋体"/>
          <w:snapToGrid w:val="0"/>
          <w:color w:val="auto"/>
          <w:kern w:val="0"/>
          <w:highlight w:val="none"/>
        </w:rPr>
        <w:t xml:space="preserve"> </w:t>
      </w:r>
      <w:r>
        <w:rPr>
          <w:rFonts w:hint="eastAsia" w:ascii="宋体" w:hAnsi="宋体"/>
          <w:color w:val="auto"/>
          <w:highlight w:val="none"/>
        </w:rPr>
        <w:t>项目负责人资格</w:t>
      </w:r>
      <w:r>
        <w:rPr>
          <w:rFonts w:ascii="宋体" w:hAnsi="宋体"/>
          <w:color w:val="auto"/>
          <w:highlight w:val="none"/>
        </w:rPr>
        <w:t>要求：</w:t>
      </w:r>
      <w:bookmarkEnd w:id="33"/>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p>
    <w:p w14:paraId="78C84767">
      <w:pPr>
        <w:pStyle w:val="5"/>
        <w:ind w:left="0" w:firstLine="480" w:firstLineChars="200"/>
        <w:rPr>
          <w:rFonts w:ascii="宋体" w:hAnsi="宋体"/>
          <w:snapToGrid w:val="0"/>
          <w:color w:val="auto"/>
          <w:kern w:val="0"/>
          <w:highlight w:val="none"/>
        </w:rPr>
      </w:pPr>
      <w:bookmarkStart w:id="34" w:name="_Toc335660677"/>
      <w:r>
        <w:rPr>
          <w:rFonts w:ascii="宋体" w:hAnsi="宋体"/>
          <w:snapToGrid w:val="0"/>
          <w:color w:val="auto"/>
          <w:kern w:val="0"/>
          <w:highlight w:val="none"/>
        </w:rPr>
        <w:t>3.4 联合体要求：本次招标</w:t>
      </w:r>
      <w:r>
        <w:rPr>
          <w:rFonts w:hint="eastAsia" w:ascii="宋体" w:hAnsi="宋体"/>
          <w:snapToGrid w:val="0"/>
          <w:color w:val="auto"/>
          <w:kern w:val="0"/>
          <w:highlight w:val="none"/>
        </w:rPr>
        <w:t xml:space="preserve"> </w:t>
      </w:r>
      <w:r>
        <w:rPr>
          <w:rFonts w:hint="eastAsia" w:ascii="宋体" w:hAnsi="宋体"/>
          <w:snapToGrid w:val="0"/>
          <w:color w:val="auto"/>
          <w:kern w:val="0"/>
          <w:highlight w:val="none"/>
          <w:u w:val="single"/>
        </w:rPr>
        <w:t xml:space="preserve"> (</w:t>
      </w:r>
      <w:r>
        <w:rPr>
          <w:rFonts w:ascii="宋体" w:hAnsi="宋体"/>
          <w:snapToGrid w:val="0"/>
          <w:color w:val="auto"/>
          <w:kern w:val="0"/>
          <w:highlight w:val="none"/>
          <w:u w:val="single"/>
        </w:rPr>
        <w:t>接受</w:t>
      </w:r>
      <w:r>
        <w:rPr>
          <w:rFonts w:hint="eastAsia" w:ascii="宋体" w:hAnsi="宋体"/>
          <w:snapToGrid w:val="0"/>
          <w:color w:val="auto"/>
          <w:kern w:val="0"/>
          <w:highlight w:val="none"/>
          <w:u w:val="single"/>
        </w:rPr>
        <w:t xml:space="preserve">或不接受，要求两种及以上不同专业专业资质要求的，不得出现“不接受”联合体投标词汇)   </w:t>
      </w:r>
      <w:r>
        <w:rPr>
          <w:rFonts w:ascii="宋体" w:hAnsi="宋体"/>
          <w:snapToGrid w:val="0"/>
          <w:color w:val="auto"/>
          <w:kern w:val="0"/>
          <w:highlight w:val="none"/>
        </w:rPr>
        <w:t>联合体投标。联合体投标的应满足下列要求：</w:t>
      </w:r>
      <w:bookmarkEnd w:id="34"/>
      <w:r>
        <w:rPr>
          <w:rFonts w:hint="eastAsia"/>
          <w:snapToGrid w:val="0"/>
          <w:color w:val="auto"/>
          <w:kern w:val="0"/>
          <w:highlight w:val="none"/>
          <w:u w:val="single"/>
        </w:rPr>
        <w:t xml:space="preserve">         </w:t>
      </w:r>
      <w:r>
        <w:rPr>
          <w:rFonts w:ascii="宋体" w:hAnsi="宋体"/>
          <w:snapToGrid w:val="0"/>
          <w:color w:val="auto"/>
          <w:kern w:val="0"/>
          <w:highlight w:val="none"/>
        </w:rPr>
        <w:t>。</w:t>
      </w:r>
    </w:p>
    <w:p w14:paraId="10EA8061">
      <w:pPr>
        <w:pStyle w:val="5"/>
        <w:ind w:left="0" w:firstLine="480" w:firstLineChars="200"/>
        <w:rPr>
          <w:rFonts w:ascii="宋体" w:hAnsi="宋体"/>
          <w:snapToGrid w:val="0"/>
          <w:color w:val="auto"/>
          <w:kern w:val="0"/>
          <w:highlight w:val="none"/>
        </w:rPr>
      </w:pPr>
      <w:bookmarkStart w:id="35" w:name="_Toc335660678"/>
      <w:r>
        <w:rPr>
          <w:rFonts w:ascii="宋体" w:hAnsi="宋体"/>
          <w:snapToGrid w:val="0"/>
          <w:color w:val="auto"/>
          <w:kern w:val="0"/>
          <w:highlight w:val="none"/>
        </w:rPr>
        <w:t>3.5</w:t>
      </w:r>
      <w:r>
        <w:rPr>
          <w:rFonts w:hint="eastAsia" w:ascii="宋体" w:hAnsi="宋体"/>
          <w:snapToGrid w:val="0"/>
          <w:color w:val="auto"/>
          <w:kern w:val="0"/>
          <w:highlight w:val="none"/>
        </w:rPr>
        <w:t xml:space="preserve"> 与招标人存在利害关系可能影响公正性的单位，不得参加投标。单位负责人为同一人或存在控股、管理关系的不同单位，不得参加同一标段投标，否则，相关投标均无效。</w:t>
      </w:r>
    </w:p>
    <w:p w14:paraId="7DD93334">
      <w:pPr>
        <w:pStyle w:val="5"/>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3</w:t>
      </w:r>
      <w:r>
        <w:rPr>
          <w:rFonts w:ascii="宋体" w:hAnsi="宋体"/>
          <w:snapToGrid w:val="0"/>
          <w:color w:val="auto"/>
          <w:kern w:val="0"/>
          <w:highlight w:val="none"/>
        </w:rPr>
        <w:t xml:space="preserve">.6 </w:t>
      </w:r>
      <w:r>
        <w:rPr>
          <w:rFonts w:hint="eastAsia" w:ascii="宋体" w:hAnsi="宋体"/>
          <w:snapToGrid w:val="0"/>
          <w:color w:val="auto"/>
          <w:kern w:val="0"/>
          <w:highlight w:val="none"/>
        </w:rPr>
        <w:t>在“信用中国”网站（w</w:t>
      </w:r>
      <w:r>
        <w:rPr>
          <w:rFonts w:ascii="宋体" w:hAnsi="宋体"/>
          <w:snapToGrid w:val="0"/>
          <w:color w:val="auto"/>
          <w:kern w:val="0"/>
          <w:highlight w:val="none"/>
        </w:rPr>
        <w:t>ww.creditchina.gov.cn</w:t>
      </w:r>
      <w:r>
        <w:rPr>
          <w:rFonts w:hint="eastAsia" w:ascii="宋体" w:hAnsi="宋体"/>
          <w:snapToGrid w:val="0"/>
          <w:color w:val="auto"/>
          <w:kern w:val="0"/>
          <w:highlight w:val="none"/>
        </w:rPr>
        <w:t>）或“中国执行信息公开网”网站（h</w:t>
      </w:r>
      <w:r>
        <w:rPr>
          <w:rFonts w:ascii="宋体" w:hAnsi="宋体"/>
          <w:snapToGrid w:val="0"/>
          <w:color w:val="auto"/>
          <w:kern w:val="0"/>
          <w:highlight w:val="none"/>
        </w:rPr>
        <w:t>ttp://</w:t>
      </w:r>
      <w:r>
        <w:rPr>
          <w:rFonts w:hint="eastAsia" w:ascii="宋体" w:hAnsi="宋体"/>
          <w:snapToGrid w:val="0"/>
          <w:color w:val="auto"/>
          <w:kern w:val="0"/>
          <w:highlight w:val="none"/>
        </w:rPr>
        <w:t>zxgk</w:t>
      </w:r>
      <w:r>
        <w:rPr>
          <w:rFonts w:ascii="宋体" w:hAnsi="宋体"/>
          <w:snapToGrid w:val="0"/>
          <w:color w:val="auto"/>
          <w:kern w:val="0"/>
          <w:highlight w:val="none"/>
        </w:rPr>
        <w:t>.court.gov.cn/shixin/</w:t>
      </w:r>
      <w:r>
        <w:rPr>
          <w:rFonts w:hint="eastAsia" w:ascii="宋体" w:hAnsi="宋体"/>
          <w:snapToGrid w:val="0"/>
          <w:color w:val="auto"/>
          <w:kern w:val="0"/>
          <w:highlight w:val="none"/>
        </w:rPr>
        <w:t>）中被列入失信被执行人名单的投标人，不得参加投标。</w:t>
      </w:r>
    </w:p>
    <w:p w14:paraId="31E683AB">
      <w:pPr>
        <w:pStyle w:val="5"/>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3</w:t>
      </w:r>
      <w:r>
        <w:rPr>
          <w:rFonts w:ascii="宋体" w:hAnsi="宋体"/>
          <w:snapToGrid w:val="0"/>
          <w:color w:val="auto"/>
          <w:kern w:val="0"/>
          <w:highlight w:val="none"/>
        </w:rPr>
        <w:t xml:space="preserve">.7 </w:t>
      </w:r>
      <w:r>
        <w:rPr>
          <w:rFonts w:hint="eastAsia" w:ascii="宋体" w:hAnsi="宋体"/>
          <w:snapToGrid w:val="0"/>
          <w:color w:val="auto"/>
          <w:kern w:val="0"/>
          <w:highlight w:val="none"/>
        </w:rPr>
        <w:t>其他要求</w:t>
      </w:r>
      <w:r>
        <w:rPr>
          <w:rFonts w:ascii="宋体" w:hAnsi="宋体"/>
          <w:snapToGrid w:val="0"/>
          <w:color w:val="auto"/>
          <w:kern w:val="0"/>
          <w:highlight w:val="none"/>
          <w:u w:val="single"/>
        </w:rPr>
        <w:t>：</w:t>
      </w:r>
      <w:r>
        <w:rPr>
          <w:rFonts w:hint="eastAsia" w:ascii="宋体" w:hAnsi="宋体"/>
          <w:snapToGrid w:val="0"/>
          <w:color w:val="auto"/>
          <w:kern w:val="0"/>
          <w:highlight w:val="none"/>
          <w:u w:val="single"/>
        </w:rPr>
        <w:t xml:space="preserve">                     </w:t>
      </w:r>
      <w:r>
        <w:rPr>
          <w:rFonts w:ascii="宋体" w:hAnsi="宋体"/>
          <w:snapToGrid w:val="0"/>
          <w:color w:val="auto"/>
          <w:kern w:val="0"/>
          <w:highlight w:val="none"/>
        </w:rPr>
        <w:t>。</w:t>
      </w:r>
    </w:p>
    <w:p w14:paraId="31AC1D39">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3.8</w:t>
      </w:r>
      <w:r>
        <w:rPr>
          <w:rFonts w:hint="eastAsia" w:ascii="宋体" w:hAnsi="宋体"/>
          <w:snapToGrid w:val="0"/>
          <w:color w:val="auto"/>
          <w:kern w:val="0"/>
          <w:highlight w:val="none"/>
        </w:rPr>
        <w:t xml:space="preserve"> </w:t>
      </w:r>
      <w:bookmarkEnd w:id="35"/>
      <w:bookmarkStart w:id="36" w:name="_Toc335660679"/>
      <w:r>
        <w:rPr>
          <w:rFonts w:hint="eastAsia" w:ascii="宋体" w:hAnsi="宋体"/>
          <w:snapToGrid w:val="0"/>
          <w:color w:val="auto"/>
          <w:kern w:val="0"/>
          <w:highlight w:val="none"/>
        </w:rPr>
        <w:t xml:space="preserve"> </w:t>
      </w:r>
      <w:r>
        <w:rPr>
          <w:rFonts w:ascii="宋体" w:hAnsi="宋体"/>
          <w:snapToGrid w:val="0"/>
          <w:color w:val="auto"/>
          <w:kern w:val="0"/>
          <w:highlight w:val="none"/>
        </w:rPr>
        <w:t>资格审查方式：本次招标采取资格后审方式。</w:t>
      </w:r>
      <w:bookmarkEnd w:id="36"/>
    </w:p>
    <w:p w14:paraId="0D5F26D3">
      <w:pPr>
        <w:pStyle w:val="92"/>
        <w:spacing w:before="120" w:beforeLines="50" w:after="0" w:afterLines="0" w:line="360" w:lineRule="auto"/>
        <w:jc w:val="left"/>
        <w:outlineLvl w:val="0"/>
        <w:rPr>
          <w:rFonts w:ascii="宋体" w:hAnsi="宋体" w:eastAsia="宋体"/>
          <w:b/>
          <w:snapToGrid w:val="0"/>
          <w:color w:val="auto"/>
          <w:kern w:val="0"/>
          <w:highlight w:val="none"/>
        </w:rPr>
      </w:pPr>
      <w:bookmarkStart w:id="37" w:name="_Toc488649873"/>
      <w:bookmarkStart w:id="38" w:name="_Toc335660680"/>
      <w:bookmarkStart w:id="39" w:name="_Toc326241878"/>
      <w:bookmarkStart w:id="40" w:name="_Toc487654475"/>
      <w:bookmarkStart w:id="41" w:name="_Toc346269437"/>
      <w:bookmarkStart w:id="42" w:name="_Toc335721912"/>
      <w:bookmarkStart w:id="43" w:name="_Toc222741977"/>
      <w:r>
        <w:rPr>
          <w:rFonts w:ascii="宋体" w:hAnsi="宋体" w:eastAsia="宋体"/>
          <w:b/>
          <w:snapToGrid w:val="0"/>
          <w:color w:val="auto"/>
          <w:kern w:val="0"/>
          <w:highlight w:val="none"/>
        </w:rPr>
        <w:t xml:space="preserve">4. </w:t>
      </w:r>
      <w:r>
        <w:rPr>
          <w:rFonts w:ascii="宋体" w:hAnsi="宋体" w:eastAsia="宋体"/>
          <w:b/>
          <w:color w:val="auto"/>
          <w:highlight w:val="none"/>
        </w:rPr>
        <w:t>招标文件的获取</w:t>
      </w:r>
      <w:bookmarkEnd w:id="37"/>
      <w:bookmarkEnd w:id="38"/>
      <w:bookmarkEnd w:id="39"/>
      <w:bookmarkEnd w:id="40"/>
      <w:bookmarkEnd w:id="41"/>
      <w:bookmarkEnd w:id="42"/>
    </w:p>
    <w:p w14:paraId="226FC0C8">
      <w:pPr>
        <w:widowControl/>
        <w:tabs>
          <w:tab w:val="left" w:pos="510"/>
          <w:tab w:val="left" w:pos="900"/>
          <w:tab w:val="left" w:pos="1100"/>
          <w:tab w:val="left" w:pos="3807"/>
        </w:tabs>
        <w:spacing w:line="360" w:lineRule="auto"/>
        <w:ind w:firstLine="480" w:firstLineChars="200"/>
        <w:jc w:val="left"/>
        <w:rPr>
          <w:rFonts w:ascii="宋体" w:hAnsi="宋体"/>
          <w:color w:val="auto"/>
          <w:sz w:val="24"/>
          <w:highlight w:val="none"/>
        </w:rPr>
      </w:pPr>
      <w:bookmarkStart w:id="44" w:name="_Toc326241879"/>
      <w:bookmarkStart w:id="45" w:name="_Toc335721913"/>
      <w:bookmarkStart w:id="46" w:name="_Toc335660684"/>
      <w:bookmarkStart w:id="47" w:name="_Toc346269438"/>
      <w:r>
        <w:rPr>
          <w:rFonts w:hint="eastAsia" w:ascii="宋体" w:hAnsi="宋体"/>
          <w:color w:val="auto"/>
          <w:sz w:val="24"/>
          <w:highlight w:val="none"/>
        </w:rPr>
        <w:t>凡有意参加投标者，请于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w:t>
      </w:r>
      <w:r>
        <w:rPr>
          <w:rFonts w:hint="eastAsia" w:ascii="宋体" w:hAnsi="宋体"/>
          <w:color w:val="auto"/>
          <w:sz w:val="24"/>
          <w:highlight w:val="none"/>
          <w:u w:val="single"/>
        </w:rPr>
        <w:t xml:space="preserve">   秒</w:t>
      </w:r>
      <w:r>
        <w:rPr>
          <w:rFonts w:hint="eastAsia" w:ascii="宋体" w:hAnsi="宋体"/>
          <w:color w:val="auto"/>
          <w:sz w:val="24"/>
          <w:highlight w:val="none"/>
        </w:rPr>
        <w:t>前登录电子招标投标交易平台（网址：</w:t>
      </w:r>
      <w:r>
        <w:rPr>
          <w:rFonts w:hint="eastAsia" w:ascii="宋体" w:hAnsi="宋体"/>
          <w:color w:val="auto"/>
          <w:sz w:val="24"/>
          <w:highlight w:val="none"/>
          <w:u w:val="single"/>
        </w:rPr>
        <w:t xml:space="preserve">        </w:t>
      </w:r>
      <w:r>
        <w:rPr>
          <w:rFonts w:hint="eastAsia" w:ascii="宋体" w:hAnsi="宋体"/>
          <w:color w:val="auto"/>
          <w:sz w:val="24"/>
          <w:highlight w:val="none"/>
        </w:rPr>
        <w:t>)下载有关电子招标文件。招标人不另行出售纸质招标文件，本项目电子招标文件使用</w:t>
      </w:r>
      <w:r>
        <w:rPr>
          <w:rFonts w:hint="eastAsia" w:ascii="宋体" w:hAnsi="宋体"/>
          <w:color w:val="auto"/>
          <w:sz w:val="24"/>
          <w:highlight w:val="none"/>
          <w:u w:val="single"/>
        </w:rPr>
        <w:t xml:space="preserve">        （软件工具及版本号）</w:t>
      </w:r>
      <w:r>
        <w:rPr>
          <w:rFonts w:hint="eastAsia" w:ascii="宋体" w:hAnsi="宋体"/>
          <w:color w:val="auto"/>
          <w:sz w:val="24"/>
          <w:highlight w:val="none"/>
        </w:rPr>
        <w:t>打开。</w:t>
      </w:r>
    </w:p>
    <w:p w14:paraId="64FBF114">
      <w:pPr>
        <w:widowControl/>
        <w:tabs>
          <w:tab w:val="left" w:pos="510"/>
          <w:tab w:val="left" w:pos="900"/>
          <w:tab w:val="left" w:pos="1100"/>
          <w:tab w:val="left" w:pos="3807"/>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 xml:space="preserve">.2 </w:t>
      </w:r>
      <w:r>
        <w:rPr>
          <w:rFonts w:hint="eastAsia" w:ascii="宋体" w:hAnsi="宋体"/>
          <w:color w:val="auto"/>
          <w:sz w:val="24"/>
          <w:highlight w:val="none"/>
        </w:rPr>
        <w:t>招标人没有电子印章的，须附招标人对招标代理机构的电子印章授权书扫描件。</w:t>
      </w:r>
    </w:p>
    <w:p w14:paraId="3AD48CA9">
      <w:pPr>
        <w:pStyle w:val="92"/>
        <w:spacing w:before="120" w:beforeLines="50" w:after="0" w:afterLines="0" w:line="360" w:lineRule="auto"/>
        <w:jc w:val="left"/>
        <w:outlineLvl w:val="0"/>
        <w:rPr>
          <w:rFonts w:ascii="宋体" w:hAnsi="宋体" w:eastAsia="宋体"/>
          <w:b/>
          <w:snapToGrid w:val="0"/>
          <w:color w:val="auto"/>
          <w:kern w:val="0"/>
          <w:highlight w:val="none"/>
        </w:rPr>
      </w:pPr>
      <w:bookmarkStart w:id="48" w:name="_Toc487654477"/>
      <w:bookmarkStart w:id="49" w:name="_Toc488649875"/>
      <w:r>
        <w:rPr>
          <w:rFonts w:hint="eastAsia" w:ascii="宋体" w:hAnsi="宋体" w:eastAsia="宋体"/>
          <w:b/>
          <w:snapToGrid w:val="0"/>
          <w:color w:val="auto"/>
          <w:kern w:val="0"/>
          <w:highlight w:val="none"/>
        </w:rPr>
        <w:t>5</w:t>
      </w:r>
      <w:r>
        <w:rPr>
          <w:rFonts w:ascii="宋体" w:hAnsi="宋体" w:eastAsia="宋体"/>
          <w:b/>
          <w:color w:val="auto"/>
          <w:highlight w:val="none"/>
        </w:rPr>
        <w:t>.投标文件的递交</w:t>
      </w:r>
      <w:bookmarkEnd w:id="44"/>
      <w:bookmarkEnd w:id="45"/>
      <w:bookmarkEnd w:id="46"/>
      <w:bookmarkEnd w:id="47"/>
      <w:bookmarkEnd w:id="48"/>
      <w:bookmarkEnd w:id="49"/>
    </w:p>
    <w:p w14:paraId="25391D1A">
      <w:pPr>
        <w:widowControl/>
        <w:tabs>
          <w:tab w:val="left" w:pos="510"/>
          <w:tab w:val="left" w:pos="900"/>
          <w:tab w:val="left" w:pos="1100"/>
          <w:tab w:val="left" w:pos="3807"/>
        </w:tabs>
        <w:spacing w:line="360" w:lineRule="auto"/>
        <w:ind w:left="480"/>
        <w:jc w:val="left"/>
        <w:rPr>
          <w:rFonts w:ascii="宋体" w:hAnsi="宋体" w:cs="宋体"/>
          <w:color w:val="auto"/>
          <w:kern w:val="0"/>
          <w:sz w:val="24"/>
          <w:highlight w:val="none"/>
        </w:rPr>
      </w:pPr>
      <w:r>
        <w:rPr>
          <w:rFonts w:ascii="宋体" w:hAnsi="宋体" w:cs="宋体"/>
          <w:snapToGrid w:val="0"/>
          <w:color w:val="auto"/>
          <w:kern w:val="0"/>
          <w:sz w:val="24"/>
          <w:highlight w:val="none"/>
        </w:rPr>
        <w:t>5.1</w:t>
      </w:r>
      <w:r>
        <w:rPr>
          <w:rFonts w:hint="eastAsia" w:ascii="宋体" w:hAnsi="宋体" w:cs="宋体"/>
          <w:color w:val="auto"/>
          <w:kern w:val="0"/>
          <w:sz w:val="24"/>
          <w:highlight w:val="none"/>
        </w:rPr>
        <w:t>投标文件递交的截止时间（投标截止时间，下同）为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时</w:t>
      </w:r>
    </w:p>
    <w:p w14:paraId="093F5805">
      <w:pPr>
        <w:widowControl/>
        <w:tabs>
          <w:tab w:val="left" w:pos="510"/>
          <w:tab w:val="left" w:pos="900"/>
          <w:tab w:val="left" w:pos="1100"/>
        </w:tabs>
        <w:spacing w:line="360" w:lineRule="auto"/>
        <w:jc w:val="left"/>
        <w:rPr>
          <w:rFonts w:ascii="宋体" w:hAnsi="宋体"/>
          <w:color w:val="auto"/>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分</w:t>
      </w:r>
      <w:r>
        <w:rPr>
          <w:rFonts w:hint="eastAsia" w:ascii="宋体" w:hAnsi="宋体"/>
          <w:color w:val="auto"/>
          <w:sz w:val="24"/>
          <w:highlight w:val="none"/>
          <w:u w:val="single"/>
        </w:rPr>
        <w:t xml:space="preserve">  秒</w:t>
      </w:r>
      <w:r>
        <w:rPr>
          <w:rFonts w:hint="eastAsia" w:ascii="宋体" w:hAnsi="宋体" w:cs="宋体"/>
          <w:color w:val="auto"/>
          <w:kern w:val="0"/>
          <w:sz w:val="24"/>
          <w:highlight w:val="none"/>
        </w:rPr>
        <w:t>，</w:t>
      </w:r>
      <w:r>
        <w:rPr>
          <w:rFonts w:hint="eastAsia" w:ascii="宋体" w:hAnsi="宋体"/>
          <w:color w:val="auto"/>
          <w:sz w:val="24"/>
          <w:highlight w:val="none"/>
        </w:rPr>
        <w:t>投标人必须在投标截止时间前通过电子招标投标交易平台（网址：</w:t>
      </w:r>
      <w:r>
        <w:rPr>
          <w:rFonts w:hint="eastAsia" w:ascii="宋体" w:hAnsi="宋体"/>
          <w:color w:val="auto"/>
          <w:sz w:val="24"/>
          <w:highlight w:val="none"/>
          <w:u w:val="single"/>
        </w:rPr>
        <w:t xml:space="preserve">       </w:t>
      </w:r>
      <w:r>
        <w:rPr>
          <w:rFonts w:hint="eastAsia" w:ascii="宋体" w:hAnsi="宋体"/>
          <w:color w:val="auto"/>
          <w:sz w:val="24"/>
          <w:highlight w:val="none"/>
        </w:rPr>
        <w:t>）上传电子投标文件，但应认真检查投标文件的完整性。投标人应在投标截止时间前，通过互联网使用CA数字证书登录“电子交易平台”，将加密的投标文件上传，并保存上传后系统自动生成的电子签收凭证，递交时间即为电子签收凭证时间。逾期到达、未到达交易系统或未按规定加密的投标文件，招标人予以拒收且投标人视为放弃本次投标。</w:t>
      </w:r>
    </w:p>
    <w:p w14:paraId="4C0A0EB4">
      <w:pPr>
        <w:widowControl/>
        <w:tabs>
          <w:tab w:val="left" w:pos="510"/>
          <w:tab w:val="left" w:pos="900"/>
          <w:tab w:val="left" w:pos="1100"/>
          <w:tab w:val="left" w:pos="3807"/>
        </w:tabs>
        <w:spacing w:line="360" w:lineRule="auto"/>
        <w:ind w:firstLine="360"/>
        <w:jc w:val="left"/>
        <w:rPr>
          <w:rFonts w:ascii="宋体" w:hAnsi="宋体" w:cs="宋体"/>
          <w:color w:val="auto"/>
          <w:sz w:val="24"/>
          <w:highlight w:val="none"/>
        </w:rPr>
      </w:pPr>
      <w:r>
        <w:rPr>
          <w:rFonts w:hint="eastAsia" w:ascii="宋体" w:hAnsi="宋体" w:cs="宋体"/>
          <w:color w:val="auto"/>
          <w:kern w:val="0"/>
          <w:sz w:val="24"/>
          <w:highlight w:val="none"/>
        </w:rPr>
        <w:t>5.2 在投标截止时间前，允许投标人对已投递的电子投标文件撤回、编辑再投递。投标人应使用投标时所使用的数字证书完成电子投标文件的解密，</w:t>
      </w:r>
      <w:r>
        <w:rPr>
          <w:rFonts w:hint="eastAsia" w:ascii="宋体" w:hAnsi="宋体" w:cs="宋体"/>
          <w:color w:val="auto"/>
          <w:sz w:val="24"/>
          <w:highlight w:val="none"/>
        </w:rPr>
        <w:t>因投标人的原因，导致开标时无法解密投标文件的，按否决其投标处理。</w:t>
      </w:r>
    </w:p>
    <w:p w14:paraId="70AA591C">
      <w:pPr>
        <w:pStyle w:val="92"/>
        <w:spacing w:before="0" w:beforeLines="0" w:line="360" w:lineRule="auto"/>
        <w:jc w:val="left"/>
        <w:rPr>
          <w:rFonts w:ascii="宋体" w:hAnsi="宋体" w:eastAsia="宋体"/>
          <w:b/>
          <w:snapToGrid w:val="0"/>
          <w:color w:val="auto"/>
          <w:kern w:val="0"/>
          <w:highlight w:val="none"/>
        </w:rPr>
      </w:pPr>
      <w:bookmarkStart w:id="50" w:name="_Toc1853626947"/>
      <w:r>
        <w:rPr>
          <w:rFonts w:hint="eastAsia" w:ascii="宋体" w:hAnsi="宋体" w:eastAsia="宋体"/>
          <w:b/>
          <w:snapToGrid w:val="0"/>
          <w:color w:val="auto"/>
          <w:kern w:val="0"/>
          <w:highlight w:val="none"/>
        </w:rPr>
        <w:t>6.评标办法</w:t>
      </w:r>
      <w:bookmarkEnd w:id="50"/>
    </w:p>
    <w:p w14:paraId="4D7DC1A8">
      <w:pPr>
        <w:widowControl/>
        <w:tabs>
          <w:tab w:val="left" w:pos="510"/>
          <w:tab w:val="left" w:pos="900"/>
          <w:tab w:val="left" w:pos="1100"/>
          <w:tab w:val="left" w:pos="3807"/>
        </w:tabs>
        <w:spacing w:line="360" w:lineRule="auto"/>
        <w:ind w:firstLine="360"/>
        <w:jc w:val="left"/>
        <w:rPr>
          <w:rFonts w:ascii="宋体" w:hAnsi="宋体" w:cs="宋体"/>
          <w:color w:val="auto"/>
          <w:kern w:val="0"/>
          <w:sz w:val="24"/>
          <w:highlight w:val="none"/>
        </w:rPr>
      </w:pPr>
      <w:r>
        <w:rPr>
          <w:rFonts w:ascii="宋体" w:hAnsi="宋体" w:cs="宋体"/>
          <w:color w:val="auto"/>
          <w:kern w:val="0"/>
          <w:sz w:val="24"/>
          <w:highlight w:val="none"/>
        </w:rPr>
        <w:t>本招标项目采用的评标办法：</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定性评审法</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w:t>
      </w:r>
    </w:p>
    <w:p w14:paraId="1F584664">
      <w:pPr>
        <w:pStyle w:val="92"/>
        <w:spacing w:before="0" w:beforeLines="0" w:line="360" w:lineRule="auto"/>
        <w:jc w:val="left"/>
        <w:rPr>
          <w:rFonts w:ascii="宋体" w:hAnsi="宋体" w:eastAsia="宋体"/>
          <w:b/>
          <w:snapToGrid w:val="0"/>
          <w:color w:val="auto"/>
          <w:kern w:val="0"/>
          <w:highlight w:val="none"/>
        </w:rPr>
      </w:pPr>
      <w:r>
        <w:rPr>
          <w:rFonts w:hint="eastAsia" w:ascii="宋体" w:hAnsi="宋体" w:eastAsia="宋体"/>
          <w:b/>
          <w:snapToGrid w:val="0"/>
          <w:color w:val="auto"/>
          <w:kern w:val="0"/>
          <w:highlight w:val="none"/>
        </w:rPr>
        <w:t>7.定标方法</w:t>
      </w:r>
    </w:p>
    <w:p w14:paraId="404BF354">
      <w:pPr>
        <w:pStyle w:val="109"/>
        <w:wordWrap w:val="0"/>
        <w:rPr>
          <w:rFonts w:ascii="Times New Roman" w:hAnsi="Times New Roman"/>
          <w:color w:val="auto"/>
          <w:sz w:val="24"/>
          <w:szCs w:val="24"/>
          <w:highlight w:val="none"/>
        </w:rPr>
      </w:pPr>
      <w:r>
        <w:rPr>
          <w:rFonts w:hint="eastAsia"/>
          <w:color w:val="auto"/>
          <w:szCs w:val="21"/>
          <w:highlight w:val="none"/>
        </w:rPr>
        <w:t xml:space="preserve"> </w:t>
      </w:r>
      <w:r>
        <w:rPr>
          <w:rFonts w:hint="eastAsia"/>
          <w:color w:val="auto"/>
          <w:sz w:val="24"/>
          <w:szCs w:val="24"/>
          <w:highlight w:val="none"/>
        </w:rPr>
        <w:t>本招标项目采用的定标方法：</w:t>
      </w:r>
      <w:r>
        <w:rPr>
          <w:rFonts w:hint="eastAsia"/>
          <w:color w:val="auto"/>
          <w:sz w:val="24"/>
          <w:szCs w:val="24"/>
          <w:highlight w:val="none"/>
          <w:u w:val="single"/>
        </w:rPr>
        <w:t xml:space="preserve"> 直接票决法。</w:t>
      </w:r>
    </w:p>
    <w:bookmarkEnd w:id="43"/>
    <w:p w14:paraId="50E73F8C">
      <w:pPr>
        <w:pStyle w:val="92"/>
        <w:spacing w:before="120" w:beforeLines="50" w:after="0" w:afterLines="0" w:line="360" w:lineRule="auto"/>
        <w:jc w:val="left"/>
        <w:outlineLvl w:val="0"/>
        <w:rPr>
          <w:rFonts w:ascii="宋体" w:hAnsi="宋体" w:eastAsia="宋体"/>
          <w:b/>
          <w:snapToGrid w:val="0"/>
          <w:color w:val="auto"/>
          <w:kern w:val="0"/>
          <w:highlight w:val="none"/>
        </w:rPr>
      </w:pPr>
      <w:bookmarkStart w:id="51" w:name="_Toc488649876"/>
      <w:bookmarkStart w:id="52" w:name="_Toc335660687"/>
      <w:bookmarkStart w:id="53" w:name="_Toc487654478"/>
      <w:bookmarkStart w:id="54" w:name="_Toc326241880"/>
      <w:bookmarkStart w:id="55" w:name="_Toc346269439"/>
      <w:bookmarkStart w:id="56" w:name="_Toc222741979"/>
      <w:bookmarkStart w:id="57" w:name="_Toc335721914"/>
      <w:r>
        <w:rPr>
          <w:rFonts w:hint="eastAsia" w:ascii="宋体" w:hAnsi="宋体" w:eastAsia="宋体"/>
          <w:b/>
          <w:snapToGrid w:val="0"/>
          <w:color w:val="auto"/>
          <w:kern w:val="0"/>
          <w:highlight w:val="none"/>
        </w:rPr>
        <w:t>8</w:t>
      </w:r>
      <w:r>
        <w:rPr>
          <w:rFonts w:ascii="宋体" w:hAnsi="宋体" w:eastAsia="宋体"/>
          <w:b/>
          <w:snapToGrid w:val="0"/>
          <w:color w:val="auto"/>
          <w:kern w:val="0"/>
          <w:highlight w:val="none"/>
        </w:rPr>
        <w:t xml:space="preserve">. </w:t>
      </w:r>
      <w:r>
        <w:rPr>
          <w:rFonts w:ascii="宋体" w:hAnsi="宋体" w:eastAsia="宋体"/>
          <w:b/>
          <w:color w:val="auto"/>
          <w:highlight w:val="none"/>
        </w:rPr>
        <w:t>发布公告的媒介</w:t>
      </w:r>
      <w:bookmarkEnd w:id="51"/>
      <w:bookmarkEnd w:id="52"/>
      <w:bookmarkEnd w:id="53"/>
      <w:bookmarkEnd w:id="54"/>
      <w:bookmarkEnd w:id="55"/>
      <w:bookmarkEnd w:id="56"/>
      <w:bookmarkEnd w:id="57"/>
    </w:p>
    <w:p w14:paraId="480340E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本次招标公告在</w:t>
      </w:r>
      <w:r>
        <w:rPr>
          <w:rFonts w:hint="eastAsia" w:ascii="宋体" w:hAnsi="宋体" w:cs="宋体"/>
          <w:color w:val="auto"/>
          <w:sz w:val="24"/>
          <w:highlight w:val="none"/>
        </w:rPr>
        <w:t>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Fonts w:ascii="宋体" w:hAnsi="宋体"/>
          <w:color w:val="auto"/>
          <w:szCs w:val="21"/>
          <w:highlight w:val="none"/>
        </w:rPr>
        <w:t>ggzyfw.fj.gov.cn</w:t>
      </w:r>
      <w:r>
        <w:rPr>
          <w:rStyle w:val="47"/>
          <w:rFonts w:hint="eastAsia" w:ascii="宋体" w:hAnsi="宋体" w:cs="宋体"/>
          <w:color w:val="auto"/>
          <w:sz w:val="24"/>
          <w:highlight w:val="none"/>
          <w:u w:val="none"/>
        </w:rPr>
        <w:t>）、电子招标投标交易平台</w:t>
      </w:r>
      <w:r>
        <w:rPr>
          <w:rStyle w:val="47"/>
          <w:rFonts w:hint="eastAsia" w:ascii="宋体" w:hAnsi="宋体" w:cs="宋体"/>
          <w:color w:val="auto"/>
          <w:sz w:val="24"/>
          <w:highlight w:val="none"/>
          <w:u w:val="none"/>
        </w:rPr>
        <w:fldChar w:fldCharType="end"/>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olor w:val="auto"/>
          <w:sz w:val="24"/>
          <w:highlight w:val="none"/>
        </w:rPr>
        <w:t>发布。</w:t>
      </w:r>
    </w:p>
    <w:p w14:paraId="6F5CE655">
      <w:pPr>
        <w:tabs>
          <w:tab w:val="left" w:pos="480"/>
        </w:tabs>
        <w:adjustRightInd w:val="0"/>
        <w:snapToGrid w:val="0"/>
        <w:spacing w:line="360" w:lineRule="auto"/>
        <w:rPr>
          <w:rFonts w:ascii="宋体" w:hAnsi="宋体"/>
          <w:snapToGrid w:val="0"/>
          <w:color w:val="auto"/>
          <w:kern w:val="0"/>
          <w:sz w:val="24"/>
          <w:highlight w:val="none"/>
        </w:rPr>
      </w:pPr>
      <w:r>
        <w:rPr>
          <w:rFonts w:hint="eastAsia" w:ascii="宋体" w:hAnsi="宋体" w:cs="宋体"/>
          <w:b/>
          <w:color w:val="auto"/>
          <w:sz w:val="24"/>
          <w:highlight w:val="none"/>
        </w:rPr>
        <w:t xml:space="preserve">   </w:t>
      </w:r>
      <w:r>
        <w:rPr>
          <w:rFonts w:hint="eastAsia" w:ascii="宋体" w:hAnsi="宋体" w:cs="宋体"/>
          <w:color w:val="auto"/>
          <w:sz w:val="24"/>
          <w:highlight w:val="none"/>
        </w:rPr>
        <w:t xml:space="preserve"> 注意事项：本工程答疑纪要及补充通知等将在福建省公共资源交易电子公共服务平台（网址：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Style w:val="47"/>
          <w:rFonts w:hint="eastAsia" w:ascii="宋体" w:hAnsi="宋体" w:cs="宋体"/>
          <w:color w:val="auto"/>
          <w:sz w:val="24"/>
          <w:highlight w:val="none"/>
          <w:u w:val="none"/>
        </w:rPr>
        <w:t>ggzyfw.fj.gov.cn）、电子招标投标交易平台</w:t>
      </w:r>
      <w:r>
        <w:rPr>
          <w:rStyle w:val="47"/>
          <w:rFonts w:hint="eastAsia" w:ascii="宋体" w:hAnsi="宋体" w:cs="宋体"/>
          <w:color w:val="auto"/>
          <w:sz w:val="24"/>
          <w:highlight w:val="none"/>
          <w:u w:val="none"/>
        </w:rPr>
        <w:fldChar w:fldCharType="end"/>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 “公告答疑”上发布。各投标人应随时关注发布的相关信息，否则由此引起的后果及损失由各投标人自行承担。</w:t>
      </w:r>
    </w:p>
    <w:p w14:paraId="24788BAD">
      <w:pPr>
        <w:pStyle w:val="92"/>
        <w:spacing w:before="0" w:beforeLines="0" w:after="0" w:afterLines="0" w:line="360" w:lineRule="auto"/>
        <w:jc w:val="left"/>
        <w:outlineLvl w:val="0"/>
        <w:rPr>
          <w:rFonts w:ascii="宋体" w:hAnsi="宋体" w:eastAsia="宋体"/>
          <w:b/>
          <w:snapToGrid w:val="0"/>
          <w:color w:val="auto"/>
          <w:kern w:val="0"/>
          <w:highlight w:val="none"/>
        </w:rPr>
      </w:pPr>
      <w:bookmarkStart w:id="58" w:name="_Toc335660688"/>
      <w:bookmarkStart w:id="59" w:name="_Toc488649877"/>
      <w:bookmarkStart w:id="60" w:name="_Toc487654479"/>
      <w:bookmarkStart w:id="61" w:name="_Toc346269440"/>
      <w:bookmarkStart w:id="62" w:name="_Toc222741980"/>
      <w:bookmarkStart w:id="63" w:name="_Toc335721915"/>
      <w:bookmarkStart w:id="64" w:name="_Toc326241881"/>
      <w:r>
        <w:rPr>
          <w:rFonts w:hint="eastAsia" w:ascii="宋体" w:hAnsi="宋体" w:eastAsia="宋体"/>
          <w:b/>
          <w:snapToGrid w:val="0"/>
          <w:color w:val="auto"/>
          <w:kern w:val="0"/>
          <w:highlight w:val="none"/>
        </w:rPr>
        <w:t>9</w:t>
      </w:r>
      <w:r>
        <w:rPr>
          <w:rFonts w:ascii="宋体" w:hAnsi="宋体" w:eastAsia="宋体"/>
          <w:b/>
          <w:snapToGrid w:val="0"/>
          <w:color w:val="auto"/>
          <w:kern w:val="0"/>
          <w:highlight w:val="none"/>
        </w:rPr>
        <w:t>. 联系方式</w:t>
      </w:r>
      <w:bookmarkEnd w:id="58"/>
      <w:bookmarkEnd w:id="59"/>
      <w:bookmarkEnd w:id="60"/>
      <w:bookmarkEnd w:id="61"/>
      <w:bookmarkEnd w:id="62"/>
      <w:bookmarkEnd w:id="63"/>
      <w:bookmarkEnd w:id="64"/>
    </w:p>
    <w:p w14:paraId="499F41D0">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招</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标</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人：</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ab/>
      </w:r>
      <w:r>
        <w:rPr>
          <w:rFonts w:ascii="宋体" w:hAnsi="宋体"/>
          <w:snapToGrid w:val="0"/>
          <w:color w:val="auto"/>
          <w:kern w:val="0"/>
          <w:sz w:val="24"/>
          <w:highlight w:val="none"/>
        </w:rPr>
        <w:t>招标代理机构</w:t>
      </w:r>
      <w:r>
        <w:rPr>
          <w:rFonts w:hint="eastAsia" w:ascii="宋体" w:hAnsi="宋体"/>
          <w:snapToGrid w:val="0"/>
          <w:color w:val="auto"/>
          <w:kern w:val="0"/>
          <w:sz w:val="24"/>
          <w:highlight w:val="none"/>
        </w:rPr>
        <w:t>：</w:t>
      </w:r>
      <w:r>
        <w:rPr>
          <w:rFonts w:hint="eastAsia" w:ascii="宋体" w:hAnsi="宋体"/>
          <w:snapToGrid w:val="0"/>
          <w:color w:val="auto"/>
          <w:kern w:val="0"/>
          <w:sz w:val="24"/>
          <w:highlight w:val="none"/>
          <w:u w:val="single"/>
        </w:rPr>
        <w:t xml:space="preserve">                       </w:t>
      </w:r>
    </w:p>
    <w:p w14:paraId="0BC35698">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地</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址：</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ab/>
      </w:r>
      <w:r>
        <w:rPr>
          <w:rFonts w:ascii="宋体" w:hAnsi="宋体"/>
          <w:snapToGrid w:val="0"/>
          <w:color w:val="auto"/>
          <w:kern w:val="0"/>
          <w:sz w:val="24"/>
          <w:highlight w:val="none"/>
        </w:rPr>
        <w:t>地</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址：</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4E18E5FC">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ab/>
      </w:r>
      <w:r>
        <w:rPr>
          <w:rFonts w:ascii="宋体" w:hAnsi="宋体"/>
          <w:snapToGrid w:val="0"/>
          <w:color w:val="auto"/>
          <w:kern w:val="0"/>
          <w:sz w:val="24"/>
          <w:highlight w:val="none"/>
        </w:rPr>
        <w:t>邮政编码：</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46133E86">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联</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系</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人：</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ab/>
      </w:r>
      <w:r>
        <w:rPr>
          <w:rFonts w:ascii="宋体" w:hAnsi="宋体"/>
          <w:snapToGrid w:val="0"/>
          <w:color w:val="auto"/>
          <w:kern w:val="0"/>
          <w:sz w:val="24"/>
          <w:highlight w:val="none"/>
        </w:rPr>
        <w:t>联</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系</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人：</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26CDD4C0">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电</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话：</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ab/>
      </w:r>
      <w:r>
        <w:rPr>
          <w:rFonts w:ascii="宋体" w:hAnsi="宋体"/>
          <w:snapToGrid w:val="0"/>
          <w:color w:val="auto"/>
          <w:kern w:val="0"/>
          <w:sz w:val="24"/>
          <w:highlight w:val="none"/>
        </w:rPr>
        <w:t>电</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话：</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74228E15">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传</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真：</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ab/>
      </w:r>
      <w:r>
        <w:rPr>
          <w:rFonts w:ascii="宋体" w:hAnsi="宋体"/>
          <w:snapToGrid w:val="0"/>
          <w:color w:val="auto"/>
          <w:kern w:val="0"/>
          <w:sz w:val="24"/>
          <w:highlight w:val="none"/>
        </w:rPr>
        <w:t>传</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真：</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69782AC1">
      <w:pPr>
        <w:tabs>
          <w:tab w:val="left" w:pos="480"/>
        </w:tabs>
        <w:adjustRightInd w:val="0"/>
        <w:snapToGrid w:val="0"/>
        <w:spacing w:line="360" w:lineRule="auto"/>
        <w:ind w:left="420" w:leftChars="200"/>
        <w:rPr>
          <w:rFonts w:ascii="宋体" w:hAnsi="宋体"/>
          <w:snapToGrid w:val="0"/>
          <w:color w:val="auto"/>
          <w:kern w:val="0"/>
          <w:sz w:val="24"/>
          <w:highlight w:val="none"/>
          <w:u w:val="single"/>
        </w:rPr>
      </w:pPr>
      <w:r>
        <w:rPr>
          <w:rFonts w:ascii="宋体" w:hAnsi="宋体"/>
          <w:snapToGrid w:val="0"/>
          <w:color w:val="auto"/>
          <w:kern w:val="0"/>
          <w:sz w:val="24"/>
          <w:highlight w:val="none"/>
        </w:rPr>
        <w:t>电子信箱：</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ab/>
      </w:r>
      <w:r>
        <w:rPr>
          <w:rFonts w:ascii="宋体" w:hAnsi="宋体"/>
          <w:snapToGrid w:val="0"/>
          <w:color w:val="auto"/>
          <w:kern w:val="0"/>
          <w:sz w:val="24"/>
          <w:highlight w:val="none"/>
        </w:rPr>
        <w:t>电子信箱：</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66C65F7F">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开</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户</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行：</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ab/>
      </w:r>
      <w:r>
        <w:rPr>
          <w:rFonts w:ascii="宋体" w:hAnsi="宋体"/>
          <w:snapToGrid w:val="0"/>
          <w:color w:val="auto"/>
          <w:kern w:val="0"/>
          <w:sz w:val="24"/>
          <w:highlight w:val="none"/>
        </w:rPr>
        <w:t>开</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户</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行：</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438AA15F">
      <w:pPr>
        <w:tabs>
          <w:tab w:val="left" w:pos="480"/>
        </w:tabs>
        <w:adjustRightInd w:val="0"/>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银行账号：</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ab/>
      </w:r>
      <w:r>
        <w:rPr>
          <w:rFonts w:ascii="宋体" w:hAnsi="宋体"/>
          <w:snapToGrid w:val="0"/>
          <w:color w:val="auto"/>
          <w:kern w:val="0"/>
          <w:sz w:val="24"/>
          <w:highlight w:val="none"/>
        </w:rPr>
        <w:t>银行账号：</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6C5302BB">
      <w:pPr>
        <w:tabs>
          <w:tab w:val="left" w:pos="480"/>
        </w:tabs>
        <w:adjustRightInd w:val="0"/>
        <w:spacing w:line="360" w:lineRule="auto"/>
        <w:rPr>
          <w:rFonts w:ascii="宋体" w:hAnsi="宋体"/>
          <w:snapToGrid w:val="0"/>
          <w:color w:val="auto"/>
          <w:kern w:val="0"/>
          <w:sz w:val="24"/>
          <w:highlight w:val="none"/>
        </w:rPr>
      </w:pPr>
    </w:p>
    <w:p w14:paraId="7B2A4E38">
      <w:pPr>
        <w:pStyle w:val="14"/>
        <w:spacing w:line="360" w:lineRule="auto"/>
        <w:ind w:firstLine="482"/>
        <w:rPr>
          <w:rFonts w:hAnsi="宋体"/>
          <w:b/>
          <w:color w:val="auto"/>
          <w:sz w:val="24"/>
          <w:szCs w:val="24"/>
          <w:highlight w:val="none"/>
        </w:rPr>
      </w:pPr>
      <w:r>
        <w:rPr>
          <w:rFonts w:hint="eastAsia" w:hAnsi="宋体"/>
          <w:b/>
          <w:color w:val="auto"/>
          <w:sz w:val="24"/>
          <w:szCs w:val="24"/>
          <w:highlight w:val="none"/>
        </w:rPr>
        <w:t>监督单位</w:t>
      </w:r>
      <w:r>
        <w:rPr>
          <w:rFonts w:hint="eastAsia" w:hAnsi="宋体"/>
          <w:color w:val="auto"/>
          <w:sz w:val="24"/>
          <w:szCs w:val="24"/>
          <w:highlight w:val="none"/>
        </w:rPr>
        <w:t>：</w:t>
      </w:r>
      <w:r>
        <w:rPr>
          <w:rFonts w:hint="eastAsia" w:hAnsi="宋体"/>
          <w:color w:val="auto"/>
          <w:sz w:val="24"/>
          <w:szCs w:val="24"/>
          <w:highlight w:val="none"/>
          <w:u w:val="single"/>
        </w:rPr>
        <w:t xml:space="preserve">                        </w:t>
      </w:r>
    </w:p>
    <w:p w14:paraId="683694F7">
      <w:pPr>
        <w:pStyle w:val="14"/>
        <w:spacing w:line="360" w:lineRule="auto"/>
        <w:ind w:firstLine="482"/>
        <w:rPr>
          <w:rFonts w:hAnsi="宋体"/>
          <w:color w:val="auto"/>
          <w:sz w:val="24"/>
          <w:szCs w:val="24"/>
          <w:highlight w:val="none"/>
          <w:u w:val="single"/>
        </w:rPr>
      </w:pPr>
      <w:r>
        <w:rPr>
          <w:rFonts w:hint="eastAsia" w:hAnsi="宋体"/>
          <w:b/>
          <w:color w:val="auto"/>
          <w:sz w:val="24"/>
          <w:szCs w:val="24"/>
          <w:highlight w:val="none"/>
        </w:rPr>
        <w:t>联系电话：</w:t>
      </w:r>
      <w:r>
        <w:rPr>
          <w:rFonts w:hint="eastAsia" w:hAnsi="宋体"/>
          <w:color w:val="auto"/>
          <w:sz w:val="24"/>
          <w:szCs w:val="24"/>
          <w:highlight w:val="none"/>
          <w:u w:val="single"/>
        </w:rPr>
        <w:t xml:space="preserve">                         </w:t>
      </w:r>
    </w:p>
    <w:p w14:paraId="36635609">
      <w:pPr>
        <w:pStyle w:val="14"/>
        <w:spacing w:line="360" w:lineRule="auto"/>
        <w:ind w:firstLine="480"/>
        <w:rPr>
          <w:rFonts w:hAnsi="宋体"/>
          <w:color w:val="auto"/>
          <w:sz w:val="24"/>
          <w:szCs w:val="24"/>
          <w:highlight w:val="none"/>
          <w:u w:val="single"/>
        </w:rPr>
      </w:pPr>
    </w:p>
    <w:p w14:paraId="6C5E038C">
      <w:pPr>
        <w:pStyle w:val="14"/>
        <w:spacing w:line="360" w:lineRule="auto"/>
        <w:ind w:firstLine="480"/>
        <w:rPr>
          <w:rFonts w:hAnsi="宋体"/>
          <w:color w:val="auto"/>
          <w:sz w:val="24"/>
          <w:szCs w:val="24"/>
          <w:highlight w:val="none"/>
          <w:u w:val="single"/>
        </w:rPr>
      </w:pPr>
      <w:r>
        <w:rPr>
          <w:rFonts w:hint="eastAsia" w:hAnsi="宋体"/>
          <w:color w:val="auto"/>
          <w:sz w:val="24"/>
          <w:szCs w:val="24"/>
          <w:highlight w:val="none"/>
          <w:u w:val="single"/>
        </w:rPr>
        <w:t xml:space="preserve">交易平台联系电话：                         </w:t>
      </w:r>
    </w:p>
    <w:p w14:paraId="3DA44D89">
      <w:pPr>
        <w:tabs>
          <w:tab w:val="left" w:pos="480"/>
        </w:tabs>
        <w:adjustRightInd w:val="0"/>
        <w:spacing w:line="360" w:lineRule="auto"/>
        <w:jc w:val="left"/>
        <w:rPr>
          <w:rFonts w:ascii="宋体" w:hAnsi="宋体"/>
          <w:snapToGrid w:val="0"/>
          <w:color w:val="auto"/>
          <w:kern w:val="0"/>
          <w:sz w:val="24"/>
          <w:highlight w:val="none"/>
        </w:rPr>
      </w:pPr>
    </w:p>
    <w:p w14:paraId="709B3F6B">
      <w:pPr>
        <w:tabs>
          <w:tab w:val="left" w:pos="480"/>
        </w:tabs>
        <w:adjustRightInd w:val="0"/>
        <w:spacing w:line="360" w:lineRule="auto"/>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月</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671E0D4E">
      <w:pPr>
        <w:tabs>
          <w:tab w:val="left" w:pos="480"/>
        </w:tabs>
        <w:adjustRightInd w:val="0"/>
        <w:jc w:val="center"/>
        <w:rPr>
          <w:rFonts w:ascii="宋体" w:hAnsi="宋体"/>
          <w:snapToGrid w:val="0"/>
          <w:color w:val="auto"/>
          <w:kern w:val="0"/>
          <w:sz w:val="24"/>
          <w:highlight w:val="none"/>
        </w:rPr>
      </w:pPr>
    </w:p>
    <w:p w14:paraId="49312FDA">
      <w:pPr>
        <w:pStyle w:val="3"/>
        <w:rPr>
          <w:rFonts w:eastAsia="宋体"/>
          <w:snapToGrid w:val="0"/>
          <w:color w:val="auto"/>
          <w:kern w:val="0"/>
          <w:highlight w:val="none"/>
        </w:rPr>
      </w:pPr>
      <w:r>
        <w:rPr>
          <w:rFonts w:eastAsia="宋体"/>
          <w:snapToGrid w:val="0"/>
          <w:color w:val="auto"/>
          <w:kern w:val="0"/>
          <w:sz w:val="24"/>
          <w:highlight w:val="none"/>
        </w:rPr>
        <w:br w:type="page"/>
      </w:r>
      <w:bookmarkStart w:id="65" w:name="_Toc488649878"/>
      <w:bookmarkStart w:id="66" w:name="_Toc346269449"/>
      <w:bookmarkStart w:id="67" w:name="_Toc335660689"/>
      <w:bookmarkStart w:id="68" w:name="_Toc335721916"/>
      <w:bookmarkStart w:id="69" w:name="_Toc326241882"/>
      <w:r>
        <w:rPr>
          <w:rFonts w:eastAsia="宋体"/>
          <w:snapToGrid w:val="0"/>
          <w:color w:val="auto"/>
          <w:kern w:val="0"/>
          <w:highlight w:val="none"/>
        </w:rPr>
        <w:t>第二章 投标人须知</w:t>
      </w:r>
      <w:bookmarkEnd w:id="65"/>
      <w:bookmarkEnd w:id="66"/>
      <w:bookmarkEnd w:id="67"/>
      <w:bookmarkEnd w:id="68"/>
      <w:bookmarkEnd w:id="69"/>
    </w:p>
    <w:p w14:paraId="779BADE5">
      <w:pPr>
        <w:pStyle w:val="92"/>
        <w:outlineLvl w:val="0"/>
        <w:rPr>
          <w:rFonts w:ascii="宋体" w:hAnsi="宋体" w:eastAsia="宋体"/>
          <w:snapToGrid w:val="0"/>
          <w:color w:val="auto"/>
          <w:kern w:val="0"/>
          <w:highlight w:val="none"/>
        </w:rPr>
      </w:pPr>
      <w:bookmarkStart w:id="70" w:name="_Toc346269450"/>
      <w:bookmarkStart w:id="71" w:name="_Toc488649879"/>
      <w:r>
        <w:rPr>
          <w:rFonts w:ascii="宋体" w:hAnsi="宋体" w:eastAsia="宋体"/>
          <w:snapToGrid w:val="0"/>
          <w:color w:val="auto"/>
          <w:kern w:val="0"/>
          <w:highlight w:val="none"/>
        </w:rPr>
        <w:t>投标人须知前附表</w:t>
      </w:r>
      <w:bookmarkEnd w:id="70"/>
      <w:bookmarkEnd w:id="71"/>
    </w:p>
    <w:p w14:paraId="353CA5F4">
      <w:pPr>
        <w:jc w:val="center"/>
        <w:rPr>
          <w:color w:val="auto"/>
          <w:highlight w:val="none"/>
        </w:rPr>
      </w:pPr>
      <w:r>
        <w:rPr>
          <w:rFonts w:hint="eastAsia"/>
          <w:color w:val="auto"/>
          <w:highlight w:val="none"/>
        </w:rPr>
        <w:t>（电子交易平台自动生成）</w:t>
      </w:r>
    </w:p>
    <w:p w14:paraId="195E6DE3">
      <w:pPr>
        <w:jc w:val="left"/>
        <w:rPr>
          <w:color w:val="auto"/>
          <w:highlight w:val="none"/>
        </w:rPr>
      </w:pPr>
      <w:r>
        <w:rPr>
          <w:rFonts w:hint="eastAsia"/>
          <w:color w:val="auto"/>
          <w:highlight w:val="none"/>
        </w:rPr>
        <w:t>说明：投标人须知前附表是投标人须知的修改和补充，不一致的以前附表内容为准。</w:t>
      </w:r>
    </w:p>
    <w:tbl>
      <w:tblPr>
        <w:tblStyle w:val="42"/>
        <w:tblW w:w="0" w:type="auto"/>
        <w:tblInd w:w="0" w:type="dxa"/>
        <w:tblLayout w:type="fixed"/>
        <w:tblCellMar>
          <w:top w:w="0" w:type="dxa"/>
          <w:left w:w="108" w:type="dxa"/>
          <w:bottom w:w="0" w:type="dxa"/>
          <w:right w:w="108" w:type="dxa"/>
        </w:tblCellMar>
      </w:tblPr>
      <w:tblGrid>
        <w:gridCol w:w="959"/>
        <w:gridCol w:w="3260"/>
        <w:gridCol w:w="5021"/>
      </w:tblGrid>
      <w:tr w14:paraId="0B05BE05">
        <w:tblPrEx>
          <w:tblCellMar>
            <w:top w:w="0" w:type="dxa"/>
            <w:left w:w="108" w:type="dxa"/>
            <w:bottom w:w="0" w:type="dxa"/>
            <w:right w:w="108" w:type="dxa"/>
          </w:tblCellMar>
        </w:tblPrEx>
        <w:trPr>
          <w:tblHeader/>
        </w:trPr>
        <w:tc>
          <w:tcPr>
            <w:tcW w:w="959" w:type="dxa"/>
            <w:tcBorders>
              <w:top w:val="single" w:color="auto" w:sz="4" w:space="0"/>
              <w:left w:val="single" w:color="auto" w:sz="4" w:space="0"/>
              <w:bottom w:val="single" w:color="auto" w:sz="4" w:space="0"/>
              <w:right w:val="single" w:color="auto" w:sz="4" w:space="0"/>
            </w:tcBorders>
            <w:vAlign w:val="center"/>
          </w:tcPr>
          <w:p w14:paraId="152AC780">
            <w:pPr>
              <w:tabs>
                <w:tab w:val="left" w:pos="480"/>
              </w:tabs>
              <w:adjustRightInd w:val="0"/>
              <w:snapToGrid w:val="0"/>
              <w:spacing w:before="38" w:beforeLines="16" w:after="38" w:afterLines="16"/>
              <w:jc w:val="center"/>
              <w:rPr>
                <w:rFonts w:ascii="宋体" w:hAnsi="宋体"/>
                <w:snapToGrid w:val="0"/>
                <w:color w:val="auto"/>
                <w:kern w:val="0"/>
                <w:szCs w:val="21"/>
                <w:highlight w:val="none"/>
              </w:rPr>
            </w:pPr>
            <w:r>
              <w:rPr>
                <w:rFonts w:ascii="宋体" w:hAnsi="宋体"/>
                <w:snapToGrid w:val="0"/>
                <w:color w:val="auto"/>
                <w:kern w:val="0"/>
                <w:szCs w:val="21"/>
                <w:highlight w:val="none"/>
              </w:rPr>
              <w:t>条款号</w:t>
            </w:r>
          </w:p>
        </w:tc>
        <w:tc>
          <w:tcPr>
            <w:tcW w:w="3260" w:type="dxa"/>
            <w:tcBorders>
              <w:top w:val="single" w:color="auto" w:sz="4" w:space="0"/>
              <w:left w:val="single" w:color="auto" w:sz="4" w:space="0"/>
              <w:bottom w:val="single" w:color="auto" w:sz="4" w:space="0"/>
              <w:right w:val="single" w:color="auto" w:sz="4" w:space="0"/>
            </w:tcBorders>
            <w:vAlign w:val="center"/>
          </w:tcPr>
          <w:p w14:paraId="39C003D7">
            <w:pPr>
              <w:tabs>
                <w:tab w:val="left" w:pos="480"/>
              </w:tabs>
              <w:adjustRightInd w:val="0"/>
              <w:snapToGrid w:val="0"/>
              <w:spacing w:before="38" w:beforeLines="16" w:after="38" w:afterLines="16"/>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5021" w:type="dxa"/>
            <w:tcBorders>
              <w:top w:val="single" w:color="auto" w:sz="4" w:space="0"/>
              <w:left w:val="single" w:color="auto" w:sz="4" w:space="0"/>
              <w:bottom w:val="single" w:color="auto" w:sz="4" w:space="0"/>
              <w:right w:val="single" w:color="auto" w:sz="4" w:space="0"/>
            </w:tcBorders>
            <w:vAlign w:val="center"/>
          </w:tcPr>
          <w:p w14:paraId="22AFAB08">
            <w:pPr>
              <w:tabs>
                <w:tab w:val="left" w:pos="480"/>
              </w:tabs>
              <w:adjustRightInd w:val="0"/>
              <w:snapToGrid w:val="0"/>
              <w:spacing w:before="38" w:beforeLines="16" w:after="38" w:afterLines="16"/>
              <w:jc w:val="center"/>
              <w:rPr>
                <w:rFonts w:ascii="宋体" w:hAnsi="宋体"/>
                <w:snapToGrid w:val="0"/>
                <w:color w:val="auto"/>
                <w:kern w:val="0"/>
                <w:szCs w:val="21"/>
                <w:highlight w:val="none"/>
              </w:rPr>
            </w:pPr>
            <w:r>
              <w:rPr>
                <w:rFonts w:ascii="宋体" w:hAnsi="宋体"/>
                <w:snapToGrid w:val="0"/>
                <w:color w:val="auto"/>
                <w:kern w:val="0"/>
                <w:szCs w:val="21"/>
                <w:highlight w:val="none"/>
              </w:rPr>
              <w:t>编列内容</w:t>
            </w:r>
          </w:p>
        </w:tc>
      </w:tr>
      <w:tr w14:paraId="10839A55">
        <w:tblPrEx>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14:paraId="421C55CF">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1.1.2</w:t>
            </w:r>
          </w:p>
        </w:tc>
        <w:tc>
          <w:tcPr>
            <w:tcW w:w="3260" w:type="dxa"/>
            <w:tcBorders>
              <w:top w:val="single" w:color="auto" w:sz="4" w:space="0"/>
              <w:left w:val="single" w:color="auto" w:sz="4" w:space="0"/>
              <w:bottom w:val="single" w:color="auto" w:sz="4" w:space="0"/>
              <w:right w:val="single" w:color="auto" w:sz="4" w:space="0"/>
            </w:tcBorders>
            <w:vAlign w:val="center"/>
          </w:tcPr>
          <w:p w14:paraId="36D313EF">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招标人</w:t>
            </w:r>
          </w:p>
        </w:tc>
        <w:tc>
          <w:tcPr>
            <w:tcW w:w="5021" w:type="dxa"/>
            <w:tcBorders>
              <w:top w:val="single" w:color="auto" w:sz="4" w:space="0"/>
              <w:left w:val="single" w:color="auto" w:sz="4" w:space="0"/>
              <w:bottom w:val="single" w:color="auto" w:sz="4" w:space="0"/>
              <w:right w:val="single" w:color="auto" w:sz="4" w:space="0"/>
            </w:tcBorders>
            <w:vAlign w:val="center"/>
          </w:tcPr>
          <w:p w14:paraId="3900DEA3">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名称：</w:t>
            </w:r>
            <w:r>
              <w:rPr>
                <w:rFonts w:hint="eastAsia" w:ascii="宋体" w:hAnsi="宋体"/>
                <w:snapToGrid w:val="0"/>
                <w:color w:val="auto"/>
                <w:kern w:val="0"/>
                <w:szCs w:val="21"/>
                <w:highlight w:val="none"/>
                <w:u w:val="single"/>
              </w:rPr>
              <w:t xml:space="preserve">                      </w:t>
            </w:r>
          </w:p>
          <w:p w14:paraId="27DBEC6F">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rPr>
              <w:t xml:space="preserve">                      </w:t>
            </w:r>
          </w:p>
          <w:p w14:paraId="0DF50EAC">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u w:val="single"/>
              </w:rPr>
              <w:t xml:space="preserve">                    </w:t>
            </w:r>
          </w:p>
          <w:p w14:paraId="1598CEBF">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电话：</w:t>
            </w:r>
            <w:r>
              <w:rPr>
                <w:rFonts w:hint="eastAsia" w:ascii="宋体" w:hAnsi="宋体"/>
                <w:snapToGrid w:val="0"/>
                <w:color w:val="auto"/>
                <w:kern w:val="0"/>
                <w:szCs w:val="21"/>
                <w:highlight w:val="none"/>
                <w:u w:val="single"/>
              </w:rPr>
              <w:t xml:space="preserve">                      </w:t>
            </w:r>
          </w:p>
          <w:p w14:paraId="01A3397A">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传真：</w:t>
            </w:r>
            <w:r>
              <w:rPr>
                <w:rFonts w:hint="eastAsia" w:ascii="宋体" w:hAnsi="宋体"/>
                <w:snapToGrid w:val="0"/>
                <w:color w:val="auto"/>
                <w:kern w:val="0"/>
                <w:szCs w:val="21"/>
                <w:highlight w:val="none"/>
                <w:u w:val="single"/>
              </w:rPr>
              <w:t xml:space="preserve">                      </w:t>
            </w:r>
          </w:p>
        </w:tc>
      </w:tr>
      <w:tr w14:paraId="535CDF70">
        <w:tblPrEx>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579BF005">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522E2A6">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招标代理机构</w:t>
            </w:r>
          </w:p>
        </w:tc>
        <w:tc>
          <w:tcPr>
            <w:tcW w:w="5021" w:type="dxa"/>
            <w:tcBorders>
              <w:top w:val="single" w:color="auto" w:sz="4" w:space="0"/>
              <w:left w:val="single" w:color="auto" w:sz="4" w:space="0"/>
              <w:bottom w:val="single" w:color="auto" w:sz="4" w:space="0"/>
              <w:right w:val="single" w:color="auto" w:sz="4" w:space="0"/>
            </w:tcBorders>
            <w:vAlign w:val="center"/>
          </w:tcPr>
          <w:p w14:paraId="31A274E4">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名称：</w:t>
            </w:r>
            <w:r>
              <w:rPr>
                <w:rFonts w:hint="eastAsia" w:ascii="宋体" w:hAnsi="宋体"/>
                <w:snapToGrid w:val="0"/>
                <w:color w:val="auto"/>
                <w:kern w:val="0"/>
                <w:szCs w:val="21"/>
                <w:highlight w:val="none"/>
                <w:u w:val="single"/>
              </w:rPr>
              <w:t xml:space="preserve">                      </w:t>
            </w:r>
          </w:p>
          <w:p w14:paraId="17FC2819">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地址：</w:t>
            </w:r>
            <w:r>
              <w:rPr>
                <w:rFonts w:hint="eastAsia" w:ascii="宋体" w:hAnsi="宋体"/>
                <w:snapToGrid w:val="0"/>
                <w:color w:val="auto"/>
                <w:kern w:val="0"/>
                <w:szCs w:val="21"/>
                <w:highlight w:val="none"/>
                <w:u w:val="single"/>
              </w:rPr>
              <w:t xml:space="preserve">                      </w:t>
            </w:r>
          </w:p>
          <w:p w14:paraId="346445CF">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联系人：</w:t>
            </w:r>
            <w:r>
              <w:rPr>
                <w:rFonts w:hint="eastAsia" w:ascii="宋体" w:hAnsi="宋体"/>
                <w:snapToGrid w:val="0"/>
                <w:color w:val="auto"/>
                <w:kern w:val="0"/>
                <w:szCs w:val="21"/>
                <w:highlight w:val="none"/>
                <w:u w:val="single"/>
              </w:rPr>
              <w:t xml:space="preserve">                    </w:t>
            </w:r>
          </w:p>
          <w:p w14:paraId="65B8C134">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电话：</w:t>
            </w:r>
            <w:r>
              <w:rPr>
                <w:rFonts w:hint="eastAsia" w:ascii="宋体" w:hAnsi="宋体"/>
                <w:snapToGrid w:val="0"/>
                <w:color w:val="auto"/>
                <w:kern w:val="0"/>
                <w:szCs w:val="21"/>
                <w:highlight w:val="none"/>
                <w:u w:val="single"/>
              </w:rPr>
              <w:t xml:space="preserve">                      </w:t>
            </w:r>
          </w:p>
          <w:p w14:paraId="3343E125">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传真：</w:t>
            </w:r>
            <w:r>
              <w:rPr>
                <w:rFonts w:hint="eastAsia" w:ascii="宋体" w:hAnsi="宋体"/>
                <w:snapToGrid w:val="0"/>
                <w:color w:val="auto"/>
                <w:kern w:val="0"/>
                <w:szCs w:val="21"/>
                <w:highlight w:val="none"/>
                <w:u w:val="single"/>
              </w:rPr>
              <w:t xml:space="preserve">                      </w:t>
            </w:r>
          </w:p>
        </w:tc>
      </w:tr>
      <w:tr w14:paraId="6BFFA149">
        <w:tblPrEx>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0F28038D">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D45FBA4">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项目名称</w:t>
            </w:r>
          </w:p>
        </w:tc>
        <w:tc>
          <w:tcPr>
            <w:tcW w:w="5021" w:type="dxa"/>
            <w:tcBorders>
              <w:top w:val="single" w:color="auto" w:sz="4" w:space="0"/>
              <w:left w:val="single" w:color="auto" w:sz="4" w:space="0"/>
              <w:bottom w:val="single" w:color="auto" w:sz="4" w:space="0"/>
              <w:right w:val="single" w:color="auto" w:sz="4" w:space="0"/>
            </w:tcBorders>
            <w:vAlign w:val="center"/>
          </w:tcPr>
          <w:p w14:paraId="7A89BEEF">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color w:val="auto"/>
                <w:szCs w:val="21"/>
                <w:highlight w:val="none"/>
                <w:u w:val="single"/>
              </w:rPr>
              <w:t xml:space="preserve">                       </w:t>
            </w:r>
          </w:p>
        </w:tc>
      </w:tr>
      <w:tr w14:paraId="33477A6F">
        <w:tblPrEx>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14:paraId="7373915E">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456E0EAB">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建设地点</w:t>
            </w:r>
          </w:p>
        </w:tc>
        <w:tc>
          <w:tcPr>
            <w:tcW w:w="5021" w:type="dxa"/>
            <w:tcBorders>
              <w:top w:val="single" w:color="auto" w:sz="4" w:space="0"/>
              <w:left w:val="single" w:color="auto" w:sz="4" w:space="0"/>
              <w:bottom w:val="single" w:color="auto" w:sz="4" w:space="0"/>
              <w:right w:val="single" w:color="auto" w:sz="4" w:space="0"/>
            </w:tcBorders>
            <w:vAlign w:val="center"/>
          </w:tcPr>
          <w:p w14:paraId="198D9E84">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color w:val="auto"/>
                <w:szCs w:val="21"/>
                <w:highlight w:val="none"/>
                <w:u w:val="single"/>
              </w:rPr>
              <w:t xml:space="preserve">                       </w:t>
            </w:r>
          </w:p>
        </w:tc>
      </w:tr>
      <w:tr w14:paraId="644D6EC5">
        <w:tblPrEx>
          <w:tblCellMar>
            <w:top w:w="0" w:type="dxa"/>
            <w:left w:w="108" w:type="dxa"/>
            <w:bottom w:w="0" w:type="dxa"/>
            <w:right w:w="108" w:type="dxa"/>
          </w:tblCellMar>
        </w:tblPrEx>
        <w:tc>
          <w:tcPr>
            <w:tcW w:w="959" w:type="dxa"/>
            <w:tcBorders>
              <w:left w:val="single" w:color="auto" w:sz="4" w:space="0"/>
              <w:bottom w:val="single" w:color="auto" w:sz="4" w:space="0"/>
              <w:right w:val="single" w:color="auto" w:sz="4" w:space="0"/>
            </w:tcBorders>
            <w:vAlign w:val="center"/>
          </w:tcPr>
          <w:p w14:paraId="50D39BC2">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1.12</w:t>
            </w:r>
          </w:p>
        </w:tc>
        <w:tc>
          <w:tcPr>
            <w:tcW w:w="3260" w:type="dxa"/>
            <w:tcBorders>
              <w:top w:val="single" w:color="auto" w:sz="4" w:space="0"/>
              <w:left w:val="single" w:color="auto" w:sz="4" w:space="0"/>
              <w:bottom w:val="single" w:color="auto" w:sz="4" w:space="0"/>
              <w:right w:val="single" w:color="auto" w:sz="4" w:space="0"/>
            </w:tcBorders>
            <w:vAlign w:val="center"/>
          </w:tcPr>
          <w:p w14:paraId="1C8FF3F5">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偏差</w:t>
            </w:r>
          </w:p>
        </w:tc>
        <w:tc>
          <w:tcPr>
            <w:tcW w:w="5021" w:type="dxa"/>
            <w:tcBorders>
              <w:top w:val="single" w:color="auto" w:sz="4" w:space="0"/>
              <w:left w:val="single" w:color="auto" w:sz="4" w:space="0"/>
              <w:bottom w:val="single" w:color="auto" w:sz="4" w:space="0"/>
              <w:right w:val="single" w:color="auto" w:sz="4" w:space="0"/>
            </w:tcBorders>
            <w:vAlign w:val="center"/>
          </w:tcPr>
          <w:p w14:paraId="14F81030">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color w:val="auto"/>
                <w:szCs w:val="21"/>
                <w:highlight w:val="none"/>
                <w:u w:val="single"/>
              </w:rPr>
              <w:t xml:space="preserve">                       </w:t>
            </w:r>
          </w:p>
        </w:tc>
      </w:tr>
      <w:tr w14:paraId="314C6843">
        <w:tblPrEx>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14:paraId="0E9E886E">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1.2</w:t>
            </w:r>
          </w:p>
        </w:tc>
        <w:tc>
          <w:tcPr>
            <w:tcW w:w="3260" w:type="dxa"/>
            <w:tcBorders>
              <w:top w:val="single" w:color="auto" w:sz="4" w:space="0"/>
              <w:left w:val="single" w:color="auto" w:sz="4" w:space="0"/>
              <w:bottom w:val="single" w:color="auto" w:sz="4" w:space="0"/>
              <w:right w:val="single" w:color="auto" w:sz="4" w:space="0"/>
            </w:tcBorders>
            <w:vAlign w:val="center"/>
          </w:tcPr>
          <w:p w14:paraId="2DCF809D">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资金来源</w:t>
            </w:r>
          </w:p>
        </w:tc>
        <w:tc>
          <w:tcPr>
            <w:tcW w:w="5021" w:type="dxa"/>
            <w:tcBorders>
              <w:top w:val="single" w:color="auto" w:sz="4" w:space="0"/>
              <w:left w:val="single" w:color="auto" w:sz="4" w:space="0"/>
              <w:bottom w:val="single" w:color="auto" w:sz="4" w:space="0"/>
              <w:right w:val="single" w:color="auto" w:sz="4" w:space="0"/>
            </w:tcBorders>
            <w:vAlign w:val="center"/>
          </w:tcPr>
          <w:p w14:paraId="20767B28">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color w:val="auto"/>
                <w:szCs w:val="21"/>
                <w:highlight w:val="none"/>
                <w:u w:val="single"/>
              </w:rPr>
              <w:t xml:space="preserve">                       </w:t>
            </w:r>
          </w:p>
        </w:tc>
      </w:tr>
      <w:tr w14:paraId="798FD69E">
        <w:tblPrEx>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14:paraId="52960DD8">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17181EA8">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资金落实情况</w:t>
            </w:r>
          </w:p>
        </w:tc>
        <w:tc>
          <w:tcPr>
            <w:tcW w:w="5021" w:type="dxa"/>
            <w:tcBorders>
              <w:top w:val="single" w:color="auto" w:sz="4" w:space="0"/>
              <w:left w:val="single" w:color="auto" w:sz="4" w:space="0"/>
              <w:bottom w:val="single" w:color="auto" w:sz="4" w:space="0"/>
              <w:right w:val="single" w:color="auto" w:sz="4" w:space="0"/>
            </w:tcBorders>
            <w:vAlign w:val="center"/>
          </w:tcPr>
          <w:p w14:paraId="2FF11E93">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color w:val="auto"/>
                <w:szCs w:val="21"/>
                <w:highlight w:val="none"/>
                <w:u w:val="single"/>
              </w:rPr>
              <w:t xml:space="preserve">                       </w:t>
            </w:r>
          </w:p>
        </w:tc>
      </w:tr>
      <w:tr w14:paraId="164284DF">
        <w:tblPrEx>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14:paraId="20824DB9">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1.3</w:t>
            </w:r>
          </w:p>
        </w:tc>
        <w:tc>
          <w:tcPr>
            <w:tcW w:w="3260" w:type="dxa"/>
            <w:tcBorders>
              <w:top w:val="single" w:color="auto" w:sz="4" w:space="0"/>
              <w:left w:val="single" w:color="auto" w:sz="4" w:space="0"/>
              <w:bottom w:val="single" w:color="auto" w:sz="4" w:space="0"/>
              <w:right w:val="single" w:color="auto" w:sz="4" w:space="0"/>
            </w:tcBorders>
            <w:vAlign w:val="center"/>
          </w:tcPr>
          <w:p w14:paraId="22E3D6F8">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招标范围</w:t>
            </w:r>
          </w:p>
        </w:tc>
        <w:tc>
          <w:tcPr>
            <w:tcW w:w="5021" w:type="dxa"/>
            <w:tcBorders>
              <w:top w:val="single" w:color="auto" w:sz="4" w:space="0"/>
              <w:left w:val="single" w:color="auto" w:sz="4" w:space="0"/>
              <w:bottom w:val="single" w:color="auto" w:sz="4" w:space="0"/>
              <w:right w:val="single" w:color="auto" w:sz="4" w:space="0"/>
            </w:tcBorders>
            <w:vAlign w:val="center"/>
          </w:tcPr>
          <w:p w14:paraId="5CEEE2F1">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 xml:space="preserve">勘察: </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rPr>
              <w:t xml:space="preserve">       </w:t>
            </w:r>
          </w:p>
          <w:p w14:paraId="43CCF987">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设计：</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rPr>
              <w:t xml:space="preserve"> </w:t>
            </w:r>
          </w:p>
          <w:p w14:paraId="084D11D1">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主要工作内容：</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rPr>
              <w:t xml:space="preserve">  </w:t>
            </w:r>
          </w:p>
          <w:p w14:paraId="5AE364B4">
            <w:pPr>
              <w:tabs>
                <w:tab w:val="left" w:pos="480"/>
              </w:tabs>
              <w:adjustRightInd w:val="0"/>
              <w:snapToGrid w:val="0"/>
              <w:spacing w:before="38" w:beforeLines="16" w:after="38" w:afterLines="16" w:line="360" w:lineRule="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其他：</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rPr>
              <w:t xml:space="preserve">                        </w:t>
            </w:r>
          </w:p>
        </w:tc>
      </w:tr>
      <w:tr w14:paraId="1C266BBE">
        <w:tblPrEx>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14:paraId="08E2921B">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21C07762">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勘察设计周期</w:t>
            </w:r>
          </w:p>
        </w:tc>
        <w:tc>
          <w:tcPr>
            <w:tcW w:w="5021" w:type="dxa"/>
            <w:tcBorders>
              <w:top w:val="single" w:color="auto" w:sz="4" w:space="0"/>
              <w:left w:val="single" w:color="auto" w:sz="4" w:space="0"/>
              <w:bottom w:val="single" w:color="auto" w:sz="4" w:space="0"/>
              <w:right w:val="single" w:color="auto" w:sz="4" w:space="0"/>
            </w:tcBorders>
            <w:vAlign w:val="center"/>
          </w:tcPr>
          <w:p w14:paraId="49E63679">
            <w:pPr>
              <w:tabs>
                <w:tab w:val="left" w:pos="480"/>
              </w:tabs>
              <w:adjustRightInd w:val="0"/>
              <w:snapToGrid w:val="0"/>
              <w:spacing w:before="38" w:beforeLines="16" w:after="38" w:afterLines="16" w:line="360" w:lineRule="auto"/>
              <w:rPr>
                <w:rFonts w:ascii="宋体" w:hAnsi="宋体"/>
                <w:snapToGrid w:val="0"/>
                <w:color w:val="auto"/>
                <w:kern w:val="0"/>
                <w:szCs w:val="21"/>
                <w:highlight w:val="none"/>
                <w:u w:val="single"/>
              </w:rPr>
            </w:pPr>
            <w:r>
              <w:rPr>
                <w:rFonts w:hint="eastAsia" w:ascii="宋体" w:hAnsi="宋体"/>
                <w:color w:val="auto"/>
                <w:szCs w:val="21"/>
                <w:highlight w:val="none"/>
                <w:u w:val="single"/>
              </w:rPr>
              <w:t xml:space="preserve">                       </w:t>
            </w:r>
          </w:p>
        </w:tc>
      </w:tr>
      <w:tr w14:paraId="28AFFA30">
        <w:tblPrEx>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14:paraId="1A9B450C">
            <w:pPr>
              <w:tabs>
                <w:tab w:val="left" w:pos="480"/>
              </w:tabs>
              <w:adjustRightInd w:val="0"/>
              <w:snapToGrid w:val="0"/>
              <w:spacing w:before="38" w:beforeLines="16" w:after="38" w:afterLines="16"/>
              <w:rPr>
                <w:rFonts w:ascii="宋体" w:hAnsi="宋体"/>
                <w:snapToGrid w:val="0"/>
                <w:color w:val="auto"/>
                <w:kern w:val="0"/>
                <w:szCs w:val="21"/>
                <w:highlight w:val="none"/>
              </w:rPr>
            </w:pPr>
          </w:p>
        </w:tc>
        <w:tc>
          <w:tcPr>
            <w:tcW w:w="3260" w:type="dxa"/>
            <w:tcBorders>
              <w:top w:val="single" w:color="auto" w:sz="4" w:space="0"/>
              <w:left w:val="single" w:color="auto" w:sz="4" w:space="0"/>
              <w:bottom w:val="single" w:color="auto" w:sz="4" w:space="0"/>
              <w:right w:val="single" w:color="auto" w:sz="4" w:space="0"/>
            </w:tcBorders>
            <w:vAlign w:val="center"/>
          </w:tcPr>
          <w:p w14:paraId="5CA6A93C">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质量要求</w:t>
            </w:r>
          </w:p>
        </w:tc>
        <w:tc>
          <w:tcPr>
            <w:tcW w:w="5021" w:type="dxa"/>
            <w:tcBorders>
              <w:top w:val="single" w:color="auto" w:sz="4" w:space="0"/>
              <w:left w:val="single" w:color="auto" w:sz="4" w:space="0"/>
              <w:bottom w:val="single" w:color="auto" w:sz="4" w:space="0"/>
              <w:right w:val="single" w:color="auto" w:sz="4" w:space="0"/>
            </w:tcBorders>
            <w:vAlign w:val="center"/>
          </w:tcPr>
          <w:p w14:paraId="3F3F11FF">
            <w:pPr>
              <w:tabs>
                <w:tab w:val="left" w:pos="480"/>
              </w:tabs>
              <w:adjustRightInd w:val="0"/>
              <w:snapToGrid w:val="0"/>
              <w:spacing w:before="38" w:beforeLines="16" w:after="38" w:afterLines="16" w:line="360" w:lineRule="auto"/>
              <w:rPr>
                <w:rFonts w:ascii="宋体" w:hAnsi="宋体"/>
                <w:snapToGrid w:val="0"/>
                <w:color w:val="auto"/>
                <w:kern w:val="0"/>
                <w:szCs w:val="21"/>
                <w:highlight w:val="none"/>
                <w:u w:val="single"/>
              </w:rPr>
            </w:pPr>
            <w:r>
              <w:rPr>
                <w:rFonts w:hint="eastAsia" w:ascii="宋体" w:hAnsi="宋体"/>
                <w:color w:val="auto"/>
                <w:szCs w:val="21"/>
                <w:highlight w:val="none"/>
                <w:u w:val="single"/>
              </w:rPr>
              <w:t xml:space="preserve">                       </w:t>
            </w:r>
          </w:p>
        </w:tc>
      </w:tr>
      <w:tr w14:paraId="2AC3E04E">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3A24A329">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1.4.1</w:t>
            </w:r>
          </w:p>
        </w:tc>
        <w:tc>
          <w:tcPr>
            <w:tcW w:w="3260" w:type="dxa"/>
            <w:tcBorders>
              <w:top w:val="single" w:color="auto" w:sz="4" w:space="0"/>
              <w:left w:val="single" w:color="auto" w:sz="4" w:space="0"/>
              <w:bottom w:val="single" w:color="auto" w:sz="4" w:space="0"/>
              <w:right w:val="single" w:color="auto" w:sz="4" w:space="0"/>
            </w:tcBorders>
            <w:vAlign w:val="center"/>
          </w:tcPr>
          <w:p w14:paraId="0F7E6ECC">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投标人资质条件、能力和信誉</w:t>
            </w:r>
          </w:p>
        </w:tc>
        <w:tc>
          <w:tcPr>
            <w:tcW w:w="5021" w:type="dxa"/>
            <w:tcBorders>
              <w:top w:val="single" w:color="auto" w:sz="4" w:space="0"/>
              <w:left w:val="single" w:color="auto" w:sz="4" w:space="0"/>
              <w:bottom w:val="single" w:color="auto" w:sz="4" w:space="0"/>
              <w:right w:val="single" w:color="auto" w:sz="4" w:space="0"/>
            </w:tcBorders>
            <w:vAlign w:val="center"/>
          </w:tcPr>
          <w:p w14:paraId="10A76241">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资质条件：</w:t>
            </w:r>
            <w:r>
              <w:rPr>
                <w:rFonts w:hint="eastAsia" w:ascii="宋体" w:hAnsi="宋体"/>
                <w:snapToGrid w:val="0"/>
                <w:color w:val="auto"/>
                <w:kern w:val="0"/>
                <w:szCs w:val="21"/>
                <w:highlight w:val="none"/>
              </w:rPr>
              <w:t>见附件1</w:t>
            </w:r>
          </w:p>
          <w:p w14:paraId="3B56DAB3">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业绩要求：</w:t>
            </w:r>
            <w:r>
              <w:rPr>
                <w:rFonts w:hint="eastAsia" w:ascii="宋体" w:hAnsi="宋体"/>
                <w:snapToGrid w:val="0"/>
                <w:color w:val="auto"/>
                <w:kern w:val="0"/>
                <w:szCs w:val="21"/>
                <w:highlight w:val="none"/>
              </w:rPr>
              <w:t>见附件2</w:t>
            </w:r>
          </w:p>
          <w:p w14:paraId="3BD433AA">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信誉要求：</w:t>
            </w:r>
            <w:r>
              <w:rPr>
                <w:rFonts w:hint="eastAsia" w:ascii="宋体" w:hAnsi="宋体"/>
                <w:snapToGrid w:val="0"/>
                <w:color w:val="auto"/>
                <w:kern w:val="0"/>
                <w:szCs w:val="21"/>
                <w:highlight w:val="none"/>
              </w:rPr>
              <w:t xml:space="preserve">见附件3 </w:t>
            </w:r>
          </w:p>
          <w:p w14:paraId="5DE1560C">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财务状况：</w:t>
            </w:r>
            <w:r>
              <w:rPr>
                <w:rFonts w:hint="eastAsia" w:ascii="宋体" w:hAnsi="宋体"/>
                <w:snapToGrid w:val="0"/>
                <w:color w:val="auto"/>
                <w:kern w:val="0"/>
                <w:szCs w:val="21"/>
                <w:highlight w:val="none"/>
              </w:rPr>
              <w:t>见附件4</w:t>
            </w:r>
          </w:p>
          <w:p w14:paraId="769B9122">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主要</w:t>
            </w:r>
            <w:r>
              <w:rPr>
                <w:rFonts w:ascii="宋体" w:hAnsi="宋体"/>
                <w:snapToGrid w:val="0"/>
                <w:color w:val="auto"/>
                <w:kern w:val="0"/>
                <w:szCs w:val="21"/>
                <w:highlight w:val="none"/>
              </w:rPr>
              <w:t>人员要求：</w:t>
            </w:r>
            <w:r>
              <w:rPr>
                <w:rFonts w:hint="eastAsia" w:ascii="宋体" w:hAnsi="宋体"/>
                <w:snapToGrid w:val="0"/>
                <w:color w:val="auto"/>
                <w:kern w:val="0"/>
                <w:szCs w:val="21"/>
                <w:highlight w:val="none"/>
              </w:rPr>
              <w:t>见附件5</w:t>
            </w:r>
          </w:p>
          <w:p w14:paraId="17059B4E">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其他要求：</w:t>
            </w:r>
            <w:r>
              <w:rPr>
                <w:rFonts w:hint="eastAsia" w:ascii="宋体" w:hAnsi="宋体"/>
                <w:snapToGrid w:val="0"/>
                <w:color w:val="auto"/>
                <w:kern w:val="0"/>
                <w:szCs w:val="21"/>
                <w:highlight w:val="none"/>
              </w:rPr>
              <w:t>见附件6</w:t>
            </w:r>
          </w:p>
        </w:tc>
      </w:tr>
      <w:tr w14:paraId="3D6014FA">
        <w:tblPrEx>
          <w:tblCellMar>
            <w:top w:w="0" w:type="dxa"/>
            <w:left w:w="108" w:type="dxa"/>
            <w:bottom w:w="0" w:type="dxa"/>
            <w:right w:w="108" w:type="dxa"/>
          </w:tblCellMar>
        </w:tblPrEx>
        <w:trPr>
          <w:trHeight w:val="478" w:hRule="atLeast"/>
        </w:trPr>
        <w:tc>
          <w:tcPr>
            <w:tcW w:w="959" w:type="dxa"/>
            <w:tcBorders>
              <w:top w:val="single" w:color="auto" w:sz="4" w:space="0"/>
              <w:left w:val="single" w:color="auto" w:sz="4" w:space="0"/>
              <w:bottom w:val="single" w:color="auto" w:sz="4" w:space="0"/>
              <w:right w:val="single" w:color="auto" w:sz="4" w:space="0"/>
            </w:tcBorders>
            <w:vAlign w:val="center"/>
          </w:tcPr>
          <w:p w14:paraId="10F2748E">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1.4.2</w:t>
            </w:r>
          </w:p>
        </w:tc>
        <w:tc>
          <w:tcPr>
            <w:tcW w:w="3260" w:type="dxa"/>
            <w:tcBorders>
              <w:top w:val="single" w:color="auto" w:sz="4" w:space="0"/>
              <w:left w:val="single" w:color="auto" w:sz="4" w:space="0"/>
              <w:bottom w:val="single" w:color="auto" w:sz="4" w:space="0"/>
              <w:right w:val="single" w:color="auto" w:sz="4" w:space="0"/>
            </w:tcBorders>
            <w:vAlign w:val="center"/>
          </w:tcPr>
          <w:p w14:paraId="6DFC6337">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联合体</w:t>
            </w:r>
          </w:p>
        </w:tc>
        <w:tc>
          <w:tcPr>
            <w:tcW w:w="5021" w:type="dxa"/>
            <w:tcBorders>
              <w:top w:val="single" w:color="auto" w:sz="4" w:space="0"/>
              <w:left w:val="single" w:color="auto" w:sz="4" w:space="0"/>
              <w:bottom w:val="single" w:color="auto" w:sz="4" w:space="0"/>
              <w:right w:val="single" w:color="auto" w:sz="4" w:space="0"/>
            </w:tcBorders>
            <w:vAlign w:val="center"/>
          </w:tcPr>
          <w:p w14:paraId="646CD518">
            <w:pPr>
              <w:numPr>
                <w:ilvl w:val="255"/>
                <w:numId w:val="0"/>
              </w:numPr>
              <w:tabs>
                <w:tab w:val="left" w:pos="480"/>
              </w:tabs>
              <w:adjustRightInd w:val="0"/>
              <w:snapToGrid w:val="0"/>
              <w:spacing w:before="38" w:beforeLines="16" w:after="38" w:afterLines="16"/>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□不接受</w:t>
            </w:r>
          </w:p>
          <w:p w14:paraId="4D80B6D7">
            <w:pPr>
              <w:numPr>
                <w:ilvl w:val="255"/>
                <w:numId w:val="0"/>
              </w:numPr>
              <w:tabs>
                <w:tab w:val="left" w:pos="480"/>
              </w:tabs>
              <w:adjustRightInd w:val="0"/>
              <w:snapToGrid w:val="0"/>
              <w:spacing w:before="38" w:beforeLines="16" w:after="38" w:afterLines="16"/>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□接受，应满足下列要求：</w:t>
            </w:r>
          </w:p>
          <w:p w14:paraId="2A5A0950">
            <w:pPr>
              <w:numPr>
                <w:ilvl w:val="0"/>
                <w:numId w:val="3"/>
              </w:numPr>
              <w:tabs>
                <w:tab w:val="left" w:pos="480"/>
              </w:tabs>
              <w:adjustRightInd w:val="0"/>
              <w:snapToGrid w:val="0"/>
              <w:spacing w:before="38" w:beforeLines="16" w:after="38" w:afterLines="16"/>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联合体所有成员数量不得超过</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家；</w:t>
            </w:r>
          </w:p>
          <w:p w14:paraId="70457465">
            <w:pPr>
              <w:numPr>
                <w:ilvl w:val="0"/>
                <w:numId w:val="3"/>
              </w:numPr>
              <w:tabs>
                <w:tab w:val="left" w:pos="480"/>
              </w:tabs>
              <w:adjustRightInd w:val="0"/>
              <w:snapToGrid w:val="0"/>
              <w:spacing w:before="38" w:beforeLines="16" w:after="38" w:afterLines="16"/>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投标人的信用等级按联合体牵头人的信用等级确定；</w:t>
            </w:r>
          </w:p>
          <w:p w14:paraId="1CCE45FC">
            <w:pPr>
              <w:numPr>
                <w:ilvl w:val="0"/>
                <w:numId w:val="3"/>
              </w:numPr>
              <w:tabs>
                <w:tab w:val="left" w:pos="480"/>
              </w:tabs>
              <w:adjustRightInd w:val="0"/>
              <w:snapToGrid w:val="0"/>
              <w:spacing w:before="38" w:beforeLines="16" w:after="38" w:afterLines="16"/>
              <w:rPr>
                <w:color w:val="auto"/>
                <w:highlight w:val="none"/>
              </w:rPr>
            </w:pPr>
            <w:r>
              <w:rPr>
                <w:rFonts w:hint="eastAsia" w:ascii="宋体" w:hAnsi="宋体" w:cs="宋体"/>
                <w:snapToGrid w:val="0"/>
                <w:color w:val="auto"/>
                <w:kern w:val="0"/>
                <w:szCs w:val="21"/>
                <w:highlight w:val="none"/>
              </w:rPr>
              <w:t>联合体要求：</w:t>
            </w:r>
            <w:r>
              <w:rPr>
                <w:rFonts w:hint="eastAsia" w:ascii="宋体" w:hAnsi="宋体"/>
                <w:color w:val="auto"/>
                <w:szCs w:val="21"/>
                <w:highlight w:val="none"/>
                <w:u w:val="single"/>
              </w:rPr>
              <w:t xml:space="preserve">                       </w:t>
            </w:r>
          </w:p>
        </w:tc>
      </w:tr>
      <w:tr w14:paraId="6DD219FA">
        <w:tblPrEx>
          <w:tblCellMar>
            <w:top w:w="0" w:type="dxa"/>
            <w:left w:w="108" w:type="dxa"/>
            <w:bottom w:w="0" w:type="dxa"/>
            <w:right w:w="108" w:type="dxa"/>
          </w:tblCellMar>
        </w:tblPrEx>
        <w:trPr>
          <w:trHeight w:val="533" w:hRule="atLeast"/>
        </w:trPr>
        <w:tc>
          <w:tcPr>
            <w:tcW w:w="959" w:type="dxa"/>
            <w:tcBorders>
              <w:top w:val="single" w:color="auto" w:sz="4" w:space="0"/>
              <w:left w:val="single" w:color="auto" w:sz="4" w:space="0"/>
              <w:bottom w:val="single" w:color="auto" w:sz="4" w:space="0"/>
              <w:right w:val="single" w:color="auto" w:sz="4" w:space="0"/>
            </w:tcBorders>
            <w:vAlign w:val="center"/>
          </w:tcPr>
          <w:p w14:paraId="20EDC404">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1.9.1</w:t>
            </w:r>
          </w:p>
        </w:tc>
        <w:tc>
          <w:tcPr>
            <w:tcW w:w="3260" w:type="dxa"/>
            <w:tcBorders>
              <w:top w:val="single" w:color="auto" w:sz="4" w:space="0"/>
              <w:left w:val="single" w:color="auto" w:sz="4" w:space="0"/>
              <w:bottom w:val="single" w:color="auto" w:sz="4" w:space="0"/>
              <w:right w:val="single" w:color="auto" w:sz="4" w:space="0"/>
            </w:tcBorders>
            <w:vAlign w:val="center"/>
          </w:tcPr>
          <w:p w14:paraId="34FA0CEF">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踏勘现场</w:t>
            </w:r>
          </w:p>
        </w:tc>
        <w:tc>
          <w:tcPr>
            <w:tcW w:w="5021" w:type="dxa"/>
            <w:tcBorders>
              <w:top w:val="single" w:color="auto" w:sz="4" w:space="0"/>
              <w:left w:val="single" w:color="auto" w:sz="4" w:space="0"/>
              <w:bottom w:val="single" w:color="auto" w:sz="4" w:space="0"/>
              <w:right w:val="single" w:color="auto" w:sz="4" w:space="0"/>
            </w:tcBorders>
            <w:vAlign w:val="center"/>
          </w:tcPr>
          <w:p w14:paraId="36002BD0">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不组织</w:t>
            </w:r>
          </w:p>
        </w:tc>
      </w:tr>
      <w:tr w14:paraId="213B6986">
        <w:tblPrEx>
          <w:tblCellMar>
            <w:top w:w="0" w:type="dxa"/>
            <w:left w:w="108" w:type="dxa"/>
            <w:bottom w:w="0" w:type="dxa"/>
            <w:right w:w="108" w:type="dxa"/>
          </w:tblCellMar>
        </w:tblPrEx>
        <w:trPr>
          <w:trHeight w:val="566" w:hRule="atLeast"/>
        </w:trPr>
        <w:tc>
          <w:tcPr>
            <w:tcW w:w="959" w:type="dxa"/>
            <w:tcBorders>
              <w:top w:val="single" w:color="auto" w:sz="4" w:space="0"/>
              <w:left w:val="single" w:color="auto" w:sz="4" w:space="0"/>
              <w:bottom w:val="single" w:color="auto" w:sz="4" w:space="0"/>
              <w:right w:val="single" w:color="auto" w:sz="4" w:space="0"/>
            </w:tcBorders>
            <w:vAlign w:val="center"/>
          </w:tcPr>
          <w:p w14:paraId="32F0DC51">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1.10</w:t>
            </w:r>
          </w:p>
        </w:tc>
        <w:tc>
          <w:tcPr>
            <w:tcW w:w="3260" w:type="dxa"/>
            <w:tcBorders>
              <w:top w:val="single" w:color="auto" w:sz="4" w:space="0"/>
              <w:left w:val="single" w:color="auto" w:sz="4" w:space="0"/>
              <w:bottom w:val="single" w:color="auto" w:sz="4" w:space="0"/>
              <w:right w:val="single" w:color="auto" w:sz="4" w:space="0"/>
            </w:tcBorders>
            <w:vAlign w:val="center"/>
          </w:tcPr>
          <w:p w14:paraId="0493F02A">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投标预备会</w:t>
            </w:r>
          </w:p>
        </w:tc>
        <w:tc>
          <w:tcPr>
            <w:tcW w:w="5021" w:type="dxa"/>
            <w:tcBorders>
              <w:top w:val="single" w:color="auto" w:sz="4" w:space="0"/>
              <w:left w:val="single" w:color="auto" w:sz="4" w:space="0"/>
              <w:bottom w:val="single" w:color="auto" w:sz="4" w:space="0"/>
              <w:right w:val="single" w:color="auto" w:sz="4" w:space="0"/>
            </w:tcBorders>
            <w:vAlign w:val="center"/>
          </w:tcPr>
          <w:p w14:paraId="34CDCDBD">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不召开</w:t>
            </w:r>
          </w:p>
        </w:tc>
      </w:tr>
      <w:tr w14:paraId="578FC2B1">
        <w:tblPrEx>
          <w:tblCellMar>
            <w:top w:w="0" w:type="dxa"/>
            <w:left w:w="108" w:type="dxa"/>
            <w:bottom w:w="0" w:type="dxa"/>
            <w:right w:w="108" w:type="dxa"/>
          </w:tblCellMar>
        </w:tblPrEx>
        <w:trPr>
          <w:trHeight w:val="491" w:hRule="atLeast"/>
        </w:trPr>
        <w:tc>
          <w:tcPr>
            <w:tcW w:w="959" w:type="dxa"/>
            <w:tcBorders>
              <w:top w:val="single" w:color="auto" w:sz="4" w:space="0"/>
              <w:left w:val="single" w:color="auto" w:sz="4" w:space="0"/>
              <w:bottom w:val="single" w:color="auto" w:sz="4" w:space="0"/>
              <w:right w:val="single" w:color="auto" w:sz="4" w:space="0"/>
            </w:tcBorders>
            <w:vAlign w:val="center"/>
          </w:tcPr>
          <w:p w14:paraId="1E0364B8">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highlight w:val="none"/>
              </w:rPr>
              <w:t>1.10.2</w:t>
            </w:r>
          </w:p>
        </w:tc>
        <w:tc>
          <w:tcPr>
            <w:tcW w:w="3260" w:type="dxa"/>
            <w:tcBorders>
              <w:top w:val="single" w:color="auto" w:sz="4" w:space="0"/>
              <w:left w:val="single" w:color="auto" w:sz="4" w:space="0"/>
              <w:bottom w:val="single" w:color="auto" w:sz="4" w:space="0"/>
              <w:right w:val="single" w:color="auto" w:sz="4" w:space="0"/>
            </w:tcBorders>
            <w:vAlign w:val="center"/>
          </w:tcPr>
          <w:p w14:paraId="7869C6DC">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投标人提出问题的截止时间</w:t>
            </w:r>
          </w:p>
        </w:tc>
        <w:tc>
          <w:tcPr>
            <w:tcW w:w="5021" w:type="dxa"/>
            <w:tcBorders>
              <w:top w:val="single" w:color="auto" w:sz="4" w:space="0"/>
              <w:left w:val="single" w:color="auto" w:sz="4" w:space="0"/>
              <w:bottom w:val="single" w:color="auto" w:sz="4" w:space="0"/>
              <w:right w:val="single" w:color="auto" w:sz="4" w:space="0"/>
            </w:tcBorders>
            <w:vAlign w:val="center"/>
          </w:tcPr>
          <w:p w14:paraId="302E33C3">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秒</w:t>
            </w:r>
          </w:p>
        </w:tc>
      </w:tr>
      <w:tr w14:paraId="5E40DAF1">
        <w:tblPrEx>
          <w:tblCellMar>
            <w:top w:w="0" w:type="dxa"/>
            <w:left w:w="108" w:type="dxa"/>
            <w:bottom w:w="0" w:type="dxa"/>
            <w:right w:w="108" w:type="dxa"/>
          </w:tblCellMar>
        </w:tblPrEx>
        <w:trPr>
          <w:trHeight w:val="491" w:hRule="atLeast"/>
        </w:trPr>
        <w:tc>
          <w:tcPr>
            <w:tcW w:w="959" w:type="dxa"/>
            <w:tcBorders>
              <w:top w:val="single" w:color="auto" w:sz="4" w:space="0"/>
              <w:left w:val="single" w:color="auto" w:sz="4" w:space="0"/>
              <w:bottom w:val="single" w:color="auto" w:sz="4" w:space="0"/>
              <w:right w:val="single" w:color="auto" w:sz="4" w:space="0"/>
            </w:tcBorders>
            <w:vAlign w:val="center"/>
          </w:tcPr>
          <w:p w14:paraId="75FE3900">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highlight w:val="none"/>
              </w:rPr>
              <w:t>1.10.4</w:t>
            </w:r>
          </w:p>
        </w:tc>
        <w:tc>
          <w:tcPr>
            <w:tcW w:w="3260" w:type="dxa"/>
            <w:tcBorders>
              <w:top w:val="single" w:color="auto" w:sz="4" w:space="0"/>
              <w:left w:val="single" w:color="auto" w:sz="4" w:space="0"/>
              <w:bottom w:val="single" w:color="auto" w:sz="4" w:space="0"/>
              <w:right w:val="single" w:color="auto" w:sz="4" w:space="0"/>
            </w:tcBorders>
            <w:vAlign w:val="center"/>
          </w:tcPr>
          <w:p w14:paraId="58463DAA">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招标人书面澄清的时间</w:t>
            </w:r>
          </w:p>
        </w:tc>
        <w:tc>
          <w:tcPr>
            <w:tcW w:w="5021" w:type="dxa"/>
            <w:tcBorders>
              <w:top w:val="single" w:color="auto" w:sz="4" w:space="0"/>
              <w:left w:val="single" w:color="auto" w:sz="4" w:space="0"/>
              <w:bottom w:val="single" w:color="auto" w:sz="4" w:space="0"/>
              <w:right w:val="single" w:color="auto" w:sz="4" w:space="0"/>
            </w:tcBorders>
            <w:vAlign w:val="center"/>
          </w:tcPr>
          <w:p w14:paraId="09007B87">
            <w:pPr>
              <w:tabs>
                <w:tab w:val="left" w:pos="480"/>
              </w:tabs>
              <w:adjustRightInd w:val="0"/>
              <w:snapToGrid w:val="0"/>
              <w:spacing w:before="38" w:beforeLines="16" w:after="38" w:afterLines="16"/>
              <w:rPr>
                <w:rFonts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秒之前</w:t>
            </w:r>
          </w:p>
        </w:tc>
      </w:tr>
      <w:tr w14:paraId="07E6E176">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1054223">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1.11</w:t>
            </w:r>
          </w:p>
        </w:tc>
        <w:tc>
          <w:tcPr>
            <w:tcW w:w="3260" w:type="dxa"/>
            <w:tcBorders>
              <w:top w:val="single" w:color="auto" w:sz="4" w:space="0"/>
              <w:left w:val="single" w:color="auto" w:sz="4" w:space="0"/>
              <w:bottom w:val="single" w:color="auto" w:sz="4" w:space="0"/>
              <w:right w:val="single" w:color="auto" w:sz="4" w:space="0"/>
            </w:tcBorders>
            <w:vAlign w:val="center"/>
          </w:tcPr>
          <w:p w14:paraId="14793D0D">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分包</w:t>
            </w:r>
          </w:p>
        </w:tc>
        <w:tc>
          <w:tcPr>
            <w:tcW w:w="5021" w:type="dxa"/>
            <w:tcBorders>
              <w:top w:val="single" w:color="auto" w:sz="4" w:space="0"/>
              <w:left w:val="single" w:color="auto" w:sz="4" w:space="0"/>
              <w:bottom w:val="single" w:color="auto" w:sz="4" w:space="0"/>
              <w:right w:val="single" w:color="auto" w:sz="4" w:space="0"/>
            </w:tcBorders>
            <w:vAlign w:val="center"/>
          </w:tcPr>
          <w:p w14:paraId="1ED65458">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□不允许</w:t>
            </w:r>
          </w:p>
          <w:p w14:paraId="57C1E4A4">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ascii="宋体" w:hAnsi="宋体"/>
                <w:snapToGrid w:val="0"/>
                <w:color w:val="auto"/>
                <w:kern w:val="0"/>
                <w:szCs w:val="21"/>
                <w:highlight w:val="none"/>
              </w:rPr>
              <w:t>□允许</w:t>
            </w:r>
            <w:r>
              <w:rPr>
                <w:rFonts w:hint="eastAsia" w:ascii="宋体" w:hAnsi="宋体"/>
                <w:snapToGrid w:val="0"/>
                <w:color w:val="auto"/>
                <w:kern w:val="0"/>
                <w:szCs w:val="21"/>
                <w:highlight w:val="none"/>
              </w:rPr>
              <w:t>，分包内容要求：</w:t>
            </w:r>
            <w:r>
              <w:rPr>
                <w:rFonts w:hint="eastAsia" w:ascii="宋体" w:hAnsi="宋体"/>
                <w:color w:val="auto"/>
                <w:szCs w:val="21"/>
                <w:highlight w:val="none"/>
                <w:u w:val="single"/>
              </w:rPr>
              <w:t xml:space="preserve">                       </w:t>
            </w:r>
          </w:p>
          <w:p w14:paraId="20D4263F">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分包人的资质要求：</w:t>
            </w:r>
            <w:r>
              <w:rPr>
                <w:rFonts w:hint="eastAsia" w:ascii="宋体" w:hAnsi="宋体"/>
                <w:color w:val="auto"/>
                <w:szCs w:val="21"/>
                <w:highlight w:val="none"/>
                <w:u w:val="single"/>
              </w:rPr>
              <w:t xml:space="preserve">                       </w:t>
            </w:r>
          </w:p>
        </w:tc>
      </w:tr>
      <w:tr w14:paraId="4F2534EA">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712A639">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2.2.1</w:t>
            </w:r>
          </w:p>
        </w:tc>
        <w:tc>
          <w:tcPr>
            <w:tcW w:w="3260" w:type="dxa"/>
            <w:tcBorders>
              <w:top w:val="single" w:color="auto" w:sz="4" w:space="0"/>
              <w:left w:val="single" w:color="auto" w:sz="4" w:space="0"/>
              <w:bottom w:val="single" w:color="auto" w:sz="4" w:space="0"/>
              <w:right w:val="single" w:color="auto" w:sz="4" w:space="0"/>
            </w:tcBorders>
            <w:vAlign w:val="center"/>
          </w:tcPr>
          <w:p w14:paraId="766A72D5">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投标人要求澄清招标文件的截止时间</w:t>
            </w:r>
          </w:p>
        </w:tc>
        <w:tc>
          <w:tcPr>
            <w:tcW w:w="5021" w:type="dxa"/>
            <w:tcBorders>
              <w:top w:val="single" w:color="auto" w:sz="4" w:space="0"/>
              <w:left w:val="single" w:color="auto" w:sz="4" w:space="0"/>
              <w:bottom w:val="single" w:color="auto" w:sz="4" w:space="0"/>
              <w:right w:val="single" w:color="auto" w:sz="4" w:space="0"/>
            </w:tcBorders>
            <w:vAlign w:val="center"/>
          </w:tcPr>
          <w:p w14:paraId="4C85BECF">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秒</w:t>
            </w:r>
          </w:p>
        </w:tc>
      </w:tr>
      <w:tr w14:paraId="53DF4667">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EC01D68">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2.2.2</w:t>
            </w:r>
          </w:p>
        </w:tc>
        <w:tc>
          <w:tcPr>
            <w:tcW w:w="3260" w:type="dxa"/>
            <w:tcBorders>
              <w:top w:val="single" w:color="auto" w:sz="4" w:space="0"/>
              <w:left w:val="single" w:color="auto" w:sz="4" w:space="0"/>
              <w:bottom w:val="single" w:color="auto" w:sz="4" w:space="0"/>
              <w:right w:val="single" w:color="auto" w:sz="4" w:space="0"/>
            </w:tcBorders>
            <w:vAlign w:val="center"/>
          </w:tcPr>
          <w:p w14:paraId="2FEEE475">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投标截止时间</w:t>
            </w:r>
          </w:p>
        </w:tc>
        <w:tc>
          <w:tcPr>
            <w:tcW w:w="5021" w:type="dxa"/>
            <w:tcBorders>
              <w:top w:val="single" w:color="auto" w:sz="4" w:space="0"/>
              <w:left w:val="single" w:color="auto" w:sz="4" w:space="0"/>
              <w:bottom w:val="single" w:color="auto" w:sz="4" w:space="0"/>
              <w:right w:val="single" w:color="auto" w:sz="4" w:space="0"/>
            </w:tcBorders>
            <w:vAlign w:val="center"/>
          </w:tcPr>
          <w:p w14:paraId="1F7407B7">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秒</w:t>
            </w:r>
          </w:p>
        </w:tc>
      </w:tr>
      <w:tr w14:paraId="3CBBF484">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5E3D677">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2.2.3</w:t>
            </w:r>
          </w:p>
        </w:tc>
        <w:tc>
          <w:tcPr>
            <w:tcW w:w="3260" w:type="dxa"/>
            <w:tcBorders>
              <w:top w:val="single" w:color="auto" w:sz="4" w:space="0"/>
              <w:left w:val="single" w:color="auto" w:sz="4" w:space="0"/>
              <w:bottom w:val="single" w:color="auto" w:sz="4" w:space="0"/>
              <w:right w:val="single" w:color="auto" w:sz="4" w:space="0"/>
            </w:tcBorders>
            <w:vAlign w:val="center"/>
          </w:tcPr>
          <w:p w14:paraId="277FD102">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投标人确认收到招标文件澄清的时间</w:t>
            </w:r>
          </w:p>
        </w:tc>
        <w:tc>
          <w:tcPr>
            <w:tcW w:w="5021" w:type="dxa"/>
            <w:tcBorders>
              <w:top w:val="single" w:color="auto" w:sz="4" w:space="0"/>
              <w:left w:val="single" w:color="auto" w:sz="4" w:space="0"/>
              <w:bottom w:val="single" w:color="auto" w:sz="4" w:space="0"/>
              <w:right w:val="single" w:color="auto" w:sz="4" w:space="0"/>
            </w:tcBorders>
            <w:vAlign w:val="center"/>
          </w:tcPr>
          <w:p w14:paraId="022DE9C4">
            <w:pPr>
              <w:tabs>
                <w:tab w:val="left" w:pos="480"/>
              </w:tabs>
              <w:adjustRightInd w:val="0"/>
              <w:snapToGrid w:val="0"/>
              <w:spacing w:before="38" w:beforeLines="16" w:after="38" w:afterLines="16"/>
              <w:rPr>
                <w:rFonts w:ascii="宋体" w:hAnsi="宋体"/>
                <w:snapToGrid w:val="0"/>
                <w:color w:val="auto"/>
                <w:kern w:val="0"/>
                <w:szCs w:val="21"/>
                <w:highlight w:val="none"/>
                <w:u w:val="single"/>
              </w:rPr>
            </w:pPr>
            <w:r>
              <w:rPr>
                <w:rFonts w:hint="eastAsia" w:ascii="宋体" w:hAnsi="宋体"/>
                <w:color w:val="auto"/>
                <w:szCs w:val="21"/>
                <w:highlight w:val="none"/>
              </w:rPr>
              <w:t>由</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rPr>
              <w:t>网上自行查询</w:t>
            </w:r>
            <w:r>
              <w:rPr>
                <w:rFonts w:hint="eastAsia" w:ascii="宋体" w:hAnsi="宋体"/>
                <w:color w:val="auto"/>
                <w:szCs w:val="21"/>
                <w:highlight w:val="none"/>
              </w:rPr>
              <w:t xml:space="preserve">，无需确认。    </w:t>
            </w:r>
          </w:p>
        </w:tc>
      </w:tr>
      <w:tr w14:paraId="4720DCB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4E37AA8">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2.3.2</w:t>
            </w:r>
          </w:p>
        </w:tc>
        <w:tc>
          <w:tcPr>
            <w:tcW w:w="3260" w:type="dxa"/>
            <w:tcBorders>
              <w:top w:val="single" w:color="auto" w:sz="4" w:space="0"/>
              <w:left w:val="single" w:color="auto" w:sz="4" w:space="0"/>
              <w:bottom w:val="single" w:color="auto" w:sz="4" w:space="0"/>
              <w:right w:val="single" w:color="auto" w:sz="4" w:space="0"/>
            </w:tcBorders>
            <w:vAlign w:val="center"/>
          </w:tcPr>
          <w:p w14:paraId="31101DCB">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投标人确认收到招标文件修改的时间</w:t>
            </w:r>
          </w:p>
        </w:tc>
        <w:tc>
          <w:tcPr>
            <w:tcW w:w="5021" w:type="dxa"/>
            <w:tcBorders>
              <w:top w:val="single" w:color="auto" w:sz="4" w:space="0"/>
              <w:left w:val="single" w:color="auto" w:sz="4" w:space="0"/>
              <w:bottom w:val="single" w:color="auto" w:sz="4" w:space="0"/>
              <w:right w:val="single" w:color="auto" w:sz="4" w:space="0"/>
            </w:tcBorders>
            <w:vAlign w:val="center"/>
          </w:tcPr>
          <w:p w14:paraId="2C1D56FD">
            <w:pPr>
              <w:tabs>
                <w:tab w:val="left" w:pos="480"/>
              </w:tabs>
              <w:adjustRightInd w:val="0"/>
              <w:snapToGrid w:val="0"/>
              <w:spacing w:before="38" w:beforeLines="16" w:after="38" w:afterLines="16"/>
              <w:rPr>
                <w:rFonts w:ascii="宋体" w:hAnsi="宋体"/>
                <w:snapToGrid w:val="0"/>
                <w:color w:val="auto"/>
                <w:kern w:val="0"/>
                <w:szCs w:val="21"/>
                <w:highlight w:val="none"/>
                <w:u w:val="single"/>
              </w:rPr>
            </w:pPr>
            <w:r>
              <w:rPr>
                <w:rFonts w:hint="eastAsia" w:ascii="宋体" w:hAnsi="宋体"/>
                <w:color w:val="auto"/>
                <w:szCs w:val="21"/>
                <w:highlight w:val="none"/>
              </w:rPr>
              <w:t>由</w:t>
            </w:r>
            <w:r>
              <w:rPr>
                <w:rFonts w:hint="eastAsia" w:ascii="宋体" w:hAnsi="宋体"/>
                <w:color w:val="auto"/>
                <w:szCs w:val="21"/>
                <w:highlight w:val="none"/>
                <w:u w:val="single"/>
              </w:rPr>
              <w:t xml:space="preserve">                 </w:t>
            </w:r>
            <w:r>
              <w:rPr>
                <w:rFonts w:hint="eastAsia" w:ascii="宋体" w:hAnsi="宋体"/>
                <w:snapToGrid w:val="0"/>
                <w:color w:val="auto"/>
                <w:kern w:val="0"/>
                <w:szCs w:val="21"/>
                <w:highlight w:val="none"/>
              </w:rPr>
              <w:t>网上自行查询</w:t>
            </w:r>
            <w:r>
              <w:rPr>
                <w:rFonts w:hint="eastAsia" w:ascii="宋体" w:hAnsi="宋体"/>
                <w:color w:val="auto"/>
                <w:szCs w:val="21"/>
                <w:highlight w:val="none"/>
              </w:rPr>
              <w:t xml:space="preserve">，无需确认。  </w:t>
            </w:r>
          </w:p>
        </w:tc>
      </w:tr>
      <w:tr w14:paraId="21736612">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1ADD336">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3.2.2</w:t>
            </w:r>
          </w:p>
        </w:tc>
        <w:tc>
          <w:tcPr>
            <w:tcW w:w="3260" w:type="dxa"/>
            <w:tcBorders>
              <w:top w:val="single" w:color="auto" w:sz="4" w:space="0"/>
              <w:left w:val="single" w:color="auto" w:sz="4" w:space="0"/>
              <w:bottom w:val="single" w:color="auto" w:sz="4" w:space="0"/>
              <w:right w:val="single" w:color="auto" w:sz="4" w:space="0"/>
            </w:tcBorders>
            <w:vAlign w:val="center"/>
          </w:tcPr>
          <w:p w14:paraId="4466075D">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最高投标报价限价</w:t>
            </w:r>
          </w:p>
        </w:tc>
        <w:tc>
          <w:tcPr>
            <w:tcW w:w="5021" w:type="dxa"/>
            <w:tcBorders>
              <w:top w:val="single" w:color="auto" w:sz="4" w:space="0"/>
              <w:left w:val="single" w:color="auto" w:sz="4" w:space="0"/>
              <w:bottom w:val="single" w:color="auto" w:sz="4" w:space="0"/>
              <w:right w:val="single" w:color="auto" w:sz="4" w:space="0"/>
            </w:tcBorders>
            <w:vAlign w:val="center"/>
          </w:tcPr>
          <w:p w14:paraId="2E6CD00E">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最高投标报价限价</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元</w:t>
            </w:r>
            <w:r>
              <w:rPr>
                <w:rFonts w:hint="eastAsia" w:ascii="宋体" w:hAnsi="宋体"/>
                <w:snapToGrid w:val="0"/>
                <w:color w:val="auto"/>
                <w:kern w:val="0"/>
                <w:szCs w:val="21"/>
                <w:highlight w:val="none"/>
              </w:rPr>
              <w:t>，其中勘察费最高投标报价限价</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元，设计费最高投标报价限价</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元。</w:t>
            </w:r>
          </w:p>
        </w:tc>
      </w:tr>
      <w:tr w14:paraId="049507C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19DE6E83">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3.3.1</w:t>
            </w:r>
          </w:p>
        </w:tc>
        <w:tc>
          <w:tcPr>
            <w:tcW w:w="3260" w:type="dxa"/>
            <w:tcBorders>
              <w:top w:val="single" w:color="auto" w:sz="4" w:space="0"/>
              <w:left w:val="single" w:color="auto" w:sz="4" w:space="0"/>
              <w:bottom w:val="single" w:color="auto" w:sz="4" w:space="0"/>
              <w:right w:val="single" w:color="auto" w:sz="4" w:space="0"/>
            </w:tcBorders>
            <w:vAlign w:val="center"/>
          </w:tcPr>
          <w:p w14:paraId="1FBC89DC">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投标有效期</w:t>
            </w:r>
          </w:p>
        </w:tc>
        <w:tc>
          <w:tcPr>
            <w:tcW w:w="5021" w:type="dxa"/>
            <w:tcBorders>
              <w:top w:val="single" w:color="auto" w:sz="4" w:space="0"/>
              <w:left w:val="single" w:color="auto" w:sz="4" w:space="0"/>
              <w:bottom w:val="single" w:color="auto" w:sz="4" w:space="0"/>
              <w:right w:val="single" w:color="auto" w:sz="4" w:space="0"/>
            </w:tcBorders>
            <w:vAlign w:val="center"/>
          </w:tcPr>
          <w:p w14:paraId="2EA920AB">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日历天（从投标截止之日算起）</w:t>
            </w:r>
          </w:p>
        </w:tc>
      </w:tr>
      <w:tr w14:paraId="53D1503A">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6DAB6106">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3.4.1</w:t>
            </w:r>
          </w:p>
        </w:tc>
        <w:tc>
          <w:tcPr>
            <w:tcW w:w="3260" w:type="dxa"/>
            <w:tcBorders>
              <w:top w:val="single" w:color="auto" w:sz="4" w:space="0"/>
              <w:left w:val="single" w:color="auto" w:sz="4" w:space="0"/>
              <w:bottom w:val="single" w:color="auto" w:sz="4" w:space="0"/>
              <w:right w:val="single" w:color="auto" w:sz="4" w:space="0"/>
            </w:tcBorders>
            <w:vAlign w:val="center"/>
          </w:tcPr>
          <w:p w14:paraId="33B72B20">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（投标保证金按照项目估算价的2%计算，最高不得超过80万元）</w:t>
            </w:r>
          </w:p>
        </w:tc>
        <w:tc>
          <w:tcPr>
            <w:tcW w:w="5021" w:type="dxa"/>
            <w:tcBorders>
              <w:top w:val="single" w:color="auto" w:sz="4" w:space="0"/>
              <w:left w:val="single" w:color="auto" w:sz="4" w:space="0"/>
              <w:bottom w:val="single" w:color="auto" w:sz="4" w:space="0"/>
              <w:right w:val="single" w:color="auto" w:sz="4" w:space="0"/>
            </w:tcBorders>
            <w:vAlign w:val="center"/>
          </w:tcPr>
          <w:p w14:paraId="6C2C3594">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olor w:val="auto"/>
                <w:szCs w:val="21"/>
                <w:highlight w:val="none"/>
              </w:rPr>
              <w:t>□</w:t>
            </w:r>
            <w:r>
              <w:rPr>
                <w:rFonts w:hint="eastAsia" w:ascii="宋体" w:hAnsi="宋体" w:cs="宋体"/>
                <w:color w:val="auto"/>
                <w:szCs w:val="21"/>
                <w:highlight w:val="none"/>
                <w:shd w:val="clear" w:color="auto" w:fill="auto"/>
              </w:rPr>
              <w:t>不要求。</w:t>
            </w:r>
          </w:p>
          <w:p w14:paraId="53CFEF36">
            <w:pPr>
              <w:wordWrap w:val="0"/>
              <w:adjustRightInd w:val="0"/>
              <w:snapToGrid w:val="0"/>
              <w:spacing w:before="32" w:beforeLines="10" w:afterLines="0" w:line="25" w:lineRule="atLeas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color w:val="auto"/>
                <w:szCs w:val="21"/>
                <w:highlight w:val="none"/>
              </w:rPr>
              <w:t>□</w:t>
            </w:r>
            <w:r>
              <w:rPr>
                <w:rFonts w:hint="eastAsia" w:ascii="宋体" w:hAnsi="宋体" w:cs="宋体"/>
                <w:color w:val="auto"/>
                <w:szCs w:val="21"/>
                <w:highlight w:val="none"/>
                <w:shd w:val="clear" w:color="auto" w:fill="auto"/>
              </w:rPr>
              <w:t>要求</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投标保证金为人民币</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w:t>
            </w:r>
            <w:r>
              <w:rPr>
                <w:rFonts w:hint="eastAsia" w:ascii="宋体" w:hAnsi="宋体" w:cs="宋体"/>
                <w:color w:val="auto"/>
                <w:szCs w:val="21"/>
                <w:highlight w:val="none"/>
                <w:shd w:val="clear" w:color="auto" w:fill="auto"/>
                <w:lang w:eastAsia="zh-CN"/>
              </w:rPr>
              <w:t>。</w:t>
            </w:r>
          </w:p>
          <w:p w14:paraId="436751CA">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rPr>
              <w:t>本招标项目</w:t>
            </w:r>
            <w:r>
              <w:rPr>
                <w:rFonts w:hint="eastAsia" w:ascii="宋体" w:hAnsi="宋体" w:cs="宋体"/>
                <w:color w:val="auto"/>
                <w:szCs w:val="21"/>
                <w:highlight w:val="none"/>
                <w:u w:val="single"/>
                <w:shd w:val="clear" w:color="auto" w:fill="auto"/>
              </w:rPr>
              <w:t>□ 不接受  □ 接受</w:t>
            </w:r>
            <w:r>
              <w:rPr>
                <w:rFonts w:hint="eastAsia" w:ascii="宋体" w:hAnsi="宋体" w:cs="宋体"/>
                <w:color w:val="auto"/>
                <w:szCs w:val="21"/>
                <w:highlight w:val="none"/>
                <w:shd w:val="clear" w:color="auto" w:fill="auto"/>
              </w:rPr>
              <w:t>投标保证金减缴：</w:t>
            </w:r>
          </w:p>
          <w:p w14:paraId="0A971C48">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rPr>
              <w:t>水运项目：</w:t>
            </w:r>
            <w:r>
              <w:rPr>
                <w:rFonts w:hint="eastAsia" w:ascii="宋体" w:hAnsi="宋体" w:cs="宋体"/>
                <w:color w:val="auto"/>
                <w:szCs w:val="21"/>
                <w:highlight w:val="none"/>
                <w:shd w:val="clear" w:color="auto" w:fill="auto"/>
              </w:rPr>
              <w:t>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 xml:space="preserve">为 </w:t>
            </w:r>
            <w:r>
              <w:rPr>
                <w:rFonts w:hint="eastAsia" w:ascii="宋体" w:hAnsi="宋体" w:cs="宋体"/>
                <w:color w:val="auto"/>
                <w:szCs w:val="21"/>
                <w:highlight w:val="none"/>
                <w:shd w:val="clear" w:color="auto" w:fill="auto"/>
                <w:lang w:val="en-US" w:eastAsia="zh-CN"/>
              </w:rPr>
              <w:t>A</w:t>
            </w:r>
            <w:r>
              <w:rPr>
                <w:rFonts w:hint="eastAsia" w:ascii="宋体" w:hAnsi="宋体" w:cs="宋体"/>
                <w:color w:val="auto"/>
                <w:szCs w:val="21"/>
                <w:highlight w:val="none"/>
                <w:shd w:val="clear" w:color="auto" w:fill="auto"/>
              </w:rPr>
              <w:t>A级的，缴交投标保证金为招标文件要求金额的50%，即（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为</w:t>
            </w:r>
            <w:r>
              <w:rPr>
                <w:rFonts w:hint="eastAsia" w:ascii="宋体" w:hAnsi="宋体" w:cs="宋体"/>
                <w:color w:val="auto"/>
                <w:szCs w:val="21"/>
                <w:highlight w:val="none"/>
                <w:shd w:val="clear" w:color="auto" w:fill="auto"/>
                <w:lang w:eastAsia="zh-CN"/>
              </w:rPr>
              <w:t>A</w:t>
            </w:r>
            <w:r>
              <w:rPr>
                <w:rFonts w:hint="eastAsia" w:ascii="宋体" w:hAnsi="宋体" w:cs="宋体"/>
                <w:color w:val="auto"/>
                <w:szCs w:val="21"/>
                <w:highlight w:val="none"/>
                <w:shd w:val="clear" w:color="auto" w:fill="auto"/>
              </w:rPr>
              <w:t>级的，缴交投标保证金为招标文件要求金额的75%，即（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w:t>
            </w:r>
          </w:p>
          <w:p w14:paraId="65E57957">
            <w:pPr>
              <w:wordWrap w:val="0"/>
              <w:adjustRightInd w:val="0"/>
              <w:snapToGrid w:val="0"/>
              <w:spacing w:before="32" w:beforeLines="10" w:afterLines="0" w:line="25" w:lineRule="atLeast"/>
              <w:ind w:firstLine="420" w:firstLineChars="200"/>
              <w:rPr>
                <w:rFonts w:hint="eastAsia" w:ascii="宋体" w:hAnsi="宋体"/>
                <w:snapToGrid w:val="0"/>
                <w:color w:val="auto"/>
                <w:kern w:val="0"/>
                <w:szCs w:val="21"/>
                <w:highlight w:val="none"/>
              </w:rPr>
            </w:pPr>
            <w:r>
              <w:rPr>
                <w:rFonts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rPr>
              <w:t>涉海项目：</w:t>
            </w:r>
          </w:p>
          <w:p w14:paraId="0F8CDEA7">
            <w:pPr>
              <w:wordWrap w:val="0"/>
              <w:adjustRightInd w:val="0"/>
              <w:snapToGrid w:val="0"/>
              <w:spacing w:before="32" w:beforeLines="10" w:afterLines="0" w:line="25" w:lineRule="atLeas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投</w:t>
            </w:r>
            <w:r>
              <w:rPr>
                <w:rFonts w:hint="eastAsia" w:ascii="宋体" w:hAnsi="宋体" w:cs="宋体"/>
                <w:color w:val="auto"/>
                <w:szCs w:val="21"/>
                <w:highlight w:val="none"/>
                <w:shd w:val="clear" w:color="auto" w:fill="auto"/>
              </w:rPr>
              <w:t>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 xml:space="preserve">为 </w:t>
            </w:r>
            <w:r>
              <w:rPr>
                <w:rFonts w:hint="eastAsia" w:ascii="宋体" w:hAnsi="宋体" w:cs="宋体"/>
                <w:color w:val="auto"/>
                <w:szCs w:val="21"/>
                <w:highlight w:val="none"/>
                <w:shd w:val="clear" w:color="auto" w:fill="auto"/>
                <w:lang w:val="en-US" w:eastAsia="zh-CN"/>
              </w:rPr>
              <w:t>A</w:t>
            </w:r>
            <w:r>
              <w:rPr>
                <w:rFonts w:hint="eastAsia" w:ascii="宋体" w:hAnsi="宋体" w:cs="宋体"/>
                <w:color w:val="auto"/>
                <w:szCs w:val="21"/>
                <w:highlight w:val="none"/>
                <w:shd w:val="clear" w:color="auto" w:fill="auto"/>
              </w:rPr>
              <w:t>A级的，缴交投标保证金为招标文件要求金额的50%，即（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为</w:t>
            </w:r>
            <w:r>
              <w:rPr>
                <w:rFonts w:hint="eastAsia" w:ascii="宋体" w:hAnsi="宋体" w:cs="宋体"/>
                <w:color w:val="auto"/>
                <w:szCs w:val="21"/>
                <w:highlight w:val="none"/>
                <w:shd w:val="clear" w:color="auto" w:fill="auto"/>
                <w:lang w:eastAsia="zh-CN"/>
              </w:rPr>
              <w:t>A</w:t>
            </w:r>
            <w:r>
              <w:rPr>
                <w:rFonts w:hint="eastAsia" w:ascii="宋体" w:hAnsi="宋体" w:cs="宋体"/>
                <w:color w:val="auto"/>
                <w:szCs w:val="21"/>
                <w:highlight w:val="none"/>
                <w:shd w:val="clear" w:color="auto" w:fill="auto"/>
              </w:rPr>
              <w:t>级的，缴交投标保证金为招标文件要求金额的75%，即（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w:t>
            </w:r>
          </w:p>
          <w:p w14:paraId="65F454C8">
            <w:pPr>
              <w:pStyle w:val="14"/>
              <w:adjustRightInd w:val="0"/>
              <w:snapToGrid w:val="0"/>
              <w:spacing w:before="32" w:beforeLines="10" w:afterLines="0" w:line="25" w:lineRule="atLeast"/>
              <w:ind w:firstLineChars="200"/>
              <w:rPr>
                <w:color w:val="auto"/>
                <w:highlight w:val="none"/>
              </w:rPr>
            </w:pPr>
            <w:r>
              <w:rPr>
                <w:rFonts w:hint="eastAsia" w:hAnsi="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投标人最近期厦门市建筑施工企业信用综合评价等级为 A 级的，缴交投标保证金为招标文件要求金额的50%，即（</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万元人民币）；投标人最近期厦门市建筑施工企业信用综合评价等级为 BB+级的，缴交投标保证金为招标文件要求金额的75%，即（</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万元人民币）。</w:t>
            </w:r>
          </w:p>
          <w:p w14:paraId="05A95CCB">
            <w:pPr>
              <w:pStyle w:val="2"/>
              <w:numPr>
                <w:ilvl w:val="0"/>
                <w:numId w:val="0"/>
              </w:numPr>
              <w:wordWrap w:val="0"/>
              <w:adjustRightInd w:val="0"/>
              <w:snapToGrid w:val="0"/>
              <w:spacing w:before="32" w:beforeLines="10" w:afterLines="0" w:line="300" w:lineRule="auto"/>
              <w:ind w:firstLine="420" w:firstLineChars="200"/>
              <w:rPr>
                <w:rFonts w:hint="eastAsia" w:ascii="宋体" w:hAnsi="宋体" w:cs="宋体"/>
                <w:color w:val="auto"/>
                <w:szCs w:val="21"/>
                <w:highlight w:val="none"/>
                <w:shd w:val="clear" w:color="auto" w:fill="auto"/>
                <w:lang w:eastAsia="zh-CN"/>
              </w:rPr>
            </w:pPr>
            <w:r>
              <w:rPr>
                <w:rFonts w:hint="eastAsia" w:ascii="宋体" w:hAnsi="宋体" w:eastAsia="宋体" w:cs="宋体"/>
                <w:color w:val="auto"/>
                <w:sz w:val="21"/>
                <w:szCs w:val="21"/>
                <w:highlight w:val="none"/>
              </w:rPr>
              <w:t>以联合体参与投标的，</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投标人的企业信用综合评价</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按联合体</w:t>
            </w:r>
            <w:r>
              <w:rPr>
                <w:rFonts w:hint="eastAsia" w:ascii="宋体" w:hAnsi="宋体" w:eastAsia="宋体" w:cs="宋体"/>
                <w:color w:val="auto"/>
                <w:sz w:val="21"/>
                <w:szCs w:val="21"/>
                <w:highlight w:val="none"/>
                <w:lang w:val="en-US" w:eastAsia="zh-CN"/>
              </w:rPr>
              <w:t>牵头人的信用等级</w:t>
            </w:r>
            <w:r>
              <w:rPr>
                <w:rFonts w:hint="eastAsia" w:ascii="宋体" w:hAnsi="宋体" w:eastAsia="宋体" w:cs="宋体"/>
                <w:color w:val="auto"/>
                <w:sz w:val="21"/>
                <w:szCs w:val="21"/>
                <w:highlight w:val="none"/>
              </w:rPr>
              <w:t>确定。</w:t>
            </w:r>
          </w:p>
          <w:p w14:paraId="2A202705">
            <w:pPr>
              <w:wordWrap/>
              <w:adjustRightInd w:val="0"/>
              <w:snapToGrid w:val="0"/>
              <w:spacing w:before="32" w:beforeLines="10" w:afterLines="0" w:line="25" w:lineRule="atLeast"/>
              <w:ind w:firstLine="420" w:firstLineChars="200"/>
              <w:textAlignment w:val="auto"/>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rPr>
              <w:t>投标人可选择下列其中一种投标保证金形式</w:t>
            </w:r>
            <w:r>
              <w:rPr>
                <w:rStyle w:val="49"/>
                <w:rFonts w:hint="eastAsia" w:ascii="宋体" w:hAnsi="宋体" w:cs="宋体"/>
                <w:color w:val="auto"/>
                <w:szCs w:val="21"/>
                <w:highlight w:val="none"/>
                <w:shd w:val="clear" w:color="auto" w:fill="auto"/>
              </w:rPr>
              <w:footnoteReference w:id="1"/>
            </w:r>
            <w:r>
              <w:rPr>
                <w:rFonts w:hint="eastAsia" w:ascii="宋体" w:hAnsi="宋体" w:cs="宋体"/>
                <w:color w:val="auto"/>
                <w:szCs w:val="21"/>
                <w:highlight w:val="none"/>
                <w:shd w:val="clear" w:color="auto" w:fill="auto"/>
              </w:rPr>
              <w:t>：</w:t>
            </w:r>
            <w:r>
              <w:rPr>
                <w:rFonts w:hint="eastAsia" w:ascii="宋体" w:hAnsi="宋体" w:cs="宋体"/>
                <w:color w:val="auto"/>
                <w:sz w:val="21"/>
                <w:szCs w:val="21"/>
                <w:highlight w:val="none"/>
                <w:u w:val="single"/>
                <w:lang w:val="en-US" w:eastAsia="zh-CN"/>
              </w:rPr>
              <w:t>本</w:t>
            </w:r>
            <w:r>
              <w:rPr>
                <w:rFonts w:hint="eastAsia" w:cs="宋体"/>
                <w:color w:val="auto"/>
                <w:sz w:val="21"/>
                <w:szCs w:val="21"/>
                <w:highlight w:val="none"/>
                <w:u w:val="single"/>
                <w:lang w:val="en-US" w:eastAsia="zh-CN"/>
              </w:rPr>
              <w:t>招标</w:t>
            </w:r>
            <w:r>
              <w:rPr>
                <w:rFonts w:hint="eastAsia" w:ascii="宋体" w:hAnsi="宋体" w:cs="宋体"/>
                <w:color w:val="auto"/>
                <w:sz w:val="21"/>
                <w:szCs w:val="21"/>
                <w:highlight w:val="none"/>
                <w:u w:val="single"/>
                <w:lang w:val="en-US" w:eastAsia="zh-CN"/>
              </w:rPr>
              <w:t>项目投标截止时没有被列为招投标重点监管对象的投标人可以使用下列第</w:t>
            </w:r>
            <w:r>
              <w:rPr>
                <w:rFonts w:hint="eastAsia" w:cs="宋体"/>
                <w:color w:val="auto"/>
                <w:sz w:val="21"/>
                <w:szCs w:val="21"/>
                <w:highlight w:val="none"/>
                <w:u w:val="single"/>
                <w:lang w:val="en-US" w:eastAsia="zh-CN"/>
              </w:rPr>
              <w:t>□①、□②、□③、□④、□⑤、□⑥</w:t>
            </w:r>
            <w:r>
              <w:rPr>
                <w:rFonts w:hint="eastAsia" w:ascii="宋体" w:hAnsi="宋体" w:cs="宋体"/>
                <w:color w:val="auto"/>
                <w:sz w:val="21"/>
                <w:szCs w:val="21"/>
                <w:highlight w:val="none"/>
                <w:u w:val="single"/>
                <w:lang w:val="en-US" w:eastAsia="zh-CN"/>
              </w:rPr>
              <w:t>种形式提交；</w:t>
            </w:r>
          </w:p>
          <w:p w14:paraId="772B792B">
            <w:pPr>
              <w:wordWrap w:val="0"/>
              <w:adjustRightInd w:val="0"/>
              <w:snapToGrid w:val="0"/>
              <w:spacing w:before="32" w:beforeLines="10" w:afterLines="0" w:line="25" w:lineRule="atLeast"/>
              <w:ind w:firstLine="210" w:firstLineChars="100"/>
              <w:rPr>
                <w:rFonts w:hint="eastAsia" w:ascii="宋体" w:hAnsi="宋体" w:eastAsia="宋体" w:cs="宋体"/>
                <w:color w:val="auto"/>
                <w:szCs w:val="21"/>
                <w:highlight w:val="none"/>
                <w:u w:val="single"/>
                <w:shd w:val="clear" w:color="auto" w:fill="auto"/>
                <w:lang w:val="en-US" w:eastAsia="zh-CN"/>
              </w:rPr>
            </w:pPr>
            <w:r>
              <w:rPr>
                <w:rFonts w:hint="eastAsia" w:ascii="宋体" w:hAnsi="宋体" w:cs="宋体"/>
                <w:color w:val="auto"/>
                <w:szCs w:val="21"/>
                <w:highlight w:val="none"/>
                <w:u w:val="single"/>
                <w:shd w:val="clear" w:color="auto" w:fill="auto"/>
                <w:lang w:val="en-US" w:eastAsia="zh-CN"/>
              </w:rPr>
              <w:t>①</w:t>
            </w:r>
            <w:r>
              <w:rPr>
                <w:rFonts w:hint="eastAsia" w:ascii="宋体" w:hAnsi="宋体" w:cs="宋体"/>
                <w:color w:val="auto"/>
                <w:szCs w:val="21"/>
                <w:highlight w:val="none"/>
                <w:u w:val="single"/>
                <w:shd w:val="clear" w:color="auto" w:fill="auto"/>
              </w:rPr>
              <w:t>采用现金</w:t>
            </w:r>
            <w:r>
              <w:rPr>
                <w:rFonts w:hint="eastAsia" w:ascii="宋体" w:hAnsi="宋体" w:cs="宋体"/>
                <w:color w:val="auto"/>
                <w:szCs w:val="21"/>
                <w:highlight w:val="none"/>
                <w:u w:val="single"/>
                <w:shd w:val="clear" w:color="auto" w:fill="auto"/>
                <w:lang w:val="en-US" w:eastAsia="zh-CN"/>
              </w:rPr>
              <w:t>形式</w:t>
            </w:r>
          </w:p>
          <w:p w14:paraId="6E216AE8">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应在投标截止时间之前从投标人所在地银行的投标人企业基本账户以电汇或银行转账的形式，汇到招标文件指定的投标保证金账户，并应在电汇或银行转账单上注明</w:t>
            </w:r>
            <w:r>
              <w:rPr>
                <w:rFonts w:hint="eastAsia" w:ascii="宋体" w:hAnsi="宋体" w:cs="宋体"/>
                <w:color w:val="auto"/>
                <w:szCs w:val="21"/>
                <w:highlight w:val="none"/>
                <w:u w:val="single"/>
                <w:shd w:val="clear" w:color="auto" w:fill="auto"/>
              </w:rPr>
              <w:t xml:space="preserve">    （招标项目编号）</w:t>
            </w:r>
            <w:r>
              <w:rPr>
                <w:rFonts w:hint="eastAsia" w:ascii="宋体" w:hAnsi="宋体" w:cs="宋体"/>
                <w:color w:val="auto"/>
                <w:szCs w:val="21"/>
                <w:highlight w:val="none"/>
                <w:shd w:val="clear" w:color="auto" w:fill="auto"/>
              </w:rPr>
              <w:t>，如因投标人汇款凭证未注明招标项目编号造成银行无法识别投标保证金到账情况或识别错误的，其责任由投标人自行承担。招标人在投标截止的同一时间到银行查询投标保证金到账情况，并以银行出具的加盖公章的投标保证金到账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w:t>
            </w:r>
            <w:r>
              <w:rPr>
                <w:rFonts w:hint="eastAsia" w:ascii="宋体" w:hAnsi="宋体" w:cs="宋体"/>
                <w:b w:val="0"/>
                <w:bCs/>
                <w:color w:val="auto"/>
                <w:szCs w:val="21"/>
                <w:highlight w:val="none"/>
              </w:rPr>
              <w:t>应否决其投标</w:t>
            </w:r>
            <w:r>
              <w:rPr>
                <w:rFonts w:hint="eastAsia" w:ascii="宋体" w:hAnsi="宋体" w:cs="宋体"/>
                <w:color w:val="auto"/>
                <w:szCs w:val="21"/>
                <w:highlight w:val="none"/>
                <w:shd w:val="clear" w:color="auto" w:fill="auto"/>
              </w:rPr>
              <w:t>。</w:t>
            </w:r>
          </w:p>
          <w:p w14:paraId="48F1218C">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投标保证金银行</w:t>
            </w:r>
            <w:r>
              <w:rPr>
                <w:rFonts w:hint="eastAsia" w:cs="宋体"/>
                <w:color w:val="auto"/>
                <w:sz w:val="21"/>
                <w:szCs w:val="21"/>
                <w:highlight w:val="none"/>
                <w:lang w:eastAsia="zh-CN"/>
              </w:rPr>
              <w:t>账</w:t>
            </w:r>
            <w:r>
              <w:rPr>
                <w:rFonts w:hint="eastAsia" w:cs="宋体"/>
                <w:color w:val="auto"/>
                <w:sz w:val="21"/>
                <w:szCs w:val="21"/>
                <w:highlight w:val="none"/>
              </w:rPr>
              <w:t>号：</w:t>
            </w:r>
          </w:p>
          <w:p w14:paraId="65354144">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中国农业银行股份有限公司厦门政务中心支行</w:t>
            </w:r>
          </w:p>
          <w:p w14:paraId="24869246">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lang w:eastAsia="zh-CN"/>
              </w:rPr>
              <w:t>账</w:t>
            </w:r>
            <w:r>
              <w:rPr>
                <w:rFonts w:hint="eastAsia" w:cs="宋体"/>
                <w:color w:val="auto"/>
                <w:sz w:val="21"/>
                <w:szCs w:val="21"/>
                <w:highlight w:val="none"/>
              </w:rPr>
              <w:t>户名称：</w:t>
            </w:r>
            <w:r>
              <w:rPr>
                <w:rFonts w:hint="eastAsia" w:cs="宋体"/>
                <w:color w:val="auto"/>
                <w:sz w:val="21"/>
                <w:szCs w:val="21"/>
                <w:highlight w:val="none"/>
                <w:u w:val="single"/>
              </w:rPr>
              <w:t xml:space="preserve">厦门市公共资源交易中心 </w:t>
            </w:r>
          </w:p>
          <w:p w14:paraId="42BCB99F">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lang w:eastAsia="zh-CN"/>
              </w:rPr>
              <w:t>账</w:t>
            </w:r>
            <w:r>
              <w:rPr>
                <w:rFonts w:hint="eastAsia" w:cs="宋体"/>
                <w:color w:val="auto"/>
                <w:sz w:val="21"/>
                <w:szCs w:val="21"/>
                <w:highlight w:val="none"/>
              </w:rPr>
              <w:t xml:space="preserve">    号：</w:t>
            </w:r>
            <w:r>
              <w:rPr>
                <w:rFonts w:hint="eastAsia" w:cs="宋体"/>
                <w:color w:val="auto"/>
                <w:sz w:val="21"/>
                <w:szCs w:val="21"/>
                <w:highlight w:val="none"/>
                <w:u w:val="single"/>
              </w:rPr>
              <w:t xml:space="preserve">                       </w:t>
            </w:r>
          </w:p>
          <w:p w14:paraId="5F126663">
            <w:pPr>
              <w:keepNext w:val="0"/>
              <w:keepLines w:val="0"/>
              <w:pageBreakBefore w:val="0"/>
              <w:kinsoku/>
              <w:wordWrap/>
              <w:overflowPunct/>
              <w:topLinePunct w:val="0"/>
              <w:bidi w:val="0"/>
              <w:adjustRightInd w:val="0"/>
              <w:snapToGrid w:val="0"/>
              <w:spacing w:before="32" w:beforeLines="10" w:afterLines="0" w:line="25" w:lineRule="atLeas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银行存款利率类型为：银行存款同期活期利率，并从投标截止当日开始计息。</w:t>
            </w:r>
          </w:p>
          <w:p w14:paraId="20E8A6B9">
            <w:pPr>
              <w:keepNext w:val="0"/>
              <w:keepLines w:val="0"/>
              <w:pageBreakBefore w:val="0"/>
              <w:kinsoku/>
              <w:wordWrap/>
              <w:overflowPunct/>
              <w:topLinePunct w:val="0"/>
              <w:bidi w:val="0"/>
              <w:adjustRightInd w:val="0"/>
              <w:snapToGrid w:val="0"/>
              <w:spacing w:before="32" w:beforeLines="10" w:afterLines="0" w:line="25" w:lineRule="atLeas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利息部分应出具发票的类型为：</w:t>
            </w:r>
            <w:r>
              <w:rPr>
                <w:rFonts w:hint="eastAsia" w:ascii="宋体" w:hAnsi="宋体" w:cs="宋体"/>
                <w:color w:val="auto"/>
                <w:szCs w:val="21"/>
                <w:highlight w:val="none"/>
                <w:u w:val="single"/>
              </w:rPr>
              <w:t>税务发票</w:t>
            </w:r>
            <w:r>
              <w:rPr>
                <w:rFonts w:hint="eastAsia" w:ascii="宋体" w:hAnsi="宋体" w:cs="宋体"/>
                <w:color w:val="auto"/>
                <w:szCs w:val="21"/>
                <w:highlight w:val="none"/>
              </w:rPr>
              <w:t>。</w:t>
            </w:r>
          </w:p>
          <w:p w14:paraId="02DFDC9B">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②银行保函形式：</w:t>
            </w:r>
            <w:r>
              <w:rPr>
                <w:rFonts w:hint="eastAsia" w:cs="宋体"/>
                <w:color w:val="auto"/>
                <w:sz w:val="21"/>
                <w:szCs w:val="21"/>
                <w:highlight w:val="none"/>
                <w:u w:val="single"/>
              </w:rPr>
              <w:t>投标人须在投标截止时间前按厦建筑〔2019〕41 号规定要求自行办妥电子投标保函手续；银行电子保函应注明项目名称，保函额度等信息，电子保函额度不少于招标文件规定的金额。</w:t>
            </w:r>
          </w:p>
          <w:p w14:paraId="0733601E">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③工程担保公司出具的担保保函形式：</w:t>
            </w:r>
            <w:r>
              <w:rPr>
                <w:rFonts w:hint="eastAsia" w:cs="宋体"/>
                <w:color w:val="auto"/>
                <w:sz w:val="21"/>
                <w:szCs w:val="21"/>
                <w:highlight w:val="none"/>
                <w:u w:val="single"/>
              </w:rPr>
              <w:t>投标人须在投标截止时间前按厦建筑〔2019〕41 号规定要求自行办妥电子投标保函手续；电子工程担保保函应注明项目名称，保函额度等信息，电子担保保函额度不少于招标文件规定的金额。</w:t>
            </w:r>
          </w:p>
          <w:p w14:paraId="583880B5">
            <w:pPr>
              <w:pageBreakBefore w:val="0"/>
              <w:widowControl/>
              <w:kinsoku/>
              <w:wordWrap/>
              <w:overflowPunct/>
              <w:topLinePunct w:val="0"/>
              <w:bidi w:val="0"/>
              <w:adjustRightInd w:val="0"/>
              <w:snapToGrid w:val="0"/>
              <w:spacing w:before="32" w:beforeLines="10" w:afterLines="0" w:line="25" w:lineRule="atLeast"/>
              <w:ind w:firstLine="420" w:firstLineChars="200"/>
              <w:rPr>
                <w:rFonts w:hint="eastAsia" w:cs="宋体"/>
                <w:color w:val="auto"/>
                <w:sz w:val="21"/>
                <w:szCs w:val="21"/>
                <w:highlight w:val="none"/>
                <w:u w:val="single"/>
              </w:rPr>
            </w:pPr>
            <w:r>
              <w:rPr>
                <w:rFonts w:hint="eastAsia" w:cs="宋体"/>
                <w:color w:val="auto"/>
                <w:kern w:val="2"/>
                <w:sz w:val="21"/>
                <w:szCs w:val="21"/>
                <w:highlight w:val="none"/>
              </w:rPr>
              <w:t>④保险公司出具的投标保证保险形式：</w:t>
            </w:r>
            <w:r>
              <w:rPr>
                <w:rFonts w:hint="eastAsia" w:cs="宋体"/>
                <w:color w:val="auto"/>
                <w:sz w:val="21"/>
                <w:szCs w:val="21"/>
                <w:highlight w:val="none"/>
                <w:u w:val="single"/>
              </w:rPr>
              <w:t>投标保证保险应为先行赔付、后续追偿的见索即付保单。保险条款须经</w:t>
            </w:r>
            <w:r>
              <w:rPr>
                <w:rFonts w:hint="eastAsia" w:ascii="宋体" w:cs="宋体"/>
                <w:b w:val="0"/>
                <w:bCs/>
                <w:iCs/>
                <w:color w:val="auto"/>
                <w:sz w:val="21"/>
                <w:szCs w:val="21"/>
                <w:highlight w:val="none"/>
                <w:u w:val="single"/>
                <w:lang w:val="en-US"/>
              </w:rPr>
              <w:t>国家金融监督管理总局</w:t>
            </w:r>
            <w:r>
              <w:rPr>
                <w:rFonts w:hint="eastAsia" w:cs="宋体"/>
                <w:color w:val="auto"/>
                <w:sz w:val="21"/>
                <w:szCs w:val="21"/>
                <w:highlight w:val="none"/>
                <w:u w:val="single"/>
              </w:rPr>
              <w:t>批准或备案。保险人应在保单中的特别约定条款中注明以下责任，如无注明则视为无效保单：</w:t>
            </w:r>
          </w:p>
          <w:p w14:paraId="48683C11">
            <w:pPr>
              <w:pageBreakBefore w:val="0"/>
              <w:widowControl/>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u w:val="single"/>
              </w:rPr>
            </w:pPr>
            <w:r>
              <w:rPr>
                <w:rFonts w:hint="eastAsia" w:cs="宋体"/>
                <w:color w:val="auto"/>
                <w:sz w:val="21"/>
                <w:szCs w:val="21"/>
                <w:highlight w:val="none"/>
                <w:u w:val="single"/>
                <w:lang w:val="en-US" w:eastAsia="zh-CN"/>
              </w:rPr>
              <w:t>a</w:t>
            </w:r>
            <w:r>
              <w:rPr>
                <w:rFonts w:hint="eastAsia" w:cs="宋体"/>
                <w:color w:val="auto"/>
                <w:sz w:val="21"/>
                <w:szCs w:val="21"/>
                <w:highlight w:val="none"/>
                <w:u w:val="single"/>
              </w:rPr>
              <w:t>.保险人在投标人存在违反法律、法规和招标文件规定投标保证金不予退还的情形时承担保证保险责任。</w:t>
            </w:r>
          </w:p>
          <w:p w14:paraId="0952C783">
            <w:pPr>
              <w:pStyle w:val="14"/>
              <w:pageBreakBefore w:val="0"/>
              <w:kinsoku/>
              <w:wordWrap/>
              <w:overflowPunct/>
              <w:topLinePunct w:val="0"/>
              <w:bidi w:val="0"/>
              <w:adjustRightInd w:val="0"/>
              <w:snapToGrid w:val="0"/>
              <w:spacing w:before="32" w:beforeLines="10" w:afterLines="0" w:line="25" w:lineRule="atLeast"/>
              <w:ind w:right="59" w:rightChars="28" w:firstLineChars="200"/>
              <w:rPr>
                <w:rFonts w:hint="eastAsia" w:cs="宋体"/>
                <w:color w:val="auto"/>
                <w:kern w:val="0"/>
                <w:sz w:val="21"/>
                <w:szCs w:val="21"/>
                <w:highlight w:val="none"/>
                <w:u w:val="single"/>
              </w:rPr>
            </w:pPr>
            <w:r>
              <w:rPr>
                <w:rFonts w:hint="eastAsia" w:cs="宋体"/>
                <w:color w:val="auto"/>
                <w:kern w:val="0"/>
                <w:sz w:val="21"/>
                <w:szCs w:val="21"/>
                <w:highlight w:val="none"/>
                <w:u w:val="single"/>
                <w:lang w:val="en-US" w:eastAsia="zh-CN"/>
              </w:rPr>
              <w:t>b</w:t>
            </w:r>
            <w:r>
              <w:rPr>
                <w:rFonts w:hint="eastAsia" w:cs="宋体"/>
                <w:color w:val="auto"/>
                <w:kern w:val="0"/>
                <w:sz w:val="21"/>
                <w:szCs w:val="21"/>
                <w:highlight w:val="none"/>
                <w:u w:val="single"/>
              </w:rPr>
              <w:t>.本保单为</w:t>
            </w:r>
            <w:r>
              <w:rPr>
                <w:rFonts w:hint="eastAsia" w:cs="宋体"/>
                <w:color w:val="auto"/>
                <w:kern w:val="0"/>
                <w:sz w:val="21"/>
                <w:szCs w:val="21"/>
                <w:highlight w:val="none"/>
                <w:u w:val="single"/>
                <w:lang w:val="en-US" w:eastAsia="zh-CN"/>
              </w:rPr>
              <w:t>先</w:t>
            </w:r>
            <w:r>
              <w:rPr>
                <w:rFonts w:hint="eastAsia" w:cs="宋体"/>
                <w:color w:val="auto"/>
                <w:kern w:val="0"/>
                <w:sz w:val="21"/>
                <w:szCs w:val="21"/>
                <w:highlight w:val="none"/>
                <w:u w:val="single"/>
              </w:rPr>
              <w:t>行赔付、后续追偿的见索即付保单。本保单</w:t>
            </w:r>
            <w:r>
              <w:rPr>
                <w:rFonts w:hint="eastAsia" w:cs="宋体"/>
                <w:color w:val="auto"/>
                <w:kern w:val="0"/>
                <w:sz w:val="21"/>
                <w:szCs w:val="21"/>
                <w:highlight w:val="none"/>
                <w:u w:val="single"/>
                <w:lang w:eastAsia="zh-CN"/>
              </w:rPr>
              <w:t>有效期</w:t>
            </w:r>
            <w:r>
              <w:rPr>
                <w:rFonts w:hint="eastAsia" w:cs="宋体"/>
                <w:color w:val="auto"/>
                <w:kern w:val="0"/>
                <w:sz w:val="21"/>
                <w:szCs w:val="21"/>
                <w:highlight w:val="none"/>
                <w:u w:val="single"/>
              </w:rPr>
              <w:t>自开立之日起至投标有效期届满之日后的28日（含）。</w:t>
            </w:r>
          </w:p>
          <w:p w14:paraId="358D082B">
            <w:pPr>
              <w:adjustRightInd w:val="0"/>
              <w:snapToGrid w:val="0"/>
              <w:spacing w:before="32" w:beforeLines="10" w:afterLines="0" w:line="25" w:lineRule="atLeast"/>
              <w:ind w:firstLine="420" w:firstLineChars="200"/>
              <w:textAlignment w:val="auto"/>
              <w:rPr>
                <w:rFonts w:cs="宋体"/>
                <w:color w:val="auto"/>
                <w:kern w:val="2"/>
                <w:sz w:val="21"/>
                <w:szCs w:val="21"/>
                <w:highlight w:val="none"/>
              </w:rPr>
            </w:pPr>
            <w:r>
              <w:rPr>
                <w:rFonts w:hint="eastAsia" w:ascii="宋体" w:hAnsi="宋体" w:cs="宋体"/>
                <w:color w:val="auto"/>
                <w:szCs w:val="21"/>
                <w:highlight w:val="none"/>
                <w:shd w:val="clear" w:color="auto" w:fill="auto"/>
                <w:lang w:val="en-US" w:eastAsia="zh-CN"/>
              </w:rPr>
              <w:t>⑤</w:t>
            </w:r>
            <w:r>
              <w:rPr>
                <w:rFonts w:hint="eastAsia" w:cs="宋体"/>
                <w:color w:val="auto"/>
                <w:kern w:val="2"/>
                <w:sz w:val="21"/>
                <w:szCs w:val="21"/>
                <w:highlight w:val="none"/>
              </w:rPr>
              <w:t>免缴投标保证金形式：符合下列情形的投标人，予以免缴投标保证金。</w:t>
            </w:r>
          </w:p>
          <w:p w14:paraId="2585EB35">
            <w:pPr>
              <w:pStyle w:val="14"/>
              <w:keepNext w:val="0"/>
              <w:keepLines w:val="0"/>
              <w:pageBreakBefore w:val="0"/>
              <w:widowControl w:val="0"/>
              <w:kinsoku/>
              <w:wordWrap/>
              <w:overflowPunct/>
              <w:topLinePunct w:val="0"/>
              <w:autoSpaceDE/>
              <w:autoSpaceDN/>
              <w:bidi w:val="0"/>
              <w:adjustRightInd w:val="0"/>
              <w:snapToGrid w:val="0"/>
              <w:spacing w:before="32" w:beforeLines="10" w:afterLines="0" w:line="25" w:lineRule="atLeast"/>
              <w:ind w:firstLine="525" w:firstLineChars="250"/>
              <w:textAlignment w:val="auto"/>
              <w:rPr>
                <w:rFonts w:hint="eastAsia" w:ascii="宋体" w:hAnsi="宋体" w:cs="宋体"/>
                <w:color w:val="auto"/>
                <w:sz w:val="21"/>
                <w:szCs w:val="21"/>
                <w:highlight w:val="none"/>
                <w:lang w:val="en-US" w:eastAsia="zh-CN"/>
              </w:rPr>
            </w:pPr>
            <w:r>
              <w:rPr>
                <w:rFonts w:hint="eastAsia"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u w:val="none"/>
                <w:lang w:val="en-US" w:eastAsia="zh-CN"/>
              </w:rPr>
              <w:t>最近三年（    -    ）</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sz w:val="21"/>
                <w:szCs w:val="21"/>
                <w:highlight w:val="none"/>
                <w:lang w:val="en-US" w:eastAsia="zh-CN"/>
              </w:rPr>
              <w:t>；</w:t>
            </w:r>
          </w:p>
          <w:p w14:paraId="7DA7B2C3">
            <w:pPr>
              <w:pStyle w:val="14"/>
              <w:adjustRightInd w:val="0"/>
              <w:snapToGrid w:val="0"/>
              <w:spacing w:before="32" w:beforeLines="10" w:afterLines="0" w:line="25" w:lineRule="atLeast"/>
              <w:ind w:right="59" w:rightChars="2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以联合体参与投标的，</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投标人的企业信用综合评价</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按联合体</w:t>
            </w:r>
            <w:r>
              <w:rPr>
                <w:rFonts w:hint="eastAsia" w:ascii="宋体" w:hAnsi="宋体" w:eastAsia="宋体" w:cs="宋体"/>
                <w:color w:val="auto"/>
                <w:sz w:val="21"/>
                <w:szCs w:val="21"/>
                <w:highlight w:val="none"/>
                <w:lang w:val="en-US" w:eastAsia="zh-CN"/>
              </w:rPr>
              <w:t>牵头人的信用等级</w:t>
            </w:r>
            <w:r>
              <w:rPr>
                <w:rFonts w:hint="eastAsia" w:ascii="宋体" w:hAnsi="宋体" w:eastAsia="宋体" w:cs="宋体"/>
                <w:color w:val="auto"/>
                <w:sz w:val="21"/>
                <w:szCs w:val="21"/>
                <w:highlight w:val="none"/>
              </w:rPr>
              <w:t>确定。</w:t>
            </w:r>
          </w:p>
          <w:p w14:paraId="761B1D40">
            <w:pPr>
              <w:pStyle w:val="14"/>
              <w:adjustRightInd w:val="0"/>
              <w:snapToGrid w:val="0"/>
              <w:spacing w:before="32" w:beforeLines="10" w:afterLines="0" w:line="25" w:lineRule="atLeast"/>
              <w:ind w:right="59" w:rightChars="28" w:firstLineChars="200"/>
              <w:rPr>
                <w:rFonts w:hint="eastAsia" w:cs="宋体"/>
                <w:color w:val="auto"/>
                <w:kern w:val="0"/>
                <w:sz w:val="21"/>
                <w:szCs w:val="21"/>
                <w:highlight w:val="none"/>
              </w:rPr>
            </w:pPr>
            <w:r>
              <w:rPr>
                <w:rFonts w:hint="eastAsia" w:ascii="宋体" w:hAnsi="宋体" w:cs="宋体"/>
                <w:color w:val="auto"/>
                <w:sz w:val="21"/>
                <w:szCs w:val="21"/>
                <w:highlight w:val="none"/>
                <w:lang w:val="en-US" w:eastAsia="zh-CN"/>
              </w:rPr>
              <w:t>⑥其他形式：</w:t>
            </w:r>
            <w:r>
              <w:rPr>
                <w:rFonts w:hint="eastAsia" w:ascii="宋体" w:hAnsi="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w:t>
            </w:r>
          </w:p>
          <w:p w14:paraId="045F1216">
            <w:pPr>
              <w:adjustRightInd w:val="0"/>
              <w:snapToGrid w:val="0"/>
              <w:spacing w:before="32" w:beforeLines="10" w:afterLines="0" w:line="25" w:lineRule="atLeast"/>
              <w:ind w:firstLine="420" w:firstLineChars="200"/>
              <w:jc w:val="left"/>
              <w:textAlignment w:val="auto"/>
              <w:rPr>
                <w:rFonts w:cs="宋体"/>
                <w:b w:val="0"/>
                <w:bCs/>
                <w:color w:val="auto"/>
                <w:sz w:val="21"/>
                <w:szCs w:val="21"/>
                <w:highlight w:val="none"/>
              </w:rPr>
            </w:pPr>
            <w:r>
              <w:rPr>
                <w:rFonts w:hint="eastAsia" w:cs="宋体"/>
                <w:b w:val="0"/>
                <w:bCs/>
                <w:color w:val="auto"/>
                <w:sz w:val="21"/>
                <w:szCs w:val="21"/>
                <w:highlight w:val="none"/>
              </w:rPr>
              <w:t>3.投标保证金证明材料要求：</w:t>
            </w:r>
          </w:p>
          <w:p w14:paraId="015CDEF1">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①采用现金形式：提交电汇或银行转账单的扫描件以及企业基本账户开户许可证或基本存款账户开户银行开具的《基本存款账户信息》扫描件，并加盖投标人单位电子印章，作为资格文件的组成部分。</w:t>
            </w:r>
          </w:p>
          <w:p w14:paraId="43E0C75B">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②采用投标保函（包括银行保函、担保保函、投标保证保险，下同）：</w:t>
            </w:r>
          </w:p>
          <w:p w14:paraId="69E95446">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a.投标保函应采用电子保函形式，投标人应通过“厦门市建设工程电子招投标交易平台——电子投标保函系统”使用其企业CA证书申请购买电子投标保函。</w:t>
            </w:r>
          </w:p>
          <w:p w14:paraId="1ACC8A09">
            <w:pPr>
              <w:pStyle w:val="41"/>
              <w:adjustRightInd w:val="0"/>
              <w:snapToGrid w:val="0"/>
              <w:spacing w:before="32" w:beforeLines="10" w:afterLines="0" w:line="25" w:lineRule="atLeas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b.投标人应将</w:t>
            </w:r>
            <w:r>
              <w:rPr>
                <w:rFonts w:hint="eastAsia" w:ascii="宋体" w:hAnsi="宋体" w:cs="瀹嬩綋"/>
                <w:color w:val="auto"/>
                <w:kern w:val="0"/>
                <w:sz w:val="21"/>
                <w:szCs w:val="21"/>
                <w:highlight w:val="none"/>
              </w:rPr>
              <w:t>:①电子投标保函原件（加盖电子投标保函开立人电子印章或电子投标保函开立人依法刻制并授权用于投标保函业务的专用章）、②支付电子投标保函费用的电汇或银行转账回单扫描件（加盖投标人单位电子印章）、③电子投标保函开立人出具的加盖电子投标保函开立人电子印章或电子投标保函开立人依法刻制并授权用于投标保函业务的专用章的到账证明扫描件（加盖投标人单位电子印章）、④企业基本账户开户许可证或基本存款账户开户银行开具的《基本存款账户信息》扫描件（加盖投标人单位电子印章）作为资格文件的组成部分</w:t>
            </w:r>
            <w:r>
              <w:rPr>
                <w:rFonts w:hint="eastAsia" w:ascii="宋体" w:hAnsi="宋体" w:cs="宋体"/>
                <w:color w:val="auto"/>
                <w:kern w:val="0"/>
                <w:sz w:val="21"/>
                <w:szCs w:val="21"/>
                <w:highlight w:val="none"/>
              </w:rPr>
              <w:t>。</w:t>
            </w:r>
          </w:p>
          <w:p w14:paraId="039C0802">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c.投标人向电子投标保函开立人购买电子投标保函所支付的费用应在投标截止时间之前从投标人企业基本账户转出，并在电汇或银行转账回单上注明招标项目编号。</w:t>
            </w:r>
          </w:p>
          <w:p w14:paraId="15F51CE1">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投标人应确保其企业基本账户开户许可证或基本存款账户开户银行开具的《基本存款账户信息》上账号与投标人支付电子投标保函费用的电汇或银行转账回单上账号一致，否则视同未缴交投标保证金。</w:t>
            </w:r>
          </w:p>
          <w:p w14:paraId="1B8259EB">
            <w:pPr>
              <w:adjustRightInd w:val="0"/>
              <w:snapToGrid w:val="0"/>
              <w:spacing w:before="32" w:beforeLines="10" w:afterLines="0" w:line="25" w:lineRule="atLeast"/>
              <w:ind w:firstLine="420" w:firstLineChars="200"/>
              <w:jc w:val="left"/>
              <w:textAlignment w:val="auto"/>
              <w:rPr>
                <w:rFonts w:cs="宋体"/>
                <w:bCs/>
                <w:color w:val="auto"/>
                <w:sz w:val="21"/>
                <w:szCs w:val="21"/>
                <w:highlight w:val="none"/>
              </w:rPr>
            </w:pPr>
            <w:r>
              <w:rPr>
                <w:rFonts w:hint="eastAsia" w:cs="宋体"/>
                <w:bCs/>
                <w:color w:val="auto"/>
                <w:sz w:val="21"/>
                <w:szCs w:val="21"/>
                <w:highlight w:val="none"/>
              </w:rPr>
              <w:t>d.投标人以电子投标保函形式提交投标保证金的，</w:t>
            </w:r>
            <w:r>
              <w:rPr>
                <w:rFonts w:hint="eastAsia" w:cs="宋体"/>
                <w:bCs/>
                <w:color w:val="auto"/>
                <w:sz w:val="21"/>
                <w:szCs w:val="21"/>
                <w:highlight w:val="none"/>
                <w:lang w:eastAsia="zh-CN"/>
              </w:rPr>
              <w:t>评标委员会</w:t>
            </w:r>
            <w:r>
              <w:rPr>
                <w:rFonts w:hint="eastAsia" w:cs="宋体"/>
                <w:bCs/>
                <w:color w:val="auto"/>
                <w:sz w:val="21"/>
                <w:szCs w:val="21"/>
                <w:highlight w:val="none"/>
              </w:rPr>
              <w:t>应当核对投标人支付电子投标保函费用电汇或银行转账回单上账号是否与投标人企业基本账户开户许可证或基本存款账户开户银行开具的《基本存款账户信息》上账号一致，如不一致的，应否决其投标。</w:t>
            </w:r>
          </w:p>
          <w:p w14:paraId="63C40467">
            <w:pPr>
              <w:adjustRightInd w:val="0"/>
              <w:snapToGrid w:val="0"/>
              <w:spacing w:before="32" w:beforeLines="10" w:afterLines="0" w:line="25" w:lineRule="atLeast"/>
              <w:ind w:firstLine="420" w:firstLineChars="200"/>
              <w:textAlignment w:val="auto"/>
              <w:rPr>
                <w:rFonts w:cs="宋体"/>
                <w:color w:val="auto"/>
                <w:sz w:val="21"/>
                <w:szCs w:val="21"/>
                <w:highlight w:val="none"/>
              </w:rPr>
            </w:pPr>
            <w:r>
              <w:rPr>
                <w:rFonts w:hint="eastAsia" w:cs="宋体"/>
                <w:color w:val="auto"/>
                <w:sz w:val="21"/>
                <w:szCs w:val="21"/>
                <w:highlight w:val="none"/>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14:paraId="23A79280">
            <w:pPr>
              <w:adjustRightInd w:val="0"/>
              <w:snapToGrid w:val="0"/>
              <w:spacing w:before="32" w:beforeLines="10" w:after="0" w:afterLines="0" w:line="25" w:lineRule="atLeas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③采用</w:t>
            </w:r>
            <w:r>
              <w:rPr>
                <w:rFonts w:hint="eastAsia" w:ascii="Times New Roman" w:hAnsi="Times New Roman" w:eastAsia="宋体" w:cs="宋体"/>
                <w:color w:val="auto"/>
                <w:szCs w:val="21"/>
                <w:highlight w:val="none"/>
                <w:lang w:val="zh-CN"/>
              </w:rPr>
              <w:t>免缴投标保证金形式：</w:t>
            </w:r>
            <w:r>
              <w:rPr>
                <w:rFonts w:hint="eastAsia" w:ascii="Times New Roman" w:hAnsi="Times New Roman" w:eastAsia="宋体" w:cs="宋体"/>
                <w:color w:val="auto"/>
                <w:kern w:val="2"/>
                <w:szCs w:val="21"/>
                <w:highlight w:val="none"/>
              </w:rPr>
              <w:t>符合免缴投标保证金情形的投标人，在本招标项目采用免缴投标保证金形式的，提交加盖投标人单位电子印章的《免缴投标保证金承诺函》</w:t>
            </w:r>
            <w:r>
              <w:rPr>
                <w:rFonts w:hint="eastAsia" w:ascii="Times New Roman" w:hAnsi="Times New Roman" w:eastAsia="宋体" w:cs="宋体"/>
                <w:b w:val="0"/>
                <w:bCs w:val="0"/>
                <w:i w:val="0"/>
                <w:iCs w:val="0"/>
                <w:color w:val="auto"/>
                <w:kern w:val="2"/>
                <w:szCs w:val="21"/>
                <w:highlight w:val="none"/>
                <w:lang w:val="en-US" w:eastAsia="zh-CN"/>
              </w:rPr>
              <w:t>并提交加盖投标人单位电子印章的符合免缴投标保证金形式规定的证明材料</w:t>
            </w:r>
            <w:r>
              <w:rPr>
                <w:rFonts w:hint="eastAsia" w:ascii="Times New Roman" w:hAnsi="Times New Roman" w:eastAsia="宋体" w:cs="宋体"/>
                <w:color w:val="auto"/>
                <w:kern w:val="2"/>
                <w:szCs w:val="21"/>
                <w:highlight w:val="none"/>
              </w:rPr>
              <w:t>，作为资格文件的组成部分。</w:t>
            </w:r>
          </w:p>
          <w:p w14:paraId="536AB2CC">
            <w:pPr>
              <w:widowControl/>
              <w:numPr>
                <w:ilvl w:val="0"/>
                <w:numId w:val="0"/>
              </w:numPr>
              <w:shd w:val="clear" w:color="auto" w:fill="auto"/>
              <w:adjustRightInd w:val="0"/>
              <w:snapToGrid w:val="0"/>
              <w:spacing w:before="32" w:beforeLines="10" w:afterLines="0" w:line="25" w:lineRule="atLeast"/>
              <w:ind w:firstLine="420" w:firstLineChars="200"/>
              <w:textAlignment w:val="auto"/>
              <w:rPr>
                <w:rFonts w:hint="eastAsia" w:cs="宋体"/>
                <w:color w:val="auto"/>
                <w:spacing w:val="0"/>
                <w:sz w:val="21"/>
                <w:szCs w:val="21"/>
                <w:highlight w:val="none"/>
              </w:rPr>
            </w:pPr>
            <w:r>
              <w:rPr>
                <w:rFonts w:hint="eastAsia" w:ascii="Times New Roman" w:hAnsi="Times New Roman" w:eastAsia="宋体" w:cs="宋体"/>
                <w:color w:val="auto"/>
                <w:spacing w:val="0"/>
                <w:sz w:val="21"/>
                <w:szCs w:val="21"/>
                <w:highlight w:val="none"/>
                <w:lang w:val="en-US" w:eastAsia="zh-CN" w:bidi="ar-SA"/>
              </w:rPr>
              <w:t>4.</w:t>
            </w:r>
            <w:r>
              <w:rPr>
                <w:rFonts w:hint="eastAsia" w:cs="宋体"/>
                <w:b w:val="0"/>
                <w:bCs w:val="0"/>
                <w:color w:val="auto"/>
                <w:spacing w:val="0"/>
                <w:sz w:val="21"/>
                <w:szCs w:val="21"/>
                <w:highlight w:val="none"/>
              </w:rPr>
              <w:t>投标保证金有效期：</w:t>
            </w:r>
            <w:r>
              <w:rPr>
                <w:rFonts w:hint="eastAsia" w:cs="宋体"/>
                <w:color w:val="auto"/>
                <w:spacing w:val="0"/>
                <w:sz w:val="21"/>
                <w:szCs w:val="21"/>
                <w:highlight w:val="none"/>
              </w:rPr>
              <w:t>除保证保险形式外，至少与投标有效期一致。</w:t>
            </w:r>
          </w:p>
          <w:p w14:paraId="1B97621E">
            <w:pPr>
              <w:widowControl/>
              <w:tabs>
                <w:tab w:val="left" w:pos="900"/>
                <w:tab w:val="left" w:pos="1100"/>
              </w:tabs>
              <w:spacing w:line="360" w:lineRule="auto"/>
              <w:ind w:firstLine="436" w:firstLineChars="200"/>
              <w:jc w:val="left"/>
              <w:rPr>
                <w:rFonts w:ascii="宋体" w:hAnsi="宋体"/>
                <w:snapToGrid w:val="0"/>
                <w:color w:val="auto"/>
                <w:kern w:val="0"/>
                <w:szCs w:val="21"/>
                <w:highlight w:val="none"/>
              </w:rPr>
            </w:pPr>
            <w:r>
              <w:rPr>
                <w:rFonts w:hint="eastAsia" w:ascii="宋体" w:hAnsi="宋体" w:eastAsia="宋体" w:cs="宋体"/>
                <w:color w:val="auto"/>
                <w:spacing w:val="4"/>
                <w:sz w:val="21"/>
                <w:szCs w:val="21"/>
                <w:highlight w:val="none"/>
                <w:lang w:val="en-US" w:eastAsia="zh-CN" w:bidi="ar-SA"/>
              </w:rPr>
              <w:t>5.其他：投标人享受投标保证金减缴或免缴的，应当提交相应证明材料，作为资格文件的组成部分，否则有关情形不予确认。投标人出现招标文件或法律法规中投标保证金不予退还的情形时，满足享受减缴或免缴并负有责任，投标人应当无条件按照招标人要求限时足额补缴投标保证金并依法承担违约责任。对未按期足额补缴投标保证金给招标人带来损失的，依法承担赔偿责任。</w:t>
            </w:r>
            <w:r>
              <w:rPr>
                <w:rFonts w:hint="eastAsia" w:ascii="宋体" w:hAnsi="宋体" w:cs="黑体"/>
                <w:bCs/>
                <w:color w:val="auto"/>
                <w:szCs w:val="21"/>
                <w:highlight w:val="none"/>
              </w:rPr>
              <w:t xml:space="preserve">                      </w:t>
            </w:r>
          </w:p>
        </w:tc>
      </w:tr>
      <w:tr w14:paraId="0C732787">
        <w:tblPrEx>
          <w:tblCellMar>
            <w:top w:w="0" w:type="dxa"/>
            <w:left w:w="108" w:type="dxa"/>
            <w:bottom w:w="0" w:type="dxa"/>
            <w:right w:w="108" w:type="dxa"/>
          </w:tblCellMar>
        </w:tblPrEx>
        <w:trPr>
          <w:trHeight w:val="750" w:hRule="atLeast"/>
        </w:trPr>
        <w:tc>
          <w:tcPr>
            <w:tcW w:w="959" w:type="dxa"/>
            <w:tcBorders>
              <w:top w:val="single" w:color="auto" w:sz="4" w:space="0"/>
              <w:left w:val="single" w:color="auto" w:sz="4" w:space="0"/>
              <w:right w:val="single" w:color="auto" w:sz="4" w:space="0"/>
            </w:tcBorders>
            <w:vAlign w:val="center"/>
          </w:tcPr>
          <w:p w14:paraId="0F701C13">
            <w:pPr>
              <w:pStyle w:val="40"/>
              <w:spacing w:line="360" w:lineRule="exact"/>
              <w:ind w:firstLine="0" w:firstLineChars="0"/>
              <w:jc w:val="center"/>
              <w:rPr>
                <w:rFonts w:ascii="宋体" w:hAnsi="宋体"/>
                <w:snapToGrid w:val="0"/>
                <w:color w:val="auto"/>
                <w:kern w:val="0"/>
                <w:szCs w:val="21"/>
                <w:highlight w:val="none"/>
              </w:rPr>
            </w:pPr>
            <w:r>
              <w:rPr>
                <w:rFonts w:hint="eastAsia"/>
                <w:color w:val="auto"/>
                <w:szCs w:val="21"/>
                <w:highlight w:val="none"/>
                <w:lang w:val="en-US" w:eastAsia="zh-CN"/>
              </w:rPr>
              <w:t>3.4.3</w:t>
            </w:r>
          </w:p>
        </w:tc>
        <w:tc>
          <w:tcPr>
            <w:tcW w:w="3260" w:type="dxa"/>
            <w:tcBorders>
              <w:top w:val="single" w:color="auto" w:sz="4" w:space="0"/>
              <w:left w:val="single" w:color="auto" w:sz="4" w:space="0"/>
              <w:right w:val="single" w:color="auto" w:sz="4" w:space="0"/>
            </w:tcBorders>
            <w:vAlign w:val="center"/>
          </w:tcPr>
          <w:p w14:paraId="56A325A6">
            <w:pPr>
              <w:spacing w:line="360" w:lineRule="exact"/>
              <w:jc w:val="center"/>
              <w:rPr>
                <w:rFonts w:ascii="宋体" w:hAnsi="宋体"/>
                <w:snapToGrid w:val="0"/>
                <w:color w:val="auto"/>
                <w:kern w:val="0"/>
                <w:szCs w:val="21"/>
                <w:highlight w:val="none"/>
              </w:rPr>
            </w:pPr>
            <w:r>
              <w:rPr>
                <w:rFonts w:hint="eastAsia" w:ascii="宋体" w:hAnsi="宋体" w:cs="宋体"/>
                <w:color w:val="auto"/>
                <w:szCs w:val="21"/>
                <w:highlight w:val="none"/>
                <w:shd w:val="clear" w:color="auto" w:fill="auto"/>
              </w:rPr>
              <w:t>投标保证金的利息计算原则</w:t>
            </w:r>
          </w:p>
        </w:tc>
        <w:tc>
          <w:tcPr>
            <w:tcW w:w="5021" w:type="dxa"/>
            <w:tcBorders>
              <w:top w:val="single" w:color="auto" w:sz="4" w:space="0"/>
              <w:left w:val="single" w:color="auto" w:sz="4" w:space="0"/>
              <w:right w:val="single" w:color="auto" w:sz="4" w:space="0"/>
            </w:tcBorders>
            <w:vAlign w:val="center"/>
          </w:tcPr>
          <w:p w14:paraId="3FFDA084">
            <w:pPr>
              <w:pStyle w:val="111"/>
              <w:tabs>
                <w:tab w:val="left" w:pos="537"/>
              </w:tabs>
              <w:spacing w:before="120" w:beforeLines="50" w:line="300" w:lineRule="auto"/>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
              </w:rPr>
              <w:t>（</w:t>
            </w: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
              </w:rPr>
              <w:t>）</w:t>
            </w:r>
            <w:r>
              <w:rPr>
                <w:rFonts w:hint="eastAsia" w:ascii="宋体" w:hAnsi="宋体" w:cs="宋体"/>
                <w:color w:val="auto"/>
                <w:szCs w:val="21"/>
                <w:highlight w:val="none"/>
                <w:shd w:val="clear" w:color="auto" w:fill="auto"/>
              </w:rPr>
              <w:t>计算利息的起始日期为投标截止当日，终止日期为招标人退还投标保证金日期的前一日；</w:t>
            </w:r>
          </w:p>
          <w:p w14:paraId="3562B3C6">
            <w:pPr>
              <w:pStyle w:val="111"/>
              <w:tabs>
                <w:tab w:val="left" w:pos="531"/>
              </w:tabs>
              <w:spacing w:before="120" w:beforeLines="50" w:line="300" w:lineRule="auto"/>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（2）投标保证金的利息按照第（1）款所述计息时间段内招标人指定汇入银行公告的活期存款利率计付，并扣除招标人汇款手续费；</w:t>
            </w:r>
          </w:p>
          <w:p w14:paraId="068B30EF">
            <w:pPr>
              <w:pStyle w:val="40"/>
              <w:spacing w:line="324" w:lineRule="auto"/>
              <w:ind w:firstLine="420" w:firstLineChars="200"/>
              <w:rPr>
                <w:rFonts w:ascii="宋体" w:hAnsi="宋体"/>
                <w:color w:val="auto"/>
                <w:szCs w:val="21"/>
                <w:highlight w:val="none"/>
              </w:rPr>
            </w:pPr>
            <w:r>
              <w:rPr>
                <w:rFonts w:hint="eastAsia" w:ascii="宋体" w:hAnsi="宋体" w:cs="宋体"/>
                <w:color w:val="auto"/>
                <w:szCs w:val="21"/>
                <w:highlight w:val="none"/>
                <w:shd w:val="clear" w:color="auto" w:fill="auto"/>
              </w:rPr>
              <w:t>（3）利息金额计算至分位，分以下尾数四舍五入。</w:t>
            </w:r>
          </w:p>
        </w:tc>
      </w:tr>
      <w:tr w14:paraId="22988F19">
        <w:tblPrEx>
          <w:tblCellMar>
            <w:top w:w="0" w:type="dxa"/>
            <w:left w:w="108" w:type="dxa"/>
            <w:bottom w:w="0" w:type="dxa"/>
            <w:right w:w="108" w:type="dxa"/>
          </w:tblCellMar>
        </w:tblPrEx>
        <w:trPr>
          <w:trHeight w:val="750" w:hRule="atLeast"/>
        </w:trPr>
        <w:tc>
          <w:tcPr>
            <w:tcW w:w="959" w:type="dxa"/>
            <w:tcBorders>
              <w:top w:val="single" w:color="auto" w:sz="4" w:space="0"/>
              <w:left w:val="single" w:color="auto" w:sz="4" w:space="0"/>
              <w:right w:val="single" w:color="auto" w:sz="4" w:space="0"/>
            </w:tcBorders>
            <w:vAlign w:val="center"/>
          </w:tcPr>
          <w:p w14:paraId="5DB5B7D7">
            <w:pPr>
              <w:pStyle w:val="40"/>
              <w:spacing w:line="360" w:lineRule="exact"/>
              <w:ind w:firstLine="0" w:firstLineChars="0"/>
              <w:jc w:val="center"/>
              <w:rPr>
                <w:rFonts w:ascii="宋体" w:hAnsi="宋体"/>
                <w:snapToGrid w:val="0"/>
                <w:color w:val="auto"/>
                <w:kern w:val="0"/>
                <w:szCs w:val="21"/>
                <w:highlight w:val="none"/>
              </w:rPr>
            </w:pPr>
            <w:r>
              <w:rPr>
                <w:rFonts w:hint="eastAsia"/>
                <w:color w:val="auto"/>
                <w:szCs w:val="21"/>
                <w:highlight w:val="none"/>
                <w:lang w:val="en-US" w:eastAsia="zh-CN"/>
              </w:rPr>
              <w:t>3.4.4</w:t>
            </w:r>
          </w:p>
        </w:tc>
        <w:tc>
          <w:tcPr>
            <w:tcW w:w="3260" w:type="dxa"/>
            <w:tcBorders>
              <w:top w:val="single" w:color="auto" w:sz="4" w:space="0"/>
              <w:left w:val="single" w:color="auto" w:sz="4" w:space="0"/>
              <w:right w:val="single" w:color="auto" w:sz="4" w:space="0"/>
            </w:tcBorders>
            <w:vAlign w:val="center"/>
          </w:tcPr>
          <w:p w14:paraId="6558C087">
            <w:pPr>
              <w:autoSpaceDE/>
              <w:autoSpaceDN/>
              <w:adjustRightInd w:val="0"/>
              <w:snapToGrid w:val="0"/>
              <w:spacing w:before="32" w:beforeLines="10" w:afterLines="0" w:line="25" w:lineRule="atLeast"/>
              <w:ind w:right="6" w:rightChars="0"/>
              <w:jc w:val="center"/>
              <w:rPr>
                <w:rFonts w:ascii="宋体" w:hAnsi="宋体"/>
                <w:snapToGrid w:val="0"/>
                <w:color w:val="auto"/>
                <w:kern w:val="0"/>
                <w:szCs w:val="21"/>
                <w:highlight w:val="none"/>
              </w:rPr>
            </w:pPr>
            <w:r>
              <w:rPr>
                <w:rStyle w:val="110"/>
                <w:rFonts w:hint="eastAsia"/>
                <w:color w:val="auto"/>
                <w:sz w:val="21"/>
                <w:szCs w:val="21"/>
                <w:highlight w:val="none"/>
                <w:shd w:val="clear" w:color="auto" w:fill="auto"/>
              </w:rPr>
              <w:t>其他可以</w:t>
            </w:r>
            <w:r>
              <w:rPr>
                <w:rStyle w:val="110"/>
                <w:rFonts w:hint="eastAsia"/>
                <w:color w:val="auto"/>
                <w:sz w:val="21"/>
                <w:szCs w:val="21"/>
                <w:highlight w:val="none"/>
                <w:shd w:val="clear" w:color="auto" w:fill="auto"/>
                <w:lang w:val="zh-TW" w:eastAsia="zh-TW"/>
              </w:rPr>
              <w:t>不予退还投标保证金的情形</w:t>
            </w:r>
          </w:p>
        </w:tc>
        <w:tc>
          <w:tcPr>
            <w:tcW w:w="5021" w:type="dxa"/>
            <w:tcBorders>
              <w:top w:val="single" w:color="auto" w:sz="4" w:space="0"/>
              <w:left w:val="single" w:color="auto" w:sz="4" w:space="0"/>
              <w:right w:val="single" w:color="auto" w:sz="4" w:space="0"/>
            </w:tcBorders>
            <w:vAlign w:val="center"/>
          </w:tcPr>
          <w:p w14:paraId="6C114915">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（1）投标人提交了虚假资料；</w:t>
            </w:r>
          </w:p>
          <w:p w14:paraId="7DF2B5A1">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（2）不同投标人的电子投标文件上传计算机的网卡MAC地址、CPU序列号和硬盘序列号硬件均相同的（开标现场上传电子投标文件的除外）；</w:t>
            </w:r>
          </w:p>
          <w:p w14:paraId="75E891BC">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（3）有证据显示投标人以他人名义投标、与他人串通投标、以非法手段谋取中标；</w:t>
            </w:r>
          </w:p>
          <w:p w14:paraId="36361D01">
            <w:pPr>
              <w:pStyle w:val="40"/>
              <w:spacing w:line="324" w:lineRule="auto"/>
              <w:ind w:firstLine="420" w:firstLineChars="200"/>
              <w:rPr>
                <w:rFonts w:ascii="宋体" w:hAnsi="宋体"/>
                <w:color w:val="auto"/>
                <w:szCs w:val="21"/>
                <w:highlight w:val="none"/>
              </w:rPr>
            </w:pPr>
            <w:r>
              <w:rPr>
                <w:rFonts w:hint="eastAsia" w:ascii="宋体" w:hAnsi="宋体" w:cs="宋体"/>
                <w:color w:val="auto"/>
                <w:szCs w:val="21"/>
                <w:highlight w:val="none"/>
                <w:shd w:val="clear" w:color="auto" w:fill="auto"/>
              </w:rPr>
              <w:t>（4）法律、法规规定的其他情形。</w:t>
            </w:r>
          </w:p>
        </w:tc>
      </w:tr>
      <w:tr w14:paraId="7273ECEC">
        <w:tblPrEx>
          <w:tblCellMar>
            <w:top w:w="0" w:type="dxa"/>
            <w:left w:w="108" w:type="dxa"/>
            <w:bottom w:w="0" w:type="dxa"/>
            <w:right w:w="108" w:type="dxa"/>
          </w:tblCellMar>
        </w:tblPrEx>
        <w:trPr>
          <w:trHeight w:val="750" w:hRule="atLeast"/>
        </w:trPr>
        <w:tc>
          <w:tcPr>
            <w:tcW w:w="959" w:type="dxa"/>
            <w:tcBorders>
              <w:top w:val="single" w:color="auto" w:sz="4" w:space="0"/>
              <w:left w:val="single" w:color="auto" w:sz="4" w:space="0"/>
              <w:right w:val="single" w:color="auto" w:sz="4" w:space="0"/>
            </w:tcBorders>
            <w:vAlign w:val="center"/>
          </w:tcPr>
          <w:p w14:paraId="76F20CFA">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5.1</w:t>
            </w:r>
          </w:p>
        </w:tc>
        <w:tc>
          <w:tcPr>
            <w:tcW w:w="3260" w:type="dxa"/>
            <w:tcBorders>
              <w:top w:val="single" w:color="auto" w:sz="4" w:space="0"/>
              <w:left w:val="single" w:color="auto" w:sz="4" w:space="0"/>
              <w:right w:val="single" w:color="auto" w:sz="4" w:space="0"/>
            </w:tcBorders>
            <w:vAlign w:val="center"/>
          </w:tcPr>
          <w:p w14:paraId="52A26FC8">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开标时间和地点</w:t>
            </w:r>
          </w:p>
        </w:tc>
        <w:tc>
          <w:tcPr>
            <w:tcW w:w="5021" w:type="dxa"/>
            <w:tcBorders>
              <w:top w:val="single" w:color="auto" w:sz="4" w:space="0"/>
              <w:left w:val="single" w:color="auto" w:sz="4" w:space="0"/>
              <w:right w:val="single" w:color="auto" w:sz="4" w:space="0"/>
            </w:tcBorders>
            <w:vAlign w:val="center"/>
          </w:tcPr>
          <w:p w14:paraId="0F268D8D">
            <w:pPr>
              <w:spacing w:line="360" w:lineRule="exact"/>
              <w:jc w:val="left"/>
              <w:rPr>
                <w:rFonts w:ascii="宋体" w:hAnsi="宋体"/>
                <w:snapToGrid w:val="0"/>
                <w:color w:val="auto"/>
                <w:kern w:val="0"/>
                <w:szCs w:val="21"/>
                <w:highlight w:val="none"/>
                <w:u w:val="single"/>
              </w:rPr>
            </w:pPr>
            <w:r>
              <w:rPr>
                <w:rFonts w:ascii="宋体" w:hAnsi="宋体"/>
                <w:color w:val="auto"/>
                <w:szCs w:val="21"/>
                <w:highlight w:val="none"/>
              </w:rPr>
              <w:t>开标时间</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分</w:t>
            </w:r>
            <w:r>
              <w:rPr>
                <w:rFonts w:hint="eastAsia" w:ascii="宋体" w:hAnsi="宋体"/>
                <w:snapToGrid w:val="0"/>
                <w:color w:val="auto"/>
                <w:kern w:val="0"/>
                <w:szCs w:val="21"/>
                <w:highlight w:val="none"/>
                <w:u w:val="single"/>
              </w:rPr>
              <w:t xml:space="preserve">   秒</w:t>
            </w:r>
          </w:p>
          <w:p w14:paraId="07AF9EED">
            <w:pPr>
              <w:spacing w:line="360" w:lineRule="exact"/>
              <w:jc w:val="left"/>
              <w:rPr>
                <w:rFonts w:ascii="宋体" w:hAnsi="宋体"/>
                <w:snapToGrid w:val="0"/>
                <w:color w:val="auto"/>
                <w:kern w:val="0"/>
                <w:szCs w:val="21"/>
                <w:highlight w:val="none"/>
              </w:rPr>
            </w:pPr>
            <w:r>
              <w:rPr>
                <w:rFonts w:ascii="宋体" w:hAnsi="宋体"/>
                <w:color w:val="auto"/>
                <w:szCs w:val="21"/>
                <w:highlight w:val="none"/>
              </w:rPr>
              <w:t>开标地点</w:t>
            </w:r>
            <w:r>
              <w:rPr>
                <w:rFonts w:ascii="宋体" w:hAnsi="宋体"/>
                <w:snapToGrid w:val="0"/>
                <w:color w:val="auto"/>
                <w:kern w:val="0"/>
                <w:szCs w:val="21"/>
                <w:highlight w:val="none"/>
              </w:rPr>
              <w:t>：</w:t>
            </w:r>
            <w:r>
              <w:rPr>
                <w:rFonts w:hint="eastAsia" w:ascii="宋体" w:hAnsi="宋体"/>
                <w:color w:val="auto"/>
                <w:szCs w:val="21"/>
                <w:highlight w:val="none"/>
              </w:rPr>
              <w:t>电子招标投标交易平台（网址：</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snapToGrid w:val="0"/>
                <w:color w:val="auto"/>
                <w:kern w:val="0"/>
                <w:szCs w:val="21"/>
                <w:highlight w:val="none"/>
                <w:u w:val="single"/>
              </w:rPr>
              <w:t>在线公开开标，同时在    （交易场所）设置在线开标会场，投标人可到场参加开标会。</w:t>
            </w:r>
          </w:p>
        </w:tc>
      </w:tr>
      <w:tr w14:paraId="4C29FC3A">
        <w:tblPrEx>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14:paraId="7BB95340">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6.1.1</w:t>
            </w:r>
          </w:p>
        </w:tc>
        <w:tc>
          <w:tcPr>
            <w:tcW w:w="3260" w:type="dxa"/>
            <w:tcBorders>
              <w:top w:val="single" w:color="auto" w:sz="4" w:space="0"/>
              <w:left w:val="single" w:color="auto" w:sz="4" w:space="0"/>
              <w:right w:val="single" w:color="auto" w:sz="4" w:space="0"/>
            </w:tcBorders>
            <w:vAlign w:val="center"/>
          </w:tcPr>
          <w:p w14:paraId="5B292967">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highlight w:val="none"/>
              </w:rPr>
              <w:t>评标委员会</w:t>
            </w:r>
            <w:r>
              <w:rPr>
                <w:rFonts w:hint="eastAsia" w:ascii="宋体" w:hAnsi="宋体"/>
                <w:snapToGrid w:val="0"/>
                <w:color w:val="auto"/>
                <w:kern w:val="0"/>
                <w:highlight w:val="none"/>
              </w:rPr>
              <w:t>的组建</w:t>
            </w:r>
          </w:p>
        </w:tc>
        <w:tc>
          <w:tcPr>
            <w:tcW w:w="5021" w:type="dxa"/>
            <w:tcBorders>
              <w:top w:val="single" w:color="auto" w:sz="4" w:space="0"/>
              <w:left w:val="single" w:color="auto" w:sz="4" w:space="0"/>
              <w:right w:val="single" w:color="auto" w:sz="4" w:space="0"/>
            </w:tcBorders>
            <w:vAlign w:val="center"/>
          </w:tcPr>
          <w:p w14:paraId="03270024">
            <w:pPr>
              <w:tabs>
                <w:tab w:val="left" w:pos="480"/>
              </w:tabs>
              <w:adjustRightInd w:val="0"/>
              <w:snapToGrid w:val="0"/>
              <w:spacing w:before="38" w:beforeLines="16" w:after="38" w:afterLines="16" w:line="360" w:lineRule="auto"/>
              <w:rPr>
                <w:rFonts w:ascii="宋体" w:hAnsi="宋体"/>
                <w:color w:val="auto"/>
                <w:szCs w:val="21"/>
                <w:highlight w:val="none"/>
              </w:rPr>
            </w:pPr>
            <w:r>
              <w:rPr>
                <w:rFonts w:hint="eastAsia" w:ascii="宋体" w:hAnsi="宋体"/>
                <w:color w:val="auto"/>
                <w:szCs w:val="21"/>
                <w:highlight w:val="none"/>
              </w:rPr>
              <w:t>评标委员会成员人数：</w:t>
            </w:r>
            <w:r>
              <w:rPr>
                <w:rFonts w:hint="eastAsia" w:ascii="宋体" w:hAnsi="宋体" w:cs="宋体"/>
                <w:color w:val="auto"/>
                <w:kern w:val="0"/>
                <w:szCs w:val="21"/>
                <w:highlight w:val="none"/>
                <w:u w:val="single"/>
              </w:rPr>
              <w:t xml:space="preserve">            </w:t>
            </w:r>
            <w:r>
              <w:rPr>
                <w:rFonts w:hint="eastAsia" w:ascii="宋体" w:hAnsi="宋体"/>
                <w:color w:val="auto"/>
                <w:szCs w:val="21"/>
                <w:highlight w:val="none"/>
              </w:rPr>
              <w:t>人；</w:t>
            </w:r>
          </w:p>
          <w:p w14:paraId="1ACBFDB0">
            <w:pPr>
              <w:tabs>
                <w:tab w:val="left" w:pos="480"/>
              </w:tabs>
              <w:adjustRightInd w:val="0"/>
              <w:snapToGrid w:val="0"/>
              <w:spacing w:before="38" w:beforeLines="16" w:after="38" w:afterLines="16" w:line="360" w:lineRule="auto"/>
              <w:rPr>
                <w:rFonts w:ascii="宋体" w:hAnsi="宋体"/>
                <w:color w:val="auto"/>
                <w:szCs w:val="21"/>
                <w:highlight w:val="none"/>
              </w:rPr>
            </w:pPr>
            <w:r>
              <w:rPr>
                <w:rFonts w:hint="eastAsia" w:ascii="宋体" w:hAnsi="宋体"/>
                <w:color w:val="auto"/>
                <w:szCs w:val="21"/>
                <w:highlight w:val="none"/>
              </w:rPr>
              <w:t>评标专家确定方式：</w:t>
            </w:r>
          </w:p>
          <w:p w14:paraId="06EB088F">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color w:val="auto"/>
                <w:szCs w:val="21"/>
                <w:highlight w:val="none"/>
              </w:rPr>
              <w:t>按规定从</w:t>
            </w:r>
            <w:r>
              <w:rPr>
                <w:rFonts w:hint="eastAsia" w:ascii="宋体" w:hAnsi="宋体"/>
                <w:color w:val="auto"/>
                <w:szCs w:val="21"/>
                <w:highlight w:val="none"/>
                <w:u w:val="single"/>
              </w:rPr>
              <w:t xml:space="preserve">（交通运输部或福建省）   </w:t>
            </w:r>
            <w:r>
              <w:rPr>
                <w:rFonts w:hint="eastAsia" w:ascii="宋体" w:hAnsi="宋体"/>
                <w:color w:val="auto"/>
                <w:szCs w:val="21"/>
                <w:highlight w:val="none"/>
              </w:rPr>
              <w:t xml:space="preserve"> 评标专家库中随机抽取。</w:t>
            </w:r>
          </w:p>
        </w:tc>
      </w:tr>
      <w:tr w14:paraId="50C713AA">
        <w:tblPrEx>
          <w:tblCellMar>
            <w:top w:w="0" w:type="dxa"/>
            <w:left w:w="108" w:type="dxa"/>
            <w:bottom w:w="0" w:type="dxa"/>
            <w:right w:w="108" w:type="dxa"/>
          </w:tblCellMar>
        </w:tblPrEx>
        <w:trPr>
          <w:trHeight w:val="706" w:hRule="atLeast"/>
        </w:trPr>
        <w:tc>
          <w:tcPr>
            <w:tcW w:w="959" w:type="dxa"/>
            <w:tcBorders>
              <w:top w:val="single" w:color="auto" w:sz="4" w:space="0"/>
              <w:left w:val="single" w:color="auto" w:sz="4" w:space="0"/>
              <w:bottom w:val="single" w:color="auto" w:sz="4" w:space="0"/>
              <w:right w:val="single" w:color="auto" w:sz="4" w:space="0"/>
            </w:tcBorders>
            <w:vAlign w:val="center"/>
          </w:tcPr>
          <w:p w14:paraId="2DA0DCCD">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6.3</w:t>
            </w:r>
          </w:p>
        </w:tc>
        <w:tc>
          <w:tcPr>
            <w:tcW w:w="3260" w:type="dxa"/>
            <w:tcBorders>
              <w:top w:val="single" w:color="auto" w:sz="4" w:space="0"/>
              <w:left w:val="single" w:color="auto" w:sz="4" w:space="0"/>
              <w:bottom w:val="single" w:color="auto" w:sz="4" w:space="0"/>
              <w:right w:val="single" w:color="auto" w:sz="4" w:space="0"/>
            </w:tcBorders>
            <w:vAlign w:val="center"/>
          </w:tcPr>
          <w:p w14:paraId="00F77A82">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评标办法</w:t>
            </w:r>
          </w:p>
        </w:tc>
        <w:tc>
          <w:tcPr>
            <w:tcW w:w="5021" w:type="dxa"/>
            <w:tcBorders>
              <w:top w:val="single" w:color="auto" w:sz="4" w:space="0"/>
              <w:left w:val="single" w:color="auto" w:sz="4" w:space="0"/>
              <w:bottom w:val="single" w:color="auto" w:sz="4" w:space="0"/>
              <w:right w:val="single" w:color="auto" w:sz="4" w:space="0"/>
            </w:tcBorders>
            <w:vAlign w:val="center"/>
          </w:tcPr>
          <w:p w14:paraId="78FBD7CC">
            <w:pPr>
              <w:tabs>
                <w:tab w:val="left" w:pos="480"/>
              </w:tabs>
              <w:adjustRightInd w:val="0"/>
              <w:snapToGrid w:val="0"/>
              <w:spacing w:before="38" w:beforeLines="16" w:after="38" w:afterLines="16" w:line="360" w:lineRule="auto"/>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highlight w:val="none"/>
                <w:u w:val="single"/>
                <w:lang w:eastAsia="zh-CN"/>
              </w:rPr>
              <w:t>定性评审法</w:t>
            </w:r>
          </w:p>
        </w:tc>
      </w:tr>
      <w:tr w14:paraId="57448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tcBorders>
              <w:top w:val="single" w:color="auto" w:sz="4" w:space="0"/>
              <w:left w:val="single" w:color="auto" w:sz="4" w:space="0"/>
              <w:bottom w:val="single" w:color="auto" w:sz="4" w:space="0"/>
            </w:tcBorders>
            <w:vAlign w:val="center"/>
          </w:tcPr>
          <w:p w14:paraId="426ABFC4">
            <w:pPr>
              <w:wordWrap w:val="0"/>
              <w:adjustRightInd w:val="0"/>
              <w:snapToGrid w:val="0"/>
              <w:spacing w:before="120" w:beforeLines="50" w:line="300" w:lineRule="auto"/>
              <w:rPr>
                <w:rFonts w:hint="eastAsia" w:ascii="宋体" w:hAnsi="宋体" w:eastAsia="宋体"/>
                <w:color w:val="auto"/>
                <w:highlight w:val="none"/>
                <w:lang w:eastAsia="zh-CN"/>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p>
        </w:tc>
        <w:tc>
          <w:tcPr>
            <w:tcW w:w="3260" w:type="dxa"/>
            <w:tcBorders>
              <w:top w:val="single" w:color="auto" w:sz="4" w:space="0"/>
              <w:bottom w:val="single" w:color="auto" w:sz="4" w:space="0"/>
            </w:tcBorders>
            <w:vAlign w:val="center"/>
          </w:tcPr>
          <w:p w14:paraId="086CBF3B">
            <w:pPr>
              <w:wordWrap w:val="0"/>
              <w:adjustRightInd w:val="0"/>
              <w:snapToGrid w:val="0"/>
              <w:spacing w:before="120" w:beforeLines="50" w:line="300" w:lineRule="auto"/>
              <w:jc w:val="left"/>
              <w:rPr>
                <w:rFonts w:ascii="宋体" w:hAnsi="宋体"/>
                <w:color w:val="auto"/>
                <w:szCs w:val="21"/>
                <w:highlight w:val="none"/>
              </w:rPr>
            </w:pPr>
            <w:r>
              <w:rPr>
                <w:rFonts w:hint="eastAsia" w:ascii="宋体" w:hAnsi="宋体" w:cs="宋体"/>
                <w:color w:val="auto"/>
                <w:szCs w:val="21"/>
                <w:highlight w:val="none"/>
              </w:rPr>
              <w:t>中标候选人公示媒介及期限</w:t>
            </w:r>
          </w:p>
        </w:tc>
        <w:tc>
          <w:tcPr>
            <w:tcW w:w="5021" w:type="dxa"/>
            <w:tcBorders>
              <w:top w:val="single" w:color="auto" w:sz="4" w:space="0"/>
              <w:bottom w:val="single" w:color="auto" w:sz="4" w:space="0"/>
              <w:right w:val="single" w:color="auto" w:sz="4" w:space="0"/>
            </w:tcBorders>
            <w:vAlign w:val="center"/>
          </w:tcPr>
          <w:p w14:paraId="5DB7FBD2">
            <w:pPr>
              <w:tabs>
                <w:tab w:val="left" w:pos="840"/>
              </w:tabs>
              <w:wordWrap w:val="0"/>
              <w:spacing w:before="120" w:beforeLines="50" w:line="300" w:lineRule="auto"/>
              <w:jc w:val="left"/>
              <w:rPr>
                <w:rFonts w:ascii="宋体" w:hAnsi="宋体" w:cs="宋体"/>
                <w:b/>
                <w:color w:val="auto"/>
                <w:szCs w:val="21"/>
                <w:highlight w:val="none"/>
              </w:rPr>
            </w:pPr>
            <w:r>
              <w:rPr>
                <w:rFonts w:hint="eastAsia" w:ascii="宋体" w:hAnsi="宋体" w:cs="宋体"/>
                <w:color w:val="auto"/>
                <w:szCs w:val="21"/>
                <w:highlight w:val="none"/>
              </w:rPr>
              <w:t>公示媒介：福建省公共资源交易电子公共服务平台（网址：</w:t>
            </w:r>
            <w:r>
              <w:rPr>
                <w:rFonts w:ascii="宋体" w:hAnsi="宋体"/>
                <w:color w:val="auto"/>
                <w:szCs w:val="21"/>
                <w:highlight w:val="none"/>
              </w:rPr>
              <w:t xml:space="preserve">ggzyfw.fj.gov.cn </w:t>
            </w:r>
            <w:r>
              <w:rPr>
                <w:color w:val="auto"/>
                <w:highlight w:val="none"/>
              </w:rPr>
              <w:fldChar w:fldCharType="begin"/>
            </w:r>
            <w:r>
              <w:rPr>
                <w:color w:val="auto"/>
                <w:highlight w:val="none"/>
              </w:rPr>
              <w:instrText xml:space="preserve"> HYPERLINK "）、电子招标投标交易平台" </w:instrText>
            </w:r>
            <w:r>
              <w:rPr>
                <w:color w:val="auto"/>
                <w:highlight w:val="none"/>
              </w:rPr>
              <w:fldChar w:fldCharType="separate"/>
            </w:r>
            <w:r>
              <w:rPr>
                <w:rStyle w:val="47"/>
                <w:rFonts w:hint="eastAsia" w:ascii="宋体" w:hAnsi="宋体" w:cs="宋体"/>
                <w:color w:val="auto"/>
                <w:szCs w:val="21"/>
                <w:highlight w:val="none"/>
              </w:rPr>
              <w:t>）、电子招标投标交易平台</w:t>
            </w:r>
            <w:r>
              <w:rPr>
                <w:rStyle w:val="47"/>
                <w:rFonts w:hint="eastAsia" w:ascii="宋体" w:hAnsi="宋体" w:cs="宋体"/>
                <w:color w:val="auto"/>
                <w:szCs w:val="21"/>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3E9F863D">
            <w:pPr>
              <w:tabs>
                <w:tab w:val="left" w:pos="840"/>
              </w:tabs>
              <w:wordWrap w:val="0"/>
              <w:spacing w:before="120" w:beforeLines="50" w:line="300" w:lineRule="auto"/>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日</w:t>
            </w:r>
          </w:p>
          <w:p w14:paraId="02B6993D">
            <w:pPr>
              <w:wordWrap w:val="0"/>
              <w:adjustRightInd w:val="0"/>
              <w:snapToGrid w:val="0"/>
              <w:spacing w:before="120" w:beforeLines="50" w:line="300" w:lineRule="auto"/>
              <w:rPr>
                <w:rFonts w:ascii="宋体" w:hAnsi="宋体"/>
                <w:color w:val="auto"/>
                <w:highlight w:val="none"/>
                <w:u w:val="single"/>
              </w:rPr>
            </w:pPr>
            <w:r>
              <w:rPr>
                <w:rStyle w:val="110"/>
                <w:rFonts w:hint="eastAsia"/>
                <w:color w:val="auto"/>
                <w:sz w:val="21"/>
                <w:szCs w:val="21"/>
                <w:highlight w:val="none"/>
                <w:lang w:val="zh-TW" w:eastAsia="zh-TW"/>
              </w:rPr>
              <w:t>公示的其他内容：</w:t>
            </w:r>
            <w:r>
              <w:rPr>
                <w:rStyle w:val="110"/>
                <w:rFonts w:hint="eastAsia"/>
                <w:color w:val="auto"/>
                <w:sz w:val="21"/>
                <w:szCs w:val="21"/>
                <w:highlight w:val="none"/>
                <w:u w:val="single"/>
              </w:rPr>
              <w:t xml:space="preserve">                  </w:t>
            </w:r>
            <w:r>
              <w:rPr>
                <w:rStyle w:val="110"/>
                <w:rFonts w:hint="eastAsia"/>
                <w:color w:val="auto"/>
                <w:sz w:val="21"/>
                <w:szCs w:val="21"/>
                <w:highlight w:val="none"/>
              </w:rPr>
              <w:t xml:space="preserve">   </w:t>
            </w:r>
          </w:p>
        </w:tc>
      </w:tr>
      <w:tr w14:paraId="51048B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vMerge w:val="restart"/>
            <w:tcBorders>
              <w:top w:val="single" w:color="auto" w:sz="4" w:space="0"/>
              <w:left w:val="single" w:color="auto" w:sz="4" w:space="0"/>
            </w:tcBorders>
            <w:vAlign w:val="center"/>
          </w:tcPr>
          <w:p w14:paraId="10A7D4A2">
            <w:pPr>
              <w:wordWrap w:val="0"/>
              <w:adjustRightInd w:val="0"/>
              <w:snapToGrid w:val="0"/>
              <w:spacing w:before="120" w:beforeLines="50" w:line="30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3</w:t>
            </w:r>
          </w:p>
        </w:tc>
        <w:tc>
          <w:tcPr>
            <w:tcW w:w="3260" w:type="dxa"/>
            <w:tcBorders>
              <w:top w:val="single" w:color="auto" w:sz="4" w:space="0"/>
              <w:bottom w:val="single" w:color="auto" w:sz="4" w:space="0"/>
            </w:tcBorders>
            <w:vAlign w:val="center"/>
          </w:tcPr>
          <w:p w14:paraId="0FF6C42A">
            <w:pPr>
              <w:wordWrap w:val="0"/>
              <w:adjustRightInd w:val="0"/>
              <w:snapToGrid w:val="0"/>
              <w:spacing w:before="120" w:beforeLines="50" w:line="300" w:lineRule="auto"/>
              <w:jc w:val="left"/>
              <w:rPr>
                <w:rFonts w:ascii="宋体" w:hAnsi="宋体" w:cs="宋体"/>
                <w:color w:val="auto"/>
                <w:szCs w:val="21"/>
                <w:highlight w:val="none"/>
              </w:rPr>
            </w:pPr>
            <w:r>
              <w:rPr>
                <w:rFonts w:hint="eastAsia" w:ascii="宋体" w:hAnsi="宋体" w:cs="宋体"/>
                <w:color w:val="auto"/>
                <w:szCs w:val="21"/>
                <w:highlight w:val="none"/>
              </w:rPr>
              <w:t>定标方法</w:t>
            </w:r>
          </w:p>
        </w:tc>
        <w:tc>
          <w:tcPr>
            <w:tcW w:w="5021" w:type="dxa"/>
            <w:tcBorders>
              <w:top w:val="single" w:color="auto" w:sz="4" w:space="0"/>
              <w:bottom w:val="single" w:color="auto" w:sz="4" w:space="0"/>
              <w:right w:val="single" w:color="auto" w:sz="4" w:space="0"/>
            </w:tcBorders>
            <w:vAlign w:val="center"/>
          </w:tcPr>
          <w:p w14:paraId="564C70F2">
            <w:pPr>
              <w:wordWrap w:val="0"/>
              <w:spacing w:before="120" w:beforeLines="50" w:line="300" w:lineRule="auto"/>
              <w:rPr>
                <w:rStyle w:val="110"/>
                <w:color w:val="auto"/>
                <w:sz w:val="21"/>
                <w:szCs w:val="21"/>
                <w:highlight w:val="none"/>
                <w:lang w:val="zh-TW" w:eastAsia="zh-TW"/>
              </w:rPr>
            </w:pPr>
            <w:r>
              <w:rPr>
                <w:rFonts w:ascii="宋体" w:hAnsi="宋体" w:cs="宋体"/>
                <w:color w:val="auto"/>
                <w:szCs w:val="21"/>
                <w:highlight w:val="none"/>
                <w:lang w:val="zh-CN" w:bidi="zh-CN"/>
              </w:rPr>
              <w:t>直接票决法</w:t>
            </w:r>
          </w:p>
        </w:tc>
      </w:tr>
      <w:tr w14:paraId="0AD2AB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vMerge w:val="continue"/>
            <w:tcBorders>
              <w:left w:val="single" w:color="auto" w:sz="4" w:space="0"/>
              <w:bottom w:val="single" w:color="auto" w:sz="4" w:space="0"/>
            </w:tcBorders>
            <w:vAlign w:val="center"/>
          </w:tcPr>
          <w:p w14:paraId="161C1190">
            <w:pPr>
              <w:wordWrap w:val="0"/>
              <w:adjustRightInd w:val="0"/>
              <w:snapToGrid w:val="0"/>
              <w:spacing w:before="120" w:beforeLines="50" w:line="300" w:lineRule="auto"/>
              <w:rPr>
                <w:rFonts w:hint="eastAsia" w:ascii="宋体" w:hAnsi="宋体" w:cs="宋体"/>
                <w:color w:val="auto"/>
                <w:szCs w:val="21"/>
                <w:highlight w:val="none"/>
              </w:rPr>
            </w:pPr>
          </w:p>
        </w:tc>
        <w:tc>
          <w:tcPr>
            <w:tcW w:w="3260" w:type="dxa"/>
            <w:tcBorders>
              <w:top w:val="single" w:color="auto" w:sz="4" w:space="0"/>
              <w:bottom w:val="single" w:color="auto" w:sz="4" w:space="0"/>
            </w:tcBorders>
            <w:vAlign w:val="center"/>
          </w:tcPr>
          <w:p w14:paraId="52F9B80D">
            <w:pPr>
              <w:wordWrap w:val="0"/>
              <w:adjustRightInd w:val="0"/>
              <w:snapToGrid w:val="0"/>
              <w:spacing w:before="120" w:beforeLines="50" w:line="300" w:lineRule="auto"/>
              <w:jc w:val="left"/>
              <w:rPr>
                <w:rFonts w:hint="eastAsia" w:ascii="宋体" w:hAnsi="宋体" w:cs="宋体"/>
                <w:color w:val="auto"/>
                <w:szCs w:val="21"/>
                <w:highlight w:val="none"/>
              </w:rPr>
            </w:pPr>
            <w:r>
              <w:rPr>
                <w:rFonts w:hint="eastAsia" w:ascii="宋体" w:hAnsi="宋体" w:eastAsia="宋体"/>
                <w:color w:val="auto"/>
                <w:sz w:val="21"/>
                <w:szCs w:val="21"/>
                <w:highlight w:val="none"/>
                <w:lang w:val="en-US" w:eastAsia="zh-CN"/>
              </w:rPr>
              <w:t>项目负责人陈述答辩考核工作方案</w:t>
            </w:r>
          </w:p>
        </w:tc>
        <w:tc>
          <w:tcPr>
            <w:tcW w:w="5021" w:type="dxa"/>
            <w:tcBorders>
              <w:top w:val="single" w:color="auto" w:sz="4" w:space="0"/>
              <w:bottom w:val="single" w:color="auto" w:sz="4" w:space="0"/>
              <w:right w:val="single" w:color="auto" w:sz="4" w:space="0"/>
            </w:tcBorders>
            <w:vAlign w:val="center"/>
          </w:tcPr>
          <w:p w14:paraId="35EEC924">
            <w:pPr>
              <w:keepNext/>
              <w:keepLines/>
              <w:pageBreakBefore w:val="0"/>
              <w:widowControl/>
              <w:kinsoku/>
              <w:wordWrap/>
              <w:overflowPunct/>
              <w:topLinePunct w:val="0"/>
              <w:autoSpaceDE/>
              <w:autoSpaceDN/>
              <w:bidi w:val="0"/>
              <w:adjustRightInd/>
              <w:snapToGrid/>
              <w:spacing w:beforeLines="0" w:afterLines="50" w:line="400" w:lineRule="exact"/>
              <w:ind w:firstLine="499" w:firstLineChars="238"/>
              <w:jc w:val="both"/>
              <w:textAlignment w:val="auto"/>
              <w:outlineLvl w:val="2"/>
              <w:rPr>
                <w:rFonts w:hint="eastAsia" w:ascii="宋体" w:hAnsi="宋体" w:eastAsia="宋体" w:cs="宋体"/>
                <w:color w:val="auto"/>
                <w:kern w:val="0"/>
                <w:sz w:val="21"/>
                <w:szCs w:val="21"/>
                <w:highlight w:val="none"/>
                <w:u w:val="none"/>
                <w:lang w:val="en-US" w:eastAsia="zh-CN" w:bidi="zh-CN"/>
              </w:rPr>
            </w:pPr>
            <w:r>
              <w:rPr>
                <w:rFonts w:hint="eastAsia" w:ascii="宋体" w:hAnsi="宋体" w:eastAsia="宋体" w:cs="宋体"/>
                <w:color w:val="auto"/>
                <w:kern w:val="0"/>
                <w:sz w:val="21"/>
                <w:szCs w:val="21"/>
                <w:highlight w:val="none"/>
                <w:u w:val="none"/>
                <w:lang w:val="en-US" w:eastAsia="zh-CN" w:bidi="zh-CN"/>
              </w:rPr>
              <w:t>定标方案明确要求项目负责人陈述答辩考核的，陈述答辩考核工作方案具体内容如下，应参加陈述答辩的投标人（所有入围投标人以及资格审查不合格的投标人均为参加陈述答辩的通知范围）以及项目负责人名称、时间、地点由招标人另行通知：</w:t>
            </w:r>
          </w:p>
          <w:p w14:paraId="4EB8CABD">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kern w:val="0"/>
                <w:sz w:val="21"/>
                <w:szCs w:val="21"/>
                <w:highlight w:val="none"/>
                <w:u w:val="none"/>
                <w:lang w:val="zh-CN" w:eastAsia="zh-CN" w:bidi="zh-CN"/>
              </w:rPr>
            </w:pPr>
            <w:r>
              <w:rPr>
                <w:rFonts w:hint="eastAsia" w:ascii="宋体" w:hAnsi="宋体" w:eastAsia="宋体" w:cs="宋体"/>
                <w:color w:val="auto"/>
                <w:kern w:val="0"/>
                <w:sz w:val="21"/>
                <w:szCs w:val="21"/>
                <w:highlight w:val="none"/>
                <w:u w:val="none"/>
                <w:lang w:val="zh-CN" w:eastAsia="zh-CN" w:bidi="zh-CN"/>
              </w:rPr>
              <w:t>一、总则</w:t>
            </w:r>
          </w:p>
          <w:p w14:paraId="6E24900F">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为确保</w:t>
            </w:r>
            <w:r>
              <w:rPr>
                <w:rFonts w:hint="eastAsia" w:ascii="宋体" w:hAnsi="宋体" w:eastAsia="宋体" w:cs="宋体"/>
                <w:color w:val="auto"/>
                <w:sz w:val="21"/>
                <w:szCs w:val="21"/>
                <w:highlight w:val="none"/>
                <w:u w:val="none"/>
                <w:lang w:val="en-US" w:bidi="zh-CN"/>
              </w:rPr>
              <w:t>项目负责人陈述</w:t>
            </w:r>
            <w:r>
              <w:rPr>
                <w:rFonts w:hint="eastAsia" w:ascii="宋体" w:hAnsi="宋体" w:eastAsia="宋体" w:cs="宋体"/>
                <w:color w:val="auto"/>
                <w:sz w:val="21"/>
                <w:szCs w:val="21"/>
                <w:highlight w:val="none"/>
                <w:u w:val="none"/>
                <w:lang w:val="zh-CN" w:bidi="zh-CN"/>
              </w:rPr>
              <w:t>答辩工作安排合理，工作人员分工明确，</w:t>
            </w:r>
            <w:r>
              <w:rPr>
                <w:rFonts w:hint="eastAsia" w:ascii="宋体" w:hAnsi="宋体" w:eastAsia="宋体" w:cs="宋体"/>
                <w:color w:val="auto"/>
                <w:sz w:val="21"/>
                <w:szCs w:val="21"/>
                <w:highlight w:val="none"/>
                <w:u w:val="none"/>
                <w:lang w:val="en-US" w:bidi="zh-CN"/>
              </w:rPr>
              <w:t>有关</w:t>
            </w:r>
            <w:r>
              <w:rPr>
                <w:rFonts w:hint="eastAsia" w:ascii="宋体" w:hAnsi="宋体" w:eastAsia="宋体" w:cs="宋体"/>
                <w:color w:val="auto"/>
                <w:sz w:val="21"/>
                <w:szCs w:val="21"/>
                <w:highlight w:val="none"/>
                <w:u w:val="none"/>
                <w:lang w:val="zh-CN" w:bidi="zh-CN"/>
              </w:rPr>
              <w:t>人员互不干扰串通，</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答辩评价结果客观公正，参加</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答辩的拟派本项目的项目负责人（以下简称</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答辩人员）应</w:t>
            </w:r>
            <w:r>
              <w:rPr>
                <w:rFonts w:hint="eastAsia" w:ascii="宋体" w:hAnsi="宋体" w:eastAsia="宋体" w:cs="宋体"/>
                <w:color w:val="auto"/>
                <w:sz w:val="21"/>
                <w:szCs w:val="21"/>
                <w:highlight w:val="none"/>
                <w:u w:val="none"/>
                <w:lang w:val="en-US" w:bidi="zh-CN"/>
              </w:rPr>
              <w:t>按</w:t>
            </w:r>
            <w:r>
              <w:rPr>
                <w:rFonts w:hint="eastAsia" w:ascii="宋体" w:hAnsi="宋体" w:eastAsia="宋体" w:cs="宋体"/>
                <w:color w:val="auto"/>
                <w:sz w:val="21"/>
                <w:szCs w:val="21"/>
                <w:highlight w:val="none"/>
                <w:u w:val="none"/>
                <w:lang w:val="zh-CN" w:bidi="zh-CN"/>
              </w:rPr>
              <w:t>要求做好准备工作，服从现场工作人员的安排。</w:t>
            </w:r>
          </w:p>
          <w:p w14:paraId="3EB5A9E8">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二、</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答辩人员</w:t>
            </w:r>
          </w:p>
          <w:p w14:paraId="4B474727">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en-US" w:bidi="zh-CN"/>
              </w:rPr>
              <w:t>1.陈述</w:t>
            </w:r>
            <w:r>
              <w:rPr>
                <w:rFonts w:hint="eastAsia" w:ascii="宋体" w:hAnsi="宋体" w:eastAsia="宋体" w:cs="宋体"/>
                <w:color w:val="auto"/>
                <w:sz w:val="21"/>
                <w:szCs w:val="21"/>
                <w:highlight w:val="none"/>
                <w:u w:val="none"/>
                <w:lang w:val="zh-CN" w:bidi="zh-CN"/>
              </w:rPr>
              <w:t>答辩人员</w:t>
            </w:r>
            <w:r>
              <w:rPr>
                <w:rFonts w:hint="eastAsia" w:ascii="宋体" w:hAnsi="宋体" w:eastAsia="宋体" w:cs="宋体"/>
                <w:color w:val="auto"/>
                <w:sz w:val="21"/>
                <w:szCs w:val="21"/>
                <w:highlight w:val="none"/>
                <w:u w:val="none"/>
                <w:lang w:val="en-US" w:bidi="zh-CN"/>
              </w:rPr>
              <w:t>必须为</w:t>
            </w:r>
            <w:r>
              <w:rPr>
                <w:rFonts w:hint="eastAsia" w:ascii="宋体" w:hAnsi="宋体" w:eastAsia="宋体" w:cs="宋体"/>
                <w:color w:val="auto"/>
                <w:sz w:val="21"/>
                <w:szCs w:val="21"/>
                <w:highlight w:val="none"/>
                <w:u w:val="none"/>
                <w:lang w:val="zh-CN" w:bidi="zh-CN"/>
              </w:rPr>
              <w:t>投标文件中确定的项目负责人，除此之外的其他人员不得作为答辩人员。</w:t>
            </w:r>
          </w:p>
          <w:p w14:paraId="18D5858C">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en-US" w:bidi="zh-CN"/>
              </w:rPr>
            </w:pPr>
            <w:r>
              <w:rPr>
                <w:rFonts w:hint="eastAsia" w:ascii="宋体" w:hAnsi="宋体" w:eastAsia="宋体" w:cs="宋体"/>
                <w:color w:val="auto"/>
                <w:sz w:val="21"/>
                <w:szCs w:val="21"/>
                <w:highlight w:val="none"/>
                <w:u w:val="none"/>
                <w:lang w:val="en-US" w:bidi="zh-CN"/>
              </w:rPr>
              <w:t>2.陈述</w:t>
            </w:r>
            <w:r>
              <w:rPr>
                <w:rFonts w:hint="eastAsia" w:ascii="宋体" w:hAnsi="宋体" w:eastAsia="宋体" w:cs="宋体"/>
                <w:color w:val="auto"/>
                <w:sz w:val="21"/>
                <w:szCs w:val="21"/>
                <w:highlight w:val="none"/>
                <w:u w:val="none"/>
                <w:lang w:val="zh-CN" w:bidi="zh-CN"/>
              </w:rPr>
              <w:t>答辩人员应携带《</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答辩授权委托书》（具体格式详见附件）、身份证原件及复印件（正反两面，加盖公章），在</w:t>
            </w:r>
            <w:r>
              <w:rPr>
                <w:rFonts w:hint="eastAsia" w:ascii="宋体" w:hAnsi="宋体" w:eastAsia="宋体" w:cs="宋体"/>
                <w:color w:val="auto"/>
                <w:sz w:val="21"/>
                <w:szCs w:val="21"/>
                <w:highlight w:val="none"/>
                <w:u w:val="none"/>
                <w:lang w:val="en-US" w:bidi="zh-CN"/>
              </w:rPr>
              <w:t>招标人通知的时间和地点，准时</w:t>
            </w:r>
            <w:r>
              <w:rPr>
                <w:rFonts w:hint="eastAsia" w:ascii="宋体" w:hAnsi="宋体" w:eastAsia="宋体" w:cs="宋体"/>
                <w:color w:val="auto"/>
                <w:sz w:val="21"/>
                <w:szCs w:val="21"/>
                <w:highlight w:val="none"/>
                <w:u w:val="none"/>
                <w:lang w:val="zh-CN" w:bidi="zh-CN"/>
              </w:rPr>
              <w:t>签到</w:t>
            </w:r>
            <w:r>
              <w:rPr>
                <w:rFonts w:hint="eastAsia" w:ascii="宋体" w:hAnsi="宋体" w:eastAsia="宋体" w:cs="宋体"/>
                <w:color w:val="auto"/>
                <w:sz w:val="21"/>
                <w:szCs w:val="21"/>
                <w:highlight w:val="none"/>
                <w:u w:val="none"/>
                <w:lang w:val="en-US" w:bidi="zh-CN"/>
              </w:rPr>
              <w:t>并</w:t>
            </w:r>
            <w:r>
              <w:rPr>
                <w:rFonts w:hint="eastAsia" w:ascii="宋体" w:hAnsi="宋体" w:eastAsia="宋体" w:cs="宋体"/>
                <w:color w:val="auto"/>
                <w:sz w:val="21"/>
                <w:szCs w:val="21"/>
                <w:highlight w:val="none"/>
                <w:u w:val="none"/>
                <w:lang w:val="zh-CN" w:bidi="zh-CN"/>
              </w:rPr>
              <w:t>向</w:t>
            </w:r>
            <w:r>
              <w:rPr>
                <w:rFonts w:hint="eastAsia" w:ascii="宋体" w:hAnsi="宋体" w:eastAsia="宋体" w:cs="宋体"/>
                <w:color w:val="auto"/>
                <w:sz w:val="21"/>
                <w:szCs w:val="21"/>
                <w:highlight w:val="none"/>
                <w:u w:val="none"/>
                <w:lang w:val="en-US" w:bidi="zh-CN"/>
              </w:rPr>
              <w:t>工作人员</w:t>
            </w:r>
            <w:r>
              <w:rPr>
                <w:rFonts w:hint="eastAsia" w:ascii="宋体" w:hAnsi="宋体" w:eastAsia="宋体" w:cs="宋体"/>
                <w:color w:val="auto"/>
                <w:sz w:val="21"/>
                <w:szCs w:val="21"/>
                <w:highlight w:val="none"/>
                <w:u w:val="none"/>
                <w:lang w:val="zh-CN" w:bidi="zh-CN"/>
              </w:rPr>
              <w:t>提交身份验证（验证时应摘除口罩），验证通过方可参加答辩，</w:t>
            </w:r>
            <w:r>
              <w:rPr>
                <w:rFonts w:hint="eastAsia" w:ascii="宋体" w:hAnsi="宋体" w:eastAsia="宋体" w:cs="宋体"/>
                <w:color w:val="auto"/>
                <w:sz w:val="21"/>
                <w:szCs w:val="21"/>
                <w:highlight w:val="none"/>
                <w:u w:val="none"/>
                <w:lang w:val="en-US" w:bidi="zh-CN"/>
              </w:rPr>
              <w:t>未准时签到或验证不符合要求的，视为放弃答辩。</w:t>
            </w:r>
          </w:p>
          <w:p w14:paraId="67A75E4A">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default" w:ascii="宋体" w:hAnsi="宋体" w:eastAsia="宋体" w:cs="宋体"/>
                <w:color w:val="auto"/>
                <w:sz w:val="21"/>
                <w:szCs w:val="21"/>
                <w:highlight w:val="none"/>
                <w:u w:val="none"/>
                <w:lang w:val="en-US" w:bidi="zh-CN"/>
              </w:rPr>
            </w:pPr>
            <w:r>
              <w:rPr>
                <w:rFonts w:hint="eastAsia" w:ascii="宋体" w:hAnsi="宋体" w:eastAsia="宋体" w:cs="宋体"/>
                <w:color w:val="auto"/>
                <w:sz w:val="21"/>
                <w:szCs w:val="21"/>
                <w:highlight w:val="none"/>
                <w:u w:val="none"/>
                <w:lang w:val="en-US" w:bidi="zh-CN"/>
              </w:rPr>
              <w:t>3.陈述答辩人员在答辩期间应全程携带工作牌。</w:t>
            </w:r>
          </w:p>
          <w:p w14:paraId="1FBB8954">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en-US" w:bidi="zh-CN"/>
              </w:rPr>
              <w:t>4.身份</w:t>
            </w:r>
            <w:r>
              <w:rPr>
                <w:rFonts w:hint="eastAsia" w:ascii="宋体" w:hAnsi="宋体" w:eastAsia="宋体" w:cs="宋体"/>
                <w:color w:val="auto"/>
                <w:sz w:val="21"/>
                <w:szCs w:val="21"/>
                <w:highlight w:val="none"/>
                <w:u w:val="none"/>
                <w:lang w:val="zh-CN" w:bidi="zh-CN"/>
              </w:rPr>
              <w:t>验证后</w:t>
            </w:r>
            <w:r>
              <w:rPr>
                <w:rFonts w:hint="eastAsia" w:ascii="宋体" w:hAnsi="宋体" w:eastAsia="宋体" w:cs="宋体"/>
                <w:color w:val="auto"/>
                <w:sz w:val="21"/>
                <w:szCs w:val="21"/>
                <w:highlight w:val="none"/>
                <w:u w:val="none"/>
                <w:lang w:val="en-US" w:bidi="zh-CN"/>
              </w:rPr>
              <w:t>工作人员</w:t>
            </w:r>
            <w:r>
              <w:rPr>
                <w:rFonts w:hint="eastAsia" w:ascii="宋体" w:hAnsi="宋体" w:eastAsia="宋体" w:cs="宋体"/>
                <w:color w:val="auto"/>
                <w:sz w:val="21"/>
                <w:szCs w:val="21"/>
                <w:highlight w:val="none"/>
                <w:u w:val="none"/>
                <w:lang w:val="zh-CN" w:bidi="zh-CN"/>
              </w:rPr>
              <w:t>留存授权书和身份证复印件。</w:t>
            </w:r>
          </w:p>
          <w:p w14:paraId="55A6BA88">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三、</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答辩签到时间、地点</w:t>
            </w:r>
          </w:p>
          <w:p w14:paraId="33607EBB">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default" w:ascii="宋体" w:hAnsi="宋体" w:eastAsia="宋体" w:cs="宋体"/>
                <w:color w:val="auto"/>
                <w:sz w:val="21"/>
                <w:szCs w:val="21"/>
                <w:highlight w:val="none"/>
                <w:u w:val="none"/>
                <w:lang w:val="en-US" w:bidi="zh-CN"/>
              </w:rPr>
            </w:pPr>
            <w:r>
              <w:rPr>
                <w:rFonts w:hint="eastAsia" w:ascii="宋体" w:hAnsi="宋体" w:eastAsia="宋体" w:cs="宋体"/>
                <w:color w:val="auto"/>
                <w:sz w:val="21"/>
                <w:szCs w:val="21"/>
                <w:highlight w:val="none"/>
                <w:u w:val="none"/>
                <w:lang w:val="en-US" w:bidi="zh-CN"/>
              </w:rPr>
              <w:t>1.</w:t>
            </w:r>
            <w:r>
              <w:rPr>
                <w:rFonts w:hint="eastAsia" w:ascii="宋体" w:hAnsi="宋体" w:eastAsia="宋体" w:cs="宋体"/>
                <w:color w:val="auto"/>
                <w:sz w:val="21"/>
                <w:szCs w:val="21"/>
                <w:highlight w:val="none"/>
                <w:u w:val="none"/>
                <w:lang w:val="zh-CN" w:bidi="zh-CN"/>
              </w:rPr>
              <w:t>签到时间：</w:t>
            </w:r>
            <w:r>
              <w:rPr>
                <w:rFonts w:hint="eastAsia" w:ascii="宋体" w:hAnsi="宋体" w:eastAsia="宋体" w:cs="宋体"/>
                <w:color w:val="auto"/>
                <w:sz w:val="21"/>
                <w:szCs w:val="21"/>
                <w:highlight w:val="none"/>
                <w:u w:val="none"/>
                <w:lang w:val="en-US" w:bidi="zh-CN"/>
              </w:rPr>
              <w:t>另行通知</w:t>
            </w:r>
          </w:p>
          <w:p w14:paraId="592E973D">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en-US" w:bidi="zh-CN"/>
              </w:rPr>
              <w:t>2.签到</w:t>
            </w:r>
            <w:r>
              <w:rPr>
                <w:rFonts w:hint="eastAsia" w:ascii="宋体" w:hAnsi="宋体" w:eastAsia="宋体" w:cs="宋体"/>
                <w:color w:val="auto"/>
                <w:sz w:val="21"/>
                <w:szCs w:val="21"/>
                <w:highlight w:val="none"/>
                <w:u w:val="none"/>
                <w:lang w:val="zh-CN" w:bidi="zh-CN"/>
              </w:rPr>
              <w:t>地点：</w:t>
            </w:r>
            <w:r>
              <w:rPr>
                <w:rFonts w:hint="eastAsia" w:ascii="宋体" w:hAnsi="宋体" w:eastAsia="宋体" w:cs="宋体"/>
                <w:color w:val="auto"/>
                <w:sz w:val="21"/>
                <w:szCs w:val="21"/>
                <w:highlight w:val="none"/>
                <w:u w:val="none"/>
                <w:lang w:val="en-US" w:bidi="zh-CN"/>
              </w:rPr>
              <w:t>另行通知，</w:t>
            </w:r>
            <w:r>
              <w:rPr>
                <w:rFonts w:hint="eastAsia" w:ascii="宋体" w:hAnsi="宋体" w:eastAsia="宋体" w:cs="宋体"/>
                <w:color w:val="auto"/>
                <w:sz w:val="21"/>
                <w:szCs w:val="21"/>
                <w:highlight w:val="none"/>
                <w:u w:val="none"/>
                <w:lang w:val="zh-CN" w:bidi="zh-CN"/>
              </w:rPr>
              <w:t>签到地点即为候辩室。</w:t>
            </w:r>
          </w:p>
          <w:p w14:paraId="62035D36">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四、</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答辩方式</w:t>
            </w:r>
          </w:p>
          <w:p w14:paraId="6FA9CF15">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现场语音答辩，</w:t>
            </w:r>
            <w:r>
              <w:rPr>
                <w:rFonts w:hint="eastAsia" w:ascii="宋体" w:hAnsi="宋体" w:eastAsia="宋体" w:cs="宋体"/>
                <w:color w:val="auto"/>
                <w:sz w:val="21"/>
                <w:szCs w:val="21"/>
                <w:highlight w:val="none"/>
                <w:u w:val="none"/>
                <w:lang w:val="en-US" w:bidi="zh-CN"/>
              </w:rPr>
              <w:t>陈述答辩人员不得以任何形式向定标委员会透露姓名以及所属投标人名称，否则陈述答辩不得分</w:t>
            </w:r>
            <w:r>
              <w:rPr>
                <w:rFonts w:hint="eastAsia" w:ascii="宋体" w:hAnsi="宋体" w:eastAsia="宋体" w:cs="宋体"/>
                <w:color w:val="auto"/>
                <w:sz w:val="21"/>
                <w:szCs w:val="21"/>
                <w:highlight w:val="none"/>
                <w:u w:val="none"/>
                <w:lang w:val="zh-CN" w:bidi="zh-CN"/>
              </w:rPr>
              <w:t>。</w:t>
            </w:r>
          </w:p>
          <w:p w14:paraId="4A04AB0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五、</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w:t>
            </w:r>
            <w:r>
              <w:rPr>
                <w:rFonts w:hint="eastAsia" w:ascii="宋体" w:hAnsi="宋体" w:eastAsia="宋体" w:cs="宋体"/>
                <w:color w:val="auto"/>
                <w:sz w:val="21"/>
                <w:szCs w:val="21"/>
                <w:highlight w:val="none"/>
                <w:u w:val="none"/>
                <w:lang w:val="en-US" w:bidi="zh-CN"/>
              </w:rPr>
              <w:t>控制</w:t>
            </w:r>
            <w:r>
              <w:rPr>
                <w:rFonts w:hint="eastAsia" w:ascii="宋体" w:hAnsi="宋体" w:eastAsia="宋体" w:cs="宋体"/>
                <w:color w:val="auto"/>
                <w:sz w:val="21"/>
                <w:szCs w:val="21"/>
                <w:highlight w:val="none"/>
                <w:u w:val="none"/>
                <w:lang w:val="zh-CN" w:bidi="zh-CN"/>
              </w:rPr>
              <w:t>时间</w:t>
            </w:r>
          </w:p>
          <w:p w14:paraId="18F80A09">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答辩的总时间严格控制为不超过</w:t>
            </w:r>
            <w:r>
              <w:rPr>
                <w:rFonts w:hint="eastAsia" w:ascii="宋体" w:hAnsi="宋体" w:eastAsia="宋体" w:cs="宋体"/>
                <w:color w:val="auto"/>
                <w:sz w:val="21"/>
                <w:szCs w:val="21"/>
                <w:highlight w:val="none"/>
                <w:u w:val="single"/>
                <w:lang w:val="en-US" w:bidi="zh-CN"/>
              </w:rPr>
              <w:t xml:space="preserve">     </w:t>
            </w:r>
            <w:r>
              <w:rPr>
                <w:rFonts w:hint="eastAsia" w:ascii="宋体" w:hAnsi="宋体" w:eastAsia="宋体" w:cs="宋体"/>
                <w:color w:val="auto"/>
                <w:sz w:val="21"/>
                <w:szCs w:val="21"/>
                <w:highlight w:val="none"/>
                <w:u w:val="none"/>
                <w:lang w:val="zh-CN" w:bidi="zh-CN"/>
              </w:rPr>
              <w:t>分钟。答辩室内提供计时器，剩余2分钟时由</w:t>
            </w:r>
            <w:r>
              <w:rPr>
                <w:rFonts w:hint="eastAsia" w:ascii="宋体" w:hAnsi="宋体" w:eastAsia="宋体" w:cs="宋体"/>
                <w:color w:val="auto"/>
                <w:sz w:val="21"/>
                <w:szCs w:val="21"/>
                <w:highlight w:val="none"/>
                <w:u w:val="none"/>
                <w:lang w:val="en-US" w:bidi="zh-CN"/>
              </w:rPr>
              <w:t>工作人员</w:t>
            </w:r>
            <w:r>
              <w:rPr>
                <w:rFonts w:hint="eastAsia" w:ascii="宋体" w:hAnsi="宋体" w:eastAsia="宋体" w:cs="宋体"/>
                <w:color w:val="auto"/>
                <w:sz w:val="21"/>
                <w:szCs w:val="21"/>
                <w:highlight w:val="none"/>
                <w:u w:val="none"/>
                <w:lang w:val="zh-CN" w:bidi="zh-CN"/>
              </w:rPr>
              <w:t>提醒，计时开始后</w:t>
            </w:r>
            <w:r>
              <w:rPr>
                <w:rFonts w:hint="eastAsia" w:ascii="宋体" w:hAnsi="宋体" w:eastAsia="宋体" w:cs="宋体"/>
                <w:color w:val="auto"/>
                <w:sz w:val="21"/>
                <w:szCs w:val="21"/>
                <w:highlight w:val="none"/>
                <w:u w:val="none"/>
                <w:lang w:val="en-US" w:bidi="zh-CN"/>
              </w:rPr>
              <w:t>至前述控制时间截止</w:t>
            </w:r>
            <w:r>
              <w:rPr>
                <w:rFonts w:hint="eastAsia" w:ascii="宋体" w:hAnsi="宋体" w:eastAsia="宋体" w:cs="宋体"/>
                <w:color w:val="auto"/>
                <w:sz w:val="21"/>
                <w:szCs w:val="21"/>
                <w:highlight w:val="none"/>
                <w:u w:val="none"/>
                <w:lang w:val="zh-CN" w:bidi="zh-CN"/>
              </w:rPr>
              <w:t>时停止</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w:t>
            </w:r>
          </w:p>
          <w:p w14:paraId="3072606F">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六、</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答辩流程</w:t>
            </w:r>
          </w:p>
          <w:p w14:paraId="0A5078CE">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1</w:t>
            </w:r>
            <w:r>
              <w:rPr>
                <w:rFonts w:hint="eastAsia" w:ascii="宋体" w:hAnsi="宋体" w:eastAsia="宋体" w:cs="宋体"/>
                <w:color w:val="auto"/>
                <w:sz w:val="21"/>
                <w:szCs w:val="21"/>
                <w:highlight w:val="none"/>
                <w:u w:val="none"/>
                <w:lang w:val="en-US" w:bidi="zh-CN"/>
              </w:rPr>
              <w:t>.</w:t>
            </w:r>
            <w:r>
              <w:rPr>
                <w:rFonts w:hint="eastAsia" w:ascii="宋体" w:hAnsi="宋体" w:eastAsia="宋体" w:cs="宋体"/>
                <w:color w:val="auto"/>
                <w:sz w:val="21"/>
                <w:szCs w:val="21"/>
                <w:highlight w:val="none"/>
                <w:u w:val="none"/>
                <w:lang w:val="zh-CN" w:bidi="zh-CN"/>
              </w:rPr>
              <w:t>主要流程</w:t>
            </w:r>
          </w:p>
          <w:p w14:paraId="5BC09FCF">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en-US" w:bidi="zh-CN"/>
              </w:rPr>
              <w:t>1.1</w:t>
            </w:r>
            <w:r>
              <w:rPr>
                <w:rFonts w:hint="eastAsia" w:ascii="宋体" w:hAnsi="宋体" w:eastAsia="宋体" w:cs="宋体"/>
                <w:color w:val="auto"/>
                <w:sz w:val="21"/>
                <w:szCs w:val="21"/>
                <w:highlight w:val="none"/>
                <w:u w:val="none"/>
                <w:lang w:val="zh-CN" w:bidi="zh-CN"/>
              </w:rPr>
              <w:t>答辩顺序</w:t>
            </w:r>
            <w:r>
              <w:rPr>
                <w:rFonts w:hint="eastAsia" w:ascii="宋体" w:hAnsi="宋体" w:eastAsia="宋体" w:cs="宋体"/>
                <w:color w:val="auto"/>
                <w:sz w:val="21"/>
                <w:szCs w:val="21"/>
                <w:highlight w:val="none"/>
                <w:u w:val="none"/>
                <w:lang w:val="en-US" w:bidi="zh-CN"/>
              </w:rPr>
              <w:t>由现场随机抽取确定，随机抽取规则如下：</w:t>
            </w:r>
          </w:p>
          <w:p w14:paraId="0B132C27">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eastAsia="zh-CN" w:bidi="zh-CN"/>
              </w:rPr>
            </w:pPr>
            <w:r>
              <w:rPr>
                <w:rFonts w:hint="eastAsia" w:ascii="宋体" w:hAnsi="宋体" w:eastAsia="宋体" w:cs="宋体"/>
                <w:color w:val="auto"/>
                <w:sz w:val="21"/>
                <w:szCs w:val="21"/>
                <w:highlight w:val="none"/>
                <w:u w:val="none"/>
                <w:lang w:val="zh-CN" w:eastAsia="zh-CN" w:bidi="zh-CN"/>
              </w:rPr>
              <w:t>（1）投标人代表号即为</w:t>
            </w:r>
            <w:r>
              <w:rPr>
                <w:rFonts w:hint="eastAsia" w:ascii="宋体" w:hAnsi="宋体" w:eastAsia="宋体" w:cs="宋体"/>
                <w:color w:val="auto"/>
                <w:sz w:val="21"/>
                <w:szCs w:val="21"/>
                <w:highlight w:val="none"/>
                <w:u w:val="none"/>
                <w:lang w:val="en-US" w:eastAsia="zh-CN" w:bidi="zh-CN"/>
              </w:rPr>
              <w:t>投标</w:t>
            </w:r>
            <w:r>
              <w:rPr>
                <w:rFonts w:hint="eastAsia" w:ascii="宋体" w:hAnsi="宋体" w:eastAsia="宋体" w:cs="宋体"/>
                <w:color w:val="auto"/>
                <w:sz w:val="21"/>
                <w:szCs w:val="21"/>
                <w:highlight w:val="none"/>
                <w:u w:val="none"/>
                <w:lang w:val="zh-CN" w:eastAsia="zh-CN" w:bidi="zh-CN"/>
              </w:rPr>
              <w:t>代表球号；</w:t>
            </w:r>
          </w:p>
          <w:p w14:paraId="3C6C638E">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eastAsia="zh-CN" w:bidi="zh-CN"/>
              </w:rPr>
            </w:pPr>
            <w:r>
              <w:rPr>
                <w:rFonts w:hint="eastAsia" w:ascii="宋体" w:hAnsi="宋体" w:eastAsia="宋体" w:cs="宋体"/>
                <w:color w:val="auto"/>
                <w:sz w:val="21"/>
                <w:szCs w:val="21"/>
                <w:highlight w:val="none"/>
                <w:u w:val="none"/>
                <w:lang w:val="zh-CN" w:eastAsia="zh-CN" w:bidi="zh-CN"/>
              </w:rPr>
              <w:t>（2）由建设单位代表（除定标委员会成员以外）或代建单位代表在市公共资源交易中心开标区抽取机中放入所有</w:t>
            </w:r>
            <w:r>
              <w:rPr>
                <w:rFonts w:hint="eastAsia" w:ascii="宋体" w:hAnsi="宋体" w:eastAsia="宋体" w:cs="宋体"/>
                <w:color w:val="auto"/>
                <w:sz w:val="21"/>
                <w:szCs w:val="21"/>
                <w:highlight w:val="none"/>
                <w:u w:val="none"/>
                <w:lang w:val="en-US" w:eastAsia="zh-CN" w:bidi="zh-CN"/>
              </w:rPr>
              <w:t>投标人</w:t>
            </w:r>
            <w:r>
              <w:rPr>
                <w:rFonts w:hint="eastAsia" w:ascii="宋体" w:hAnsi="宋体" w:eastAsia="宋体" w:cs="宋体"/>
                <w:color w:val="auto"/>
                <w:sz w:val="21"/>
                <w:szCs w:val="21"/>
                <w:highlight w:val="none"/>
                <w:u w:val="none"/>
                <w:lang w:val="zh-CN" w:eastAsia="zh-CN" w:bidi="zh-CN"/>
              </w:rPr>
              <w:t>代表球号，</w:t>
            </w:r>
            <w:r>
              <w:rPr>
                <w:rFonts w:hint="eastAsia" w:ascii="宋体" w:hAnsi="宋体" w:eastAsia="宋体" w:cs="宋体"/>
                <w:color w:val="auto"/>
                <w:sz w:val="21"/>
                <w:szCs w:val="21"/>
                <w:highlight w:val="none"/>
                <w:u w:val="none"/>
                <w:lang w:val="en-US" w:eastAsia="zh-CN" w:bidi="zh-CN"/>
              </w:rPr>
              <w:t>依次抽取，</w:t>
            </w:r>
            <w:r>
              <w:rPr>
                <w:rFonts w:hint="eastAsia" w:ascii="宋体" w:hAnsi="宋体" w:eastAsia="宋体" w:cs="宋体"/>
                <w:color w:val="auto"/>
                <w:sz w:val="21"/>
                <w:szCs w:val="21"/>
                <w:highlight w:val="none"/>
                <w:u w:val="none"/>
                <w:lang w:val="zh-CN" w:eastAsia="zh-CN" w:bidi="zh-CN"/>
              </w:rPr>
              <w:t>第1次抽取出的球号对应</w:t>
            </w:r>
            <w:r>
              <w:rPr>
                <w:rFonts w:hint="eastAsia" w:ascii="宋体" w:hAnsi="宋体" w:eastAsia="宋体" w:cs="宋体"/>
                <w:color w:val="auto"/>
                <w:sz w:val="21"/>
                <w:szCs w:val="21"/>
                <w:highlight w:val="none"/>
                <w:u w:val="none"/>
                <w:lang w:val="en-US" w:eastAsia="zh-CN" w:bidi="zh-CN"/>
              </w:rPr>
              <w:t>的投标人的项目负责人第一个参加陈述答辩，其余依次类推</w:t>
            </w:r>
            <w:r>
              <w:rPr>
                <w:rFonts w:hint="eastAsia" w:ascii="宋体" w:hAnsi="宋体" w:eastAsia="宋体" w:cs="宋体"/>
                <w:color w:val="auto"/>
                <w:sz w:val="21"/>
                <w:szCs w:val="21"/>
                <w:highlight w:val="none"/>
                <w:u w:val="none"/>
                <w:lang w:val="zh-CN" w:eastAsia="zh-CN" w:bidi="zh-CN"/>
              </w:rPr>
              <w:t>；</w:t>
            </w:r>
          </w:p>
          <w:p w14:paraId="1399B586">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eastAsia="zh-CN" w:bidi="zh-CN"/>
              </w:rPr>
            </w:pPr>
            <w:r>
              <w:rPr>
                <w:rFonts w:hint="eastAsia" w:ascii="宋体" w:hAnsi="宋体" w:eastAsia="宋体" w:cs="宋体"/>
                <w:color w:val="auto"/>
                <w:sz w:val="21"/>
                <w:szCs w:val="21"/>
                <w:highlight w:val="none"/>
                <w:u w:val="none"/>
                <w:lang w:val="zh-CN" w:eastAsia="zh-CN" w:bidi="zh-CN"/>
              </w:rPr>
              <w:t>（3）在抽取过程中，如出现由于工作失误或设备故障影响抽取结果的，抽取结果无效，应当重新抽取。所有抽球过程实行全程录音录像监控。</w:t>
            </w:r>
          </w:p>
          <w:p w14:paraId="5C2F10CB">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eastAsia="zh-CN" w:bidi="zh-CN"/>
              </w:rPr>
            </w:pPr>
            <w:r>
              <w:rPr>
                <w:rFonts w:hint="eastAsia" w:ascii="宋体" w:hAnsi="宋体" w:eastAsia="宋体" w:cs="宋体"/>
                <w:color w:val="auto"/>
                <w:sz w:val="21"/>
                <w:szCs w:val="21"/>
                <w:highlight w:val="none"/>
                <w:u w:val="none"/>
                <w:lang w:val="en-US" w:bidi="zh-CN"/>
              </w:rPr>
              <w:t>1.2</w:t>
            </w:r>
            <w:r>
              <w:rPr>
                <w:rFonts w:hint="eastAsia" w:ascii="宋体" w:hAnsi="宋体" w:eastAsia="宋体" w:cs="宋体"/>
                <w:color w:val="auto"/>
                <w:sz w:val="21"/>
                <w:szCs w:val="21"/>
                <w:highlight w:val="none"/>
                <w:u w:val="none"/>
                <w:lang w:val="zh-CN" w:bidi="zh-CN"/>
              </w:rPr>
              <w:t>招标代理工作人员根据</w:t>
            </w:r>
            <w:r>
              <w:rPr>
                <w:rFonts w:hint="eastAsia" w:ascii="宋体" w:hAnsi="宋体" w:eastAsia="宋体" w:cs="宋体"/>
                <w:color w:val="auto"/>
                <w:sz w:val="21"/>
                <w:szCs w:val="21"/>
                <w:highlight w:val="none"/>
                <w:u w:val="none"/>
                <w:lang w:val="en-US" w:bidi="zh-CN"/>
              </w:rPr>
              <w:t>随机产生的陈述答辩</w:t>
            </w:r>
            <w:r>
              <w:rPr>
                <w:rFonts w:hint="eastAsia" w:ascii="宋体" w:hAnsi="宋体" w:eastAsia="宋体" w:cs="宋体"/>
                <w:color w:val="auto"/>
                <w:sz w:val="21"/>
                <w:szCs w:val="21"/>
                <w:highlight w:val="none"/>
                <w:u w:val="none"/>
                <w:lang w:val="zh-CN" w:bidi="zh-CN"/>
              </w:rPr>
              <w:t>顺序号</w:t>
            </w:r>
            <w:r>
              <w:rPr>
                <w:rFonts w:hint="eastAsia" w:ascii="宋体" w:hAnsi="宋体" w:eastAsia="宋体" w:cs="宋体"/>
                <w:color w:val="auto"/>
                <w:sz w:val="21"/>
                <w:szCs w:val="21"/>
                <w:highlight w:val="none"/>
                <w:u w:val="none"/>
                <w:lang w:val="en-US" w:bidi="zh-CN"/>
              </w:rPr>
              <w:t>依次</w:t>
            </w:r>
            <w:r>
              <w:rPr>
                <w:rFonts w:hint="eastAsia" w:ascii="宋体" w:hAnsi="宋体" w:eastAsia="宋体" w:cs="宋体"/>
                <w:color w:val="auto"/>
                <w:sz w:val="21"/>
                <w:szCs w:val="21"/>
                <w:highlight w:val="none"/>
                <w:u w:val="none"/>
                <w:lang w:val="zh-CN" w:bidi="zh-CN"/>
              </w:rPr>
              <w:t>引导</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答辩人员进入答辩室。</w:t>
            </w:r>
          </w:p>
          <w:p w14:paraId="59FA0A3E">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2</w:t>
            </w:r>
            <w:r>
              <w:rPr>
                <w:rFonts w:hint="eastAsia" w:ascii="宋体" w:hAnsi="宋体" w:eastAsia="宋体" w:cs="宋体"/>
                <w:color w:val="auto"/>
                <w:sz w:val="21"/>
                <w:szCs w:val="21"/>
                <w:highlight w:val="none"/>
                <w:u w:val="none"/>
                <w:lang w:val="en-US" w:bidi="zh-CN"/>
              </w:rPr>
              <w:t>.</w:t>
            </w:r>
            <w:r>
              <w:rPr>
                <w:rFonts w:hint="eastAsia" w:ascii="宋体" w:hAnsi="宋体" w:eastAsia="宋体" w:cs="宋体"/>
                <w:color w:val="auto"/>
                <w:sz w:val="21"/>
                <w:szCs w:val="21"/>
                <w:highlight w:val="none"/>
                <w:u w:val="none"/>
                <w:lang w:val="zh-CN" w:bidi="zh-CN"/>
              </w:rPr>
              <w:t>其余流程</w:t>
            </w:r>
          </w:p>
          <w:p w14:paraId="22BFD527">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2.1</w:t>
            </w:r>
            <w:r>
              <w:rPr>
                <w:rFonts w:hint="eastAsia" w:ascii="宋体" w:hAnsi="宋体" w:eastAsia="宋体" w:cs="宋体"/>
                <w:color w:val="auto"/>
                <w:sz w:val="21"/>
                <w:szCs w:val="21"/>
                <w:highlight w:val="none"/>
                <w:u w:val="none"/>
                <w:lang w:val="en-US" w:bidi="zh-CN"/>
              </w:rPr>
              <w:t>工作人员应宣读陈述答辩纪律。陈述</w:t>
            </w:r>
            <w:r>
              <w:rPr>
                <w:rFonts w:hint="eastAsia" w:ascii="宋体" w:hAnsi="宋体" w:eastAsia="宋体" w:cs="宋体"/>
                <w:color w:val="auto"/>
                <w:sz w:val="21"/>
                <w:szCs w:val="21"/>
                <w:highlight w:val="none"/>
                <w:u w:val="none"/>
                <w:lang w:val="zh-CN" w:bidi="zh-CN"/>
              </w:rPr>
              <w:t>答辩人员签到并经身份核验后，应根据工作人员的安排，寄存个人物品中所有电子</w:t>
            </w:r>
            <w:r>
              <w:rPr>
                <w:rFonts w:hint="eastAsia" w:ascii="宋体" w:hAnsi="宋体" w:eastAsia="宋体" w:cs="宋体"/>
                <w:color w:val="auto"/>
                <w:sz w:val="21"/>
                <w:szCs w:val="21"/>
                <w:highlight w:val="none"/>
                <w:u w:val="none"/>
                <w:lang w:val="en-US" w:bidi="zh-CN"/>
              </w:rPr>
              <w:t>设备、纸质材料及其他可能影响陈述答辩的物品，</w:t>
            </w:r>
            <w:r>
              <w:rPr>
                <w:rFonts w:hint="eastAsia" w:ascii="宋体" w:hAnsi="宋体" w:eastAsia="宋体" w:cs="宋体"/>
                <w:color w:val="auto"/>
                <w:sz w:val="21"/>
                <w:szCs w:val="21"/>
                <w:highlight w:val="none"/>
                <w:u w:val="none"/>
                <w:lang w:val="zh-CN" w:bidi="zh-CN"/>
              </w:rPr>
              <w:t>且不能随意到处走动。</w:t>
            </w:r>
          </w:p>
          <w:p w14:paraId="4F1F57E9">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2.2候辩期间如需用餐，由工作人员统一订餐，用餐地点为候辩室。</w:t>
            </w:r>
          </w:p>
          <w:p w14:paraId="1DD40BD4">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2.</w:t>
            </w:r>
            <w:r>
              <w:rPr>
                <w:rFonts w:hint="eastAsia" w:ascii="宋体" w:hAnsi="宋体" w:eastAsia="宋体" w:cs="宋体"/>
                <w:color w:val="auto"/>
                <w:sz w:val="21"/>
                <w:szCs w:val="21"/>
                <w:highlight w:val="none"/>
                <w:u w:val="none"/>
                <w:lang w:val="en-US" w:bidi="zh-CN"/>
              </w:rPr>
              <w:t>3陈述</w:t>
            </w:r>
            <w:r>
              <w:rPr>
                <w:rFonts w:hint="eastAsia" w:ascii="宋体" w:hAnsi="宋体" w:eastAsia="宋体" w:cs="宋体"/>
                <w:color w:val="auto"/>
                <w:sz w:val="21"/>
                <w:szCs w:val="21"/>
                <w:highlight w:val="none"/>
                <w:u w:val="none"/>
                <w:lang w:val="zh-CN" w:bidi="zh-CN"/>
              </w:rPr>
              <w:t>答辩人员候辩期间如需使用卫生间，</w:t>
            </w:r>
            <w:r>
              <w:rPr>
                <w:rFonts w:hint="eastAsia" w:ascii="宋体" w:hAnsi="宋体" w:eastAsia="宋体" w:cs="宋体"/>
                <w:color w:val="auto"/>
                <w:sz w:val="21"/>
                <w:szCs w:val="21"/>
                <w:highlight w:val="none"/>
                <w:u w:val="none"/>
                <w:lang w:val="en-US" w:bidi="zh-CN"/>
              </w:rPr>
              <w:t>应</w:t>
            </w:r>
            <w:r>
              <w:rPr>
                <w:rFonts w:hint="eastAsia" w:ascii="宋体" w:hAnsi="宋体" w:eastAsia="宋体" w:cs="宋体"/>
                <w:color w:val="auto"/>
                <w:sz w:val="21"/>
                <w:szCs w:val="21"/>
                <w:highlight w:val="none"/>
                <w:u w:val="none"/>
                <w:lang w:val="zh-CN" w:bidi="zh-CN"/>
              </w:rPr>
              <w:t>由工作人员陪同，</w:t>
            </w:r>
            <w:r>
              <w:rPr>
                <w:rFonts w:hint="eastAsia" w:ascii="宋体" w:hAnsi="宋体" w:eastAsia="宋体" w:cs="宋体"/>
                <w:color w:val="auto"/>
                <w:sz w:val="21"/>
                <w:szCs w:val="21"/>
                <w:highlight w:val="none"/>
                <w:u w:val="none"/>
                <w:lang w:val="en-US" w:bidi="zh-CN"/>
              </w:rPr>
              <w:t>不得</w:t>
            </w:r>
            <w:r>
              <w:rPr>
                <w:rFonts w:hint="eastAsia" w:ascii="宋体" w:hAnsi="宋体" w:eastAsia="宋体" w:cs="宋体"/>
                <w:color w:val="auto"/>
                <w:sz w:val="21"/>
                <w:szCs w:val="21"/>
                <w:highlight w:val="none"/>
                <w:u w:val="none"/>
                <w:lang w:val="zh-CN" w:bidi="zh-CN"/>
              </w:rPr>
              <w:t>接触其他人员。</w:t>
            </w:r>
          </w:p>
          <w:p w14:paraId="11B1E46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2.</w:t>
            </w:r>
            <w:r>
              <w:rPr>
                <w:rFonts w:hint="eastAsia" w:ascii="宋体" w:hAnsi="宋体" w:eastAsia="宋体" w:cs="宋体"/>
                <w:color w:val="auto"/>
                <w:sz w:val="21"/>
                <w:szCs w:val="21"/>
                <w:highlight w:val="none"/>
                <w:u w:val="none"/>
                <w:lang w:val="en-US" w:bidi="zh-CN"/>
              </w:rPr>
              <w:t>4陈述</w:t>
            </w:r>
            <w:r>
              <w:rPr>
                <w:rFonts w:hint="eastAsia" w:ascii="宋体" w:hAnsi="宋体" w:eastAsia="宋体" w:cs="宋体"/>
                <w:color w:val="auto"/>
                <w:sz w:val="21"/>
                <w:szCs w:val="21"/>
                <w:highlight w:val="none"/>
                <w:u w:val="none"/>
                <w:lang w:val="zh-CN" w:bidi="zh-CN"/>
              </w:rPr>
              <w:t>答辩结束后，</w:t>
            </w: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答辩人员不再进入候辩室，应领取个人物品后在工作人员监督下迅速离开市公共资源交易中心，不得以任何形式接触</w:t>
            </w:r>
            <w:r>
              <w:rPr>
                <w:rFonts w:hint="eastAsia" w:ascii="宋体" w:hAnsi="宋体" w:eastAsia="宋体" w:cs="宋体"/>
                <w:color w:val="auto"/>
                <w:sz w:val="21"/>
                <w:szCs w:val="21"/>
                <w:highlight w:val="none"/>
                <w:u w:val="none"/>
                <w:lang w:val="en-US" w:bidi="zh-CN"/>
              </w:rPr>
              <w:t>其余</w:t>
            </w:r>
            <w:r>
              <w:rPr>
                <w:rFonts w:hint="eastAsia" w:ascii="宋体" w:hAnsi="宋体" w:eastAsia="宋体" w:cs="宋体"/>
                <w:color w:val="auto"/>
                <w:sz w:val="21"/>
                <w:szCs w:val="21"/>
                <w:highlight w:val="none"/>
                <w:u w:val="none"/>
                <w:lang w:val="zh-CN" w:bidi="zh-CN"/>
              </w:rPr>
              <w:t>答辩人员。</w:t>
            </w:r>
          </w:p>
          <w:p w14:paraId="725D54C0">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附件：</w:t>
            </w:r>
          </w:p>
          <w:p w14:paraId="6BC02DCE">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en-US" w:bidi="zh-CN"/>
              </w:rPr>
              <w:t>陈述</w:t>
            </w:r>
            <w:r>
              <w:rPr>
                <w:rFonts w:hint="eastAsia" w:ascii="宋体" w:hAnsi="宋体" w:eastAsia="宋体" w:cs="宋体"/>
                <w:color w:val="auto"/>
                <w:sz w:val="21"/>
                <w:szCs w:val="21"/>
                <w:highlight w:val="none"/>
                <w:u w:val="none"/>
                <w:lang w:val="zh-CN" w:bidi="zh-CN"/>
              </w:rPr>
              <w:t>答辩授权委托书</w:t>
            </w:r>
          </w:p>
          <w:p w14:paraId="685343C0">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0" w:firstLineChars="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single"/>
                <w:lang w:val="en-US" w:bidi="zh-CN"/>
              </w:rPr>
              <w:t xml:space="preserve">                </w:t>
            </w:r>
            <w:r>
              <w:rPr>
                <w:rFonts w:hint="eastAsia" w:ascii="宋体" w:hAnsi="宋体" w:eastAsia="宋体" w:cs="宋体"/>
                <w:color w:val="auto"/>
                <w:sz w:val="21"/>
                <w:szCs w:val="21"/>
                <w:highlight w:val="none"/>
                <w:u w:val="none"/>
                <w:lang w:val="en-US" w:bidi="zh-CN"/>
              </w:rPr>
              <w:t>（招标人名称）</w:t>
            </w:r>
            <w:r>
              <w:rPr>
                <w:rFonts w:hint="eastAsia" w:ascii="宋体" w:hAnsi="宋体" w:eastAsia="宋体" w:cs="宋体"/>
                <w:color w:val="auto"/>
                <w:sz w:val="21"/>
                <w:szCs w:val="21"/>
                <w:highlight w:val="none"/>
                <w:u w:val="none"/>
                <w:lang w:val="zh-CN" w:bidi="zh-CN"/>
              </w:rPr>
              <w:t>：</w:t>
            </w:r>
          </w:p>
          <w:p w14:paraId="650C2B94">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我公司现授权</w:t>
            </w:r>
            <w:r>
              <w:rPr>
                <w:rFonts w:hint="eastAsia" w:ascii="宋体" w:hAnsi="宋体" w:eastAsia="宋体" w:cs="宋体"/>
                <w:color w:val="auto"/>
                <w:sz w:val="21"/>
                <w:szCs w:val="21"/>
                <w:highlight w:val="none"/>
                <w:u w:val="single"/>
                <w:lang w:val="zh-CN" w:bidi="zh-CN"/>
              </w:rPr>
              <w:t xml:space="preserve">           </w:t>
            </w:r>
            <w:r>
              <w:rPr>
                <w:rFonts w:hint="eastAsia" w:ascii="宋体" w:hAnsi="宋体" w:eastAsia="宋体" w:cs="宋体"/>
                <w:color w:val="auto"/>
                <w:sz w:val="21"/>
                <w:szCs w:val="21"/>
                <w:highlight w:val="none"/>
                <w:u w:val="none"/>
                <w:lang w:val="zh-CN" w:bidi="zh-CN"/>
              </w:rPr>
              <w:t>（姓名）参加</w:t>
            </w:r>
            <w:r>
              <w:rPr>
                <w:rFonts w:hint="eastAsia" w:ascii="宋体" w:hAnsi="宋体" w:eastAsia="宋体" w:cs="宋体"/>
                <w:color w:val="auto"/>
                <w:sz w:val="21"/>
                <w:szCs w:val="21"/>
                <w:highlight w:val="none"/>
                <w:u w:val="single"/>
                <w:lang w:val="en-US" w:bidi="zh-CN"/>
              </w:rPr>
              <w:t xml:space="preserve">             </w:t>
            </w:r>
            <w:r>
              <w:rPr>
                <w:rFonts w:hint="eastAsia" w:ascii="宋体" w:hAnsi="宋体" w:eastAsia="宋体" w:cs="宋体"/>
                <w:color w:val="auto"/>
                <w:sz w:val="21"/>
                <w:szCs w:val="21"/>
                <w:highlight w:val="none"/>
                <w:u w:val="none"/>
                <w:lang w:val="zh-CN" w:bidi="zh-CN"/>
              </w:rPr>
              <w:t>（</w:t>
            </w:r>
            <w:r>
              <w:rPr>
                <w:rFonts w:hint="eastAsia" w:ascii="宋体" w:hAnsi="宋体" w:eastAsia="宋体" w:cs="宋体"/>
                <w:color w:val="auto"/>
                <w:sz w:val="21"/>
                <w:szCs w:val="21"/>
                <w:highlight w:val="none"/>
                <w:u w:val="none"/>
                <w:lang w:val="en-US" w:bidi="zh-CN"/>
              </w:rPr>
              <w:t>招标项目名称</w:t>
            </w:r>
            <w:r>
              <w:rPr>
                <w:rFonts w:hint="eastAsia" w:ascii="宋体" w:hAnsi="宋体" w:eastAsia="宋体" w:cs="宋体"/>
                <w:color w:val="auto"/>
                <w:sz w:val="21"/>
                <w:szCs w:val="21"/>
                <w:highlight w:val="none"/>
                <w:u w:val="none"/>
                <w:lang w:val="zh-CN" w:bidi="zh-CN"/>
              </w:rPr>
              <w:t>）</w:t>
            </w:r>
            <w:r>
              <w:rPr>
                <w:rFonts w:hint="eastAsia" w:ascii="宋体" w:hAnsi="宋体" w:eastAsia="宋体" w:cs="宋体"/>
                <w:color w:val="auto"/>
                <w:sz w:val="21"/>
                <w:szCs w:val="21"/>
                <w:highlight w:val="none"/>
                <w:u w:val="none"/>
                <w:lang w:val="en-US" w:bidi="zh-CN"/>
              </w:rPr>
              <w:t>的项目负责人陈述</w:t>
            </w:r>
            <w:r>
              <w:rPr>
                <w:rFonts w:hint="eastAsia" w:ascii="宋体" w:hAnsi="宋体" w:eastAsia="宋体" w:cs="宋体"/>
                <w:color w:val="auto"/>
                <w:sz w:val="21"/>
                <w:szCs w:val="21"/>
                <w:highlight w:val="none"/>
                <w:u w:val="none"/>
                <w:lang w:val="zh-CN" w:bidi="zh-CN"/>
              </w:rPr>
              <w:t>答辩，前述人员为投标文件中确定的项目负责人。</w:t>
            </w:r>
          </w:p>
          <w:p w14:paraId="7A97960E">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zh-CN" w:bidi="zh-CN"/>
              </w:rPr>
              <w:t>附：身份证复印件（正反两面）</w:t>
            </w:r>
          </w:p>
          <w:p w14:paraId="41F51309">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420" w:firstLineChars="200"/>
              <w:jc w:val="left"/>
              <w:textAlignment w:val="auto"/>
              <w:rPr>
                <w:rFonts w:hint="eastAsia" w:ascii="宋体" w:hAnsi="宋体" w:eastAsia="宋体" w:cs="宋体"/>
                <w:color w:val="auto"/>
                <w:sz w:val="21"/>
                <w:szCs w:val="21"/>
                <w:highlight w:val="none"/>
                <w:u w:val="none"/>
                <w:lang w:val="zh-CN" w:bidi="zh-CN"/>
              </w:rPr>
            </w:pPr>
          </w:p>
          <w:p w14:paraId="67B96FB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firstLine="0" w:firstLineChars="0"/>
              <w:jc w:val="right"/>
              <w:textAlignment w:val="auto"/>
              <w:rPr>
                <w:rFonts w:hint="eastAsia" w:ascii="宋体" w:hAnsi="宋体" w:eastAsia="宋体" w:cs="宋体"/>
                <w:color w:val="auto"/>
                <w:sz w:val="21"/>
                <w:szCs w:val="21"/>
                <w:highlight w:val="none"/>
                <w:u w:val="none"/>
                <w:lang w:val="zh-CN" w:bidi="zh-CN"/>
              </w:rPr>
            </w:pPr>
            <w:r>
              <w:rPr>
                <w:rFonts w:hint="eastAsia" w:ascii="宋体" w:hAnsi="宋体" w:eastAsia="宋体" w:cs="宋体"/>
                <w:color w:val="auto"/>
                <w:sz w:val="21"/>
                <w:szCs w:val="21"/>
                <w:highlight w:val="none"/>
                <w:u w:val="none"/>
                <w:lang w:val="en-US" w:bidi="zh-CN"/>
              </w:rPr>
              <w:t>投标人</w:t>
            </w:r>
            <w:r>
              <w:rPr>
                <w:rFonts w:hint="eastAsia" w:ascii="宋体" w:hAnsi="宋体" w:eastAsia="宋体" w:cs="宋体"/>
                <w:color w:val="auto"/>
                <w:sz w:val="21"/>
                <w:szCs w:val="21"/>
                <w:highlight w:val="none"/>
                <w:u w:val="none"/>
                <w:lang w:val="zh-CN" w:bidi="zh-CN"/>
              </w:rPr>
              <w:t>：</w:t>
            </w:r>
            <w:r>
              <w:rPr>
                <w:rFonts w:hint="eastAsia" w:ascii="宋体" w:hAnsi="宋体" w:eastAsia="宋体" w:cs="宋体"/>
                <w:color w:val="auto"/>
                <w:sz w:val="21"/>
                <w:szCs w:val="21"/>
                <w:highlight w:val="none"/>
                <w:u w:val="single"/>
                <w:lang w:val="zh-CN" w:bidi="zh-CN"/>
              </w:rPr>
              <w:t xml:space="preserve">       </w:t>
            </w:r>
            <w:r>
              <w:rPr>
                <w:rFonts w:hint="eastAsia" w:ascii="宋体" w:hAnsi="宋体" w:eastAsia="宋体" w:cs="宋体"/>
                <w:color w:val="auto"/>
                <w:sz w:val="21"/>
                <w:szCs w:val="21"/>
                <w:highlight w:val="none"/>
                <w:u w:val="none"/>
                <w:lang w:val="zh-CN" w:bidi="zh-CN"/>
              </w:rPr>
              <w:t>（盖单位公章）</w:t>
            </w:r>
          </w:p>
          <w:p w14:paraId="2BEF787C">
            <w:pPr>
              <w:wordWrap w:val="0"/>
              <w:spacing w:before="120" w:beforeLines="50" w:line="300" w:lineRule="auto"/>
              <w:jc w:val="right"/>
              <w:rPr>
                <w:rFonts w:ascii="宋体" w:hAnsi="宋体" w:cs="宋体"/>
                <w:color w:val="auto"/>
                <w:szCs w:val="21"/>
                <w:highlight w:val="none"/>
                <w:lang w:val="zh-CN" w:bidi="zh-CN"/>
              </w:rPr>
            </w:pPr>
            <w:r>
              <w:rPr>
                <w:rFonts w:hint="eastAsia" w:ascii="宋体" w:hAnsi="宋体" w:eastAsia="宋体" w:cs="宋体"/>
                <w:color w:val="auto"/>
                <w:sz w:val="21"/>
                <w:szCs w:val="21"/>
                <w:highlight w:val="none"/>
                <w:u w:val="single"/>
                <w:lang w:val="en-US" w:bidi="zh-CN"/>
              </w:rPr>
              <w:t xml:space="preserve">    </w:t>
            </w:r>
            <w:r>
              <w:rPr>
                <w:rFonts w:hint="eastAsia" w:ascii="宋体" w:hAnsi="宋体" w:eastAsia="宋体" w:cs="宋体"/>
                <w:color w:val="auto"/>
                <w:sz w:val="21"/>
                <w:szCs w:val="21"/>
                <w:highlight w:val="none"/>
                <w:u w:val="none"/>
                <w:lang w:val="zh-CN" w:bidi="zh-CN"/>
              </w:rPr>
              <w:t>年</w:t>
            </w:r>
            <w:r>
              <w:rPr>
                <w:rFonts w:hint="eastAsia" w:ascii="宋体" w:hAnsi="宋体" w:eastAsia="宋体" w:cs="宋体"/>
                <w:color w:val="auto"/>
                <w:sz w:val="21"/>
                <w:szCs w:val="21"/>
                <w:highlight w:val="none"/>
                <w:u w:val="single"/>
                <w:lang w:val="zh-CN" w:bidi="zh-CN"/>
              </w:rPr>
              <w:t xml:space="preserve">    </w:t>
            </w:r>
            <w:r>
              <w:rPr>
                <w:rFonts w:hint="eastAsia" w:ascii="宋体" w:hAnsi="宋体" w:eastAsia="宋体" w:cs="宋体"/>
                <w:color w:val="auto"/>
                <w:sz w:val="21"/>
                <w:szCs w:val="21"/>
                <w:highlight w:val="none"/>
                <w:u w:val="none"/>
                <w:lang w:val="zh-CN" w:bidi="zh-CN"/>
              </w:rPr>
              <w:t>月</w:t>
            </w:r>
            <w:r>
              <w:rPr>
                <w:rFonts w:hint="eastAsia" w:ascii="宋体" w:hAnsi="宋体" w:eastAsia="宋体" w:cs="宋体"/>
                <w:color w:val="auto"/>
                <w:sz w:val="21"/>
                <w:szCs w:val="21"/>
                <w:highlight w:val="none"/>
                <w:u w:val="single"/>
                <w:lang w:val="zh-CN" w:bidi="zh-CN"/>
              </w:rPr>
              <w:t xml:space="preserve">    </w:t>
            </w:r>
            <w:r>
              <w:rPr>
                <w:rFonts w:hint="eastAsia" w:ascii="宋体" w:hAnsi="宋体" w:eastAsia="宋体" w:cs="宋体"/>
                <w:color w:val="auto"/>
                <w:sz w:val="21"/>
                <w:szCs w:val="21"/>
                <w:highlight w:val="none"/>
                <w:u w:val="none"/>
                <w:lang w:val="zh-CN" w:bidi="zh-CN"/>
              </w:rPr>
              <w:t>日</w:t>
            </w:r>
          </w:p>
        </w:tc>
      </w:tr>
      <w:tr w14:paraId="0593C1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tcBorders>
              <w:top w:val="single" w:color="auto" w:sz="4" w:space="0"/>
              <w:left w:val="single" w:color="auto" w:sz="4" w:space="0"/>
              <w:bottom w:val="single" w:color="auto" w:sz="4" w:space="0"/>
            </w:tcBorders>
            <w:vAlign w:val="center"/>
          </w:tcPr>
          <w:p w14:paraId="12FE2694">
            <w:pPr>
              <w:wordWrap w:val="0"/>
              <w:adjustRightInd w:val="0"/>
              <w:snapToGrid w:val="0"/>
              <w:spacing w:before="120" w:beforeLines="50" w:line="300" w:lineRule="auto"/>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6</w:t>
            </w:r>
          </w:p>
        </w:tc>
        <w:tc>
          <w:tcPr>
            <w:tcW w:w="3260" w:type="dxa"/>
            <w:tcBorders>
              <w:top w:val="single" w:color="auto" w:sz="4" w:space="0"/>
              <w:bottom w:val="single" w:color="auto" w:sz="4" w:space="0"/>
            </w:tcBorders>
            <w:vAlign w:val="center"/>
          </w:tcPr>
          <w:p w14:paraId="7DDE12BC">
            <w:pPr>
              <w:wordWrap w:val="0"/>
              <w:adjustRightInd w:val="0"/>
              <w:snapToGrid w:val="0"/>
              <w:spacing w:before="120" w:beforeLines="50" w:line="300" w:lineRule="auto"/>
              <w:jc w:val="left"/>
              <w:rPr>
                <w:rFonts w:ascii="宋体" w:hAnsi="宋体" w:cs="宋体"/>
                <w:color w:val="auto"/>
                <w:szCs w:val="21"/>
                <w:highlight w:val="none"/>
              </w:rPr>
            </w:pPr>
            <w:r>
              <w:rPr>
                <w:rFonts w:hint="eastAsia" w:ascii="宋体" w:hAnsi="宋体" w:cs="宋体"/>
                <w:color w:val="auto"/>
                <w:szCs w:val="21"/>
                <w:highlight w:val="none"/>
              </w:rPr>
              <w:t>中标结果公告媒介</w:t>
            </w:r>
          </w:p>
        </w:tc>
        <w:tc>
          <w:tcPr>
            <w:tcW w:w="5021" w:type="dxa"/>
            <w:tcBorders>
              <w:top w:val="single" w:color="auto" w:sz="4" w:space="0"/>
              <w:bottom w:val="single" w:color="auto" w:sz="4" w:space="0"/>
              <w:right w:val="single" w:color="auto" w:sz="4" w:space="0"/>
            </w:tcBorders>
            <w:vAlign w:val="center"/>
          </w:tcPr>
          <w:p w14:paraId="2C03C07D">
            <w:pPr>
              <w:wordWrap w:val="0"/>
              <w:spacing w:before="120" w:beforeLines="50" w:line="300" w:lineRule="auto"/>
              <w:rPr>
                <w:rStyle w:val="110"/>
                <w:color w:val="auto"/>
                <w:sz w:val="21"/>
                <w:szCs w:val="21"/>
                <w:highlight w:val="none"/>
                <w:lang w:val="zh-TW" w:eastAsia="zh-TW"/>
              </w:rPr>
            </w:pPr>
            <w:r>
              <w:rPr>
                <w:rStyle w:val="110"/>
                <w:rFonts w:hint="eastAsia"/>
                <w:color w:val="auto"/>
                <w:sz w:val="21"/>
                <w:szCs w:val="21"/>
                <w:highlight w:val="none"/>
                <w:lang w:val="zh-TW" w:eastAsia="zh-TW"/>
              </w:rPr>
              <w:t>公告媒介：</w:t>
            </w:r>
            <w:r>
              <w:rPr>
                <w:rFonts w:hint="eastAsia" w:ascii="宋体" w:hAnsi="宋体" w:cs="宋体"/>
                <w:color w:val="auto"/>
                <w:szCs w:val="21"/>
                <w:highlight w:val="none"/>
              </w:rPr>
              <w:t>福建省公共资源交易电子公共服务平台（网址：</w:t>
            </w:r>
            <w:r>
              <w:rPr>
                <w:rFonts w:ascii="宋体" w:hAnsi="宋体"/>
                <w:color w:val="auto"/>
                <w:szCs w:val="21"/>
                <w:highlight w:val="none"/>
              </w:rPr>
              <w:t xml:space="preserve">ggzyfw.fj.gov.cn </w:t>
            </w:r>
            <w:r>
              <w:rPr>
                <w:color w:val="auto"/>
                <w:highlight w:val="none"/>
              </w:rPr>
              <w:fldChar w:fldCharType="begin"/>
            </w:r>
            <w:r>
              <w:rPr>
                <w:color w:val="auto"/>
                <w:highlight w:val="none"/>
              </w:rPr>
              <w:instrText xml:space="preserve"> HYPERLINK "）、电子招标投标交易平台" </w:instrText>
            </w:r>
            <w:r>
              <w:rPr>
                <w:color w:val="auto"/>
                <w:highlight w:val="none"/>
              </w:rPr>
              <w:fldChar w:fldCharType="separate"/>
            </w:r>
            <w:r>
              <w:rPr>
                <w:rStyle w:val="47"/>
                <w:rFonts w:hint="eastAsia" w:ascii="宋体" w:hAnsi="宋体" w:cs="宋体"/>
                <w:color w:val="auto"/>
                <w:szCs w:val="21"/>
                <w:highlight w:val="none"/>
              </w:rPr>
              <w:t>）、电子招标投标交易平台</w:t>
            </w:r>
            <w:r>
              <w:rPr>
                <w:rStyle w:val="47"/>
                <w:rFonts w:hint="eastAsia" w:ascii="宋体" w:hAnsi="宋体" w:cs="宋体"/>
                <w:color w:val="auto"/>
                <w:szCs w:val="21"/>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1EECB303">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7182BA4A">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7.</w:t>
            </w: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.1</w:t>
            </w:r>
          </w:p>
        </w:tc>
        <w:tc>
          <w:tcPr>
            <w:tcW w:w="3260" w:type="dxa"/>
            <w:tcBorders>
              <w:top w:val="single" w:color="auto" w:sz="4" w:space="0"/>
              <w:left w:val="single" w:color="auto" w:sz="4" w:space="0"/>
              <w:bottom w:val="single" w:color="auto" w:sz="4" w:space="0"/>
              <w:right w:val="single" w:color="auto" w:sz="4" w:space="0"/>
            </w:tcBorders>
            <w:vAlign w:val="center"/>
          </w:tcPr>
          <w:p w14:paraId="22A7A2DA">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是否提交履约担保（不超过中标合同金额的10%）</w:t>
            </w:r>
          </w:p>
        </w:tc>
        <w:tc>
          <w:tcPr>
            <w:tcW w:w="5021" w:type="dxa"/>
            <w:tcBorders>
              <w:top w:val="single" w:color="auto" w:sz="4" w:space="0"/>
              <w:left w:val="single" w:color="auto" w:sz="4" w:space="0"/>
              <w:bottom w:val="single" w:color="auto" w:sz="4" w:space="0"/>
              <w:right w:val="single" w:color="auto" w:sz="4" w:space="0"/>
            </w:tcBorders>
            <w:vAlign w:val="center"/>
          </w:tcPr>
          <w:p w14:paraId="5F85376F">
            <w:pPr>
              <w:spacing w:line="360" w:lineRule="exact"/>
              <w:ind w:left="14" w:leftChars="0" w:hanging="14" w:hangingChars="7"/>
              <w:rPr>
                <w:rFonts w:ascii="宋体" w:hAnsi="宋体"/>
                <w:color w:val="auto"/>
                <w:szCs w:val="21"/>
                <w:highlight w:val="none"/>
                <w:lang w:val="en"/>
              </w:rPr>
            </w:pPr>
            <w:r>
              <w:rPr>
                <w:rFonts w:hint="eastAsia" w:ascii="宋体" w:hAnsi="宋体"/>
                <w:bCs/>
                <w:color w:val="auto"/>
                <w:szCs w:val="21"/>
                <w:highlight w:val="none"/>
              </w:rPr>
              <w:t>□</w:t>
            </w:r>
            <w:r>
              <w:rPr>
                <w:rFonts w:hint="eastAsia" w:ascii="宋体" w:hAnsi="宋体"/>
                <w:color w:val="auto"/>
                <w:szCs w:val="21"/>
                <w:highlight w:val="none"/>
                <w:lang w:val="en"/>
              </w:rPr>
              <w:t>不需要提供</w:t>
            </w:r>
          </w:p>
          <w:p w14:paraId="0290CAF1">
            <w:pPr>
              <w:spacing w:line="360" w:lineRule="exact"/>
              <w:ind w:left="14" w:leftChars="0" w:hanging="14" w:hangingChars="7"/>
              <w:rPr>
                <w:rFonts w:hint="eastAsia"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rPr>
              <w:t>需提供</w:t>
            </w:r>
          </w:p>
          <w:p w14:paraId="6E1EA3B0">
            <w:pPr>
              <w:numPr>
                <w:ilvl w:val="0"/>
                <w:numId w:val="4"/>
              </w:numPr>
              <w:spacing w:line="320" w:lineRule="exact"/>
              <w:ind w:left="14" w:leftChars="0" w:hanging="14" w:hangingChars="7"/>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保证金提交的方式</w:t>
            </w:r>
            <w:r>
              <w:rPr>
                <w:rFonts w:hint="eastAsia" w:ascii="宋体" w:hAnsi="宋体"/>
                <w:color w:val="auto"/>
                <w:szCs w:val="21"/>
                <w:highlight w:val="none"/>
              </w:rPr>
              <w:t>（可按以下任一方式提交）</w:t>
            </w:r>
          </w:p>
          <w:p w14:paraId="35DF8BBE">
            <w:pPr>
              <w:spacing w:line="320" w:lineRule="exact"/>
              <w:ind w:left="216" w:leftChars="103" w:firstLine="201" w:firstLineChars="96"/>
              <w:rPr>
                <w:rFonts w:ascii="宋体" w:hAnsi="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olor w:val="auto"/>
                <w:szCs w:val="21"/>
                <w:highlight w:val="none"/>
              </w:rPr>
              <w:t>保函形式</w:t>
            </w:r>
          </w:p>
          <w:p w14:paraId="0CAD932C">
            <w:pPr>
              <w:spacing w:line="320" w:lineRule="exact"/>
              <w:ind w:left="216" w:leftChars="103" w:firstLine="201" w:firstLineChars="96"/>
              <w:rPr>
                <w:rFonts w:ascii="宋体" w:hAnsi="宋体"/>
                <w:bCs/>
                <w:color w:val="auto"/>
                <w:sz w:val="21"/>
                <w:szCs w:val="21"/>
                <w:highlight w:val="none"/>
                <w:u w:val="single"/>
              </w:rPr>
            </w:pPr>
            <w:r>
              <w:rPr>
                <w:rFonts w:hint="eastAsia" w:ascii="宋体" w:hAnsi="宋体"/>
                <w:bCs/>
                <w:color w:val="auto"/>
                <w:sz w:val="21"/>
                <w:szCs w:val="21"/>
                <w:highlight w:val="none"/>
              </w:rPr>
              <w:sym w:font="Wingdings 2" w:char="00A3"/>
            </w:r>
            <w:r>
              <w:rPr>
                <w:rFonts w:hint="eastAsia" w:ascii="宋体" w:hAnsi="宋体"/>
                <w:bCs/>
                <w:color w:val="auto"/>
                <w:sz w:val="21"/>
                <w:szCs w:val="21"/>
                <w:highlight w:val="none"/>
              </w:rPr>
              <w:t>银行：</w:t>
            </w:r>
            <w:r>
              <w:rPr>
                <w:rFonts w:hint="eastAsia" w:ascii="宋体" w:hAnsi="宋体"/>
                <w:bCs/>
                <w:color w:val="auto"/>
                <w:sz w:val="21"/>
                <w:szCs w:val="21"/>
                <w:highlight w:val="none"/>
                <w:u w:val="single"/>
              </w:rPr>
              <w:t xml:space="preserve">                                               </w:t>
            </w:r>
          </w:p>
          <w:p w14:paraId="72FF4188">
            <w:pPr>
              <w:autoSpaceDE w:val="0"/>
              <w:autoSpaceDN w:val="0"/>
              <w:spacing w:line="320" w:lineRule="exact"/>
              <w:ind w:left="216" w:leftChars="103" w:firstLine="201" w:firstLineChars="96"/>
              <w:rPr>
                <w:rFonts w:ascii="宋体" w:hAnsi="宋体"/>
                <w:bCs/>
                <w:color w:val="auto"/>
                <w:sz w:val="21"/>
                <w:szCs w:val="21"/>
                <w:highlight w:val="none"/>
                <w:u w:val="single"/>
              </w:rPr>
            </w:pPr>
            <w:r>
              <w:rPr>
                <w:rFonts w:hint="eastAsia" w:ascii="宋体" w:hAnsi="宋体"/>
                <w:bCs/>
                <w:color w:val="auto"/>
                <w:sz w:val="21"/>
                <w:szCs w:val="21"/>
                <w:highlight w:val="none"/>
              </w:rPr>
              <w:sym w:font="Wingdings 2" w:char="00A3"/>
            </w:r>
            <w:r>
              <w:rPr>
                <w:rFonts w:hint="eastAsia" w:ascii="宋体" w:hAnsi="宋体"/>
                <w:bCs/>
                <w:color w:val="auto"/>
                <w:sz w:val="21"/>
                <w:szCs w:val="21"/>
                <w:highlight w:val="none"/>
              </w:rPr>
              <w:t>其他金融机构：</w:t>
            </w:r>
            <w:r>
              <w:rPr>
                <w:rFonts w:hint="eastAsia" w:ascii="宋体" w:hAnsi="宋体"/>
                <w:bCs/>
                <w:color w:val="auto"/>
                <w:sz w:val="21"/>
                <w:szCs w:val="21"/>
                <w:highlight w:val="none"/>
                <w:u w:val="single"/>
              </w:rPr>
              <w:t xml:space="preserve">                 </w:t>
            </w:r>
          </w:p>
          <w:p w14:paraId="501DDB13">
            <w:pPr>
              <w:spacing w:line="320" w:lineRule="exact"/>
              <w:ind w:left="17" w:leftChars="8" w:firstLine="401" w:firstLineChars="191"/>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②</w:t>
            </w:r>
            <w:r>
              <w:rPr>
                <w:rFonts w:hint="eastAsia" w:ascii="宋体" w:hAnsi="宋体" w:eastAsia="宋体"/>
                <w:color w:val="auto"/>
                <w:sz w:val="21"/>
                <w:szCs w:val="21"/>
                <w:highlight w:val="none"/>
              </w:rPr>
              <w:t>现金形式</w:t>
            </w:r>
            <w:r>
              <w:rPr>
                <w:rFonts w:hint="eastAsia" w:ascii="宋体" w:hAnsi="宋体"/>
                <w:color w:val="auto"/>
                <w:sz w:val="21"/>
                <w:szCs w:val="21"/>
                <w:highlight w:val="none"/>
              </w:rPr>
              <w:t>：</w:t>
            </w:r>
            <w:r>
              <w:rPr>
                <w:rFonts w:hint="eastAsia" w:ascii="宋体" w:hAnsi="宋体" w:cs="Times New Roman"/>
                <w:color w:val="auto"/>
                <w:sz w:val="21"/>
                <w:szCs w:val="21"/>
                <w:highlight w:val="none"/>
                <w:u w:val="single"/>
              </w:rPr>
              <w:t>应从投标人基本账户</w:t>
            </w:r>
            <w:r>
              <w:rPr>
                <w:rFonts w:hint="eastAsia" w:ascii="宋体" w:hAnsi="宋体" w:cs="Times New Roman"/>
                <w:bCs w:val="0"/>
                <w:color w:val="auto"/>
                <w:sz w:val="21"/>
                <w:szCs w:val="21"/>
                <w:highlight w:val="none"/>
                <w:u w:val="single"/>
              </w:rPr>
              <w:t>以</w:t>
            </w:r>
            <w:r>
              <w:rPr>
                <w:rFonts w:hint="eastAsia" w:ascii="宋体" w:hAnsi="宋体" w:cs="Times New Roman"/>
                <w:color w:val="auto"/>
                <w:sz w:val="21"/>
                <w:szCs w:val="21"/>
                <w:highlight w:val="none"/>
                <w:u w:val="single"/>
              </w:rPr>
              <w:t>电汇或银行转账方式提交(以款项到达时间为准)，并应在电汇或银行转账单上注明为本招标项目的履约保证金。</w:t>
            </w:r>
          </w:p>
          <w:p w14:paraId="630FFC97">
            <w:pPr>
              <w:keepNext w:val="0"/>
              <w:keepLines w:val="0"/>
              <w:pageBreakBefore w:val="0"/>
              <w:widowControl w:val="0"/>
              <w:numPr>
                <w:ilvl w:val="0"/>
                <w:numId w:val="4"/>
              </w:numPr>
              <w:kinsoku/>
              <w:wordWrap/>
              <w:overflowPunct/>
              <w:topLinePunct w:val="0"/>
              <w:autoSpaceDE/>
              <w:autoSpaceDN/>
              <w:bidi w:val="0"/>
              <w:spacing w:after="0" w:line="320" w:lineRule="exact"/>
              <w:ind w:left="14" w:leftChars="0" w:hanging="14" w:hangingChars="7"/>
              <w:rPr>
                <w:rFonts w:hint="eastAsia" w:cs="宋体"/>
                <w:color w:val="auto"/>
                <w:sz w:val="21"/>
                <w:szCs w:val="21"/>
                <w:highlight w:val="none"/>
              </w:rPr>
            </w:pPr>
            <w:r>
              <w:rPr>
                <w:rFonts w:hint="eastAsia" w:ascii="宋体" w:hAnsi="宋体"/>
                <w:color w:val="auto"/>
                <w:sz w:val="21"/>
                <w:szCs w:val="21"/>
                <w:highlight w:val="none"/>
              </w:rPr>
              <w:t>履约担保的金额</w:t>
            </w:r>
            <w:r>
              <w:rPr>
                <w:rFonts w:hint="eastAsia" w:cs="宋体"/>
                <w:color w:val="auto"/>
                <w:sz w:val="21"/>
                <w:szCs w:val="21"/>
                <w:highlight w:val="none"/>
              </w:rPr>
              <w:t>为中标合同价的</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7B39EC6">
            <w:pPr>
              <w:pStyle w:val="41"/>
              <w:keepNext w:val="0"/>
              <w:keepLines w:val="0"/>
              <w:pageBreakBefore w:val="0"/>
              <w:widowControl w:val="0"/>
              <w:kinsoku/>
              <w:wordWrap/>
              <w:overflowPunct/>
              <w:topLinePunct w:val="0"/>
              <w:autoSpaceDE/>
              <w:autoSpaceDN/>
              <w:bidi w:val="0"/>
              <w:spacing w:after="0" w:line="300" w:lineRule="auto"/>
              <w:ind w:left="208" w:leftChars="99" w:firstLine="195" w:firstLineChars="93"/>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本招标项目</w:t>
            </w:r>
            <w:r>
              <w:rPr>
                <w:rFonts w:hint="eastAsia" w:ascii="宋体" w:hAnsi="宋体" w:cs="宋体"/>
                <w:color w:val="auto"/>
                <w:sz w:val="21"/>
                <w:szCs w:val="21"/>
                <w:highlight w:val="none"/>
                <w:u w:val="single"/>
                <w:lang w:val="en-US" w:eastAsia="zh-CN"/>
              </w:rPr>
              <w:t xml:space="preserve"> □不接受  □接受 </w:t>
            </w:r>
            <w:r>
              <w:rPr>
                <w:rFonts w:hint="eastAsia" w:ascii="宋体" w:hAnsi="宋体" w:cs="宋体"/>
                <w:color w:val="auto"/>
                <w:sz w:val="21"/>
                <w:szCs w:val="21"/>
                <w:highlight w:val="none"/>
                <w:u w:val="none"/>
                <w:lang w:val="en-US" w:eastAsia="zh-CN"/>
              </w:rPr>
              <w:t>降低</w:t>
            </w:r>
            <w:r>
              <w:rPr>
                <w:rFonts w:hint="eastAsia" w:ascii="宋体" w:hAnsi="宋体" w:cs="宋体"/>
                <w:color w:val="auto"/>
                <w:kern w:val="0"/>
                <w:sz w:val="21"/>
                <w:szCs w:val="21"/>
                <w:highlight w:val="none"/>
              </w:rPr>
              <w:t>履约担保</w:t>
            </w:r>
            <w:r>
              <w:rPr>
                <w:rFonts w:hint="eastAsia" w:ascii="宋体" w:hAnsi="宋体" w:cs="宋体"/>
                <w:color w:val="auto"/>
                <w:kern w:val="0"/>
                <w:sz w:val="21"/>
                <w:szCs w:val="21"/>
                <w:highlight w:val="none"/>
                <w:lang w:val="en-US" w:eastAsia="zh-CN"/>
              </w:rPr>
              <w:t>金缴交比例：</w:t>
            </w:r>
          </w:p>
          <w:p w14:paraId="34E656A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2"/>
                <w:sz w:val="21"/>
                <w:szCs w:val="21"/>
                <w:highlight w:val="none"/>
              </w:rPr>
              <w:t>合同签订时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0"/>
                <w:sz w:val="21"/>
                <w:szCs w:val="21"/>
                <w:highlight w:val="none"/>
                <w:u w:val="none"/>
                <w:lang w:val="en-US" w:eastAsia="zh-CN"/>
              </w:rPr>
              <w:t>最近三</w:t>
            </w:r>
            <w:r>
              <w:rPr>
                <w:rFonts w:hint="eastAsia" w:ascii="宋体" w:hAnsi="宋体" w:cs="宋体"/>
                <w:color w:val="auto"/>
                <w:kern w:val="0"/>
                <w:sz w:val="21"/>
                <w:szCs w:val="21"/>
                <w:highlight w:val="none"/>
                <w:u w:val="none"/>
                <w:lang w:val="en-US" w:eastAsia="zh-CN"/>
              </w:rPr>
              <w:t>个年度</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sz w:val="21"/>
                <w:szCs w:val="21"/>
                <w:highlight w:val="none"/>
                <w:lang w:val="en-US" w:eastAsia="zh-CN"/>
              </w:rPr>
              <w:t>的，缴交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为招标文件要求的25%；</w:t>
            </w:r>
          </w:p>
          <w:p w14:paraId="732529B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eastAsia="宋体" w:cs="宋体"/>
                <w:color w:val="auto"/>
                <w:kern w:val="2"/>
                <w:sz w:val="21"/>
                <w:szCs w:val="21"/>
                <w:highlight w:val="none"/>
              </w:rPr>
              <w:t>②</w:t>
            </w:r>
            <w:r>
              <w:rPr>
                <w:rFonts w:hint="eastAsia" w:ascii="宋体" w:hAnsi="宋体" w:cs="宋体"/>
                <w:color w:val="auto"/>
                <w:kern w:val="2"/>
                <w:sz w:val="21"/>
                <w:szCs w:val="21"/>
                <w:highlight w:val="none"/>
              </w:rPr>
              <w:t>中标人合同签订时</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最近期</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kern w:val="2"/>
                <w:sz w:val="21"/>
                <w:szCs w:val="21"/>
                <w:highlight w:val="none"/>
                <w:lang w:val="en-US" w:eastAsia="zh-CN"/>
              </w:rPr>
              <w:t>的</w:t>
            </w:r>
            <w:r>
              <w:rPr>
                <w:rFonts w:hint="eastAsia" w:ascii="宋体" w:hAnsi="宋体" w:cs="宋体"/>
                <w:color w:val="auto"/>
                <w:kern w:val="2"/>
                <w:sz w:val="21"/>
                <w:szCs w:val="21"/>
                <w:highlight w:val="none"/>
                <w:lang w:eastAsia="zh-CN"/>
              </w:rPr>
              <w:t>，</w:t>
            </w:r>
            <w:r>
              <w:rPr>
                <w:rFonts w:hint="eastAsia" w:ascii="宋体" w:hAnsi="宋体" w:cs="宋体"/>
                <w:color w:val="auto"/>
                <w:sz w:val="21"/>
                <w:szCs w:val="21"/>
                <w:highlight w:val="none"/>
                <w:lang w:val="en-US" w:eastAsia="zh-CN"/>
              </w:rPr>
              <w:t>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为招标文件要求的50%</w:t>
            </w:r>
            <w:r>
              <w:rPr>
                <w:rFonts w:hint="eastAsia" w:ascii="宋体" w:hAnsi="宋体" w:cs="宋体"/>
                <w:color w:val="auto"/>
                <w:kern w:val="2"/>
                <w:sz w:val="21"/>
                <w:szCs w:val="21"/>
                <w:highlight w:val="none"/>
              </w:rPr>
              <w:t>；</w:t>
            </w:r>
          </w:p>
          <w:p w14:paraId="76A940EC">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default" w:ascii="宋体" w:hAnsi="宋体" w:cs="宋体"/>
                <w:color w:val="auto"/>
                <w:kern w:val="2"/>
                <w:sz w:val="21"/>
                <w:szCs w:val="21"/>
                <w:highlight w:val="none"/>
                <w:lang w:val="en-US"/>
              </w:rPr>
            </w:pPr>
            <w:r>
              <w:rPr>
                <w:rFonts w:hint="eastAsia" w:ascii="宋体" w:hAnsi="宋体" w:eastAsia="宋体" w:cs="宋体"/>
                <w:color w:val="auto"/>
                <w:sz w:val="21"/>
                <w:szCs w:val="21"/>
                <w:highlight w:val="none"/>
              </w:rPr>
              <w:t>③</w:t>
            </w:r>
            <w:r>
              <w:rPr>
                <w:rFonts w:hint="eastAsia" w:ascii="宋体" w:hAnsi="宋体" w:cs="宋体"/>
                <w:color w:val="auto"/>
                <w:kern w:val="2"/>
                <w:sz w:val="21"/>
                <w:szCs w:val="21"/>
                <w:highlight w:val="none"/>
              </w:rPr>
              <w:t>中标人合同签订时</w:t>
            </w:r>
            <w:r>
              <w:rPr>
                <w:rFonts w:hint="eastAsia" w:ascii="宋体" w:hAnsi="宋体" w:cs="宋体"/>
                <w:color w:val="auto"/>
                <w:kern w:val="2"/>
                <w:sz w:val="21"/>
                <w:szCs w:val="21"/>
                <w:highlight w:val="none"/>
                <w:lang w:eastAsia="zh-CN"/>
              </w:rPr>
              <w:t>，</w:t>
            </w:r>
            <w:r>
              <w:rPr>
                <w:rFonts w:hint="eastAsia" w:cs="宋体"/>
                <w:color w:val="auto"/>
                <w:kern w:val="2"/>
                <w:sz w:val="21"/>
                <w:szCs w:val="21"/>
                <w:highlight w:val="none"/>
                <w:lang w:val="en-US" w:eastAsia="zh-CN"/>
              </w:rPr>
              <w:t>最近期</w:t>
            </w:r>
            <w:r>
              <w:rPr>
                <w:rFonts w:hint="eastAsia" w:ascii="Times New Roman" w:hAnsi="Times New Roman" w:cs="宋体"/>
                <w:color w:val="auto"/>
                <w:sz w:val="21"/>
                <w:szCs w:val="21"/>
                <w:highlight w:val="none"/>
              </w:rPr>
              <w:t>福建省交通建设市场信用考核评价结果均为A级别</w:t>
            </w:r>
            <w:r>
              <w:rPr>
                <w:rFonts w:hint="eastAsia" w:ascii="Times New Roman" w:hAnsi="Times New Roman" w:cs="宋体"/>
                <w:color w:val="auto"/>
                <w:sz w:val="21"/>
                <w:szCs w:val="21"/>
                <w:highlight w:val="none"/>
                <w:lang w:val="en-US" w:eastAsia="zh-CN"/>
              </w:rPr>
              <w:t>的</w:t>
            </w:r>
            <w:r>
              <w:rPr>
                <w:rFonts w:hint="eastAsia" w:ascii="宋体" w:hAnsi="宋体" w:cs="宋体"/>
                <w:color w:val="auto"/>
                <w:kern w:val="2"/>
                <w:sz w:val="21"/>
                <w:szCs w:val="21"/>
                <w:highlight w:val="none"/>
                <w:lang w:eastAsia="zh-CN"/>
              </w:rPr>
              <w:t>，</w:t>
            </w:r>
            <w:r>
              <w:rPr>
                <w:rFonts w:hint="eastAsia" w:ascii="宋体" w:hAnsi="宋体" w:cs="宋体"/>
                <w:color w:val="auto"/>
                <w:sz w:val="21"/>
                <w:szCs w:val="21"/>
                <w:highlight w:val="none"/>
                <w:lang w:val="en-US" w:eastAsia="zh-CN"/>
              </w:rPr>
              <w:t>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为招标文件要求的75%。</w:t>
            </w:r>
          </w:p>
          <w:p w14:paraId="649732A0">
            <w:pPr>
              <w:pStyle w:val="2"/>
              <w:keepNext w:val="0"/>
              <w:keepLines w:val="0"/>
              <w:pageBreakBefore w:val="0"/>
              <w:widowControl w:val="0"/>
              <w:numPr>
                <w:ilvl w:val="0"/>
                <w:numId w:val="0"/>
              </w:numPr>
              <w:kinsoku/>
              <w:wordWrap/>
              <w:overflowPunct/>
              <w:topLinePunct w:val="0"/>
              <w:autoSpaceDE/>
              <w:autoSpaceDN/>
              <w:bidi w:val="0"/>
              <w:spacing w:line="30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以联合体参与投标的，</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投标人的企业信用综合评价</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按联合体</w:t>
            </w:r>
            <w:r>
              <w:rPr>
                <w:rFonts w:hint="eastAsia" w:ascii="宋体" w:hAnsi="宋体" w:eastAsia="宋体" w:cs="宋体"/>
                <w:color w:val="auto"/>
                <w:sz w:val="21"/>
                <w:szCs w:val="21"/>
                <w:highlight w:val="none"/>
                <w:lang w:val="en-US" w:eastAsia="zh-CN"/>
              </w:rPr>
              <w:t>牵头人的信用等级</w:t>
            </w:r>
            <w:r>
              <w:rPr>
                <w:rFonts w:hint="eastAsia" w:ascii="宋体" w:hAnsi="宋体" w:eastAsia="宋体" w:cs="宋体"/>
                <w:color w:val="auto"/>
                <w:sz w:val="21"/>
                <w:szCs w:val="21"/>
                <w:highlight w:val="none"/>
              </w:rPr>
              <w:t>确定。</w:t>
            </w:r>
          </w:p>
          <w:p w14:paraId="4DBA974A">
            <w:pPr>
              <w:pStyle w:val="2"/>
              <w:numPr>
                <w:ilvl w:val="0"/>
                <w:numId w:val="0"/>
              </w:numPr>
              <w:spacing w:line="30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投标人享受降低履约担保金缴交比例的，若出现履约违约情形，应当无条件按照招标人要求限时足额补缴招标文件要求的履约担保金并依法承担违约责任。</w:t>
            </w:r>
          </w:p>
          <w:p w14:paraId="58D73E0E">
            <w:pPr>
              <w:numPr>
                <w:ilvl w:val="0"/>
                <w:numId w:val="4"/>
              </w:numPr>
              <w:autoSpaceDE/>
              <w:autoSpaceDN/>
              <w:adjustRightInd/>
              <w:snapToGrid/>
              <w:spacing w:before="0" w:beforeLines="-2147483648" w:afterLines="-2147483648" w:line="320" w:lineRule="exact"/>
              <w:ind w:left="14" w:leftChars="0" w:hanging="14" w:hangingChars="7"/>
              <w:rPr>
                <w:rFonts w:hint="eastAsia" w:ascii="宋体" w:hAnsi="宋体"/>
                <w:color w:val="auto"/>
                <w:szCs w:val="21"/>
                <w:highlight w:val="none"/>
              </w:rPr>
            </w:pPr>
            <w:r>
              <w:rPr>
                <w:rFonts w:hint="eastAsia" w:ascii="宋体" w:hAnsi="宋体"/>
                <w:color w:val="auto"/>
                <w:szCs w:val="21"/>
                <w:highlight w:val="none"/>
              </w:rPr>
              <w:t>中标人应在收到中标通知书后30天内，在签订合同协议书之前提交。</w:t>
            </w:r>
          </w:p>
          <w:p w14:paraId="6C2D0071">
            <w:pPr>
              <w:tabs>
                <w:tab w:val="left" w:pos="480"/>
              </w:tabs>
              <w:adjustRightInd w:val="0"/>
              <w:snapToGrid w:val="0"/>
              <w:spacing w:before="38" w:beforeLines="16" w:after="38" w:afterLines="16" w:line="360" w:lineRule="auto"/>
              <w:rPr>
                <w:rFonts w:ascii="宋体" w:hAnsi="宋体"/>
                <w:strike/>
                <w:snapToGrid w:val="0"/>
                <w:color w:val="auto"/>
                <w:kern w:val="0"/>
                <w:szCs w:val="21"/>
                <w:highlight w:val="none"/>
                <w:u w:val="single"/>
              </w:rPr>
            </w:pPr>
          </w:p>
        </w:tc>
      </w:tr>
      <w:tr w14:paraId="1615BA5D">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210473EE">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ascii="宋体" w:hAnsi="宋体"/>
                <w:snapToGrid w:val="0"/>
                <w:color w:val="auto"/>
                <w:kern w:val="0"/>
                <w:szCs w:val="21"/>
                <w:highlight w:val="none"/>
              </w:rPr>
              <w:t>9.5</w:t>
            </w:r>
          </w:p>
        </w:tc>
        <w:tc>
          <w:tcPr>
            <w:tcW w:w="3260" w:type="dxa"/>
            <w:tcBorders>
              <w:top w:val="single" w:color="auto" w:sz="4" w:space="0"/>
              <w:left w:val="single" w:color="auto" w:sz="4" w:space="0"/>
              <w:bottom w:val="single" w:color="auto" w:sz="4" w:space="0"/>
              <w:right w:val="single" w:color="auto" w:sz="4" w:space="0"/>
            </w:tcBorders>
            <w:vAlign w:val="center"/>
          </w:tcPr>
          <w:p w14:paraId="535B4CA4">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行政监督主管部门</w:t>
            </w:r>
          </w:p>
        </w:tc>
        <w:tc>
          <w:tcPr>
            <w:tcW w:w="5021" w:type="dxa"/>
            <w:tcBorders>
              <w:top w:val="single" w:color="auto" w:sz="4" w:space="0"/>
              <w:left w:val="single" w:color="auto" w:sz="4" w:space="0"/>
              <w:bottom w:val="single" w:color="auto" w:sz="4" w:space="0"/>
              <w:right w:val="single" w:color="auto" w:sz="4" w:space="0"/>
            </w:tcBorders>
            <w:vAlign w:val="center"/>
          </w:tcPr>
          <w:p w14:paraId="47235582">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单位名称：</w:t>
            </w:r>
            <w:r>
              <w:rPr>
                <w:rStyle w:val="110"/>
                <w:rFonts w:hint="eastAsia"/>
                <w:color w:val="auto"/>
                <w:sz w:val="21"/>
                <w:szCs w:val="21"/>
                <w:highlight w:val="none"/>
                <w:u w:val="single"/>
              </w:rPr>
              <w:t xml:space="preserve">                  </w:t>
            </w:r>
            <w:r>
              <w:rPr>
                <w:rFonts w:hint="eastAsia" w:ascii="宋体" w:hAnsi="宋体"/>
                <w:snapToGrid w:val="0"/>
                <w:color w:val="auto"/>
                <w:kern w:val="0"/>
                <w:szCs w:val="21"/>
                <w:highlight w:val="none"/>
              </w:rPr>
              <w:t xml:space="preserve">       </w:t>
            </w:r>
          </w:p>
          <w:p w14:paraId="7D3172F2">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地    址：</w:t>
            </w:r>
            <w:r>
              <w:rPr>
                <w:rStyle w:val="110"/>
                <w:rFonts w:hint="eastAsia"/>
                <w:color w:val="auto"/>
                <w:sz w:val="21"/>
                <w:szCs w:val="21"/>
                <w:highlight w:val="none"/>
                <w:u w:val="single"/>
              </w:rPr>
              <w:t xml:space="preserve">                  </w:t>
            </w:r>
            <w:r>
              <w:rPr>
                <w:rFonts w:hint="eastAsia" w:ascii="宋体" w:hAnsi="宋体"/>
                <w:snapToGrid w:val="0"/>
                <w:color w:val="auto"/>
                <w:kern w:val="0"/>
                <w:szCs w:val="21"/>
                <w:highlight w:val="none"/>
              </w:rPr>
              <w:t xml:space="preserve">       </w:t>
            </w:r>
          </w:p>
          <w:p w14:paraId="2AF5CC19">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电    话：</w:t>
            </w:r>
            <w:r>
              <w:rPr>
                <w:rStyle w:val="110"/>
                <w:rFonts w:hint="eastAsia"/>
                <w:color w:val="auto"/>
                <w:sz w:val="21"/>
                <w:szCs w:val="21"/>
                <w:highlight w:val="none"/>
                <w:u w:val="single"/>
              </w:rPr>
              <w:t xml:space="preserve">                  </w:t>
            </w:r>
            <w:r>
              <w:rPr>
                <w:rFonts w:hint="eastAsia" w:ascii="宋体" w:hAnsi="宋体"/>
                <w:snapToGrid w:val="0"/>
                <w:color w:val="auto"/>
                <w:kern w:val="0"/>
                <w:szCs w:val="21"/>
                <w:highlight w:val="none"/>
              </w:rPr>
              <w:t xml:space="preserve">       </w:t>
            </w:r>
          </w:p>
          <w:p w14:paraId="51472AB6">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传    真：</w:t>
            </w:r>
            <w:r>
              <w:rPr>
                <w:rStyle w:val="110"/>
                <w:rFonts w:hint="eastAsia"/>
                <w:color w:val="auto"/>
                <w:sz w:val="21"/>
                <w:szCs w:val="21"/>
                <w:highlight w:val="none"/>
                <w:u w:val="single"/>
              </w:rPr>
              <w:t xml:space="preserve">                  </w:t>
            </w:r>
            <w:r>
              <w:rPr>
                <w:rFonts w:hint="eastAsia" w:ascii="宋体" w:hAnsi="宋体"/>
                <w:snapToGrid w:val="0"/>
                <w:color w:val="auto"/>
                <w:kern w:val="0"/>
                <w:szCs w:val="21"/>
                <w:highlight w:val="none"/>
              </w:rPr>
              <w:t xml:space="preserve">       </w:t>
            </w:r>
          </w:p>
          <w:p w14:paraId="18476428">
            <w:pPr>
              <w:tabs>
                <w:tab w:val="left" w:pos="480"/>
              </w:tabs>
              <w:adjustRightInd w:val="0"/>
              <w:snapToGrid w:val="0"/>
              <w:spacing w:before="38" w:beforeLines="16" w:after="38" w:afterLines="16" w:line="360" w:lineRule="auto"/>
              <w:rPr>
                <w:rStyle w:val="110"/>
                <w:rFonts w:hint="eastAsia"/>
                <w:color w:val="auto"/>
                <w:sz w:val="21"/>
                <w:szCs w:val="21"/>
                <w:highlight w:val="none"/>
                <w:u w:val="single"/>
              </w:rPr>
            </w:pPr>
            <w:r>
              <w:rPr>
                <w:rFonts w:hint="eastAsia" w:ascii="宋体" w:hAnsi="宋体"/>
                <w:snapToGrid w:val="0"/>
                <w:color w:val="auto"/>
                <w:kern w:val="0"/>
                <w:szCs w:val="21"/>
                <w:highlight w:val="none"/>
              </w:rPr>
              <w:t>邮    编：</w:t>
            </w:r>
            <w:r>
              <w:rPr>
                <w:rStyle w:val="110"/>
                <w:rFonts w:hint="eastAsia"/>
                <w:color w:val="auto"/>
                <w:sz w:val="21"/>
                <w:szCs w:val="21"/>
                <w:highlight w:val="none"/>
                <w:u w:val="single"/>
              </w:rPr>
              <w:t xml:space="preserve">                  </w:t>
            </w:r>
          </w:p>
          <w:p w14:paraId="6A00C05E">
            <w:pPr>
              <w:pStyle w:val="17"/>
              <w:wordWrap w:val="0"/>
              <w:spacing w:before="120" w:beforeLines="50" w:line="300" w:lineRule="auto"/>
              <w:ind w:firstLine="420" w:firstLineChars="200"/>
              <w:jc w:val="left"/>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投标人或者其他利害关系人认为招标投标活动不符合法律行政法规规定的，可以自知道或应当知道之日起10日内向有关行政监督部门投诉。依照有关行政法规提出异议的，异议答复期间不计算在内。投诉人的投诉应符合《工程建设项目招标投标活动投诉处理办法》（国家发改委等七部委2004年第11号令，根据2013年3月11日国家发展和改革委员会、工业和信息化部、财政部等令第23号修订）的规定，否则不予受理。对恶意虚假投诉的，将报请省交通运输厅按有关规定进行处理。</w:t>
            </w:r>
          </w:p>
          <w:p w14:paraId="283F72A3">
            <w:pPr>
              <w:tabs>
                <w:tab w:val="left" w:pos="480"/>
              </w:tabs>
              <w:adjustRightInd w:val="0"/>
              <w:snapToGrid w:val="0"/>
              <w:spacing w:before="38" w:beforeLines="16" w:after="38" w:afterLines="16" w:line="360" w:lineRule="auto"/>
              <w:rPr>
                <w:rFonts w:ascii="宋体" w:hAnsi="宋体"/>
                <w:snapToGrid w:val="0"/>
                <w:color w:val="auto"/>
                <w:kern w:val="0"/>
                <w:szCs w:val="21"/>
                <w:highlight w:val="none"/>
              </w:rPr>
            </w:pPr>
            <w:r>
              <w:rPr>
                <w:rFonts w:hint="eastAsia" w:ascii="Calibri" w:hAnsi="宋体" w:eastAsia="宋体" w:cs="宋体"/>
                <w:color w:val="auto"/>
                <w:sz w:val="21"/>
                <w:szCs w:val="21"/>
                <w:highlight w:val="none"/>
                <w:shd w:val="clear" w:color="auto" w:fill="auto"/>
              </w:rPr>
              <w:t>根据福建省交通运输厅《关于规范公路水运工程招投标线上投诉有关事项的通知》（闽交建函〔2020〕72号）规定，投诉以在线上投诉处理为原则，线下投诉处理为例外，投诉人应当在法定时限内通过在线监管平台如实填写投诉信息，应当有明确的请求和必要的证明材料。福建省公共资源交易电子行政监督平台：</w:t>
            </w:r>
            <w:r>
              <w:rPr>
                <w:rFonts w:hint="eastAsia" w:ascii="Calibri" w:hAnsi="宋体" w:eastAsia="宋体" w:cs="宋体"/>
                <w:color w:val="auto"/>
                <w:szCs w:val="21"/>
                <w:highlight w:val="none"/>
                <w:shd w:val="clear" w:color="auto" w:fill="auto"/>
              </w:rPr>
              <w:t>https://ggzyjd.fujian.gov.cn/</w:t>
            </w:r>
            <w:r>
              <w:rPr>
                <w:rFonts w:hint="eastAsia" w:ascii="Calibri" w:hAnsi="宋体" w:eastAsia="宋体" w:cs="宋体"/>
                <w:color w:val="auto"/>
                <w:sz w:val="21"/>
                <w:szCs w:val="21"/>
                <w:highlight w:val="none"/>
                <w:shd w:val="clear" w:color="auto" w:fill="auto"/>
                <w:lang w:eastAsia="zh-CN"/>
              </w:rPr>
              <w:t>。</w:t>
            </w:r>
            <w:r>
              <w:rPr>
                <w:rFonts w:hint="eastAsia" w:ascii="宋体" w:hAnsi="宋体"/>
                <w:snapToGrid w:val="0"/>
                <w:color w:val="auto"/>
                <w:kern w:val="0"/>
                <w:szCs w:val="21"/>
                <w:highlight w:val="none"/>
              </w:rPr>
              <w:t xml:space="preserve">        </w:t>
            </w:r>
          </w:p>
        </w:tc>
      </w:tr>
      <w:tr w14:paraId="3376CA63">
        <w:tblPrEx>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593BC0CF">
            <w:pPr>
              <w:tabs>
                <w:tab w:val="left" w:pos="480"/>
              </w:tabs>
              <w:adjustRightInd w:val="0"/>
              <w:snapToGrid w:val="0"/>
              <w:spacing w:before="38" w:beforeLines="16" w:after="38" w:afterLines="16"/>
              <w:rPr>
                <w:rFonts w:ascii="宋体" w:hAnsi="宋体"/>
                <w:snapToGrid w:val="0"/>
                <w:color w:val="auto"/>
                <w:kern w:val="0"/>
                <w:szCs w:val="21"/>
                <w:highlight w:val="none"/>
              </w:rPr>
            </w:pPr>
            <w:r>
              <w:rPr>
                <w:rFonts w:hint="eastAsia" w:ascii="宋体" w:hAnsi="宋体"/>
                <w:snapToGrid w:val="0"/>
                <w:color w:val="auto"/>
                <w:kern w:val="0"/>
                <w:szCs w:val="21"/>
                <w:highlight w:val="none"/>
              </w:rPr>
              <w:t>10</w:t>
            </w:r>
          </w:p>
        </w:tc>
        <w:tc>
          <w:tcPr>
            <w:tcW w:w="8281" w:type="dxa"/>
            <w:gridSpan w:val="2"/>
            <w:tcBorders>
              <w:top w:val="single" w:color="auto" w:sz="4" w:space="0"/>
              <w:left w:val="single" w:color="auto" w:sz="4" w:space="0"/>
              <w:bottom w:val="single" w:color="auto" w:sz="4" w:space="0"/>
              <w:right w:val="single" w:color="auto" w:sz="4" w:space="0"/>
            </w:tcBorders>
            <w:vAlign w:val="center"/>
          </w:tcPr>
          <w:p w14:paraId="5ED1272B">
            <w:pPr>
              <w:numPr>
                <w:ilvl w:val="-1"/>
                <w:numId w:val="0"/>
              </w:numPr>
              <w:wordWrap/>
              <w:adjustRightInd w:val="0"/>
              <w:snapToGrid w:val="0"/>
              <w:spacing w:before="32" w:beforeLines="10" w:afterLines="0" w:line="25" w:lineRule="atLeast"/>
              <w:ind w:firstLine="420" w:firstLineChars="200"/>
              <w:jc w:val="left"/>
              <w:textAlignment w:val="center"/>
              <w:rPr>
                <w:rFonts w:hint="eastAsia" w:ascii="宋体" w:hAnsi="宋体" w:cs="宋体"/>
                <w:b w:val="0"/>
                <w:bCs w:val="0"/>
                <w:color w:val="auto"/>
                <w:szCs w:val="21"/>
                <w:highlight w:val="none"/>
                <w:shd w:val="clear" w:color="auto" w:fill="auto"/>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3</w:t>
            </w:r>
            <w:r>
              <w:rPr>
                <w:rFonts w:hint="eastAsia" w:ascii="宋体" w:hAnsi="宋体" w:cs="宋体"/>
                <w:b w:val="0"/>
                <w:bCs w:val="0"/>
                <w:color w:val="auto"/>
                <w:szCs w:val="21"/>
                <w:highlight w:val="none"/>
                <w:shd w:val="clear" w:color="auto" w:fill="auto"/>
                <w:lang w:val="en-US" w:eastAsia="zh-CN"/>
              </w:rPr>
              <w:t>投标人</w:t>
            </w:r>
            <w:r>
              <w:rPr>
                <w:rFonts w:hint="eastAsia" w:ascii="宋体" w:hAnsi="宋体" w:cs="宋体"/>
                <w:b w:val="0"/>
                <w:bCs w:val="0"/>
                <w:color w:val="auto"/>
                <w:szCs w:val="21"/>
                <w:highlight w:val="none"/>
                <w:shd w:val="clear" w:color="auto" w:fill="auto"/>
              </w:rPr>
              <w:t>福建省交通建设市场信用考核评价结果</w:t>
            </w:r>
          </w:p>
          <w:p w14:paraId="623ED05F">
            <w:pPr>
              <w:numPr>
                <w:ilvl w:val="-1"/>
                <w:numId w:val="0"/>
              </w:numPr>
              <w:wordWrap/>
              <w:adjustRightInd w:val="0"/>
              <w:snapToGrid w:val="0"/>
              <w:spacing w:before="32" w:beforeLines="10" w:afterLines="0" w:line="25" w:lineRule="atLeast"/>
              <w:ind w:firstLine="420" w:firstLineChars="200"/>
              <w:jc w:val="left"/>
              <w:textAlignment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福建省交通建设市场信用考核评价结果以在“信用交通·福建”（http://220.160.53.3:30050/gzwz/）网站的公示结果为准</w:t>
            </w:r>
            <w:r>
              <w:rPr>
                <w:rFonts w:hint="eastAsia" w:ascii="宋体" w:hAnsi="宋体" w:cs="宋体"/>
                <w:color w:val="auto"/>
                <w:szCs w:val="21"/>
                <w:highlight w:val="none"/>
                <w:shd w:val="clear" w:color="auto" w:fill="auto"/>
                <w:lang w:val="en-US" w:eastAsia="zh-CN"/>
              </w:rPr>
              <w:t>。</w:t>
            </w:r>
          </w:p>
          <w:p w14:paraId="38B7B898">
            <w:pPr>
              <w:numPr>
                <w:ilvl w:val="-1"/>
                <w:numId w:val="0"/>
              </w:numPr>
              <w:wordWrap/>
              <w:adjustRightInd w:val="0"/>
              <w:snapToGrid w:val="0"/>
              <w:spacing w:before="32" w:beforeLines="10" w:afterLines="0" w:line="25" w:lineRule="atLeast"/>
              <w:ind w:firstLine="420" w:firstLineChars="200"/>
              <w:jc w:val="left"/>
              <w:textAlignment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本招标项目使用福建省交通运输厅最新公布的（</w:t>
            </w:r>
            <w:r>
              <w:rPr>
                <w:rFonts w:hint="eastAsia" w:ascii="宋体" w:hAnsi="宋体" w:cs="宋体"/>
                <w:color w:val="auto"/>
                <w:szCs w:val="21"/>
                <w:highlight w:val="none"/>
                <w:shd w:val="clear" w:color="auto" w:fill="auto"/>
                <w:lang w:val="en-US" w:eastAsia="zh-CN"/>
              </w:rPr>
              <w:t>水运工程</w:t>
            </w:r>
            <w:r>
              <w:rPr>
                <w:rFonts w:hint="eastAsia" w:ascii="宋体" w:hAnsi="宋体" w:cs="宋体"/>
                <w:color w:val="auto"/>
                <w:szCs w:val="21"/>
                <w:highlight w:val="none"/>
                <w:shd w:val="clear" w:color="auto" w:fill="auto"/>
              </w:rPr>
              <w:t>）施工从业单位及主要从业人员信用考核结果。</w:t>
            </w:r>
          </w:p>
          <w:p w14:paraId="42A094EA">
            <w:pPr>
              <w:numPr>
                <w:ilvl w:val="0"/>
                <w:numId w:val="0"/>
              </w:numPr>
              <w:adjustRightInd w:val="0"/>
              <w:snapToGrid w:val="0"/>
              <w:spacing w:before="32" w:beforeLines="10" w:after="0" w:afterLines="0" w:line="25" w:lineRule="atLeast"/>
              <w:ind w:firstLine="420" w:firstLineChars="200"/>
              <w:jc w:val="left"/>
              <w:textAlignment w:val="center"/>
              <w:rPr>
                <w:rFonts w:ascii="宋体" w:hAnsi="宋体"/>
                <w:snapToGrid w:val="0"/>
                <w:color w:val="auto"/>
                <w:kern w:val="0"/>
                <w:szCs w:val="21"/>
                <w:highlight w:val="none"/>
              </w:rPr>
            </w:pP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福建省交通建设市场信用考核评价结果以招标项目截标时在“信用交通·福建”（http://220.160.53.3:30050/gzwz/）网站</w:t>
            </w:r>
            <w:r>
              <w:rPr>
                <w:rFonts w:hint="eastAsia" w:ascii="宋体" w:hAnsi="宋体" w:cs="宋体"/>
                <w:color w:val="auto"/>
                <w:szCs w:val="21"/>
                <w:highlight w:val="none"/>
                <w:shd w:val="clear" w:color="auto" w:fill="auto"/>
                <w:lang w:val="en-US" w:eastAsia="zh-CN"/>
              </w:rPr>
              <w:t>发布的最新日期</w:t>
            </w:r>
            <w:r>
              <w:rPr>
                <w:rFonts w:hint="eastAsia" w:ascii="宋体" w:hAnsi="宋体" w:cs="宋体"/>
                <w:color w:val="auto"/>
                <w:szCs w:val="21"/>
                <w:highlight w:val="none"/>
                <w:shd w:val="clear" w:color="auto" w:fill="auto"/>
              </w:rPr>
              <w:t>的数据为准。项目截标后不论何种原因变更的信用评价信息，不在变更前已截标的招投标项目中使用。</w:t>
            </w:r>
          </w:p>
          <w:p w14:paraId="47D2F165">
            <w:pPr>
              <w:tabs>
                <w:tab w:val="left" w:pos="480"/>
              </w:tabs>
              <w:adjustRightInd w:val="0"/>
              <w:snapToGrid w:val="0"/>
              <w:spacing w:before="38" w:beforeLines="16" w:after="38" w:afterLines="16" w:line="360" w:lineRule="auto"/>
              <w:ind w:firstLine="525" w:firstLineChars="250"/>
              <w:rPr>
                <w:rFonts w:ascii="宋体" w:hAnsi="宋体"/>
                <w:snapToGrid w:val="0"/>
                <w:color w:val="auto"/>
                <w:kern w:val="0"/>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其他要求</w:t>
            </w:r>
          </w:p>
          <w:p w14:paraId="0D571533">
            <w:pPr>
              <w:tabs>
                <w:tab w:val="left" w:pos="480"/>
              </w:tabs>
              <w:adjustRightInd w:val="0"/>
              <w:snapToGrid w:val="0"/>
              <w:spacing w:before="38" w:beforeLines="16" w:after="38" w:afterLines="16" w:line="360" w:lineRule="auto"/>
              <w:ind w:firstLine="525" w:firstLineChars="250"/>
              <w:rPr>
                <w:rFonts w:ascii="宋体" w:hAnsi="宋体"/>
                <w:snapToGrid w:val="0"/>
                <w:color w:val="auto"/>
                <w:kern w:val="0"/>
                <w:szCs w:val="21"/>
                <w:highlight w:val="none"/>
              </w:rPr>
            </w:pPr>
            <w:r>
              <w:rPr>
                <w:rFonts w:hint="eastAsia" w:ascii="宋体" w:hAnsi="宋体"/>
                <w:snapToGrid w:val="0"/>
                <w:color w:val="auto"/>
                <w:kern w:val="0"/>
                <w:szCs w:val="21"/>
                <w:highlight w:val="none"/>
              </w:rPr>
              <w:t>……</w:t>
            </w:r>
          </w:p>
        </w:tc>
      </w:tr>
    </w:tbl>
    <w:p w14:paraId="4D697709">
      <w:pPr>
        <w:pStyle w:val="92"/>
        <w:spacing w:before="0" w:beforeLines="0" w:line="360" w:lineRule="auto"/>
        <w:outlineLvl w:val="0"/>
        <w:rPr>
          <w:rFonts w:ascii="宋体" w:hAnsi="宋体" w:eastAsia="宋体"/>
          <w:b/>
          <w:snapToGrid w:val="0"/>
          <w:color w:val="auto"/>
          <w:kern w:val="0"/>
          <w:sz w:val="24"/>
          <w:szCs w:val="24"/>
          <w:highlight w:val="none"/>
        </w:rPr>
      </w:pPr>
      <w:r>
        <w:rPr>
          <w:rFonts w:ascii="宋体" w:hAnsi="宋体" w:eastAsia="宋体"/>
          <w:snapToGrid w:val="0"/>
          <w:color w:val="auto"/>
          <w:kern w:val="0"/>
          <w:highlight w:val="none"/>
        </w:rPr>
        <w:br w:type="page"/>
      </w:r>
      <w:bookmarkStart w:id="72" w:name="_Toc488649880"/>
      <w:bookmarkStart w:id="73" w:name="_Toc346269451"/>
      <w:bookmarkStart w:id="74" w:name="_Toc335660690"/>
      <w:bookmarkStart w:id="75" w:name="_Toc335721917"/>
      <w:r>
        <w:rPr>
          <w:rFonts w:hint="eastAsia" w:ascii="宋体" w:hAnsi="宋体" w:eastAsia="宋体"/>
          <w:b/>
          <w:snapToGrid w:val="0"/>
          <w:color w:val="auto"/>
          <w:kern w:val="0"/>
          <w:sz w:val="24"/>
          <w:szCs w:val="24"/>
          <w:highlight w:val="none"/>
        </w:rPr>
        <w:t>投标人须知</w:t>
      </w:r>
      <w:bookmarkEnd w:id="72"/>
      <w:bookmarkEnd w:id="73"/>
    </w:p>
    <w:p w14:paraId="5DEB9926">
      <w:pPr>
        <w:pStyle w:val="92"/>
        <w:spacing w:before="0" w:beforeLines="0" w:line="360" w:lineRule="auto"/>
        <w:outlineLvl w:val="0"/>
        <w:rPr>
          <w:rFonts w:ascii="宋体" w:hAnsi="宋体" w:eastAsia="宋体"/>
          <w:b/>
          <w:snapToGrid w:val="0"/>
          <w:color w:val="auto"/>
          <w:kern w:val="0"/>
          <w:sz w:val="24"/>
          <w:szCs w:val="24"/>
          <w:highlight w:val="none"/>
        </w:rPr>
      </w:pPr>
      <w:bookmarkStart w:id="76" w:name="_Toc346269452"/>
      <w:bookmarkStart w:id="77" w:name="_Toc488649881"/>
      <w:r>
        <w:rPr>
          <w:rFonts w:ascii="宋体" w:hAnsi="宋体" w:eastAsia="宋体"/>
          <w:b/>
          <w:snapToGrid w:val="0"/>
          <w:color w:val="auto"/>
          <w:kern w:val="0"/>
          <w:sz w:val="24"/>
          <w:szCs w:val="24"/>
          <w:highlight w:val="none"/>
        </w:rPr>
        <w:t>1.</w:t>
      </w:r>
      <w:r>
        <w:rPr>
          <w:rFonts w:hint="eastAsia" w:ascii="宋体" w:hAnsi="宋体" w:eastAsia="宋体"/>
          <w:b/>
          <w:snapToGrid w:val="0"/>
          <w:color w:val="auto"/>
          <w:kern w:val="0"/>
          <w:sz w:val="24"/>
          <w:szCs w:val="24"/>
          <w:highlight w:val="none"/>
        </w:rPr>
        <w:t xml:space="preserve"> </w:t>
      </w:r>
      <w:r>
        <w:rPr>
          <w:rFonts w:ascii="宋体" w:hAnsi="宋体" w:eastAsia="宋体"/>
          <w:b/>
          <w:snapToGrid w:val="0"/>
          <w:color w:val="auto"/>
          <w:kern w:val="0"/>
          <w:sz w:val="24"/>
          <w:szCs w:val="24"/>
          <w:highlight w:val="none"/>
        </w:rPr>
        <w:t>总则</w:t>
      </w:r>
      <w:bookmarkEnd w:id="74"/>
      <w:bookmarkEnd w:id="75"/>
      <w:bookmarkEnd w:id="76"/>
      <w:bookmarkEnd w:id="77"/>
    </w:p>
    <w:p w14:paraId="49C1D961">
      <w:pPr>
        <w:pStyle w:val="4"/>
        <w:rPr>
          <w:color w:val="auto"/>
          <w:highlight w:val="none"/>
        </w:rPr>
      </w:pPr>
      <w:bookmarkStart w:id="78" w:name="_Toc335660369"/>
      <w:bookmarkStart w:id="79" w:name="_Toc330218043"/>
      <w:bookmarkStart w:id="80" w:name="_Toc335659956"/>
      <w:bookmarkStart w:id="81" w:name="_Toc330217894"/>
      <w:bookmarkStart w:id="82" w:name="_Toc330218608"/>
      <w:bookmarkStart w:id="83" w:name="_Toc335721918"/>
      <w:bookmarkStart w:id="84" w:name="_Toc335660691"/>
      <w:bookmarkStart w:id="85" w:name="_Toc335721466"/>
      <w:r>
        <w:rPr>
          <w:color w:val="auto"/>
          <w:highlight w:val="none"/>
        </w:rPr>
        <w:t>1.1 项目概况</w:t>
      </w:r>
      <w:bookmarkEnd w:id="78"/>
      <w:bookmarkEnd w:id="79"/>
      <w:bookmarkEnd w:id="80"/>
      <w:bookmarkEnd w:id="81"/>
      <w:bookmarkEnd w:id="82"/>
      <w:bookmarkEnd w:id="83"/>
      <w:bookmarkEnd w:id="84"/>
      <w:bookmarkEnd w:id="85"/>
    </w:p>
    <w:p w14:paraId="3A62ACF0">
      <w:pPr>
        <w:pStyle w:val="5"/>
        <w:ind w:left="0" w:firstLine="480" w:firstLineChars="200"/>
        <w:rPr>
          <w:rFonts w:ascii="宋体" w:hAnsi="宋体"/>
          <w:snapToGrid w:val="0"/>
          <w:color w:val="auto"/>
          <w:kern w:val="0"/>
          <w:highlight w:val="none"/>
        </w:rPr>
      </w:pPr>
      <w:bookmarkStart w:id="86" w:name="_Toc335660692"/>
      <w:r>
        <w:rPr>
          <w:rFonts w:ascii="宋体" w:hAnsi="宋体"/>
          <w:snapToGrid w:val="0"/>
          <w:color w:val="auto"/>
          <w:kern w:val="0"/>
          <w:highlight w:val="none"/>
        </w:rPr>
        <w:t>1.1.1 根据《中华人民共和国招标投标法》</w:t>
      </w:r>
      <w:r>
        <w:rPr>
          <w:rFonts w:hint="eastAsia" w:ascii="宋体" w:hAnsi="宋体"/>
          <w:snapToGrid w:val="0"/>
          <w:color w:val="auto"/>
          <w:kern w:val="0"/>
          <w:highlight w:val="none"/>
        </w:rPr>
        <w:t>、</w:t>
      </w:r>
      <w:r>
        <w:rPr>
          <w:rFonts w:ascii="宋体" w:hAnsi="宋体"/>
          <w:snapToGrid w:val="0"/>
          <w:color w:val="auto"/>
          <w:kern w:val="0"/>
          <w:highlight w:val="none"/>
        </w:rPr>
        <w:t>《中华人民共和国招标投</w:t>
      </w:r>
      <w:r>
        <w:rPr>
          <w:rFonts w:hint="eastAsia" w:ascii="宋体" w:hAnsi="宋体"/>
          <w:snapToGrid w:val="0"/>
          <w:color w:val="auto"/>
          <w:kern w:val="0"/>
          <w:highlight w:val="none"/>
        </w:rPr>
        <w:t>标法实施条例》、《水运工程建设项目招标投标管理办法》</w:t>
      </w:r>
      <w:r>
        <w:rPr>
          <w:rFonts w:ascii="宋体" w:hAnsi="宋体"/>
          <w:snapToGrid w:val="0"/>
          <w:color w:val="auto"/>
          <w:kern w:val="0"/>
          <w:highlight w:val="none"/>
        </w:rPr>
        <w:t>等有关法律、法规和规章的规定，本招标项目已具备招标条件，现对本项目勘察设计进行招标。</w:t>
      </w:r>
      <w:bookmarkEnd w:id="86"/>
    </w:p>
    <w:p w14:paraId="139C066A">
      <w:pPr>
        <w:pStyle w:val="5"/>
        <w:ind w:left="105" w:leftChars="50" w:firstLine="240" w:firstLineChars="100"/>
        <w:rPr>
          <w:rFonts w:ascii="宋体" w:hAnsi="宋体"/>
          <w:snapToGrid w:val="0"/>
          <w:color w:val="auto"/>
          <w:kern w:val="0"/>
          <w:highlight w:val="none"/>
        </w:rPr>
      </w:pPr>
      <w:bookmarkStart w:id="87" w:name="_Toc335660693"/>
      <w:r>
        <w:rPr>
          <w:rFonts w:ascii="宋体" w:hAnsi="宋体"/>
          <w:snapToGrid w:val="0"/>
          <w:color w:val="auto"/>
          <w:kern w:val="0"/>
          <w:highlight w:val="none"/>
        </w:rPr>
        <w:t>1.1.2 本招标项目招标人</w:t>
      </w:r>
      <w:r>
        <w:rPr>
          <w:rFonts w:hint="eastAsia" w:ascii="宋体" w:hAnsi="宋体"/>
          <w:snapToGrid w:val="0"/>
          <w:color w:val="auto"/>
          <w:kern w:val="0"/>
          <w:highlight w:val="none"/>
        </w:rPr>
        <w:t>:</w:t>
      </w:r>
      <w:r>
        <w:rPr>
          <w:rFonts w:hint="eastAsia" w:ascii="宋体" w:hAnsi="宋体"/>
          <w:color w:val="auto"/>
          <w:szCs w:val="21"/>
          <w:highlight w:val="none"/>
          <w:u w:val="single"/>
        </w:rPr>
        <w:t xml:space="preserve"> 见投标人须知前附表。</w:t>
      </w:r>
    </w:p>
    <w:p w14:paraId="11D24379">
      <w:pPr>
        <w:pStyle w:val="5"/>
        <w:ind w:left="105" w:leftChars="50" w:firstLine="240" w:firstLineChars="100"/>
        <w:rPr>
          <w:rFonts w:ascii="宋体" w:hAnsi="宋体"/>
          <w:snapToGrid w:val="0"/>
          <w:color w:val="auto"/>
          <w:kern w:val="0"/>
          <w:highlight w:val="none"/>
        </w:rPr>
      </w:pPr>
      <w:r>
        <w:rPr>
          <w:rFonts w:ascii="宋体" w:hAnsi="宋体"/>
          <w:snapToGrid w:val="0"/>
          <w:color w:val="auto"/>
          <w:kern w:val="0"/>
          <w:highlight w:val="none"/>
        </w:rPr>
        <w:t>招标代理机构</w:t>
      </w:r>
      <w:r>
        <w:rPr>
          <w:rFonts w:hint="eastAsia" w:ascii="宋体" w:hAnsi="宋体"/>
          <w:snapToGrid w:val="0"/>
          <w:color w:val="auto"/>
          <w:kern w:val="0"/>
          <w:highlight w:val="none"/>
        </w:rPr>
        <w:t>:</w:t>
      </w:r>
      <w:r>
        <w:rPr>
          <w:rFonts w:hint="eastAsia" w:ascii="宋体" w:hAnsi="宋体"/>
          <w:color w:val="auto"/>
          <w:szCs w:val="21"/>
          <w:highlight w:val="none"/>
          <w:u w:val="single"/>
        </w:rPr>
        <w:t xml:space="preserve"> 见投标人须知前附表。</w:t>
      </w:r>
    </w:p>
    <w:p w14:paraId="1569FD90">
      <w:pPr>
        <w:pStyle w:val="5"/>
        <w:ind w:left="105" w:leftChars="50" w:firstLine="240" w:firstLineChars="100"/>
        <w:rPr>
          <w:rFonts w:ascii="宋体" w:hAnsi="宋体"/>
          <w:color w:val="auto"/>
          <w:szCs w:val="21"/>
          <w:highlight w:val="none"/>
          <w:u w:val="single"/>
        </w:rPr>
      </w:pPr>
      <w:r>
        <w:rPr>
          <w:rFonts w:ascii="宋体" w:hAnsi="宋体"/>
          <w:snapToGrid w:val="0"/>
          <w:color w:val="auto"/>
          <w:kern w:val="0"/>
          <w:highlight w:val="none"/>
        </w:rPr>
        <w:t>项目名称</w:t>
      </w:r>
      <w:r>
        <w:rPr>
          <w:rFonts w:hint="eastAsia" w:ascii="宋体" w:hAnsi="宋体"/>
          <w:snapToGrid w:val="0"/>
          <w:color w:val="auto"/>
          <w:kern w:val="0"/>
          <w:highlight w:val="none"/>
        </w:rPr>
        <w:t>:</w:t>
      </w:r>
      <w:r>
        <w:rPr>
          <w:rFonts w:hint="eastAsia" w:ascii="宋体" w:hAnsi="宋体"/>
          <w:color w:val="auto"/>
          <w:szCs w:val="21"/>
          <w:highlight w:val="none"/>
          <w:u w:val="single"/>
        </w:rPr>
        <w:t xml:space="preserve"> 见投标人须知前附表。</w:t>
      </w:r>
    </w:p>
    <w:p w14:paraId="2EE2FC66">
      <w:pPr>
        <w:pStyle w:val="5"/>
        <w:ind w:left="105" w:leftChars="50" w:firstLine="240" w:firstLineChars="100"/>
        <w:rPr>
          <w:rFonts w:ascii="宋体" w:hAnsi="宋体"/>
          <w:color w:val="auto"/>
          <w:szCs w:val="21"/>
          <w:highlight w:val="none"/>
          <w:u w:val="single"/>
        </w:rPr>
      </w:pPr>
      <w:r>
        <w:rPr>
          <w:rFonts w:ascii="宋体" w:hAnsi="宋体"/>
          <w:snapToGrid w:val="0"/>
          <w:color w:val="auto"/>
          <w:kern w:val="0"/>
          <w:highlight w:val="none"/>
        </w:rPr>
        <w:t>建设地点：</w:t>
      </w:r>
      <w:r>
        <w:rPr>
          <w:rFonts w:hint="eastAsia" w:ascii="宋体" w:hAnsi="宋体"/>
          <w:color w:val="auto"/>
          <w:szCs w:val="21"/>
          <w:highlight w:val="none"/>
          <w:u w:val="single"/>
        </w:rPr>
        <w:t>见投标人须知前附表。</w:t>
      </w:r>
      <w:bookmarkEnd w:id="87"/>
      <w:bookmarkStart w:id="88" w:name="_Toc335721467"/>
      <w:bookmarkStart w:id="89" w:name="_Toc335660694"/>
      <w:bookmarkStart w:id="90" w:name="_Toc330217895"/>
      <w:bookmarkStart w:id="91" w:name="_Toc335721919"/>
      <w:bookmarkStart w:id="92" w:name="_Toc335659957"/>
      <w:bookmarkStart w:id="93" w:name="_Toc335660370"/>
      <w:bookmarkStart w:id="94" w:name="_Toc330218609"/>
      <w:bookmarkStart w:id="95" w:name="_Toc330218044"/>
    </w:p>
    <w:p w14:paraId="211BD132">
      <w:pPr>
        <w:pStyle w:val="5"/>
        <w:ind w:left="105" w:leftChars="50" w:firstLine="240" w:firstLineChars="100"/>
        <w:rPr>
          <w:color w:val="auto"/>
          <w:highlight w:val="none"/>
        </w:rPr>
      </w:pPr>
      <w:r>
        <w:rPr>
          <w:color w:val="auto"/>
          <w:highlight w:val="none"/>
        </w:rPr>
        <w:t>1.2 资金来源和落实情况</w:t>
      </w:r>
      <w:bookmarkEnd w:id="88"/>
      <w:bookmarkEnd w:id="89"/>
      <w:bookmarkEnd w:id="90"/>
      <w:bookmarkEnd w:id="91"/>
      <w:bookmarkEnd w:id="92"/>
      <w:bookmarkEnd w:id="93"/>
      <w:bookmarkEnd w:id="94"/>
      <w:bookmarkEnd w:id="95"/>
    </w:p>
    <w:p w14:paraId="25181C4C">
      <w:pPr>
        <w:pStyle w:val="5"/>
        <w:ind w:left="0" w:firstLine="480" w:firstLineChars="200"/>
        <w:rPr>
          <w:rFonts w:ascii="宋体" w:hAnsi="宋体"/>
          <w:snapToGrid w:val="0"/>
          <w:color w:val="auto"/>
          <w:kern w:val="0"/>
          <w:highlight w:val="none"/>
          <w:u w:val="single"/>
        </w:rPr>
      </w:pPr>
      <w:r>
        <w:rPr>
          <w:rFonts w:ascii="宋体" w:hAnsi="宋体"/>
          <w:snapToGrid w:val="0"/>
          <w:color w:val="auto"/>
          <w:kern w:val="0"/>
          <w:highlight w:val="none"/>
        </w:rPr>
        <w:t>本招标项目的资金来源</w:t>
      </w:r>
      <w:r>
        <w:rPr>
          <w:rFonts w:hint="eastAsia" w:ascii="宋体" w:hAnsi="宋体"/>
          <w:snapToGrid w:val="0"/>
          <w:color w:val="auto"/>
          <w:kern w:val="0"/>
          <w:highlight w:val="none"/>
        </w:rPr>
        <w:t>：</w:t>
      </w:r>
      <w:r>
        <w:rPr>
          <w:rFonts w:hint="eastAsia" w:ascii="宋体" w:hAnsi="宋体"/>
          <w:color w:val="auto"/>
          <w:szCs w:val="21"/>
          <w:highlight w:val="none"/>
          <w:u w:val="single"/>
        </w:rPr>
        <w:t>见投标人须知前附表。</w:t>
      </w:r>
    </w:p>
    <w:p w14:paraId="13DA912B">
      <w:pPr>
        <w:pStyle w:val="5"/>
        <w:ind w:left="0" w:firstLine="480" w:firstLineChars="200"/>
        <w:rPr>
          <w:rFonts w:ascii="宋体" w:hAnsi="宋体"/>
          <w:color w:val="auto"/>
          <w:szCs w:val="21"/>
          <w:highlight w:val="none"/>
          <w:u w:val="single"/>
        </w:rPr>
      </w:pPr>
      <w:r>
        <w:rPr>
          <w:rFonts w:ascii="宋体" w:hAnsi="宋体"/>
          <w:snapToGrid w:val="0"/>
          <w:color w:val="auto"/>
          <w:kern w:val="0"/>
          <w:highlight w:val="none"/>
        </w:rPr>
        <w:t>资金落实情况：</w:t>
      </w:r>
      <w:r>
        <w:rPr>
          <w:rFonts w:hint="eastAsia" w:ascii="宋体" w:hAnsi="宋体"/>
          <w:color w:val="auto"/>
          <w:szCs w:val="21"/>
          <w:highlight w:val="none"/>
          <w:u w:val="single"/>
        </w:rPr>
        <w:t>见投标人须知前附表。</w:t>
      </w:r>
      <w:bookmarkStart w:id="96" w:name="_Toc335721920"/>
      <w:bookmarkStart w:id="97" w:name="_Toc330218045"/>
      <w:bookmarkStart w:id="98" w:name="_Toc335660371"/>
      <w:bookmarkStart w:id="99" w:name="_Toc335721468"/>
      <w:bookmarkStart w:id="100" w:name="_Toc335659958"/>
      <w:bookmarkStart w:id="101" w:name="_Toc335660695"/>
      <w:bookmarkStart w:id="102" w:name="_Toc330218610"/>
      <w:bookmarkStart w:id="103" w:name="_Toc330217896"/>
    </w:p>
    <w:p w14:paraId="0513049F">
      <w:pPr>
        <w:pStyle w:val="5"/>
        <w:ind w:left="0" w:firstLine="480" w:firstLineChars="200"/>
        <w:rPr>
          <w:color w:val="auto"/>
          <w:highlight w:val="none"/>
        </w:rPr>
      </w:pPr>
      <w:r>
        <w:rPr>
          <w:color w:val="auto"/>
          <w:highlight w:val="none"/>
        </w:rPr>
        <w:t>1.3 招标范围和勘察设计周期</w:t>
      </w:r>
      <w:bookmarkEnd w:id="96"/>
      <w:bookmarkEnd w:id="97"/>
      <w:bookmarkEnd w:id="98"/>
      <w:bookmarkEnd w:id="99"/>
      <w:bookmarkEnd w:id="100"/>
      <w:bookmarkEnd w:id="101"/>
      <w:bookmarkEnd w:id="102"/>
      <w:bookmarkEnd w:id="103"/>
      <w:r>
        <w:rPr>
          <w:rFonts w:hint="eastAsia"/>
          <w:color w:val="auto"/>
          <w:highlight w:val="none"/>
        </w:rPr>
        <w:t>及质量要求</w:t>
      </w:r>
    </w:p>
    <w:p w14:paraId="0752F2D0">
      <w:pPr>
        <w:pStyle w:val="5"/>
        <w:ind w:left="0" w:firstLine="480" w:firstLineChars="200"/>
        <w:rPr>
          <w:rFonts w:ascii="宋体" w:hAnsi="宋体"/>
          <w:color w:val="auto"/>
          <w:szCs w:val="21"/>
          <w:highlight w:val="none"/>
          <w:u w:val="single"/>
        </w:rPr>
      </w:pPr>
      <w:r>
        <w:rPr>
          <w:rFonts w:ascii="宋体" w:hAnsi="宋体"/>
          <w:snapToGrid w:val="0"/>
          <w:color w:val="auto"/>
          <w:kern w:val="0"/>
          <w:highlight w:val="none"/>
        </w:rPr>
        <w:t>本次招标范围</w:t>
      </w:r>
      <w:r>
        <w:rPr>
          <w:rFonts w:hint="eastAsia" w:ascii="宋体" w:hAnsi="宋体"/>
          <w:snapToGrid w:val="0"/>
          <w:color w:val="auto"/>
          <w:kern w:val="0"/>
          <w:highlight w:val="none"/>
        </w:rPr>
        <w:t>：</w:t>
      </w:r>
      <w:r>
        <w:rPr>
          <w:rFonts w:hint="eastAsia" w:ascii="宋体" w:hAnsi="宋体"/>
          <w:color w:val="auto"/>
          <w:szCs w:val="21"/>
          <w:highlight w:val="none"/>
          <w:u w:val="single"/>
        </w:rPr>
        <w:t>见投标人须知前附表。</w:t>
      </w:r>
    </w:p>
    <w:p w14:paraId="19A4C71A">
      <w:pPr>
        <w:pStyle w:val="5"/>
        <w:ind w:left="0" w:firstLine="480" w:firstLineChars="200"/>
        <w:rPr>
          <w:rFonts w:ascii="宋体" w:hAnsi="宋体"/>
          <w:color w:val="auto"/>
          <w:szCs w:val="21"/>
          <w:highlight w:val="none"/>
          <w:u w:val="single"/>
        </w:rPr>
      </w:pPr>
      <w:r>
        <w:rPr>
          <w:rFonts w:ascii="宋体" w:hAnsi="宋体"/>
          <w:snapToGrid w:val="0"/>
          <w:color w:val="auto"/>
          <w:kern w:val="0"/>
          <w:highlight w:val="none"/>
        </w:rPr>
        <w:t>勘察设计周期</w:t>
      </w:r>
      <w:r>
        <w:rPr>
          <w:rFonts w:hint="eastAsia" w:ascii="宋体" w:hAnsi="宋体"/>
          <w:snapToGrid w:val="0"/>
          <w:color w:val="auto"/>
          <w:kern w:val="0"/>
          <w:highlight w:val="none"/>
        </w:rPr>
        <w:t>：</w:t>
      </w:r>
      <w:r>
        <w:rPr>
          <w:rFonts w:hint="eastAsia" w:ascii="宋体" w:hAnsi="宋体"/>
          <w:color w:val="auto"/>
          <w:szCs w:val="21"/>
          <w:highlight w:val="none"/>
          <w:u w:val="single"/>
        </w:rPr>
        <w:t>见投标人须知前附表。</w:t>
      </w:r>
    </w:p>
    <w:p w14:paraId="76E63BB4">
      <w:pPr>
        <w:pStyle w:val="5"/>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质量要求</w:t>
      </w:r>
      <w:r>
        <w:rPr>
          <w:rFonts w:ascii="宋体" w:hAnsi="宋体"/>
          <w:snapToGrid w:val="0"/>
          <w:color w:val="auto"/>
          <w:kern w:val="0"/>
          <w:highlight w:val="none"/>
        </w:rPr>
        <w:t>：</w:t>
      </w:r>
      <w:r>
        <w:rPr>
          <w:rFonts w:hint="eastAsia" w:ascii="宋体" w:hAnsi="宋体"/>
          <w:color w:val="auto"/>
          <w:szCs w:val="21"/>
          <w:highlight w:val="none"/>
          <w:u w:val="single"/>
        </w:rPr>
        <w:t>见投标人须知前附表。</w:t>
      </w:r>
    </w:p>
    <w:p w14:paraId="2D5F451F">
      <w:pPr>
        <w:pStyle w:val="4"/>
        <w:rPr>
          <w:color w:val="auto"/>
          <w:highlight w:val="none"/>
        </w:rPr>
      </w:pPr>
      <w:bookmarkStart w:id="104" w:name="_Toc330218046"/>
      <w:bookmarkStart w:id="105" w:name="_Toc330218611"/>
      <w:bookmarkStart w:id="106" w:name="_Toc335721469"/>
      <w:bookmarkStart w:id="107" w:name="_Toc335660372"/>
      <w:bookmarkStart w:id="108" w:name="_Toc335721921"/>
      <w:bookmarkStart w:id="109" w:name="_Toc335660696"/>
      <w:bookmarkStart w:id="110" w:name="_Toc330217897"/>
      <w:bookmarkStart w:id="111" w:name="_Toc335659959"/>
      <w:r>
        <w:rPr>
          <w:color w:val="auto"/>
          <w:highlight w:val="none"/>
        </w:rPr>
        <w:t>1.4 投标人资格要求</w:t>
      </w:r>
      <w:bookmarkEnd w:id="104"/>
      <w:bookmarkEnd w:id="105"/>
      <w:bookmarkEnd w:id="106"/>
      <w:bookmarkEnd w:id="107"/>
      <w:bookmarkEnd w:id="108"/>
      <w:bookmarkEnd w:id="109"/>
      <w:bookmarkEnd w:id="110"/>
      <w:bookmarkEnd w:id="111"/>
    </w:p>
    <w:p w14:paraId="73D3396F">
      <w:pPr>
        <w:pStyle w:val="5"/>
        <w:ind w:left="0" w:firstLine="480" w:firstLineChars="200"/>
        <w:rPr>
          <w:rFonts w:ascii="宋体" w:hAnsi="宋体"/>
          <w:b/>
          <w:snapToGrid w:val="0"/>
          <w:color w:val="auto"/>
          <w:kern w:val="0"/>
          <w:highlight w:val="none"/>
        </w:rPr>
      </w:pPr>
      <w:bookmarkStart w:id="112" w:name="_Toc335660697"/>
      <w:r>
        <w:rPr>
          <w:rFonts w:ascii="宋体" w:hAnsi="宋体"/>
          <w:snapToGrid w:val="0"/>
          <w:color w:val="auto"/>
          <w:kern w:val="0"/>
          <w:highlight w:val="none"/>
        </w:rPr>
        <w:t>1.4.1 本招标项目对投标人资质要求：</w:t>
      </w:r>
      <w:bookmarkEnd w:id="112"/>
      <w:r>
        <w:rPr>
          <w:rFonts w:hint="eastAsia" w:ascii="宋体" w:hAnsi="宋体"/>
          <w:color w:val="auto"/>
          <w:szCs w:val="21"/>
          <w:highlight w:val="none"/>
          <w:u w:val="single"/>
        </w:rPr>
        <w:t>见投标人须知前附表。</w:t>
      </w:r>
    </w:p>
    <w:p w14:paraId="33CB314F">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本招标项目对投标人业绩要求：</w:t>
      </w:r>
      <w:r>
        <w:rPr>
          <w:rFonts w:hint="eastAsia" w:ascii="宋体" w:hAnsi="宋体"/>
          <w:color w:val="auto"/>
          <w:szCs w:val="21"/>
          <w:highlight w:val="none"/>
          <w:u w:val="single"/>
        </w:rPr>
        <w:t>见投标人须知前附表。</w:t>
      </w:r>
    </w:p>
    <w:p w14:paraId="3AE88934">
      <w:pPr>
        <w:pStyle w:val="5"/>
        <w:ind w:left="0" w:firstLine="480" w:firstLineChars="200"/>
        <w:rPr>
          <w:rFonts w:ascii="宋体" w:hAnsi="宋体"/>
          <w:color w:val="auto"/>
          <w:szCs w:val="21"/>
          <w:highlight w:val="none"/>
          <w:u w:val="single"/>
        </w:rPr>
      </w:pPr>
      <w:r>
        <w:rPr>
          <w:rFonts w:ascii="宋体" w:hAnsi="宋体"/>
          <w:snapToGrid w:val="0"/>
          <w:color w:val="auto"/>
          <w:kern w:val="0"/>
          <w:highlight w:val="none"/>
        </w:rPr>
        <w:t>本招标项目对投标人信誉要求：</w:t>
      </w:r>
      <w:r>
        <w:rPr>
          <w:rFonts w:hint="eastAsia" w:ascii="宋体" w:hAnsi="宋体"/>
          <w:color w:val="auto"/>
          <w:szCs w:val="21"/>
          <w:highlight w:val="none"/>
          <w:u w:val="single"/>
        </w:rPr>
        <w:t>见投标人须知前附表。</w:t>
      </w:r>
    </w:p>
    <w:p w14:paraId="05B429C3">
      <w:pPr>
        <w:pStyle w:val="5"/>
        <w:ind w:left="0" w:firstLine="480" w:firstLineChars="200"/>
        <w:rPr>
          <w:rFonts w:ascii="宋体" w:hAnsi="宋体"/>
          <w:color w:val="auto"/>
          <w:szCs w:val="21"/>
          <w:highlight w:val="none"/>
          <w:u w:val="single"/>
        </w:rPr>
      </w:pPr>
      <w:r>
        <w:rPr>
          <w:rFonts w:ascii="宋体" w:hAnsi="宋体"/>
          <w:snapToGrid w:val="0"/>
          <w:color w:val="auto"/>
          <w:kern w:val="0"/>
          <w:highlight w:val="none"/>
        </w:rPr>
        <w:t>本招标项目对投标人财务要求：</w:t>
      </w:r>
      <w:r>
        <w:rPr>
          <w:rFonts w:hint="eastAsia" w:ascii="宋体" w:hAnsi="宋体"/>
          <w:color w:val="auto"/>
          <w:szCs w:val="21"/>
          <w:highlight w:val="none"/>
          <w:u w:val="single"/>
        </w:rPr>
        <w:t>见投标人须知前附表。</w:t>
      </w:r>
    </w:p>
    <w:p w14:paraId="58AF8CAF">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本招标项目对投标人</w:t>
      </w:r>
      <w:r>
        <w:rPr>
          <w:rFonts w:hint="eastAsia" w:ascii="宋体" w:hAnsi="宋体"/>
          <w:snapToGrid w:val="0"/>
          <w:color w:val="auto"/>
          <w:kern w:val="0"/>
          <w:highlight w:val="none"/>
        </w:rPr>
        <w:t>主要</w:t>
      </w:r>
      <w:r>
        <w:rPr>
          <w:rFonts w:ascii="宋体" w:hAnsi="宋体"/>
          <w:snapToGrid w:val="0"/>
          <w:color w:val="auto"/>
          <w:kern w:val="0"/>
          <w:highlight w:val="none"/>
        </w:rPr>
        <w:t>人员要求：</w:t>
      </w:r>
      <w:r>
        <w:rPr>
          <w:rFonts w:hint="eastAsia" w:ascii="宋体" w:hAnsi="宋体"/>
          <w:color w:val="auto"/>
          <w:szCs w:val="21"/>
          <w:highlight w:val="none"/>
          <w:u w:val="single"/>
        </w:rPr>
        <w:t>见投标人须知前附表。</w:t>
      </w:r>
    </w:p>
    <w:p w14:paraId="6D84595A">
      <w:pPr>
        <w:pStyle w:val="5"/>
        <w:ind w:left="0" w:firstLine="480" w:firstLineChars="200"/>
        <w:rPr>
          <w:rFonts w:ascii="宋体" w:hAnsi="宋体"/>
          <w:color w:val="auto"/>
          <w:szCs w:val="21"/>
          <w:highlight w:val="none"/>
          <w:u w:val="single"/>
        </w:rPr>
      </w:pPr>
      <w:r>
        <w:rPr>
          <w:rFonts w:ascii="宋体" w:hAnsi="宋体"/>
          <w:snapToGrid w:val="0"/>
          <w:color w:val="auto"/>
          <w:kern w:val="0"/>
          <w:highlight w:val="none"/>
        </w:rPr>
        <w:t>本招标项目对投标人</w:t>
      </w:r>
      <w:r>
        <w:rPr>
          <w:rFonts w:hint="eastAsia" w:ascii="宋体" w:hAnsi="宋体"/>
          <w:snapToGrid w:val="0"/>
          <w:color w:val="auto"/>
          <w:kern w:val="0"/>
          <w:highlight w:val="none"/>
        </w:rPr>
        <w:t>其它</w:t>
      </w:r>
      <w:r>
        <w:rPr>
          <w:rFonts w:ascii="宋体" w:hAnsi="宋体"/>
          <w:snapToGrid w:val="0"/>
          <w:color w:val="auto"/>
          <w:kern w:val="0"/>
          <w:highlight w:val="none"/>
        </w:rPr>
        <w:t>要求：</w:t>
      </w:r>
      <w:r>
        <w:rPr>
          <w:rFonts w:hint="eastAsia" w:ascii="宋体" w:hAnsi="宋体"/>
          <w:color w:val="auto"/>
          <w:szCs w:val="21"/>
          <w:highlight w:val="none"/>
          <w:u w:val="single"/>
        </w:rPr>
        <w:t>见投标人须知前附表。</w:t>
      </w:r>
      <w:bookmarkStart w:id="113" w:name="_Toc335660698"/>
    </w:p>
    <w:p w14:paraId="41BA7897">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1.4.2 投标人须知前附表规定接受联合体投标的，除应符合本章第1.4.1</w:t>
      </w:r>
      <w:r>
        <w:rPr>
          <w:rFonts w:hint="eastAsia" w:ascii="宋体" w:hAnsi="宋体"/>
          <w:snapToGrid w:val="0"/>
          <w:color w:val="auto"/>
          <w:kern w:val="0"/>
          <w:highlight w:val="none"/>
        </w:rPr>
        <w:t>款</w:t>
      </w:r>
      <w:r>
        <w:rPr>
          <w:rFonts w:ascii="宋体" w:hAnsi="宋体"/>
          <w:snapToGrid w:val="0"/>
          <w:color w:val="auto"/>
          <w:kern w:val="0"/>
          <w:highlight w:val="none"/>
        </w:rPr>
        <w:t>的要求外，</w:t>
      </w:r>
      <w:r>
        <w:rPr>
          <w:rFonts w:hint="eastAsia" w:ascii="宋体" w:hAnsi="宋体"/>
          <w:snapToGrid w:val="0"/>
          <w:color w:val="auto"/>
          <w:kern w:val="0"/>
          <w:highlight w:val="none"/>
        </w:rPr>
        <w:t>尚</w:t>
      </w:r>
      <w:r>
        <w:rPr>
          <w:rFonts w:ascii="宋体" w:hAnsi="宋体"/>
          <w:snapToGrid w:val="0"/>
          <w:color w:val="auto"/>
          <w:kern w:val="0"/>
          <w:highlight w:val="none"/>
        </w:rPr>
        <w:t>应</w:t>
      </w:r>
      <w:r>
        <w:rPr>
          <w:rFonts w:hint="eastAsia" w:ascii="宋体" w:hAnsi="宋体"/>
          <w:snapToGrid w:val="0"/>
          <w:color w:val="auto"/>
          <w:kern w:val="0"/>
          <w:highlight w:val="none"/>
        </w:rPr>
        <w:t>符合下列</w:t>
      </w:r>
      <w:r>
        <w:rPr>
          <w:rFonts w:ascii="宋体" w:hAnsi="宋体"/>
          <w:snapToGrid w:val="0"/>
          <w:color w:val="auto"/>
          <w:kern w:val="0"/>
          <w:highlight w:val="none"/>
        </w:rPr>
        <w:t>规定：</w:t>
      </w:r>
      <w:bookmarkEnd w:id="113"/>
    </w:p>
    <w:p w14:paraId="5987BA6D">
      <w:pPr>
        <w:pStyle w:val="5"/>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1) 联合体各方按招标文件提供的格式签订联合体协议书，明确联合体牵头人和各方权利义务；</w:t>
      </w:r>
    </w:p>
    <w:p w14:paraId="38F1D819">
      <w:pPr>
        <w:pStyle w:val="5"/>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2) 同一专业的单位组成的联合体，按照资质等级较低的单位确定资质等级；</w:t>
      </w:r>
    </w:p>
    <w:p w14:paraId="2F392D1F">
      <w:pPr>
        <w:pStyle w:val="5"/>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3) 联合体各方不得再以自己名义单独或参加其他联合体在同一标段中投标；</w:t>
      </w:r>
    </w:p>
    <w:p w14:paraId="06F2D074">
      <w:pPr>
        <w:pStyle w:val="5"/>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4) 联合体各方应分别按照本招标文件的要求，填写投标文件中的相应表格，并由联合体牵头人负责对联合体各成员的资料进行统一汇总后一并提交给招标人</w:t>
      </w:r>
      <w:r>
        <w:rPr>
          <w:rFonts w:hint="eastAsia" w:ascii="宋体" w:hAnsi="宋体"/>
          <w:snapToGrid w:val="0"/>
          <w:color w:val="auto"/>
          <w:kern w:val="0"/>
          <w:highlight w:val="none"/>
        </w:rPr>
        <w:t>，</w:t>
      </w:r>
      <w:r>
        <w:rPr>
          <w:rFonts w:ascii="宋体" w:hAnsi="宋体"/>
          <w:snapToGrid w:val="0"/>
          <w:color w:val="auto"/>
          <w:kern w:val="0"/>
          <w:highlight w:val="none"/>
        </w:rPr>
        <w:t>联合体牵头人所提交的投标文件应认为已代表了联合体各成员的真实情况；</w:t>
      </w:r>
    </w:p>
    <w:p w14:paraId="43162DEE">
      <w:pPr>
        <w:pStyle w:val="5"/>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w:t>
      </w:r>
      <w:r>
        <w:rPr>
          <w:rFonts w:ascii="宋体" w:hAnsi="宋体"/>
          <w:snapToGrid w:val="0"/>
          <w:color w:val="auto"/>
          <w:kern w:val="0"/>
          <w:highlight w:val="none"/>
        </w:rPr>
        <w:t>5) 尽管委任了联合体牵头人，但联合体各成员在投标、签约与履行合同过程中，仍负有连带的和各自的法律责任。</w:t>
      </w:r>
    </w:p>
    <w:p w14:paraId="428660AC">
      <w:pPr>
        <w:pStyle w:val="5"/>
        <w:spacing w:line="400" w:lineRule="exact"/>
        <w:ind w:left="0" w:firstLine="480" w:firstLineChars="200"/>
        <w:rPr>
          <w:rFonts w:ascii="宋体" w:hAnsi="宋体"/>
          <w:snapToGrid w:val="0"/>
          <w:color w:val="auto"/>
          <w:kern w:val="0"/>
          <w:highlight w:val="none"/>
        </w:rPr>
      </w:pPr>
      <w:r>
        <w:rPr>
          <w:rFonts w:hint="eastAsia" w:ascii="宋体" w:hAnsi="宋体"/>
          <w:snapToGrid w:val="0"/>
          <w:color w:val="auto"/>
          <w:kern w:val="0"/>
          <w:highlight w:val="none"/>
        </w:rPr>
        <w:t>（6）</w:t>
      </w:r>
      <w:r>
        <w:rPr>
          <w:rFonts w:hint="eastAsia" w:ascii="宋体" w:hAnsi="宋体"/>
          <w:color w:val="auto"/>
          <w:szCs w:val="21"/>
          <w:highlight w:val="none"/>
        </w:rPr>
        <w:t>联合体按照联合体牵头单位的信用等级确定其信用等级。</w:t>
      </w:r>
    </w:p>
    <w:p w14:paraId="184A59D3">
      <w:pPr>
        <w:rPr>
          <w:color w:val="auto"/>
          <w:highlight w:val="none"/>
        </w:rPr>
      </w:pPr>
    </w:p>
    <w:p w14:paraId="7B5F1544">
      <w:pPr>
        <w:pStyle w:val="5"/>
        <w:ind w:left="0" w:firstLine="480" w:firstLineChars="200"/>
        <w:rPr>
          <w:rFonts w:ascii="宋体" w:hAnsi="宋体"/>
          <w:snapToGrid w:val="0"/>
          <w:color w:val="auto"/>
          <w:kern w:val="0"/>
          <w:highlight w:val="none"/>
        </w:rPr>
      </w:pPr>
      <w:bookmarkStart w:id="114" w:name="_Toc335660699"/>
      <w:r>
        <w:rPr>
          <w:rFonts w:ascii="宋体" w:hAnsi="宋体"/>
          <w:snapToGrid w:val="0"/>
          <w:color w:val="auto"/>
          <w:kern w:val="0"/>
          <w:highlight w:val="none"/>
        </w:rPr>
        <w:t>1.4.3</w:t>
      </w:r>
      <w:r>
        <w:rPr>
          <w:rFonts w:hint="eastAsia" w:ascii="宋体" w:hAnsi="宋体"/>
          <w:snapToGrid w:val="0"/>
          <w:color w:val="auto"/>
          <w:kern w:val="0"/>
          <w:highlight w:val="none"/>
        </w:rPr>
        <w:t xml:space="preserve"> </w:t>
      </w:r>
      <w:r>
        <w:rPr>
          <w:rFonts w:ascii="宋体" w:hAnsi="宋体"/>
          <w:snapToGrid w:val="0"/>
          <w:color w:val="auto"/>
          <w:kern w:val="0"/>
          <w:highlight w:val="none"/>
        </w:rPr>
        <w:t>投标人与招标人存在利害关系可能影响招标公正性的法人、其他组织或个人，不得参加投标。</w:t>
      </w:r>
      <w:bookmarkEnd w:id="114"/>
    </w:p>
    <w:p w14:paraId="71444B90">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单位负责人为同一人或存在控股、管理关系的不同单位，不得参加同一标段投标或未划分标段的同一招标项目投标。</w:t>
      </w:r>
    </w:p>
    <w:p w14:paraId="1F4E8FF1">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违反前两款规定的，相关投标均无效。</w:t>
      </w:r>
    </w:p>
    <w:p w14:paraId="14768D79">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1.4.4 投标人（包括联合体各成员）不得存在下列不良状况或不良信用记录：</w:t>
      </w:r>
    </w:p>
    <w:p w14:paraId="5AE69BF8">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（1）被省级及以上交通运输主管部门取消招标项目所在地的投标资格且处于有效期内；</w:t>
      </w:r>
    </w:p>
    <w:p w14:paraId="4DB34BFB">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（2）被责令停业，暂扣或吊销执照，或吊销资质证书；</w:t>
      </w:r>
    </w:p>
    <w:p w14:paraId="0E80DA67">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（3）进入清算程序，或被宣告破产，或其他丧失履约能力的情形；</w:t>
      </w:r>
    </w:p>
    <w:p w14:paraId="0611F82B">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（4）在国家企业信用信息公示系统（http://www.gsxt.gov.cn/）中被列入严重违法失信企业名单；</w:t>
      </w:r>
    </w:p>
    <w:p w14:paraId="3F6D0550">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（5）在“信用中国”网站（www.creditchina.gov.cn）或“中国执行信息公开网”网站（http://zxgk.court.gov.cn/shixin/）中被列入失信被执行人名单的投标人。</w:t>
      </w:r>
    </w:p>
    <w:p w14:paraId="2BB8E134">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（6）投标人及其法定代表人、拟委任的项目负责人在近三年内有行贿犯罪行为的（行为犯罪行为的认定以投标人提交的“无</w:t>
      </w:r>
      <w:r>
        <w:rPr>
          <w:rFonts w:hint="eastAsia" w:ascii="宋体" w:hAnsi="宋体" w:cs="宋体"/>
          <w:snapToGrid w:val="0"/>
          <w:color w:val="auto"/>
          <w:kern w:val="0"/>
          <w:sz w:val="24"/>
          <w:highlight w:val="none"/>
          <w:lang w:val="en-US" w:eastAsia="zh-CN"/>
        </w:rPr>
        <w:t>行</w:t>
      </w:r>
      <w:r>
        <w:rPr>
          <w:rFonts w:ascii="宋体" w:hAnsi="宋体" w:cs="宋体"/>
          <w:snapToGrid w:val="0"/>
          <w:color w:val="auto"/>
          <w:kern w:val="0"/>
          <w:sz w:val="24"/>
          <w:highlight w:val="none"/>
        </w:rPr>
        <w:t>贿犯罪记录承诺书”为准）；</w:t>
      </w:r>
    </w:p>
    <w:p w14:paraId="217E69B8">
      <w:pPr>
        <w:spacing w:line="400" w:lineRule="exact"/>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（7）法律法规或投标人须知前附表规定的其他情形。</w:t>
      </w:r>
    </w:p>
    <w:p w14:paraId="186F6D1C">
      <w:pPr>
        <w:rPr>
          <w:color w:val="auto"/>
          <w:highlight w:val="none"/>
        </w:rPr>
      </w:pPr>
    </w:p>
    <w:p w14:paraId="54B54289">
      <w:pPr>
        <w:pStyle w:val="4"/>
        <w:rPr>
          <w:color w:val="auto"/>
          <w:highlight w:val="none"/>
        </w:rPr>
      </w:pPr>
      <w:bookmarkStart w:id="115" w:name="_Toc335660373"/>
      <w:bookmarkStart w:id="116" w:name="_Toc335660700"/>
      <w:bookmarkStart w:id="117" w:name="_Toc335721922"/>
      <w:bookmarkStart w:id="118" w:name="_Toc335721470"/>
      <w:bookmarkStart w:id="119" w:name="_Toc330218047"/>
      <w:bookmarkStart w:id="120" w:name="_Toc330217898"/>
      <w:bookmarkStart w:id="121" w:name="_Toc330218612"/>
      <w:bookmarkStart w:id="122" w:name="_Toc335659960"/>
      <w:r>
        <w:rPr>
          <w:color w:val="auto"/>
          <w:highlight w:val="none"/>
        </w:rPr>
        <w:t>1.5 投标人费用</w:t>
      </w:r>
      <w:bookmarkEnd w:id="115"/>
      <w:bookmarkEnd w:id="116"/>
      <w:bookmarkEnd w:id="117"/>
      <w:bookmarkEnd w:id="118"/>
      <w:bookmarkEnd w:id="119"/>
      <w:bookmarkEnd w:id="120"/>
      <w:bookmarkEnd w:id="121"/>
      <w:bookmarkEnd w:id="122"/>
    </w:p>
    <w:p w14:paraId="4E9B83C9">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投标人准备和参加投标活动过程中发生的所有费用自行承担。</w:t>
      </w:r>
    </w:p>
    <w:p w14:paraId="5D6509D7">
      <w:pPr>
        <w:pStyle w:val="4"/>
        <w:rPr>
          <w:color w:val="auto"/>
          <w:highlight w:val="none"/>
        </w:rPr>
      </w:pPr>
      <w:bookmarkStart w:id="123" w:name="_Toc335659961"/>
      <w:bookmarkStart w:id="124" w:name="_Toc335660374"/>
      <w:bookmarkStart w:id="125" w:name="_Toc335721471"/>
      <w:bookmarkStart w:id="126" w:name="_Toc330218613"/>
      <w:bookmarkStart w:id="127" w:name="_Toc330217899"/>
      <w:bookmarkStart w:id="128" w:name="_Toc335660701"/>
      <w:bookmarkStart w:id="129" w:name="_Toc330218048"/>
      <w:bookmarkStart w:id="130" w:name="_Toc335721923"/>
      <w:r>
        <w:rPr>
          <w:color w:val="auto"/>
          <w:highlight w:val="none"/>
        </w:rPr>
        <w:t>1.6 保密</w:t>
      </w:r>
      <w:bookmarkEnd w:id="123"/>
      <w:bookmarkEnd w:id="124"/>
      <w:bookmarkEnd w:id="125"/>
      <w:bookmarkEnd w:id="126"/>
      <w:bookmarkEnd w:id="127"/>
      <w:bookmarkEnd w:id="128"/>
      <w:bookmarkEnd w:id="129"/>
      <w:bookmarkEnd w:id="130"/>
    </w:p>
    <w:p w14:paraId="4B8212AD">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参与招标投标活动的各方应对招标文件和投标文件中的商业和技术等秘密保密，</w:t>
      </w:r>
      <w:r>
        <w:rPr>
          <w:rFonts w:hint="eastAsia" w:ascii="宋体" w:hAnsi="宋体"/>
          <w:snapToGrid w:val="0"/>
          <w:color w:val="auto"/>
          <w:kern w:val="0"/>
          <w:highlight w:val="none"/>
        </w:rPr>
        <w:t>否则</w:t>
      </w:r>
      <w:r>
        <w:rPr>
          <w:rFonts w:ascii="宋体" w:hAnsi="宋体"/>
          <w:snapToGrid w:val="0"/>
          <w:color w:val="auto"/>
          <w:kern w:val="0"/>
          <w:highlight w:val="none"/>
        </w:rPr>
        <w:t>应对由此造成的后果承担法律责任。</w:t>
      </w:r>
    </w:p>
    <w:p w14:paraId="3A89DEF4">
      <w:pPr>
        <w:pStyle w:val="4"/>
        <w:rPr>
          <w:color w:val="auto"/>
          <w:highlight w:val="none"/>
        </w:rPr>
      </w:pPr>
      <w:bookmarkStart w:id="131" w:name="_Toc330218049"/>
      <w:bookmarkStart w:id="132" w:name="_Toc335660375"/>
      <w:bookmarkStart w:id="133" w:name="_Toc335721472"/>
      <w:bookmarkStart w:id="134" w:name="_Toc330217900"/>
      <w:bookmarkStart w:id="135" w:name="_Toc335721924"/>
      <w:bookmarkStart w:id="136" w:name="_Toc330218614"/>
      <w:bookmarkStart w:id="137" w:name="_Toc335660702"/>
      <w:bookmarkStart w:id="138" w:name="_Toc335659962"/>
      <w:r>
        <w:rPr>
          <w:color w:val="auto"/>
          <w:highlight w:val="none"/>
        </w:rPr>
        <w:t>1.7 语言文字</w:t>
      </w:r>
      <w:bookmarkEnd w:id="131"/>
      <w:bookmarkEnd w:id="132"/>
      <w:bookmarkEnd w:id="133"/>
      <w:bookmarkEnd w:id="134"/>
      <w:bookmarkEnd w:id="135"/>
      <w:bookmarkEnd w:id="136"/>
      <w:bookmarkEnd w:id="137"/>
      <w:bookmarkEnd w:id="138"/>
    </w:p>
    <w:p w14:paraId="0ECA2FAE">
      <w:pPr>
        <w:pStyle w:val="5"/>
        <w:ind w:left="0" w:firstLine="480" w:firstLineChars="200"/>
        <w:rPr>
          <w:rFonts w:ascii="宋体" w:hAnsi="宋体"/>
          <w:snapToGrid w:val="0"/>
          <w:color w:val="auto"/>
          <w:kern w:val="0"/>
          <w:highlight w:val="none"/>
        </w:rPr>
      </w:pPr>
      <w:r>
        <w:rPr>
          <w:rFonts w:ascii="宋体" w:hAnsi="宋体"/>
          <w:snapToGrid w:val="0"/>
          <w:color w:val="auto"/>
          <w:kern w:val="0"/>
          <w:highlight w:val="none"/>
        </w:rPr>
        <w:t>除专用术语外，与招标投标有关的语言均使用中文。必要时专用术语应附有中文注释。</w:t>
      </w:r>
    </w:p>
    <w:p w14:paraId="1D98562A">
      <w:pPr>
        <w:pStyle w:val="4"/>
        <w:rPr>
          <w:color w:val="auto"/>
          <w:highlight w:val="none"/>
        </w:rPr>
      </w:pPr>
      <w:bookmarkStart w:id="139" w:name="_Toc330217901"/>
      <w:bookmarkStart w:id="140" w:name="_Toc335721473"/>
      <w:bookmarkStart w:id="141" w:name="_Toc335660703"/>
      <w:bookmarkStart w:id="142" w:name="_Toc335660376"/>
      <w:bookmarkStart w:id="143" w:name="_Toc335659963"/>
      <w:bookmarkStart w:id="144" w:name="_Toc335721925"/>
      <w:bookmarkStart w:id="145" w:name="_Toc330218615"/>
      <w:bookmarkStart w:id="146" w:name="_Toc330218050"/>
      <w:r>
        <w:rPr>
          <w:color w:val="auto"/>
          <w:highlight w:val="none"/>
        </w:rPr>
        <w:t>1.8 计量单位</w:t>
      </w:r>
      <w:bookmarkEnd w:id="139"/>
      <w:bookmarkEnd w:id="140"/>
      <w:bookmarkEnd w:id="141"/>
      <w:bookmarkEnd w:id="142"/>
      <w:bookmarkEnd w:id="143"/>
      <w:bookmarkEnd w:id="144"/>
      <w:bookmarkEnd w:id="145"/>
      <w:bookmarkEnd w:id="146"/>
    </w:p>
    <w:p w14:paraId="3F0DB918">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所有计量均采用中华人民共和国法定计量单位。</w:t>
      </w:r>
    </w:p>
    <w:p w14:paraId="590951BE">
      <w:pPr>
        <w:pStyle w:val="4"/>
        <w:rPr>
          <w:color w:val="auto"/>
          <w:highlight w:val="none"/>
        </w:rPr>
      </w:pPr>
      <w:bookmarkStart w:id="147" w:name="_Toc335660377"/>
      <w:bookmarkStart w:id="148" w:name="_Toc330217902"/>
      <w:bookmarkStart w:id="149" w:name="_Toc335660704"/>
      <w:bookmarkStart w:id="150" w:name="_Toc330218051"/>
      <w:bookmarkStart w:id="151" w:name="_Toc335721474"/>
      <w:bookmarkStart w:id="152" w:name="_Toc335659964"/>
      <w:bookmarkStart w:id="153" w:name="_Toc335721926"/>
      <w:bookmarkStart w:id="154" w:name="_Toc330218616"/>
      <w:r>
        <w:rPr>
          <w:color w:val="auto"/>
          <w:highlight w:val="none"/>
        </w:rPr>
        <w:t>1.9 踏勘现场</w:t>
      </w:r>
      <w:bookmarkEnd w:id="147"/>
      <w:bookmarkEnd w:id="148"/>
      <w:bookmarkEnd w:id="149"/>
      <w:bookmarkEnd w:id="150"/>
      <w:bookmarkEnd w:id="151"/>
      <w:bookmarkEnd w:id="152"/>
      <w:bookmarkEnd w:id="153"/>
      <w:bookmarkEnd w:id="154"/>
    </w:p>
    <w:p w14:paraId="77D43763">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55" w:name="_Toc335660706"/>
      <w:r>
        <w:rPr>
          <w:rFonts w:ascii="宋体" w:hAnsi="宋体" w:cs="宋体"/>
          <w:snapToGrid w:val="0"/>
          <w:color w:val="auto"/>
          <w:kern w:val="0"/>
          <w:sz w:val="24"/>
          <w:highlight w:val="none"/>
        </w:rPr>
        <w:t>1.9.1</w:t>
      </w:r>
      <w:r>
        <w:rPr>
          <w:rFonts w:hint="eastAsia" w:ascii="宋体" w:hAnsi="宋体" w:cs="宋体"/>
          <w:snapToGrid w:val="0"/>
          <w:color w:val="auto"/>
          <w:kern w:val="0"/>
          <w:sz w:val="24"/>
          <w:highlight w:val="none"/>
        </w:rPr>
        <w:t xml:space="preserve"> 本次招标不组织踏勘现场。</w:t>
      </w:r>
      <w:r>
        <w:rPr>
          <w:rFonts w:ascii="宋体" w:hAnsi="宋体" w:cs="宋体"/>
          <w:snapToGrid w:val="0"/>
          <w:color w:val="auto"/>
          <w:kern w:val="0"/>
          <w:sz w:val="24"/>
          <w:highlight w:val="none"/>
        </w:rPr>
        <w:t xml:space="preserve"> </w:t>
      </w:r>
    </w:p>
    <w:p w14:paraId="7AA199AD">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1.9.2 </w:t>
      </w:r>
      <w:r>
        <w:rPr>
          <w:rFonts w:hint="eastAsia" w:ascii="宋体" w:hAnsi="宋体" w:cs="宋体"/>
          <w:snapToGrid w:val="0"/>
          <w:color w:val="auto"/>
          <w:kern w:val="0"/>
          <w:sz w:val="24"/>
          <w:highlight w:val="none"/>
        </w:rPr>
        <w:t>投标人可自行踏勘现场，所发生的费用自理。</w:t>
      </w:r>
    </w:p>
    <w:p w14:paraId="38322C3B">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1.9.3</w:t>
      </w:r>
      <w:r>
        <w:rPr>
          <w:rFonts w:hint="eastAsia" w:ascii="宋体" w:hAnsi="宋体" w:cs="宋体"/>
          <w:snapToGrid w:val="0"/>
          <w:color w:val="auto"/>
          <w:kern w:val="0"/>
          <w:sz w:val="24"/>
          <w:highlight w:val="none"/>
        </w:rPr>
        <w:t>投标人自行负责在踏勘现场中所发生的人员伤亡和财产损失。</w:t>
      </w:r>
      <w:bookmarkEnd w:id="155"/>
    </w:p>
    <w:p w14:paraId="2BEDBDD9">
      <w:pPr>
        <w:pStyle w:val="4"/>
        <w:rPr>
          <w:color w:val="auto"/>
          <w:highlight w:val="none"/>
        </w:rPr>
      </w:pPr>
      <w:bookmarkStart w:id="156" w:name="_Toc335660378"/>
      <w:bookmarkStart w:id="157" w:name="_Toc335721475"/>
      <w:bookmarkStart w:id="158" w:name="_Toc335659965"/>
      <w:bookmarkStart w:id="159" w:name="_Toc335721927"/>
      <w:bookmarkStart w:id="160" w:name="_Toc330218617"/>
      <w:bookmarkStart w:id="161" w:name="_Toc335660708"/>
      <w:bookmarkStart w:id="162" w:name="_Toc330218052"/>
      <w:bookmarkStart w:id="163" w:name="_Toc330217903"/>
      <w:r>
        <w:rPr>
          <w:color w:val="auto"/>
          <w:highlight w:val="none"/>
        </w:rPr>
        <w:t>1.10 投标预备会</w:t>
      </w:r>
      <w:bookmarkEnd w:id="156"/>
      <w:bookmarkEnd w:id="157"/>
      <w:bookmarkEnd w:id="158"/>
      <w:bookmarkEnd w:id="159"/>
      <w:bookmarkEnd w:id="160"/>
      <w:bookmarkEnd w:id="161"/>
      <w:bookmarkEnd w:id="162"/>
      <w:bookmarkEnd w:id="163"/>
    </w:p>
    <w:p w14:paraId="0966D771">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64" w:name="_Toc335660711"/>
      <w:r>
        <w:rPr>
          <w:rFonts w:hint="eastAsia" w:ascii="宋体" w:hAnsi="宋体" w:cs="宋体"/>
          <w:snapToGrid w:val="0"/>
          <w:color w:val="auto"/>
          <w:kern w:val="0"/>
          <w:sz w:val="24"/>
          <w:highlight w:val="none"/>
        </w:rPr>
        <w:t>招标人不组织</w:t>
      </w:r>
      <w:r>
        <w:rPr>
          <w:rFonts w:ascii="宋体" w:hAnsi="宋体" w:cs="宋体"/>
          <w:snapToGrid w:val="0"/>
          <w:color w:val="auto"/>
          <w:kern w:val="0"/>
          <w:sz w:val="24"/>
          <w:highlight w:val="none"/>
        </w:rPr>
        <w:t>投标预备会。</w:t>
      </w:r>
      <w:bookmarkEnd w:id="164"/>
    </w:p>
    <w:p w14:paraId="15D9C7BB">
      <w:pPr>
        <w:pStyle w:val="4"/>
        <w:rPr>
          <w:color w:val="auto"/>
          <w:highlight w:val="none"/>
        </w:rPr>
      </w:pPr>
      <w:bookmarkStart w:id="165" w:name="_Toc335660379"/>
      <w:bookmarkStart w:id="166" w:name="_Toc335660713"/>
      <w:bookmarkStart w:id="167" w:name="_Toc335659966"/>
      <w:bookmarkStart w:id="168" w:name="_Toc330218053"/>
      <w:bookmarkStart w:id="169" w:name="_Toc335721928"/>
      <w:bookmarkStart w:id="170" w:name="_Toc330218618"/>
      <w:bookmarkStart w:id="171" w:name="_Toc335721476"/>
      <w:bookmarkStart w:id="172" w:name="_Toc330217904"/>
      <w:r>
        <w:rPr>
          <w:color w:val="auto"/>
          <w:highlight w:val="none"/>
        </w:rPr>
        <w:t>1.11 分包</w:t>
      </w:r>
      <w:bookmarkEnd w:id="165"/>
      <w:bookmarkEnd w:id="166"/>
      <w:bookmarkEnd w:id="167"/>
      <w:bookmarkEnd w:id="168"/>
      <w:bookmarkEnd w:id="169"/>
      <w:bookmarkEnd w:id="170"/>
      <w:bookmarkEnd w:id="171"/>
      <w:bookmarkEnd w:id="172"/>
    </w:p>
    <w:p w14:paraId="66C12EC0">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本项目严禁转包和违规分包。投标人拟在中标后将中标项目的部分非主体、非关键性工作进行分包的，应符合</w:t>
      </w:r>
      <w:r>
        <w:rPr>
          <w:rFonts w:hint="eastAsia" w:ascii="宋体" w:hAnsi="宋体" w:cs="宋体"/>
          <w:snapToGrid w:val="0"/>
          <w:color w:val="auto"/>
          <w:kern w:val="0"/>
          <w:sz w:val="24"/>
          <w:highlight w:val="none"/>
        </w:rPr>
        <w:t>下列</w:t>
      </w:r>
      <w:r>
        <w:rPr>
          <w:rFonts w:ascii="宋体" w:hAnsi="宋体" w:cs="宋体"/>
          <w:snapToGrid w:val="0"/>
          <w:color w:val="auto"/>
          <w:kern w:val="0"/>
          <w:sz w:val="24"/>
          <w:highlight w:val="none"/>
        </w:rPr>
        <w:t>规定：</w:t>
      </w:r>
      <w:r>
        <w:rPr>
          <w:rFonts w:hint="eastAsia" w:ascii="宋体" w:hAnsi="宋体" w:cs="宋体"/>
          <w:snapToGrid w:val="0"/>
          <w:color w:val="auto"/>
          <w:kern w:val="0"/>
          <w:sz w:val="24"/>
          <w:highlight w:val="none"/>
        </w:rPr>
        <w:t xml:space="preserve"> </w:t>
      </w:r>
    </w:p>
    <w:p w14:paraId="06AC6A5C">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73" w:name="_Toc335660714"/>
      <w:r>
        <w:rPr>
          <w:rFonts w:ascii="宋体" w:hAnsi="宋体" w:cs="宋体"/>
          <w:snapToGrid w:val="0"/>
          <w:color w:val="auto"/>
          <w:kern w:val="0"/>
          <w:sz w:val="24"/>
          <w:highlight w:val="none"/>
        </w:rPr>
        <w:t>1.11.1 分包内容要求：允许分包的范围仅限于工程设计中非主体、非关键性的技术工作，且必须经发包人同意和批准。</w:t>
      </w:r>
      <w:bookmarkEnd w:id="173"/>
    </w:p>
    <w:p w14:paraId="37718FB7">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74" w:name="_Toc335660715"/>
      <w:r>
        <w:rPr>
          <w:rFonts w:ascii="宋体" w:hAnsi="宋体" w:cs="宋体"/>
          <w:snapToGrid w:val="0"/>
          <w:color w:val="auto"/>
          <w:kern w:val="0"/>
          <w:sz w:val="24"/>
          <w:highlight w:val="none"/>
        </w:rPr>
        <w:t>1.11.2 分包人的资格要求：拟定的分包人应具有相应的资质，</w:t>
      </w:r>
      <w:r>
        <w:rPr>
          <w:rFonts w:hint="eastAsia" w:ascii="宋体" w:hAnsi="宋体" w:cs="宋体"/>
          <w:snapToGrid w:val="0"/>
          <w:color w:val="auto"/>
          <w:kern w:val="0"/>
          <w:sz w:val="24"/>
          <w:highlight w:val="none"/>
        </w:rPr>
        <w:t>且</w:t>
      </w:r>
      <w:r>
        <w:rPr>
          <w:rFonts w:ascii="宋体" w:hAnsi="宋体" w:cs="宋体"/>
          <w:snapToGrid w:val="0"/>
          <w:color w:val="auto"/>
          <w:kern w:val="0"/>
          <w:sz w:val="24"/>
          <w:highlight w:val="none"/>
        </w:rPr>
        <w:t>与其分包工作的标准和规模相适应。</w:t>
      </w:r>
      <w:bookmarkEnd w:id="174"/>
    </w:p>
    <w:p w14:paraId="7C420BDF">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75" w:name="_Toc335660716"/>
      <w:r>
        <w:rPr>
          <w:rFonts w:ascii="宋体" w:hAnsi="宋体" w:cs="宋体"/>
          <w:snapToGrid w:val="0"/>
          <w:color w:val="auto"/>
          <w:kern w:val="0"/>
          <w:sz w:val="24"/>
          <w:highlight w:val="none"/>
        </w:rPr>
        <w:t>1.11.3 其他要求：</w:t>
      </w:r>
      <w:r>
        <w:rPr>
          <w:rFonts w:hint="eastAsia" w:ascii="宋体" w:hAnsi="宋体" w:cs="宋体"/>
          <w:snapToGrid w:val="0"/>
          <w:color w:val="auto"/>
          <w:kern w:val="0"/>
          <w:sz w:val="24"/>
          <w:highlight w:val="none"/>
        </w:rPr>
        <w:t>中标人不得向他人转让中标项目，接受分包的人不得再次分包。中标人应当就分包项目向招标人负责，接受分包的人就分包项目承担连带责任。</w:t>
      </w:r>
      <w:bookmarkEnd w:id="175"/>
    </w:p>
    <w:p w14:paraId="7101E2AA">
      <w:pPr>
        <w:tabs>
          <w:tab w:val="left" w:pos="480"/>
        </w:tabs>
        <w:adjustRightInd w:val="0"/>
        <w:snapToGrid w:val="0"/>
        <w:spacing w:line="400" w:lineRule="exact"/>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 xml:space="preserve">.11.4 </w:t>
      </w:r>
      <w:r>
        <w:rPr>
          <w:rFonts w:hint="eastAsia" w:ascii="宋体" w:hAnsi="宋体" w:cs="宋体"/>
          <w:snapToGrid w:val="0"/>
          <w:color w:val="auto"/>
          <w:kern w:val="0"/>
          <w:sz w:val="24"/>
          <w:highlight w:val="none"/>
        </w:rPr>
        <w:t>中标人不得向他人转让中标项目，接受分包的人不得再次分包。中标人应就分包项目向招标人负责，接受分包的人就分包项目承担连带责任。</w:t>
      </w:r>
    </w:p>
    <w:p w14:paraId="15DCEE89">
      <w:pPr>
        <w:pStyle w:val="41"/>
        <w:rPr>
          <w:color w:val="auto"/>
          <w:highlight w:val="none"/>
        </w:rPr>
      </w:pPr>
    </w:p>
    <w:p w14:paraId="144888AE">
      <w:pPr>
        <w:pStyle w:val="4"/>
        <w:rPr>
          <w:color w:val="auto"/>
          <w:highlight w:val="none"/>
        </w:rPr>
      </w:pPr>
      <w:bookmarkStart w:id="176" w:name="_Toc335659967"/>
      <w:bookmarkStart w:id="177" w:name="_Toc335660717"/>
      <w:bookmarkStart w:id="178" w:name="_Toc330217905"/>
      <w:bookmarkStart w:id="179" w:name="_Toc335721929"/>
      <w:bookmarkStart w:id="180" w:name="_Toc330218619"/>
      <w:bookmarkStart w:id="181" w:name="_Toc335660380"/>
      <w:bookmarkStart w:id="182" w:name="_Toc335721477"/>
      <w:bookmarkStart w:id="183" w:name="_Toc330218054"/>
      <w:r>
        <w:rPr>
          <w:color w:val="auto"/>
          <w:highlight w:val="none"/>
        </w:rPr>
        <w:t>1.12 偏差</w:t>
      </w:r>
      <w:bookmarkEnd w:id="176"/>
      <w:bookmarkEnd w:id="177"/>
      <w:bookmarkEnd w:id="178"/>
      <w:bookmarkEnd w:id="179"/>
      <w:bookmarkEnd w:id="180"/>
      <w:bookmarkEnd w:id="181"/>
      <w:bookmarkEnd w:id="182"/>
      <w:bookmarkEnd w:id="183"/>
    </w:p>
    <w:p w14:paraId="3D3B5089">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偏差分</w:t>
      </w:r>
      <w:r>
        <w:rPr>
          <w:rFonts w:hint="eastAsia" w:ascii="宋体" w:hAnsi="宋体" w:cs="宋体"/>
          <w:snapToGrid w:val="0"/>
          <w:color w:val="auto"/>
          <w:kern w:val="0"/>
          <w:sz w:val="24"/>
          <w:highlight w:val="none"/>
        </w:rPr>
        <w:t>为</w:t>
      </w:r>
      <w:r>
        <w:rPr>
          <w:rFonts w:ascii="宋体" w:hAnsi="宋体" w:cs="宋体"/>
          <w:snapToGrid w:val="0"/>
          <w:color w:val="auto"/>
          <w:kern w:val="0"/>
          <w:sz w:val="24"/>
          <w:highlight w:val="none"/>
        </w:rPr>
        <w:t>重大偏差和细微偏差。</w:t>
      </w:r>
    </w:p>
    <w:p w14:paraId="107757BE">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84" w:name="_Toc335660718"/>
      <w:r>
        <w:rPr>
          <w:rFonts w:ascii="宋体" w:hAnsi="宋体" w:cs="宋体"/>
          <w:snapToGrid w:val="0"/>
          <w:color w:val="auto"/>
          <w:kern w:val="0"/>
          <w:sz w:val="24"/>
          <w:highlight w:val="none"/>
        </w:rPr>
        <w:t>1.12.1有下列情况之一，属于重大偏差</w:t>
      </w:r>
      <w:r>
        <w:rPr>
          <w:rFonts w:hint="eastAsia" w:ascii="宋体" w:hAnsi="宋体" w:cs="宋体"/>
          <w:snapToGrid w:val="0"/>
          <w:color w:val="auto"/>
          <w:kern w:val="0"/>
          <w:sz w:val="24"/>
          <w:highlight w:val="none"/>
        </w:rPr>
        <w:t>。</w:t>
      </w:r>
      <w:bookmarkEnd w:id="184"/>
    </w:p>
    <w:p w14:paraId="0EA0E822">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资格审查文件存在下列情形之一，按重大偏差处理，存在的其他问题和不明确之处，按细微偏差处理，应通过澄清的方式进行核实：</w:t>
      </w:r>
    </w:p>
    <w:p w14:paraId="295C34E1">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（1）投标文件未按招标文件要求盖章、法定代表人或授权代理人签字；</w:t>
      </w:r>
    </w:p>
    <w:p w14:paraId="39DEEEC8">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（2）投标联合体没有提交共同投标的联合体协议；</w:t>
      </w:r>
    </w:p>
    <w:p w14:paraId="43165B7B">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（3）投标人不符合国家或招标文件规定的资格条件；</w:t>
      </w:r>
    </w:p>
    <w:p w14:paraId="6EB92908">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（4）投标人未按招标文件规定的格式填写，内容不全或关键字迹模糊无法辨认的；</w:t>
      </w:r>
    </w:p>
    <w:p w14:paraId="4D0CCBDB">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（5）投标人名称或组织机构与资格预审时不一致且未提供有效证明的；</w:t>
      </w:r>
    </w:p>
    <w:p w14:paraId="032DE71F">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（6）同一投标人提交两个以上不同的投标文件或投标报价，但招标文件要求提交备选投标的除外；</w:t>
      </w:r>
    </w:p>
    <w:p w14:paraId="1B5DCE55">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（7）投标报价高于招标文件设定的最高投标限价；</w:t>
      </w:r>
    </w:p>
    <w:p w14:paraId="2D2538A3">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（8）投标文件没有对招标文件的实质性要求和条件作出响应；</w:t>
      </w:r>
    </w:p>
    <w:p w14:paraId="79842152">
      <w:pPr>
        <w:spacing w:line="360" w:lineRule="auto"/>
        <w:ind w:right="113" w:firstLine="360" w:firstLineChars="150"/>
        <w:rPr>
          <w:rFonts w:ascii="宋体" w:hAnsi="宋体"/>
          <w:color w:val="auto"/>
          <w:sz w:val="24"/>
          <w:highlight w:val="none"/>
        </w:rPr>
      </w:pPr>
      <w:r>
        <w:rPr>
          <w:rFonts w:hint="eastAsia" w:ascii="宋体" w:hAnsi="宋体"/>
          <w:color w:val="auto"/>
          <w:sz w:val="24"/>
          <w:highlight w:val="none"/>
        </w:rPr>
        <w:t>（9）投标人有串通投标、弄虚作假、行贿等违法行为；</w:t>
      </w:r>
    </w:p>
    <w:p w14:paraId="1796B124">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85" w:name="_Toc335660719"/>
      <w:r>
        <w:rPr>
          <w:rFonts w:ascii="宋体" w:hAnsi="宋体" w:cs="宋体"/>
          <w:snapToGrid w:val="0"/>
          <w:color w:val="auto"/>
          <w:kern w:val="0"/>
          <w:sz w:val="24"/>
          <w:highlight w:val="none"/>
        </w:rPr>
        <w:t>1.12.2</w:t>
      </w:r>
      <w:bookmarkEnd w:id="185"/>
      <w:r>
        <w:rPr>
          <w:rFonts w:hint="eastAsia" w:ascii="宋体" w:hAnsi="宋体" w:cs="宋体"/>
          <w:snapToGrid w:val="0"/>
          <w:color w:val="auto"/>
          <w:kern w:val="0"/>
          <w:sz w:val="24"/>
          <w:highlight w:val="none"/>
        </w:rPr>
        <w:t>细微偏差是指投标文件在实质上响应招标文件要求，但存在含义不明确的内容、明显文字或计算错误等情况，并且澄清、说明和补正这些情况不会对其他投标人造成不公平的结果。细微偏差不影响投标文件的有效性。</w:t>
      </w:r>
    </w:p>
    <w:p w14:paraId="36207F24">
      <w:pPr>
        <w:pStyle w:val="92"/>
        <w:spacing w:before="0" w:beforeLines="0" w:line="360" w:lineRule="auto"/>
        <w:outlineLvl w:val="0"/>
        <w:rPr>
          <w:rFonts w:ascii="宋体" w:hAnsi="宋体" w:eastAsia="宋体"/>
          <w:b/>
          <w:snapToGrid w:val="0"/>
          <w:color w:val="auto"/>
          <w:kern w:val="0"/>
          <w:sz w:val="24"/>
          <w:szCs w:val="24"/>
          <w:highlight w:val="none"/>
        </w:rPr>
      </w:pPr>
      <w:bookmarkStart w:id="186" w:name="_Toc335721930"/>
      <w:bookmarkStart w:id="187" w:name="_Toc488649882"/>
      <w:bookmarkStart w:id="188" w:name="_Toc326241884"/>
      <w:bookmarkStart w:id="189" w:name="_Toc335660721"/>
      <w:bookmarkStart w:id="190" w:name="_Toc346269453"/>
      <w:r>
        <w:rPr>
          <w:rFonts w:ascii="宋体" w:hAnsi="宋体" w:eastAsia="宋体"/>
          <w:b/>
          <w:snapToGrid w:val="0"/>
          <w:color w:val="auto"/>
          <w:kern w:val="0"/>
          <w:sz w:val="24"/>
          <w:szCs w:val="24"/>
          <w:highlight w:val="none"/>
        </w:rPr>
        <w:t>2. 招标文件</w:t>
      </w:r>
      <w:bookmarkEnd w:id="186"/>
      <w:bookmarkEnd w:id="187"/>
      <w:bookmarkEnd w:id="188"/>
      <w:bookmarkEnd w:id="189"/>
      <w:bookmarkEnd w:id="190"/>
    </w:p>
    <w:p w14:paraId="138BF575">
      <w:pPr>
        <w:pStyle w:val="4"/>
        <w:rPr>
          <w:color w:val="auto"/>
          <w:highlight w:val="none"/>
        </w:rPr>
      </w:pPr>
      <w:bookmarkStart w:id="191" w:name="_Toc330217907"/>
      <w:bookmarkStart w:id="192" w:name="_Toc330218621"/>
      <w:bookmarkStart w:id="193" w:name="_Toc335660722"/>
      <w:bookmarkStart w:id="194" w:name="_Toc335721479"/>
      <w:bookmarkStart w:id="195" w:name="_Toc335721931"/>
      <w:bookmarkStart w:id="196" w:name="_Toc335660382"/>
      <w:bookmarkStart w:id="197" w:name="_Toc330218056"/>
      <w:bookmarkStart w:id="198" w:name="_Toc335659969"/>
      <w:r>
        <w:rPr>
          <w:color w:val="auto"/>
          <w:highlight w:val="none"/>
        </w:rPr>
        <w:t>2.1 招标文件的组成</w:t>
      </w:r>
      <w:bookmarkEnd w:id="191"/>
      <w:bookmarkEnd w:id="192"/>
      <w:bookmarkEnd w:id="193"/>
      <w:bookmarkEnd w:id="194"/>
      <w:bookmarkEnd w:id="195"/>
      <w:bookmarkEnd w:id="196"/>
      <w:bookmarkEnd w:id="197"/>
      <w:bookmarkEnd w:id="198"/>
    </w:p>
    <w:p w14:paraId="7F57F726">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2.1.1</w:t>
      </w:r>
      <w:r>
        <w:rPr>
          <w:rFonts w:ascii="宋体" w:hAnsi="宋体" w:cs="宋体"/>
          <w:snapToGrid w:val="0"/>
          <w:color w:val="auto"/>
          <w:kern w:val="0"/>
          <w:sz w:val="24"/>
          <w:highlight w:val="none"/>
        </w:rPr>
        <w:t>本招标文件包括：</w:t>
      </w:r>
    </w:p>
    <w:p w14:paraId="6EF2138D">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199" w:name="_Toc335660723"/>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招标公告；</w:t>
      </w:r>
      <w:bookmarkEnd w:id="199"/>
    </w:p>
    <w:p w14:paraId="55F7573E">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0" w:name="_Toc335660724"/>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投标人须知；</w:t>
      </w:r>
      <w:bookmarkEnd w:id="200"/>
    </w:p>
    <w:p w14:paraId="4992F9E1">
      <w:pPr>
        <w:tabs>
          <w:tab w:val="left" w:pos="480"/>
        </w:tabs>
        <w:adjustRightInd w:val="0"/>
        <w:snapToGrid w:val="0"/>
        <w:spacing w:line="360" w:lineRule="auto"/>
        <w:ind w:firstLine="480"/>
        <w:rPr>
          <w:rFonts w:ascii="宋体" w:hAnsi="宋体" w:cs="宋体"/>
          <w:snapToGrid w:val="0"/>
          <w:color w:val="auto"/>
          <w:kern w:val="0"/>
          <w:sz w:val="24"/>
          <w:highlight w:val="none"/>
        </w:rPr>
      </w:pPr>
      <w:bookmarkStart w:id="201" w:name="_Toc335660725"/>
      <w:r>
        <w:rPr>
          <w:rFonts w:hint="eastAsia" w:ascii="宋体" w:hAnsi="宋体" w:cs="宋体"/>
          <w:snapToGrid w:val="0"/>
          <w:color w:val="auto"/>
          <w:kern w:val="0"/>
          <w:sz w:val="24"/>
          <w:highlight w:val="none"/>
        </w:rPr>
        <w:t>（3）</w:t>
      </w:r>
      <w:r>
        <w:rPr>
          <w:rFonts w:ascii="宋体" w:hAnsi="宋体" w:cs="宋体"/>
          <w:snapToGrid w:val="0"/>
          <w:color w:val="auto"/>
          <w:kern w:val="0"/>
          <w:sz w:val="24"/>
          <w:highlight w:val="none"/>
        </w:rPr>
        <w:t>评标办法；</w:t>
      </w:r>
      <w:bookmarkEnd w:id="201"/>
    </w:p>
    <w:p w14:paraId="1CBC0165">
      <w:pPr>
        <w:tabs>
          <w:tab w:val="left" w:pos="480"/>
        </w:tabs>
        <w:adjustRightInd w:val="0"/>
        <w:snapToGrid w:val="0"/>
        <w:spacing w:line="360" w:lineRule="auto"/>
        <w:ind w:firstLine="480"/>
        <w:rPr>
          <w:color w:val="auto"/>
          <w:highlight w:val="none"/>
        </w:rPr>
      </w:pPr>
      <w:r>
        <w:rPr>
          <w:rFonts w:hint="eastAsia" w:ascii="宋体" w:hAnsi="宋体" w:cs="宋体"/>
          <w:snapToGrid w:val="0"/>
          <w:color w:val="auto"/>
          <w:kern w:val="0"/>
          <w:sz w:val="24"/>
          <w:highlight w:val="none"/>
        </w:rPr>
        <w:t>（4）定标方案；</w:t>
      </w:r>
    </w:p>
    <w:p w14:paraId="213DFC3F">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2" w:name="_Toc335660726"/>
      <w:r>
        <w:rPr>
          <w:rFonts w:hint="eastAsia" w:ascii="宋体" w:hAnsi="宋体" w:cs="宋体"/>
          <w:snapToGrid w:val="0"/>
          <w:color w:val="auto"/>
          <w:kern w:val="0"/>
          <w:sz w:val="24"/>
          <w:highlight w:val="none"/>
        </w:rPr>
        <w:t>（5）</w:t>
      </w:r>
      <w:r>
        <w:rPr>
          <w:rFonts w:ascii="宋体" w:hAnsi="宋体" w:cs="宋体"/>
          <w:snapToGrid w:val="0"/>
          <w:color w:val="auto"/>
          <w:kern w:val="0"/>
          <w:sz w:val="24"/>
          <w:highlight w:val="none"/>
        </w:rPr>
        <w:t>合同条款及格式；</w:t>
      </w:r>
      <w:bookmarkEnd w:id="202"/>
    </w:p>
    <w:p w14:paraId="52247C50">
      <w:pPr>
        <w:tabs>
          <w:tab w:val="left" w:pos="480"/>
        </w:tabs>
        <w:adjustRightInd w:val="0"/>
        <w:snapToGrid w:val="0"/>
        <w:spacing w:line="360" w:lineRule="auto"/>
        <w:ind w:firstLine="480"/>
        <w:rPr>
          <w:color w:val="auto"/>
          <w:highlight w:val="none"/>
        </w:rPr>
      </w:pPr>
      <w:bookmarkStart w:id="203" w:name="_Toc335660727"/>
      <w:r>
        <w:rPr>
          <w:rFonts w:hint="eastAsia" w:ascii="宋体" w:hAnsi="宋体" w:cs="宋体"/>
          <w:snapToGrid w:val="0"/>
          <w:color w:val="auto"/>
          <w:kern w:val="0"/>
          <w:sz w:val="24"/>
          <w:highlight w:val="none"/>
        </w:rPr>
        <w:t>（6）招标人提供的基础资料</w:t>
      </w:r>
    </w:p>
    <w:p w14:paraId="7A55418D">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w:t>
      </w:r>
      <w:r>
        <w:rPr>
          <w:rFonts w:ascii="宋体" w:hAnsi="宋体" w:cs="宋体"/>
          <w:snapToGrid w:val="0"/>
          <w:color w:val="auto"/>
          <w:kern w:val="0"/>
          <w:sz w:val="24"/>
          <w:highlight w:val="none"/>
        </w:rPr>
        <w:t>勘察设计技术要求；</w:t>
      </w:r>
      <w:bookmarkEnd w:id="203"/>
    </w:p>
    <w:p w14:paraId="60750FC4">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4" w:name="_Toc335660728"/>
      <w:r>
        <w:rPr>
          <w:rFonts w:hint="eastAsia" w:ascii="宋体" w:hAnsi="宋体" w:cs="宋体"/>
          <w:snapToGrid w:val="0"/>
          <w:color w:val="auto"/>
          <w:kern w:val="0"/>
          <w:sz w:val="24"/>
          <w:highlight w:val="none"/>
        </w:rPr>
        <w:t>（8）</w:t>
      </w:r>
      <w:r>
        <w:rPr>
          <w:rFonts w:ascii="宋体" w:hAnsi="宋体" w:cs="宋体"/>
          <w:snapToGrid w:val="0"/>
          <w:color w:val="auto"/>
          <w:kern w:val="0"/>
          <w:sz w:val="24"/>
          <w:highlight w:val="none"/>
        </w:rPr>
        <w:t>投标文件格式；</w:t>
      </w:r>
      <w:bookmarkEnd w:id="204"/>
    </w:p>
    <w:p w14:paraId="2D7C73C5">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05" w:name="_Toc335660729"/>
      <w:r>
        <w:rPr>
          <w:rFonts w:hint="eastAsia" w:ascii="宋体" w:hAnsi="宋体" w:cs="宋体"/>
          <w:snapToGrid w:val="0"/>
          <w:color w:val="auto"/>
          <w:kern w:val="0"/>
          <w:sz w:val="24"/>
          <w:highlight w:val="none"/>
        </w:rPr>
        <w:t>（9）</w:t>
      </w:r>
      <w:r>
        <w:rPr>
          <w:rFonts w:ascii="宋体" w:hAnsi="宋体" w:cs="宋体"/>
          <w:snapToGrid w:val="0"/>
          <w:color w:val="auto"/>
          <w:kern w:val="0"/>
          <w:sz w:val="24"/>
          <w:highlight w:val="none"/>
        </w:rPr>
        <w:t>其他材料（如有）。</w:t>
      </w:r>
      <w:bookmarkEnd w:id="205"/>
    </w:p>
    <w:p w14:paraId="412A0B30">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2.1.2</w:t>
      </w:r>
      <w:r>
        <w:rPr>
          <w:rFonts w:ascii="宋体" w:hAnsi="宋体" w:cs="宋体"/>
          <w:snapToGrid w:val="0"/>
          <w:color w:val="auto"/>
          <w:kern w:val="0"/>
          <w:sz w:val="24"/>
          <w:highlight w:val="none"/>
        </w:rPr>
        <w:t>根据本章第1.10</w:t>
      </w:r>
      <w:r>
        <w:rPr>
          <w:rFonts w:hint="eastAsia" w:ascii="宋体" w:hAnsi="宋体" w:cs="宋体"/>
          <w:snapToGrid w:val="0"/>
          <w:color w:val="auto"/>
          <w:kern w:val="0"/>
          <w:sz w:val="24"/>
          <w:highlight w:val="none"/>
        </w:rPr>
        <w:t>条</w:t>
      </w:r>
      <w:r>
        <w:rPr>
          <w:rFonts w:ascii="宋体" w:hAnsi="宋体" w:cs="宋体"/>
          <w:snapToGrid w:val="0"/>
          <w:color w:val="auto"/>
          <w:kern w:val="0"/>
          <w:sz w:val="24"/>
          <w:highlight w:val="none"/>
        </w:rPr>
        <w:t>、第2.2</w:t>
      </w:r>
      <w:r>
        <w:rPr>
          <w:rFonts w:hint="eastAsia" w:ascii="宋体" w:hAnsi="宋体" w:cs="宋体"/>
          <w:snapToGrid w:val="0"/>
          <w:color w:val="auto"/>
          <w:kern w:val="0"/>
          <w:sz w:val="24"/>
          <w:highlight w:val="none"/>
        </w:rPr>
        <w:t>条</w:t>
      </w:r>
      <w:r>
        <w:rPr>
          <w:rFonts w:ascii="宋体" w:hAnsi="宋体" w:cs="宋体"/>
          <w:snapToGrid w:val="0"/>
          <w:color w:val="auto"/>
          <w:kern w:val="0"/>
          <w:sz w:val="24"/>
          <w:highlight w:val="none"/>
        </w:rPr>
        <w:t>和第2.3</w:t>
      </w:r>
      <w:r>
        <w:rPr>
          <w:rFonts w:hint="eastAsia" w:ascii="宋体" w:hAnsi="宋体" w:cs="宋体"/>
          <w:snapToGrid w:val="0"/>
          <w:color w:val="auto"/>
          <w:kern w:val="0"/>
          <w:sz w:val="24"/>
          <w:highlight w:val="none"/>
        </w:rPr>
        <w:t>条</w:t>
      </w:r>
      <w:r>
        <w:rPr>
          <w:rFonts w:ascii="宋体" w:hAnsi="宋体" w:cs="宋体"/>
          <w:snapToGrid w:val="0"/>
          <w:color w:val="auto"/>
          <w:kern w:val="0"/>
          <w:sz w:val="24"/>
          <w:highlight w:val="none"/>
        </w:rPr>
        <w:t>对招标文件所作的澄清、修改，统称为补遗书，构成招标文件的组成部分。招标文件</w:t>
      </w:r>
      <w:r>
        <w:rPr>
          <w:rFonts w:hint="eastAsia" w:ascii="宋体" w:hAnsi="宋体" w:cs="宋体"/>
          <w:snapToGrid w:val="0"/>
          <w:color w:val="auto"/>
          <w:kern w:val="0"/>
          <w:sz w:val="24"/>
          <w:highlight w:val="none"/>
        </w:rPr>
        <w:t>及</w:t>
      </w:r>
      <w:r>
        <w:rPr>
          <w:rFonts w:ascii="宋体" w:hAnsi="宋体" w:cs="宋体"/>
          <w:snapToGrid w:val="0"/>
          <w:color w:val="auto"/>
          <w:kern w:val="0"/>
          <w:sz w:val="24"/>
          <w:highlight w:val="none"/>
        </w:rPr>
        <w:t>招标文件的</w:t>
      </w:r>
      <w:r>
        <w:rPr>
          <w:rFonts w:hint="eastAsia" w:ascii="宋体" w:hAnsi="宋体" w:cs="宋体"/>
          <w:snapToGrid w:val="0"/>
          <w:color w:val="auto"/>
          <w:kern w:val="0"/>
          <w:sz w:val="24"/>
          <w:highlight w:val="none"/>
        </w:rPr>
        <w:t>补遗书</w:t>
      </w:r>
      <w:r>
        <w:rPr>
          <w:rFonts w:ascii="宋体" w:hAnsi="宋体" w:cs="宋体"/>
          <w:snapToGrid w:val="0"/>
          <w:color w:val="auto"/>
          <w:kern w:val="0"/>
          <w:sz w:val="24"/>
          <w:highlight w:val="none"/>
        </w:rPr>
        <w:t>在同一内容的表述上不一致时，以最后发出的书面文件为准。</w:t>
      </w:r>
    </w:p>
    <w:p w14:paraId="73FB122A">
      <w:pPr>
        <w:pStyle w:val="4"/>
        <w:rPr>
          <w:color w:val="auto"/>
          <w:highlight w:val="none"/>
        </w:rPr>
      </w:pPr>
      <w:bookmarkStart w:id="206" w:name="_Toc330218057"/>
      <w:bookmarkStart w:id="207" w:name="_Toc335660730"/>
      <w:bookmarkStart w:id="208" w:name="_Toc330218622"/>
      <w:bookmarkStart w:id="209" w:name="_Toc330217908"/>
      <w:bookmarkStart w:id="210" w:name="_Toc335721480"/>
      <w:bookmarkStart w:id="211" w:name="_Toc335660383"/>
      <w:bookmarkStart w:id="212" w:name="_Toc335721932"/>
      <w:bookmarkStart w:id="213" w:name="_Toc335659970"/>
      <w:r>
        <w:rPr>
          <w:color w:val="auto"/>
          <w:highlight w:val="none"/>
        </w:rPr>
        <w:t>2.2 招标文件的澄清</w:t>
      </w:r>
      <w:bookmarkEnd w:id="206"/>
      <w:bookmarkEnd w:id="207"/>
      <w:bookmarkEnd w:id="208"/>
      <w:bookmarkEnd w:id="209"/>
      <w:bookmarkEnd w:id="210"/>
      <w:bookmarkEnd w:id="211"/>
      <w:bookmarkEnd w:id="212"/>
      <w:bookmarkEnd w:id="213"/>
    </w:p>
    <w:p w14:paraId="7DF4800C">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14" w:name="_Toc335660731"/>
      <w:r>
        <w:rPr>
          <w:rFonts w:ascii="宋体" w:hAnsi="宋体" w:cs="宋体"/>
          <w:snapToGrid w:val="0"/>
          <w:color w:val="auto"/>
          <w:kern w:val="0"/>
          <w:sz w:val="24"/>
          <w:highlight w:val="none"/>
        </w:rPr>
        <w:t>2.2.1 投标人应仔细阅读和检查招标文件的全部内容。发现缺页、附件不全、歧义、前后矛盾等</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，应及时向招标人提出，以便补齐。有疑问</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，应在投标人须知前附表规定的</w:t>
      </w:r>
      <w:r>
        <w:rPr>
          <w:rFonts w:hint="eastAsia" w:ascii="宋体" w:hAnsi="宋体" w:cs="宋体"/>
          <w:snapToGrid w:val="0"/>
          <w:color w:val="auto"/>
          <w:kern w:val="0"/>
          <w:sz w:val="24"/>
          <w:highlight w:val="none"/>
        </w:rPr>
        <w:t>澄清截止</w:t>
      </w:r>
      <w:r>
        <w:rPr>
          <w:rFonts w:ascii="宋体" w:hAnsi="宋体" w:cs="宋体"/>
          <w:snapToGrid w:val="0"/>
          <w:color w:val="auto"/>
          <w:kern w:val="0"/>
          <w:sz w:val="24"/>
          <w:highlight w:val="none"/>
        </w:rPr>
        <w:t>时间前</w:t>
      </w:r>
      <w:r>
        <w:rPr>
          <w:rFonts w:hint="eastAsia" w:ascii="宋体" w:hAnsi="宋体" w:cs="宋体"/>
          <w:snapToGrid w:val="0"/>
          <w:color w:val="auto"/>
          <w:kern w:val="0"/>
          <w:sz w:val="24"/>
          <w:highlight w:val="none"/>
        </w:rPr>
        <w:t>在</w:t>
      </w:r>
      <w:r>
        <w:rPr>
          <w:rFonts w:hint="eastAsia" w:ascii="宋体" w:hAnsi="宋体"/>
          <w:color w:val="auto"/>
          <w:sz w:val="24"/>
          <w:highlight w:val="none"/>
        </w:rPr>
        <w:t>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Style w:val="47"/>
          <w:rFonts w:hint="eastAsia" w:ascii="宋体" w:hAnsi="宋体"/>
          <w:color w:val="auto"/>
          <w:sz w:val="24"/>
          <w:highlight w:val="none"/>
          <w:u w:val="none"/>
        </w:rPr>
        <w:t>ggzyfw.fj.gov.cn）、电子招标投标交易平台</w:t>
      </w:r>
      <w:r>
        <w:rPr>
          <w:rStyle w:val="47"/>
          <w:rFonts w:hint="eastAsia" w:ascii="宋体" w:hAnsi="宋体"/>
          <w:color w:val="auto"/>
          <w:sz w:val="24"/>
          <w:highlight w:val="none"/>
          <w:u w:val="none"/>
        </w:rPr>
        <w:fldChar w:fldCharType="end"/>
      </w:r>
      <w:r>
        <w:rPr>
          <w:rFonts w:hint="eastAsia" w:ascii="宋体" w:hAnsi="宋体"/>
          <w:color w:val="auto"/>
          <w:sz w:val="24"/>
          <w:highlight w:val="none"/>
        </w:rPr>
        <w:t>上要求</w:t>
      </w:r>
      <w:r>
        <w:rPr>
          <w:rFonts w:ascii="宋体" w:hAnsi="宋体" w:cs="宋体"/>
          <w:snapToGrid w:val="0"/>
          <w:color w:val="auto"/>
          <w:kern w:val="0"/>
          <w:sz w:val="24"/>
          <w:highlight w:val="none"/>
        </w:rPr>
        <w:t>招标人对招标文件予以澄清。</w:t>
      </w:r>
      <w:bookmarkEnd w:id="214"/>
    </w:p>
    <w:p w14:paraId="7E067551">
      <w:pPr>
        <w:spacing w:line="360" w:lineRule="auto"/>
        <w:ind w:firstLine="480" w:firstLineChars="200"/>
        <w:rPr>
          <w:rFonts w:ascii="宋体" w:hAnsi="宋体"/>
          <w:color w:val="auto"/>
          <w:sz w:val="24"/>
          <w:highlight w:val="none"/>
        </w:rPr>
      </w:pPr>
      <w:r>
        <w:rPr>
          <w:rFonts w:hint="eastAsia" w:ascii="宋体" w:hAnsi="宋体" w:cs="宋体"/>
          <w:snapToGrid w:val="0"/>
          <w:color w:val="auto"/>
          <w:kern w:val="0"/>
          <w:sz w:val="24"/>
          <w:highlight w:val="none"/>
        </w:rPr>
        <w:t>2.2.2</w:t>
      </w:r>
      <w:r>
        <w:rPr>
          <w:rFonts w:hint="eastAsia" w:ascii="宋体" w:hAnsi="宋体"/>
          <w:color w:val="auto"/>
          <w:sz w:val="24"/>
          <w:highlight w:val="none"/>
        </w:rPr>
        <w:t>招标文件的澄清将在投标人须知前附表规定的投标截止时间15天前</w:t>
      </w:r>
      <w:r>
        <w:rPr>
          <w:rFonts w:hint="eastAsia" w:ascii="宋体" w:hAnsi="宋体" w:cs="宋体"/>
          <w:snapToGrid w:val="0"/>
          <w:color w:val="auto"/>
          <w:kern w:val="0"/>
          <w:sz w:val="24"/>
          <w:highlight w:val="none"/>
        </w:rPr>
        <w:t>在</w:t>
      </w:r>
      <w:r>
        <w:rPr>
          <w:rFonts w:hint="eastAsia" w:ascii="宋体" w:hAnsi="宋体"/>
          <w:color w:val="auto"/>
          <w:sz w:val="24"/>
          <w:highlight w:val="none"/>
        </w:rPr>
        <w:t>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Style w:val="47"/>
          <w:rFonts w:hint="eastAsia" w:ascii="宋体" w:hAnsi="宋体"/>
          <w:color w:val="auto"/>
          <w:sz w:val="24"/>
          <w:highlight w:val="none"/>
          <w:u w:val="none"/>
        </w:rPr>
        <w:t>ggzyfw.fj.gov.cn）、电子招标投标交易平台</w:t>
      </w:r>
      <w:r>
        <w:rPr>
          <w:rStyle w:val="47"/>
          <w:rFonts w:hint="eastAsia" w:ascii="宋体" w:hAnsi="宋体"/>
          <w:color w:val="auto"/>
          <w:sz w:val="24"/>
          <w:highlight w:val="none"/>
          <w:u w:val="none"/>
        </w:rPr>
        <w:fldChar w:fldCharType="end"/>
      </w:r>
      <w:r>
        <w:rPr>
          <w:rFonts w:hint="eastAsia" w:ascii="宋体" w:hAnsi="宋体"/>
          <w:color w:val="auto"/>
          <w:sz w:val="24"/>
          <w:highlight w:val="none"/>
        </w:rPr>
        <w:t>上发布，但不指名澄清问题的来源。如果澄清发出的时间距投标截止时间不足15天，相应延长投标截止时间。</w:t>
      </w:r>
    </w:p>
    <w:p w14:paraId="468F163F">
      <w:pPr>
        <w:spacing w:line="360" w:lineRule="auto"/>
        <w:ind w:firstLine="480" w:firstLineChars="200"/>
        <w:rPr>
          <w:rFonts w:ascii="宋体" w:hAnsi="宋体" w:cs="宋体"/>
          <w:snapToGrid w:val="0"/>
          <w:color w:val="auto"/>
          <w:kern w:val="0"/>
          <w:sz w:val="24"/>
          <w:highlight w:val="none"/>
        </w:rPr>
      </w:pPr>
      <w:r>
        <w:rPr>
          <w:rFonts w:ascii="宋体" w:hAnsi="宋体"/>
          <w:color w:val="auto"/>
          <w:sz w:val="24"/>
          <w:highlight w:val="none"/>
        </w:rPr>
        <w:t xml:space="preserve">2.2.3 </w:t>
      </w:r>
      <w:r>
        <w:rPr>
          <w:rFonts w:hint="eastAsia" w:ascii="宋体" w:hAnsi="宋体"/>
          <w:color w:val="auto"/>
          <w:sz w:val="24"/>
          <w:highlight w:val="none"/>
        </w:rPr>
        <w:t xml:space="preserve"> 投标人应经常关注福建省公共资源交易电子公共服务平台（网址：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Style w:val="47"/>
          <w:rFonts w:hint="eastAsia" w:ascii="宋体" w:hAnsi="宋体"/>
          <w:color w:val="auto"/>
          <w:sz w:val="24"/>
          <w:highlight w:val="none"/>
          <w:u w:val="none"/>
        </w:rPr>
        <w:t>ggzyfw.fj.gov.cn）、电子招标投标交易平台</w:t>
      </w:r>
      <w:r>
        <w:rPr>
          <w:rStyle w:val="47"/>
          <w:rFonts w:hint="eastAsia" w:ascii="宋体" w:hAnsi="宋体"/>
          <w:color w:val="auto"/>
          <w:sz w:val="24"/>
          <w:highlight w:val="none"/>
          <w:u w:val="none"/>
        </w:rPr>
        <w:fldChar w:fldCharType="end"/>
      </w:r>
      <w:r>
        <w:rPr>
          <w:rFonts w:hint="eastAsia" w:ascii="宋体" w:hAnsi="宋体"/>
          <w:color w:val="auto"/>
          <w:sz w:val="24"/>
          <w:highlight w:val="none"/>
        </w:rPr>
        <w:t>所公布的有关澄清资料，否则因投标人未及时关注导致的后果由投标人自行负责。</w:t>
      </w:r>
    </w:p>
    <w:p w14:paraId="1F7BC60A">
      <w:pPr>
        <w:pStyle w:val="4"/>
        <w:rPr>
          <w:color w:val="auto"/>
          <w:highlight w:val="none"/>
        </w:rPr>
      </w:pPr>
      <w:bookmarkStart w:id="215" w:name="_Toc335660384"/>
      <w:bookmarkStart w:id="216" w:name="_Toc335721481"/>
      <w:bookmarkStart w:id="217" w:name="_Toc330218623"/>
      <w:bookmarkStart w:id="218" w:name="_Toc335659971"/>
      <w:bookmarkStart w:id="219" w:name="_Toc335721933"/>
      <w:bookmarkStart w:id="220" w:name="_Toc330218058"/>
      <w:bookmarkStart w:id="221" w:name="_Toc335660734"/>
      <w:bookmarkStart w:id="222" w:name="_Toc330217909"/>
      <w:r>
        <w:rPr>
          <w:color w:val="auto"/>
          <w:highlight w:val="none"/>
        </w:rPr>
        <w:t>2.3 招标文件的修改</w:t>
      </w:r>
      <w:bookmarkEnd w:id="215"/>
      <w:bookmarkEnd w:id="216"/>
      <w:bookmarkEnd w:id="217"/>
      <w:bookmarkEnd w:id="218"/>
      <w:bookmarkEnd w:id="219"/>
      <w:bookmarkEnd w:id="220"/>
      <w:bookmarkEnd w:id="221"/>
      <w:bookmarkEnd w:id="222"/>
    </w:p>
    <w:p w14:paraId="036783D5">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23" w:name="_Toc335660735"/>
      <w:r>
        <w:rPr>
          <w:rFonts w:ascii="宋体" w:hAnsi="宋体" w:cs="宋体"/>
          <w:snapToGrid w:val="0"/>
          <w:color w:val="auto"/>
          <w:kern w:val="0"/>
          <w:sz w:val="24"/>
          <w:highlight w:val="none"/>
        </w:rPr>
        <w:t>2.3.1</w:t>
      </w:r>
      <w:r>
        <w:rPr>
          <w:rFonts w:hint="eastAsia" w:ascii="宋体" w:hAnsi="宋体" w:cs="宋体"/>
          <w:snapToGrid w:val="0"/>
          <w:color w:val="auto"/>
          <w:kern w:val="0"/>
          <w:sz w:val="24"/>
          <w:highlight w:val="none"/>
        </w:rPr>
        <w:t xml:space="preserve"> 在投标截止时间15日前，招标人可以对招标文件进行修改，并在</w:t>
      </w:r>
      <w:r>
        <w:rPr>
          <w:rFonts w:hint="eastAsia" w:ascii="宋体" w:hAnsi="宋体"/>
          <w:color w:val="auto"/>
          <w:sz w:val="24"/>
          <w:highlight w:val="none"/>
        </w:rPr>
        <w:t>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Style w:val="47"/>
          <w:rFonts w:hint="eastAsia" w:ascii="宋体" w:hAnsi="宋体"/>
          <w:color w:val="auto"/>
          <w:sz w:val="24"/>
          <w:highlight w:val="none"/>
          <w:u w:val="none"/>
        </w:rPr>
        <w:t>ggzyfw.fj.gov.cn）、电子招标投标交易平台</w:t>
      </w:r>
      <w:r>
        <w:rPr>
          <w:rStyle w:val="47"/>
          <w:rFonts w:hint="eastAsia" w:ascii="宋体" w:hAnsi="宋体"/>
          <w:color w:val="auto"/>
          <w:sz w:val="24"/>
          <w:highlight w:val="none"/>
          <w:u w:val="none"/>
        </w:rPr>
        <w:fldChar w:fldCharType="end"/>
      </w:r>
      <w:r>
        <w:rPr>
          <w:rFonts w:hint="eastAsia" w:ascii="宋体" w:hAnsi="宋体"/>
          <w:color w:val="auto"/>
          <w:sz w:val="24"/>
          <w:highlight w:val="none"/>
        </w:rPr>
        <w:t>发布</w:t>
      </w:r>
      <w:r>
        <w:rPr>
          <w:rFonts w:hint="eastAsia" w:ascii="宋体" w:hAnsi="宋体" w:cs="宋体"/>
          <w:snapToGrid w:val="0"/>
          <w:color w:val="auto"/>
          <w:kern w:val="0"/>
          <w:sz w:val="24"/>
          <w:highlight w:val="none"/>
        </w:rPr>
        <w:t>。如果修改招标文件的时间距投标截止时间不足15日，修改的内容可能影响投标文件编制的，应相应延长投标截止时间。</w:t>
      </w:r>
      <w:bookmarkEnd w:id="223"/>
    </w:p>
    <w:p w14:paraId="5D88FB48">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24" w:name="_Toc335660736"/>
      <w:r>
        <w:rPr>
          <w:rFonts w:ascii="宋体" w:hAnsi="宋体" w:cs="宋体"/>
          <w:snapToGrid w:val="0"/>
          <w:color w:val="auto"/>
          <w:kern w:val="0"/>
          <w:sz w:val="24"/>
          <w:highlight w:val="none"/>
        </w:rPr>
        <w:t>2.3.2</w:t>
      </w:r>
      <w:r>
        <w:rPr>
          <w:rFonts w:hint="eastAsia" w:ascii="宋体" w:hAnsi="宋体"/>
          <w:color w:val="auto"/>
          <w:sz w:val="24"/>
          <w:highlight w:val="none"/>
        </w:rPr>
        <w:t>投标人应经常关注福建省公共资源交易电子公共服务平台（网址：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Style w:val="47"/>
          <w:rFonts w:hint="eastAsia" w:ascii="宋体" w:hAnsi="宋体"/>
          <w:color w:val="auto"/>
          <w:sz w:val="24"/>
          <w:highlight w:val="none"/>
          <w:u w:val="none"/>
        </w:rPr>
        <w:t>ggzyfw.fj.gov.cn）、电子招标投标交易平台</w:t>
      </w:r>
      <w:r>
        <w:rPr>
          <w:rStyle w:val="47"/>
          <w:rFonts w:hint="eastAsia" w:ascii="宋体" w:hAnsi="宋体"/>
          <w:color w:val="auto"/>
          <w:sz w:val="24"/>
          <w:highlight w:val="none"/>
          <w:u w:val="none"/>
        </w:rPr>
        <w:fldChar w:fldCharType="end"/>
      </w:r>
      <w:r>
        <w:rPr>
          <w:rFonts w:hint="eastAsia" w:ascii="宋体" w:hAnsi="宋体"/>
          <w:color w:val="auto"/>
          <w:sz w:val="24"/>
          <w:highlight w:val="none"/>
        </w:rPr>
        <w:t>所公布的有关修改、补充资料，否则因投标人未及时关注导致的后果由投标人自行负责。</w:t>
      </w:r>
      <w:bookmarkEnd w:id="224"/>
    </w:p>
    <w:p w14:paraId="5838A54A">
      <w:pPr>
        <w:pStyle w:val="92"/>
        <w:spacing w:before="240" w:beforeLines="100" w:line="360" w:lineRule="auto"/>
        <w:outlineLvl w:val="0"/>
        <w:rPr>
          <w:rFonts w:ascii="宋体" w:hAnsi="宋体" w:eastAsia="宋体"/>
          <w:b/>
          <w:snapToGrid w:val="0"/>
          <w:color w:val="auto"/>
          <w:kern w:val="0"/>
          <w:sz w:val="24"/>
          <w:szCs w:val="24"/>
          <w:highlight w:val="none"/>
        </w:rPr>
      </w:pPr>
      <w:bookmarkStart w:id="225" w:name="_Toc346269454"/>
      <w:bookmarkStart w:id="226" w:name="_Toc335721934"/>
      <w:bookmarkStart w:id="227" w:name="_Toc326241885"/>
      <w:bookmarkStart w:id="228" w:name="_Toc335660737"/>
      <w:bookmarkStart w:id="229" w:name="_Toc488649883"/>
      <w:r>
        <w:rPr>
          <w:rFonts w:ascii="宋体" w:hAnsi="宋体" w:eastAsia="宋体"/>
          <w:b/>
          <w:snapToGrid w:val="0"/>
          <w:color w:val="auto"/>
          <w:kern w:val="0"/>
          <w:sz w:val="24"/>
          <w:szCs w:val="24"/>
          <w:highlight w:val="none"/>
        </w:rPr>
        <w:t>3. 投标文件</w:t>
      </w:r>
      <w:bookmarkEnd w:id="225"/>
      <w:bookmarkEnd w:id="226"/>
      <w:bookmarkEnd w:id="227"/>
      <w:bookmarkEnd w:id="228"/>
      <w:bookmarkEnd w:id="229"/>
    </w:p>
    <w:p w14:paraId="7831D4F1">
      <w:pPr>
        <w:pStyle w:val="4"/>
        <w:rPr>
          <w:color w:val="auto"/>
          <w:highlight w:val="none"/>
        </w:rPr>
      </w:pPr>
      <w:bookmarkStart w:id="230" w:name="_Toc330217911"/>
      <w:bookmarkStart w:id="231" w:name="_Toc330218060"/>
      <w:bookmarkStart w:id="232" w:name="_Toc335660738"/>
      <w:bookmarkStart w:id="233" w:name="_Toc335721935"/>
      <w:bookmarkStart w:id="234" w:name="_Toc335721483"/>
      <w:bookmarkStart w:id="235" w:name="_Toc335659973"/>
      <w:bookmarkStart w:id="236" w:name="_Toc330218625"/>
      <w:bookmarkStart w:id="237" w:name="_Toc335660386"/>
      <w:r>
        <w:rPr>
          <w:color w:val="auto"/>
          <w:highlight w:val="none"/>
        </w:rPr>
        <w:t>3.1 投标文件的组成</w:t>
      </w:r>
      <w:bookmarkEnd w:id="230"/>
      <w:bookmarkEnd w:id="231"/>
      <w:bookmarkEnd w:id="232"/>
      <w:bookmarkEnd w:id="233"/>
      <w:bookmarkEnd w:id="234"/>
      <w:bookmarkEnd w:id="235"/>
      <w:bookmarkEnd w:id="236"/>
      <w:bookmarkEnd w:id="237"/>
    </w:p>
    <w:p w14:paraId="0954D286">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38" w:name="_Toc335660739"/>
      <w:r>
        <w:rPr>
          <w:rFonts w:ascii="宋体" w:hAnsi="宋体" w:cs="宋体"/>
          <w:snapToGrid w:val="0"/>
          <w:color w:val="auto"/>
          <w:kern w:val="0"/>
          <w:sz w:val="24"/>
          <w:highlight w:val="none"/>
        </w:rPr>
        <w:t>3.1.1 投标文件应包括下列内容：</w:t>
      </w:r>
      <w:bookmarkEnd w:id="238"/>
    </w:p>
    <w:p w14:paraId="2E3EF0EC">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商务文件</w:t>
      </w:r>
    </w:p>
    <w:p w14:paraId="187E7766">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（1）投标函</w:t>
      </w:r>
    </w:p>
    <w:p w14:paraId="3B770545">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（2）法定代表人身份证明</w:t>
      </w:r>
    </w:p>
    <w:p w14:paraId="15FF7874">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（3）授权委托书（如有）</w:t>
      </w:r>
    </w:p>
    <w:p w14:paraId="2A487093">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（4）联合体协议书（如有）</w:t>
      </w:r>
    </w:p>
    <w:p w14:paraId="76FBDF12">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（5）投标保证金</w:t>
      </w:r>
    </w:p>
    <w:p w14:paraId="2FB680F2">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（6）投标人基本情况</w:t>
      </w:r>
    </w:p>
    <w:p w14:paraId="487CF418">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（7）近年完成项目情况表</w:t>
      </w:r>
    </w:p>
    <w:p w14:paraId="023B3B9D">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（8）拟委派主要人员资历表</w:t>
      </w:r>
    </w:p>
    <w:p w14:paraId="64E1F612">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（9）报价文件</w:t>
      </w:r>
    </w:p>
    <w:p w14:paraId="37819024">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（10）其他</w:t>
      </w:r>
    </w:p>
    <w:p w14:paraId="68E54191">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技术文件</w:t>
      </w:r>
    </w:p>
    <w:p w14:paraId="3CBF30FE">
      <w:pPr>
        <w:tabs>
          <w:tab w:val="left" w:pos="480"/>
        </w:tabs>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勘察设计技术文件</w:t>
      </w:r>
    </w:p>
    <w:p w14:paraId="360CF38D">
      <w:pPr>
        <w:spacing w:line="324" w:lineRule="auto"/>
        <w:ind w:firstLine="480" w:firstLineChars="200"/>
        <w:rPr>
          <w:rFonts w:ascii="宋体" w:hAnsi="宋体"/>
          <w:color w:val="auto"/>
          <w:sz w:val="24"/>
          <w:highlight w:val="none"/>
        </w:rPr>
      </w:pPr>
      <w:r>
        <w:rPr>
          <w:rFonts w:hint="eastAsia"/>
          <w:color w:val="auto"/>
          <w:sz w:val="24"/>
          <w:highlight w:val="none"/>
        </w:rPr>
        <w:t>3.1.2</w:t>
      </w:r>
      <w:r>
        <w:rPr>
          <w:rFonts w:hint="eastAsia" w:ascii="宋体" w:hAnsi="宋体"/>
          <w:color w:val="auto"/>
          <w:sz w:val="24"/>
          <w:highlight w:val="none"/>
        </w:rPr>
        <w:t>投标人代表为法定代表人本人的，投标文件不包括本章第</w:t>
      </w:r>
      <w:r>
        <w:rPr>
          <w:rFonts w:ascii="宋体" w:hAnsi="宋体"/>
          <w:color w:val="auto"/>
          <w:sz w:val="24"/>
          <w:highlight w:val="none"/>
        </w:rPr>
        <w:t>3.1.1 (3）目所指的授权委托书；投标人须知前附表规定不接受联合体投标的，或投标人没有组成联合体的，投标文件不包括本章第3.1.1 (4）目所指的联合体协议书。</w:t>
      </w:r>
    </w:p>
    <w:p w14:paraId="0AE02011">
      <w:pPr>
        <w:spacing w:line="324" w:lineRule="auto"/>
        <w:ind w:firstLine="480" w:firstLineChars="200"/>
        <w:rPr>
          <w:color w:val="auto"/>
          <w:highlight w:val="none"/>
        </w:rPr>
      </w:pPr>
      <w:r>
        <w:rPr>
          <w:rFonts w:hint="eastAsia" w:ascii="宋体" w:hAnsi="宋体" w:eastAsia="宋体" w:cs="Times New Roman"/>
          <w:color w:val="auto"/>
          <w:sz w:val="24"/>
          <w:highlight w:val="none"/>
        </w:rPr>
        <w:t>3.1.3投标人须知前附表未要求提交投标保证金的，投标文件不包括本章第3.1.1（</w:t>
      </w:r>
      <w:r>
        <w:rPr>
          <w:rFonts w:hint="eastAsia" w:ascii="宋体" w:hAnsi="宋体" w:eastAsia="宋体" w:cs="Times New Roman"/>
          <w:color w:val="auto"/>
          <w:sz w:val="24"/>
          <w:highlight w:val="none"/>
          <w:lang w:eastAsia="zh-CN"/>
        </w:rPr>
        <w:t>5</w:t>
      </w:r>
      <w:r>
        <w:rPr>
          <w:rFonts w:hint="eastAsia" w:ascii="宋体" w:hAnsi="宋体" w:eastAsia="宋体" w:cs="Times New Roman"/>
          <w:color w:val="auto"/>
          <w:sz w:val="24"/>
          <w:highlight w:val="none"/>
        </w:rPr>
        <w:t>）目所指的投标保证金。</w:t>
      </w:r>
    </w:p>
    <w:p w14:paraId="7C92D4D3">
      <w:pPr>
        <w:pStyle w:val="2"/>
        <w:rPr>
          <w:color w:val="auto"/>
          <w:highlight w:val="none"/>
        </w:rPr>
      </w:pPr>
    </w:p>
    <w:p w14:paraId="17CB90A5">
      <w:pPr>
        <w:pStyle w:val="4"/>
        <w:rPr>
          <w:color w:val="auto"/>
          <w:highlight w:val="none"/>
        </w:rPr>
      </w:pPr>
      <w:bookmarkStart w:id="239" w:name="_Toc335660740"/>
      <w:bookmarkStart w:id="240" w:name="_Toc335659974"/>
      <w:bookmarkStart w:id="241" w:name="_Toc335721484"/>
      <w:bookmarkStart w:id="242" w:name="_Toc330218626"/>
      <w:bookmarkStart w:id="243" w:name="_Toc330217912"/>
      <w:bookmarkStart w:id="244" w:name="_Toc330218061"/>
      <w:bookmarkStart w:id="245" w:name="_Toc335660387"/>
      <w:bookmarkStart w:id="246" w:name="_Toc335721936"/>
      <w:r>
        <w:rPr>
          <w:color w:val="auto"/>
          <w:highlight w:val="none"/>
        </w:rPr>
        <w:t>3.2 投标报价</w:t>
      </w:r>
      <w:bookmarkEnd w:id="239"/>
      <w:bookmarkEnd w:id="240"/>
      <w:bookmarkEnd w:id="241"/>
      <w:bookmarkEnd w:id="242"/>
      <w:bookmarkEnd w:id="243"/>
      <w:bookmarkEnd w:id="244"/>
      <w:bookmarkEnd w:id="245"/>
      <w:bookmarkEnd w:id="246"/>
    </w:p>
    <w:p w14:paraId="4FBD4F7C">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47" w:name="_Toc335660741"/>
      <w:r>
        <w:rPr>
          <w:rFonts w:ascii="宋体" w:hAnsi="宋体" w:cs="宋体"/>
          <w:snapToGrid w:val="0"/>
          <w:color w:val="auto"/>
          <w:kern w:val="0"/>
          <w:sz w:val="24"/>
          <w:highlight w:val="none"/>
        </w:rPr>
        <w:t>3.2.1 投标人应根据</w:t>
      </w:r>
      <w:r>
        <w:rPr>
          <w:rFonts w:hint="eastAsia" w:ascii="宋体" w:hAnsi="宋体" w:cs="宋体"/>
          <w:snapToGrid w:val="0"/>
          <w:color w:val="auto"/>
          <w:kern w:val="0"/>
          <w:sz w:val="24"/>
          <w:highlight w:val="none"/>
        </w:rPr>
        <w:t>国家现行</w:t>
      </w:r>
      <w:r>
        <w:rPr>
          <w:rFonts w:ascii="宋体" w:hAnsi="宋体" w:cs="宋体"/>
          <w:snapToGrid w:val="0"/>
          <w:color w:val="auto"/>
          <w:kern w:val="0"/>
          <w:sz w:val="24"/>
          <w:highlight w:val="none"/>
        </w:rPr>
        <w:t>《工程勘察设计收费标准》的相关规定以及本招标文件规定的勘察设计工作内容和计划工作量，自行测算勘察设计费用。</w:t>
      </w:r>
      <w:bookmarkEnd w:id="247"/>
    </w:p>
    <w:p w14:paraId="04E4ADA8">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48" w:name="_Toc335660742"/>
      <w:r>
        <w:rPr>
          <w:rFonts w:ascii="宋体" w:hAnsi="宋体" w:cs="宋体"/>
          <w:snapToGrid w:val="0"/>
          <w:color w:val="auto"/>
          <w:kern w:val="0"/>
          <w:sz w:val="24"/>
          <w:highlight w:val="none"/>
        </w:rPr>
        <w:t>3.2.2</w:t>
      </w:r>
      <w:r>
        <w:rPr>
          <w:rFonts w:hint="eastAsia" w:ascii="宋体" w:hAnsi="宋体" w:cs="宋体"/>
          <w:snapToGrid w:val="0"/>
          <w:color w:val="auto"/>
          <w:kern w:val="0"/>
          <w:sz w:val="24"/>
          <w:highlight w:val="none"/>
        </w:rPr>
        <w:t xml:space="preserve"> </w:t>
      </w:r>
      <w:r>
        <w:rPr>
          <w:rFonts w:ascii="宋体" w:hAnsi="宋体" w:cs="宋体"/>
          <w:snapToGrid w:val="0"/>
          <w:color w:val="auto"/>
          <w:kern w:val="0"/>
          <w:sz w:val="24"/>
          <w:highlight w:val="none"/>
        </w:rPr>
        <w:t>投标人应按第</w:t>
      </w:r>
      <w:r>
        <w:rPr>
          <w:rFonts w:hint="eastAsia" w:ascii="宋体" w:hAnsi="宋体" w:cs="宋体"/>
          <w:snapToGrid w:val="0"/>
          <w:color w:val="auto"/>
          <w:kern w:val="0"/>
          <w:sz w:val="24"/>
          <w:highlight w:val="none"/>
        </w:rPr>
        <w:t>八</w:t>
      </w:r>
      <w:r>
        <w:rPr>
          <w:rFonts w:ascii="宋体" w:hAnsi="宋体" w:cs="宋体"/>
          <w:snapToGrid w:val="0"/>
          <w:color w:val="auto"/>
          <w:kern w:val="0"/>
          <w:sz w:val="24"/>
          <w:highlight w:val="none"/>
        </w:rPr>
        <w:t>章</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中</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报价说明</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的要求填写相应表格。投标人的投标报价不得高于投标人须知前附表规定</w:t>
      </w:r>
      <w:r>
        <w:rPr>
          <w:rFonts w:hint="eastAsia" w:ascii="宋体" w:hAnsi="宋体" w:cs="宋体"/>
          <w:snapToGrid w:val="0"/>
          <w:color w:val="auto"/>
          <w:kern w:val="0"/>
          <w:sz w:val="24"/>
          <w:highlight w:val="none"/>
        </w:rPr>
        <w:t>的</w:t>
      </w:r>
      <w:r>
        <w:rPr>
          <w:rFonts w:ascii="宋体" w:hAnsi="宋体" w:cs="宋体"/>
          <w:snapToGrid w:val="0"/>
          <w:color w:val="auto"/>
          <w:kern w:val="0"/>
          <w:sz w:val="24"/>
          <w:highlight w:val="none"/>
        </w:rPr>
        <w:t>投标控制价上限。</w:t>
      </w:r>
      <w:bookmarkEnd w:id="248"/>
    </w:p>
    <w:p w14:paraId="707682A4">
      <w:pPr>
        <w:pStyle w:val="4"/>
        <w:rPr>
          <w:color w:val="auto"/>
          <w:highlight w:val="none"/>
        </w:rPr>
      </w:pPr>
      <w:bookmarkStart w:id="249" w:name="_Toc335660743"/>
      <w:bookmarkStart w:id="250" w:name="_Toc335660388"/>
      <w:bookmarkStart w:id="251" w:name="_Toc335721485"/>
      <w:bookmarkStart w:id="252" w:name="_Toc335721937"/>
      <w:bookmarkStart w:id="253" w:name="_Toc330218062"/>
      <w:bookmarkStart w:id="254" w:name="_Toc330217913"/>
      <w:bookmarkStart w:id="255" w:name="_Toc330218627"/>
      <w:bookmarkStart w:id="256" w:name="_Toc335659975"/>
      <w:r>
        <w:rPr>
          <w:color w:val="auto"/>
          <w:highlight w:val="none"/>
        </w:rPr>
        <w:t>3.3 投标有效期</w:t>
      </w:r>
      <w:bookmarkEnd w:id="249"/>
      <w:bookmarkEnd w:id="250"/>
      <w:bookmarkEnd w:id="251"/>
      <w:bookmarkEnd w:id="252"/>
      <w:bookmarkEnd w:id="253"/>
      <w:bookmarkEnd w:id="254"/>
      <w:bookmarkEnd w:id="255"/>
      <w:bookmarkEnd w:id="256"/>
    </w:p>
    <w:p w14:paraId="051722A5">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57" w:name="_Toc335660744"/>
      <w:r>
        <w:rPr>
          <w:rFonts w:ascii="宋体" w:hAnsi="宋体" w:cs="宋体"/>
          <w:snapToGrid w:val="0"/>
          <w:color w:val="auto"/>
          <w:kern w:val="0"/>
          <w:sz w:val="24"/>
          <w:highlight w:val="none"/>
        </w:rPr>
        <w:t>3.3.1 在投标人须知前附表规定的投标有效期内，投标人不得要求撤销或修改其投标文件。</w:t>
      </w:r>
      <w:bookmarkEnd w:id="257"/>
    </w:p>
    <w:p w14:paraId="5FBA916F">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58" w:name="_Toc335660745"/>
      <w:r>
        <w:rPr>
          <w:rFonts w:ascii="宋体" w:hAnsi="宋体" w:cs="宋体"/>
          <w:snapToGrid w:val="0"/>
          <w:color w:val="auto"/>
          <w:kern w:val="0"/>
          <w:sz w:val="24"/>
          <w:highlight w:val="none"/>
        </w:rPr>
        <w:t>3.3.2 出现特殊情况需要延长投标有效期</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，招标人</w:t>
      </w:r>
      <w:r>
        <w:rPr>
          <w:rFonts w:hint="eastAsia" w:ascii="宋体" w:hAnsi="宋体" w:cs="宋体"/>
          <w:snapToGrid w:val="0"/>
          <w:color w:val="auto"/>
          <w:kern w:val="0"/>
          <w:sz w:val="24"/>
          <w:highlight w:val="none"/>
        </w:rPr>
        <w:t>应</w:t>
      </w:r>
      <w:r>
        <w:rPr>
          <w:rFonts w:ascii="宋体" w:hAnsi="宋体" w:cs="宋体"/>
          <w:snapToGrid w:val="0"/>
          <w:color w:val="auto"/>
          <w:kern w:val="0"/>
          <w:sz w:val="24"/>
          <w:highlight w:val="none"/>
        </w:rPr>
        <w:t>以书面形式通知所有投标人。投标人同意延长的，应延长其投标保证金的有效期，但不得要求或被允许修改其投标文件；投标人拒绝延长的，其投标失效，</w:t>
      </w:r>
      <w:r>
        <w:rPr>
          <w:rFonts w:hint="eastAsia" w:ascii="宋体" w:hAnsi="宋体" w:cs="宋体"/>
          <w:snapToGrid w:val="0"/>
          <w:color w:val="auto"/>
          <w:kern w:val="0"/>
          <w:sz w:val="24"/>
          <w:highlight w:val="none"/>
        </w:rPr>
        <w:t>投标人有权撤销其投标文件，并</w:t>
      </w:r>
      <w:r>
        <w:rPr>
          <w:rFonts w:ascii="宋体" w:hAnsi="宋体" w:cs="宋体"/>
          <w:snapToGrid w:val="0"/>
          <w:color w:val="auto"/>
          <w:kern w:val="0"/>
          <w:sz w:val="24"/>
          <w:highlight w:val="none"/>
        </w:rPr>
        <w:t>收回投标保证金</w:t>
      </w:r>
      <w:r>
        <w:rPr>
          <w:rFonts w:hint="default"/>
          <w:snapToGrid w:val="0"/>
          <w:color w:val="auto"/>
          <w:kern w:val="0"/>
          <w:sz w:val="24"/>
          <w:szCs w:val="24"/>
          <w:highlight w:val="none"/>
        </w:rPr>
        <w:t>以及投标保证金的银行同期活期存款利息</w:t>
      </w:r>
      <w:r>
        <w:rPr>
          <w:rFonts w:ascii="宋体" w:hAnsi="宋体" w:cs="宋体"/>
          <w:snapToGrid w:val="0"/>
          <w:color w:val="auto"/>
          <w:kern w:val="0"/>
          <w:sz w:val="24"/>
          <w:highlight w:val="none"/>
        </w:rPr>
        <w:t>。</w:t>
      </w:r>
      <w:bookmarkEnd w:id="258"/>
    </w:p>
    <w:p w14:paraId="29AC94AC">
      <w:pPr>
        <w:pStyle w:val="4"/>
        <w:rPr>
          <w:color w:val="auto"/>
          <w:highlight w:val="none"/>
        </w:rPr>
      </w:pPr>
      <w:bookmarkStart w:id="259" w:name="_Toc330218628"/>
      <w:bookmarkStart w:id="260" w:name="_Toc330217914"/>
      <w:bookmarkStart w:id="261" w:name="_Toc330218063"/>
      <w:bookmarkStart w:id="262" w:name="_Toc335721938"/>
      <w:bookmarkStart w:id="263" w:name="_Toc335721486"/>
      <w:bookmarkStart w:id="264" w:name="_Toc335660389"/>
      <w:bookmarkStart w:id="265" w:name="_Toc335659976"/>
      <w:bookmarkStart w:id="266" w:name="_Toc335660746"/>
      <w:r>
        <w:rPr>
          <w:color w:val="auto"/>
          <w:highlight w:val="none"/>
        </w:rPr>
        <w:t>3.4 投标保证金</w:t>
      </w:r>
      <w:bookmarkEnd w:id="259"/>
      <w:bookmarkEnd w:id="260"/>
      <w:bookmarkEnd w:id="261"/>
    </w:p>
    <w:bookmarkEnd w:id="262"/>
    <w:bookmarkEnd w:id="263"/>
    <w:bookmarkEnd w:id="264"/>
    <w:bookmarkEnd w:id="265"/>
    <w:bookmarkEnd w:id="266"/>
    <w:p w14:paraId="33F12EB6">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招标时需递交投标保证金的，应符合下列规定：</w:t>
      </w:r>
    </w:p>
    <w:p w14:paraId="45602CBE">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67" w:name="_Toc335660747"/>
      <w:r>
        <w:rPr>
          <w:rFonts w:ascii="宋体" w:hAnsi="宋体" w:cs="宋体"/>
          <w:snapToGrid w:val="0"/>
          <w:color w:val="auto"/>
          <w:kern w:val="0"/>
          <w:sz w:val="24"/>
          <w:highlight w:val="none"/>
        </w:rPr>
        <w:t>3.4.1 投标人在递交投标文件的同时，应按投标人须知前附表规定的金额、担保形式和第</w:t>
      </w:r>
      <w:r>
        <w:rPr>
          <w:rFonts w:hint="eastAsia" w:ascii="宋体" w:hAnsi="宋体" w:cs="宋体"/>
          <w:snapToGrid w:val="0"/>
          <w:color w:val="auto"/>
          <w:kern w:val="0"/>
          <w:sz w:val="24"/>
          <w:highlight w:val="none"/>
        </w:rPr>
        <w:t>八</w:t>
      </w:r>
      <w:r>
        <w:rPr>
          <w:rFonts w:ascii="宋体" w:hAnsi="宋体" w:cs="宋体"/>
          <w:snapToGrid w:val="0"/>
          <w:color w:val="auto"/>
          <w:kern w:val="0"/>
          <w:sz w:val="24"/>
          <w:highlight w:val="none"/>
        </w:rPr>
        <w:t>章</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规定的投标保证金格式递交投标保证金，并作为其投标文件的组成部分。</w:t>
      </w:r>
      <w:bookmarkEnd w:id="267"/>
      <w:r>
        <w:rPr>
          <w:rFonts w:hint="eastAsia" w:ascii="宋体" w:hAnsi="宋体" w:cs="宋体"/>
          <w:snapToGrid w:val="0"/>
          <w:color w:val="auto"/>
          <w:kern w:val="0"/>
          <w:sz w:val="24"/>
          <w:highlight w:val="none"/>
        </w:rPr>
        <w:t>联合体投标的，其投标保证金由牵头人递交，并应符合投标人须知前附表的规定。</w:t>
      </w:r>
    </w:p>
    <w:p w14:paraId="0F9EC40D">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68" w:name="_Toc335660748"/>
      <w:r>
        <w:rPr>
          <w:rFonts w:ascii="宋体" w:hAnsi="宋体" w:cs="宋体"/>
          <w:snapToGrid w:val="0"/>
          <w:color w:val="auto"/>
          <w:kern w:val="0"/>
          <w:sz w:val="24"/>
          <w:highlight w:val="none"/>
        </w:rPr>
        <w:t>3.4.2 投标人不按本章第3.4.1</w:t>
      </w:r>
      <w:r>
        <w:rPr>
          <w:rFonts w:hint="eastAsia" w:ascii="宋体" w:hAnsi="宋体" w:cs="宋体"/>
          <w:snapToGrid w:val="0"/>
          <w:color w:val="auto"/>
          <w:kern w:val="0"/>
          <w:sz w:val="24"/>
          <w:highlight w:val="none"/>
        </w:rPr>
        <w:t>款</w:t>
      </w:r>
      <w:r>
        <w:rPr>
          <w:rFonts w:ascii="宋体" w:hAnsi="宋体" w:cs="宋体"/>
          <w:snapToGrid w:val="0"/>
          <w:color w:val="auto"/>
          <w:kern w:val="0"/>
          <w:sz w:val="24"/>
          <w:highlight w:val="none"/>
        </w:rPr>
        <w:t>要求提交投标保证金的，其投标文件作废标处理。</w:t>
      </w:r>
      <w:bookmarkEnd w:id="268"/>
    </w:p>
    <w:p w14:paraId="19246AC0">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69" w:name="_Toc335660749"/>
      <w:r>
        <w:rPr>
          <w:rFonts w:ascii="宋体" w:hAnsi="宋体" w:cs="宋体"/>
          <w:snapToGrid w:val="0"/>
          <w:color w:val="auto"/>
          <w:kern w:val="0"/>
          <w:sz w:val="24"/>
          <w:highlight w:val="none"/>
        </w:rPr>
        <w:t xml:space="preserve">3.4.3 </w:t>
      </w:r>
      <w:r>
        <w:rPr>
          <w:rFonts w:hint="eastAsia"/>
          <w:color w:val="auto"/>
          <w:sz w:val="24"/>
          <w:highlight w:val="none"/>
        </w:rPr>
        <w:t>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利息计算原则见投标人须知前附表</w:t>
      </w:r>
      <w:r>
        <w:rPr>
          <w:rFonts w:hint="eastAsia" w:ascii="宋体" w:hAnsi="宋体" w:cs="宋体"/>
          <w:snapToGrid w:val="0"/>
          <w:color w:val="auto"/>
          <w:kern w:val="0"/>
          <w:sz w:val="24"/>
          <w:highlight w:val="none"/>
        </w:rPr>
        <w:t>。</w:t>
      </w:r>
      <w:bookmarkEnd w:id="269"/>
    </w:p>
    <w:p w14:paraId="26977CB9">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70" w:name="_Toc335660750"/>
      <w:r>
        <w:rPr>
          <w:rFonts w:ascii="宋体" w:hAnsi="宋体" w:cs="宋体"/>
          <w:snapToGrid w:val="0"/>
          <w:color w:val="auto"/>
          <w:kern w:val="0"/>
          <w:sz w:val="24"/>
          <w:highlight w:val="none"/>
        </w:rPr>
        <w:t>3.4.4 有下列情形之一的，投标保证金将不予退还：</w:t>
      </w:r>
      <w:bookmarkEnd w:id="270"/>
    </w:p>
    <w:p w14:paraId="5913AADA">
      <w:pPr>
        <w:spacing w:line="324" w:lineRule="auto"/>
        <w:ind w:firstLine="480" w:firstLineChars="200"/>
        <w:rPr>
          <w:rFonts w:hint="eastAsia" w:ascii="Calibri" w:hAnsi="Calibri"/>
          <w:color w:val="auto"/>
          <w:sz w:val="24"/>
          <w:szCs w:val="24"/>
          <w:highlight w:val="none"/>
        </w:rPr>
      </w:pPr>
      <w:r>
        <w:rPr>
          <w:rFonts w:hint="eastAsia" w:ascii="Calibri" w:hAnsi="Calibri"/>
          <w:color w:val="auto"/>
          <w:sz w:val="24"/>
          <w:szCs w:val="24"/>
          <w:highlight w:val="none"/>
          <w:shd w:val="clear"/>
        </w:rPr>
        <w:t>（</w:t>
      </w:r>
      <w:r>
        <w:rPr>
          <w:rFonts w:hint="eastAsia"/>
          <w:color w:val="auto"/>
          <w:sz w:val="24"/>
          <w:szCs w:val="24"/>
          <w:highlight w:val="none"/>
          <w:shd w:val="clear"/>
          <w:lang w:val="en-US" w:eastAsia="zh-CN"/>
        </w:rPr>
        <w:t>1</w:t>
      </w:r>
      <w:r>
        <w:rPr>
          <w:rFonts w:hint="eastAsia" w:ascii="Calibri" w:hAnsi="Calibri"/>
          <w:color w:val="auto"/>
          <w:sz w:val="24"/>
          <w:szCs w:val="24"/>
          <w:highlight w:val="none"/>
          <w:shd w:val="clear"/>
        </w:rPr>
        <w:t>）</w:t>
      </w:r>
      <w:r>
        <w:rPr>
          <w:rFonts w:hint="eastAsia" w:ascii="Calibri" w:hAnsi="Calibri"/>
          <w:color w:val="auto"/>
          <w:sz w:val="24"/>
          <w:szCs w:val="24"/>
          <w:highlight w:val="none"/>
        </w:rPr>
        <w:t>投标人在规定的投标有效期内撤销或修改其投标文件；</w:t>
      </w:r>
    </w:p>
    <w:p w14:paraId="5D37DAA5">
      <w:pPr>
        <w:spacing w:line="324" w:lineRule="auto"/>
        <w:ind w:firstLine="480" w:firstLineChars="200"/>
        <w:rPr>
          <w:rFonts w:hint="eastAsia" w:ascii="Calibri" w:hAnsi="Calibri"/>
          <w:color w:val="auto"/>
          <w:sz w:val="24"/>
          <w:szCs w:val="24"/>
          <w:highlight w:val="none"/>
        </w:rPr>
      </w:pPr>
      <w:r>
        <w:rPr>
          <w:rFonts w:hint="eastAsia" w:ascii="Calibri" w:hAnsi="Calibri"/>
          <w:color w:val="auto"/>
          <w:sz w:val="24"/>
          <w:szCs w:val="24"/>
          <w:highlight w:val="none"/>
          <w:shd w:val="clear"/>
        </w:rPr>
        <w:t>（</w:t>
      </w:r>
      <w:r>
        <w:rPr>
          <w:rFonts w:hint="eastAsia"/>
          <w:color w:val="auto"/>
          <w:sz w:val="24"/>
          <w:szCs w:val="24"/>
          <w:highlight w:val="none"/>
          <w:shd w:val="clear"/>
          <w:lang w:val="en-US" w:eastAsia="zh-CN"/>
        </w:rPr>
        <w:t>2</w:t>
      </w:r>
      <w:r>
        <w:rPr>
          <w:rFonts w:hint="eastAsia" w:ascii="Calibri" w:hAnsi="Calibri"/>
          <w:color w:val="auto"/>
          <w:sz w:val="24"/>
          <w:szCs w:val="24"/>
          <w:highlight w:val="none"/>
          <w:shd w:val="clear"/>
        </w:rPr>
        <w:t>）</w:t>
      </w:r>
      <w:r>
        <w:rPr>
          <w:rFonts w:hint="eastAsia" w:ascii="Calibri" w:hAnsi="Calibri"/>
          <w:color w:val="auto"/>
          <w:sz w:val="24"/>
          <w:szCs w:val="24"/>
          <w:highlight w:val="none"/>
        </w:rPr>
        <w:t xml:space="preserve"> 中标人在收到中标通知书后，无正当理由不与招标人订立合同，在签订合同时向招标人提出附加条件，或不按照招标文件要求提交履约保证金；</w:t>
      </w:r>
    </w:p>
    <w:p w14:paraId="18F43BD4">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Calibri" w:hAnsi="Calibri"/>
          <w:color w:val="auto"/>
          <w:sz w:val="24"/>
          <w:szCs w:val="24"/>
          <w:highlight w:val="none"/>
          <w:shd w:val="clear"/>
        </w:rPr>
        <w:t>（3）发生投标人须知前附表规定的其他可以不予退还投标保证金的情形。</w:t>
      </w:r>
    </w:p>
    <w:p w14:paraId="76902E6E">
      <w:pPr>
        <w:pStyle w:val="4"/>
        <w:rPr>
          <w:color w:val="auto"/>
          <w:highlight w:val="none"/>
        </w:rPr>
      </w:pPr>
      <w:bookmarkStart w:id="271" w:name="_Toc330218064"/>
      <w:bookmarkStart w:id="272" w:name="_Toc335721939"/>
      <w:bookmarkStart w:id="273" w:name="_Toc335660390"/>
      <w:bookmarkStart w:id="274" w:name="_Toc335660751"/>
      <w:bookmarkStart w:id="275" w:name="_Toc335721487"/>
      <w:bookmarkStart w:id="276" w:name="_Toc335659977"/>
      <w:bookmarkStart w:id="277" w:name="_Toc330217915"/>
      <w:bookmarkStart w:id="278" w:name="_Toc330218629"/>
      <w:r>
        <w:rPr>
          <w:color w:val="auto"/>
          <w:highlight w:val="none"/>
        </w:rPr>
        <w:t>3.5 资格审查表</w:t>
      </w:r>
      <w:bookmarkEnd w:id="271"/>
      <w:bookmarkEnd w:id="272"/>
      <w:bookmarkEnd w:id="273"/>
      <w:bookmarkEnd w:id="274"/>
      <w:bookmarkEnd w:id="275"/>
      <w:bookmarkEnd w:id="276"/>
      <w:bookmarkEnd w:id="277"/>
      <w:bookmarkEnd w:id="278"/>
    </w:p>
    <w:p w14:paraId="37FAC7F3">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79" w:name="_Toc335660752"/>
      <w:r>
        <w:rPr>
          <w:rFonts w:ascii="宋体" w:hAnsi="宋体" w:cs="宋体"/>
          <w:snapToGrid w:val="0"/>
          <w:color w:val="auto"/>
          <w:kern w:val="0"/>
          <w:sz w:val="24"/>
          <w:highlight w:val="none"/>
        </w:rPr>
        <w:t>3.5.1 投标人须按投标人须知前附表</w:t>
      </w:r>
      <w:r>
        <w:rPr>
          <w:rFonts w:hint="eastAsia" w:ascii="宋体" w:hAnsi="宋体" w:cs="宋体"/>
          <w:snapToGrid w:val="0"/>
          <w:color w:val="auto"/>
          <w:kern w:val="0"/>
          <w:sz w:val="24"/>
          <w:highlight w:val="none"/>
        </w:rPr>
        <w:t>第</w:t>
      </w:r>
      <w:r>
        <w:rPr>
          <w:rFonts w:ascii="宋体" w:hAnsi="宋体" w:cs="宋体"/>
          <w:snapToGrid w:val="0"/>
          <w:color w:val="auto"/>
          <w:kern w:val="0"/>
          <w:sz w:val="24"/>
          <w:highlight w:val="none"/>
        </w:rPr>
        <w:t>1.4</w:t>
      </w:r>
      <w:r>
        <w:rPr>
          <w:rFonts w:hint="eastAsia" w:ascii="宋体" w:hAnsi="宋体" w:cs="宋体"/>
          <w:snapToGrid w:val="0"/>
          <w:color w:val="auto"/>
          <w:kern w:val="0"/>
          <w:sz w:val="24"/>
          <w:highlight w:val="none"/>
        </w:rPr>
        <w:t>条</w:t>
      </w:r>
      <w:r>
        <w:rPr>
          <w:rFonts w:ascii="宋体" w:hAnsi="宋体" w:cs="宋体"/>
          <w:snapToGrid w:val="0"/>
          <w:color w:val="auto"/>
          <w:kern w:val="0"/>
          <w:sz w:val="24"/>
          <w:highlight w:val="none"/>
        </w:rPr>
        <w:t>和招标文件第</w:t>
      </w:r>
      <w:r>
        <w:rPr>
          <w:rFonts w:hint="eastAsia" w:ascii="宋体" w:hAnsi="宋体" w:cs="宋体"/>
          <w:snapToGrid w:val="0"/>
          <w:color w:val="auto"/>
          <w:kern w:val="0"/>
          <w:sz w:val="24"/>
          <w:highlight w:val="none"/>
        </w:rPr>
        <w:t>八</w:t>
      </w:r>
      <w:r>
        <w:rPr>
          <w:rFonts w:ascii="宋体" w:hAnsi="宋体" w:cs="宋体"/>
          <w:snapToGrid w:val="0"/>
          <w:color w:val="auto"/>
          <w:kern w:val="0"/>
          <w:sz w:val="24"/>
          <w:highlight w:val="none"/>
        </w:rPr>
        <w:t>章</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中规定的表格内容填写资格审查表，并按其具体要求提供相关证件及证明材料的扫描件。</w:t>
      </w:r>
      <w:bookmarkEnd w:id="279"/>
    </w:p>
    <w:p w14:paraId="7572B754">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80" w:name="_Toc335660753"/>
      <w:r>
        <w:rPr>
          <w:rFonts w:ascii="宋体" w:hAnsi="宋体" w:cs="宋体"/>
          <w:snapToGrid w:val="0"/>
          <w:color w:val="auto"/>
          <w:kern w:val="0"/>
          <w:sz w:val="24"/>
          <w:highlight w:val="none"/>
        </w:rPr>
        <w:t>3.5.2 投标人须知前附表规定接受联合体投标的，本章第3.5.1</w:t>
      </w:r>
      <w:r>
        <w:rPr>
          <w:rFonts w:hint="eastAsia" w:ascii="宋体" w:hAnsi="宋体" w:cs="宋体"/>
          <w:snapToGrid w:val="0"/>
          <w:color w:val="auto"/>
          <w:kern w:val="0"/>
          <w:sz w:val="24"/>
          <w:highlight w:val="none"/>
        </w:rPr>
        <w:t>款</w:t>
      </w:r>
      <w:r>
        <w:rPr>
          <w:rFonts w:ascii="宋体" w:hAnsi="宋体" w:cs="宋体"/>
          <w:snapToGrid w:val="0"/>
          <w:color w:val="auto"/>
          <w:kern w:val="0"/>
          <w:sz w:val="24"/>
          <w:highlight w:val="none"/>
        </w:rPr>
        <w:t>规定的表格和资料应包括联合体各方相关情况。</w:t>
      </w:r>
      <w:bookmarkEnd w:id="280"/>
    </w:p>
    <w:p w14:paraId="341A522B">
      <w:pPr>
        <w:pStyle w:val="4"/>
        <w:rPr>
          <w:color w:val="auto"/>
          <w:highlight w:val="none"/>
        </w:rPr>
      </w:pPr>
      <w:bookmarkStart w:id="281" w:name="_Toc330218065"/>
      <w:bookmarkStart w:id="282" w:name="_Toc335659978"/>
      <w:bookmarkStart w:id="283" w:name="_Toc330217916"/>
      <w:bookmarkStart w:id="284" w:name="_Toc335721940"/>
      <w:bookmarkStart w:id="285" w:name="_Toc335660754"/>
      <w:bookmarkStart w:id="286" w:name="_Toc335660391"/>
      <w:bookmarkStart w:id="287" w:name="_Toc330218630"/>
      <w:bookmarkStart w:id="288" w:name="_Toc335721488"/>
      <w:r>
        <w:rPr>
          <w:color w:val="auto"/>
          <w:highlight w:val="none"/>
        </w:rPr>
        <w:t>3.</w:t>
      </w:r>
      <w:r>
        <w:rPr>
          <w:rFonts w:hint="eastAsia"/>
          <w:color w:val="auto"/>
          <w:highlight w:val="none"/>
        </w:rPr>
        <w:t>6</w:t>
      </w:r>
      <w:r>
        <w:rPr>
          <w:color w:val="auto"/>
          <w:highlight w:val="none"/>
        </w:rPr>
        <w:t xml:space="preserve"> 投标文件的编制</w:t>
      </w:r>
      <w:bookmarkEnd w:id="281"/>
      <w:bookmarkEnd w:id="282"/>
      <w:bookmarkEnd w:id="283"/>
      <w:bookmarkEnd w:id="284"/>
      <w:bookmarkEnd w:id="285"/>
      <w:bookmarkEnd w:id="286"/>
      <w:bookmarkEnd w:id="287"/>
      <w:bookmarkEnd w:id="288"/>
    </w:p>
    <w:p w14:paraId="116A375C">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89" w:name="_Toc335660755"/>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6</w:t>
      </w:r>
      <w:r>
        <w:rPr>
          <w:rFonts w:ascii="宋体" w:hAnsi="宋体" w:cs="宋体"/>
          <w:snapToGrid w:val="0"/>
          <w:color w:val="auto"/>
          <w:kern w:val="0"/>
          <w:sz w:val="24"/>
          <w:highlight w:val="none"/>
        </w:rPr>
        <w:t>.1</w:t>
      </w:r>
      <w:r>
        <w:rPr>
          <w:rFonts w:hint="eastAsia" w:ascii="宋体" w:hAnsi="宋体"/>
          <w:color w:val="auto"/>
          <w:sz w:val="24"/>
          <w:highlight w:val="none"/>
        </w:rPr>
        <w:t>投标文件应使用电子交易平台提供的投标文件制作软件，</w:t>
      </w:r>
      <w:r>
        <w:rPr>
          <w:rFonts w:ascii="宋体" w:hAnsi="宋体" w:cs="宋体"/>
          <w:snapToGrid w:val="0"/>
          <w:color w:val="auto"/>
          <w:kern w:val="0"/>
          <w:sz w:val="24"/>
          <w:highlight w:val="none"/>
        </w:rPr>
        <w:t>应按第</w:t>
      </w:r>
      <w:r>
        <w:rPr>
          <w:rFonts w:hint="eastAsia" w:ascii="宋体" w:hAnsi="宋体" w:cs="宋体"/>
          <w:snapToGrid w:val="0"/>
          <w:color w:val="auto"/>
          <w:kern w:val="0"/>
          <w:sz w:val="24"/>
          <w:highlight w:val="none"/>
        </w:rPr>
        <w:t>八</w:t>
      </w:r>
      <w:r>
        <w:rPr>
          <w:rFonts w:ascii="宋体" w:hAnsi="宋体" w:cs="宋体"/>
          <w:snapToGrid w:val="0"/>
          <w:color w:val="auto"/>
          <w:kern w:val="0"/>
          <w:sz w:val="24"/>
          <w:highlight w:val="none"/>
        </w:rPr>
        <w:t>章</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投标文件格式</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进行编</w:t>
      </w:r>
      <w:r>
        <w:rPr>
          <w:rFonts w:hint="eastAsia" w:ascii="宋体" w:hAnsi="宋体" w:cs="宋体"/>
          <w:snapToGrid w:val="0"/>
          <w:color w:val="auto"/>
          <w:kern w:val="0"/>
          <w:sz w:val="24"/>
          <w:highlight w:val="none"/>
        </w:rPr>
        <w:t>制</w:t>
      </w:r>
      <w:r>
        <w:rPr>
          <w:rFonts w:ascii="宋体" w:hAnsi="宋体" w:cs="宋体"/>
          <w:snapToGrid w:val="0"/>
          <w:color w:val="auto"/>
          <w:kern w:val="0"/>
          <w:sz w:val="24"/>
          <w:highlight w:val="none"/>
        </w:rPr>
        <w:t>，必要</w:t>
      </w:r>
      <w:r>
        <w:rPr>
          <w:rFonts w:hint="eastAsia" w:ascii="宋体" w:hAnsi="宋体" w:cs="宋体"/>
          <w:snapToGrid w:val="0"/>
          <w:color w:val="auto"/>
          <w:kern w:val="0"/>
          <w:sz w:val="24"/>
          <w:highlight w:val="none"/>
        </w:rPr>
        <w:t>时</w:t>
      </w:r>
      <w:r>
        <w:rPr>
          <w:rFonts w:ascii="宋体" w:hAnsi="宋体" w:cs="宋体"/>
          <w:snapToGrid w:val="0"/>
          <w:color w:val="auto"/>
          <w:kern w:val="0"/>
          <w:sz w:val="24"/>
          <w:highlight w:val="none"/>
        </w:rPr>
        <w:t>，可以增加附页，作为投标文件的组成部分。</w:t>
      </w:r>
      <w:bookmarkEnd w:id="289"/>
    </w:p>
    <w:p w14:paraId="58E09FC3">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90" w:name="_Toc335660756"/>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6</w:t>
      </w:r>
      <w:r>
        <w:rPr>
          <w:rFonts w:ascii="宋体" w:hAnsi="宋体" w:cs="宋体"/>
          <w:snapToGrid w:val="0"/>
          <w:color w:val="auto"/>
          <w:kern w:val="0"/>
          <w:sz w:val="24"/>
          <w:highlight w:val="none"/>
        </w:rPr>
        <w:t>.2 投标文件应对招标文件有关勘察设计周期</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招标范围</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技术要求</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投标有效期等实质性内容作出响应。</w:t>
      </w:r>
      <w:bookmarkEnd w:id="290"/>
    </w:p>
    <w:p w14:paraId="4F662E7D">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291" w:name="_Toc335660757"/>
      <w:r>
        <w:rPr>
          <w:rFonts w:hint="eastAsia" w:ascii="宋体" w:hAnsi="宋体"/>
          <w:color w:val="auto"/>
          <w:sz w:val="24"/>
          <w:highlight w:val="none"/>
        </w:rPr>
        <w:t>电子交易平台为投标人提供在线或离线编辑和制作投标文件的功能，主要包括文件的导入、文件内容编辑、工程量清单报价（如有要求）导入、版式文件转换、电子签章、文件生成、校验以及加密等功能。具体的电子投标文件制作软件的使用说明详见该电子交易平台上的相关说明或电话咨询电子交易平台。</w:t>
      </w:r>
      <w:bookmarkEnd w:id="291"/>
    </w:p>
    <w:p w14:paraId="1B111DB9">
      <w:pPr>
        <w:pStyle w:val="92"/>
        <w:spacing w:before="240" w:beforeLines="100" w:line="360" w:lineRule="auto"/>
        <w:outlineLvl w:val="0"/>
        <w:rPr>
          <w:rFonts w:ascii="宋体" w:hAnsi="宋体" w:eastAsia="宋体"/>
          <w:b/>
          <w:snapToGrid w:val="0"/>
          <w:color w:val="auto"/>
          <w:kern w:val="0"/>
          <w:sz w:val="24"/>
          <w:szCs w:val="24"/>
          <w:highlight w:val="none"/>
        </w:rPr>
      </w:pPr>
      <w:bookmarkStart w:id="292" w:name="_Toc488649884"/>
      <w:bookmarkStart w:id="293" w:name="_Toc346269455"/>
      <w:bookmarkStart w:id="294" w:name="_Toc335660760"/>
      <w:bookmarkStart w:id="295" w:name="_Toc335721941"/>
      <w:bookmarkStart w:id="296" w:name="_Toc326241886"/>
      <w:r>
        <w:rPr>
          <w:rFonts w:ascii="宋体" w:hAnsi="宋体" w:eastAsia="宋体"/>
          <w:b/>
          <w:snapToGrid w:val="0"/>
          <w:color w:val="auto"/>
          <w:kern w:val="0"/>
          <w:sz w:val="24"/>
          <w:szCs w:val="24"/>
          <w:highlight w:val="none"/>
        </w:rPr>
        <w:t>4. 投标</w:t>
      </w:r>
      <w:bookmarkEnd w:id="292"/>
      <w:bookmarkEnd w:id="293"/>
      <w:bookmarkEnd w:id="294"/>
      <w:bookmarkEnd w:id="295"/>
      <w:bookmarkEnd w:id="296"/>
    </w:p>
    <w:p w14:paraId="67B24E0A">
      <w:pPr>
        <w:pStyle w:val="4"/>
        <w:rPr>
          <w:color w:val="auto"/>
          <w:highlight w:val="none"/>
        </w:rPr>
      </w:pPr>
      <w:bookmarkStart w:id="297" w:name="_Toc330218633"/>
      <w:bookmarkStart w:id="298" w:name="_Toc330217919"/>
      <w:bookmarkStart w:id="299" w:name="_Toc335659981"/>
      <w:bookmarkStart w:id="300" w:name="_Toc335721491"/>
      <w:bookmarkStart w:id="301" w:name="_Toc335660394"/>
      <w:bookmarkStart w:id="302" w:name="_Toc330218068"/>
      <w:bookmarkStart w:id="303" w:name="_Toc335660765"/>
      <w:bookmarkStart w:id="304" w:name="_Toc335721943"/>
      <w:r>
        <w:rPr>
          <w:color w:val="auto"/>
          <w:highlight w:val="none"/>
        </w:rPr>
        <w:t>4.</w:t>
      </w:r>
      <w:r>
        <w:rPr>
          <w:rFonts w:hint="eastAsia"/>
          <w:color w:val="auto"/>
          <w:highlight w:val="none"/>
        </w:rPr>
        <w:t>1</w:t>
      </w:r>
      <w:r>
        <w:rPr>
          <w:color w:val="auto"/>
          <w:highlight w:val="none"/>
        </w:rPr>
        <w:t xml:space="preserve"> 投标文件的递交</w:t>
      </w:r>
      <w:bookmarkEnd w:id="297"/>
      <w:bookmarkEnd w:id="298"/>
      <w:bookmarkEnd w:id="299"/>
      <w:bookmarkEnd w:id="300"/>
      <w:bookmarkEnd w:id="301"/>
      <w:bookmarkEnd w:id="302"/>
      <w:bookmarkEnd w:id="303"/>
      <w:bookmarkEnd w:id="304"/>
    </w:p>
    <w:p w14:paraId="5540B2F1">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05" w:name="_Toc335660766"/>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.1</w:t>
      </w:r>
      <w:r>
        <w:rPr>
          <w:rFonts w:hint="eastAsia" w:ascii="宋体" w:hAnsi="宋体"/>
          <w:color w:val="auto"/>
          <w:sz w:val="24"/>
          <w:highlight w:val="none"/>
        </w:rPr>
        <w:t>投标人应在投标截止时间前通过电子交易平台在线递交投标文件。电子招标平台收到投标人送达的投标文件，应当即时向投标人发出确认投标成功。具体的电子投标文件递交操作流程及步骤详见该电子交易平台上的相关说明或电话咨询电子交易平台</w:t>
      </w:r>
      <w:bookmarkEnd w:id="305"/>
      <w:r>
        <w:rPr>
          <w:rFonts w:hint="eastAsia" w:ascii="宋体" w:hAnsi="宋体" w:cs="宋体"/>
          <w:snapToGrid w:val="0"/>
          <w:color w:val="auto"/>
          <w:kern w:val="0"/>
          <w:sz w:val="24"/>
          <w:highlight w:val="none"/>
        </w:rPr>
        <w:t>。</w:t>
      </w:r>
      <w:bookmarkStart w:id="306" w:name="_Toc335660768"/>
    </w:p>
    <w:p w14:paraId="47B78C56">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开标后</w:t>
      </w:r>
      <w:r>
        <w:rPr>
          <w:rFonts w:ascii="宋体" w:hAnsi="宋体" w:cs="宋体"/>
          <w:snapToGrid w:val="0"/>
          <w:color w:val="auto"/>
          <w:kern w:val="0"/>
          <w:sz w:val="24"/>
          <w:highlight w:val="none"/>
        </w:rPr>
        <w:t>投标人所递交的投标文件不予退还。</w:t>
      </w:r>
      <w:bookmarkEnd w:id="306"/>
    </w:p>
    <w:p w14:paraId="25A2F5AE">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07" w:name="_Toc335660770"/>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1</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 xml:space="preserve">3 </w:t>
      </w:r>
      <w:r>
        <w:rPr>
          <w:rFonts w:ascii="宋体" w:hAnsi="宋体" w:cs="宋体"/>
          <w:snapToGrid w:val="0"/>
          <w:color w:val="auto"/>
          <w:kern w:val="0"/>
          <w:sz w:val="24"/>
          <w:highlight w:val="none"/>
        </w:rPr>
        <w:t>逾期</w:t>
      </w:r>
      <w:r>
        <w:rPr>
          <w:rFonts w:hint="eastAsia" w:ascii="宋体" w:hAnsi="宋体" w:cs="宋体"/>
          <w:snapToGrid w:val="0"/>
          <w:color w:val="auto"/>
          <w:kern w:val="0"/>
          <w:sz w:val="24"/>
          <w:highlight w:val="none"/>
        </w:rPr>
        <w:t>递交</w:t>
      </w:r>
      <w:r>
        <w:rPr>
          <w:rFonts w:ascii="宋体" w:hAnsi="宋体" w:cs="宋体"/>
          <w:snapToGrid w:val="0"/>
          <w:color w:val="auto"/>
          <w:kern w:val="0"/>
          <w:sz w:val="24"/>
          <w:highlight w:val="none"/>
        </w:rPr>
        <w:t>的投标文件，招标人不予受理。</w:t>
      </w:r>
      <w:bookmarkEnd w:id="307"/>
    </w:p>
    <w:p w14:paraId="0D57EFC6">
      <w:pPr>
        <w:pStyle w:val="4"/>
        <w:rPr>
          <w:color w:val="auto"/>
          <w:highlight w:val="none"/>
        </w:rPr>
      </w:pPr>
      <w:bookmarkStart w:id="308" w:name="_Toc335660771"/>
      <w:bookmarkStart w:id="309" w:name="_Toc335660395"/>
      <w:bookmarkStart w:id="310" w:name="_Toc335721944"/>
      <w:bookmarkStart w:id="311" w:name="_Toc335659982"/>
      <w:bookmarkStart w:id="312" w:name="_Toc330218069"/>
      <w:bookmarkStart w:id="313" w:name="_Toc335721492"/>
      <w:bookmarkStart w:id="314" w:name="_Toc330218634"/>
      <w:bookmarkStart w:id="315" w:name="_Toc330217920"/>
      <w:r>
        <w:rPr>
          <w:color w:val="auto"/>
          <w:highlight w:val="none"/>
        </w:rPr>
        <w:t>4.</w:t>
      </w:r>
      <w:r>
        <w:rPr>
          <w:rFonts w:hint="eastAsia"/>
          <w:color w:val="auto"/>
          <w:highlight w:val="none"/>
        </w:rPr>
        <w:t>2</w:t>
      </w:r>
      <w:r>
        <w:rPr>
          <w:color w:val="auto"/>
          <w:highlight w:val="none"/>
        </w:rPr>
        <w:t xml:space="preserve"> 投标文件的修改与撤回</w:t>
      </w:r>
      <w:bookmarkEnd w:id="308"/>
      <w:bookmarkEnd w:id="309"/>
      <w:bookmarkEnd w:id="310"/>
      <w:bookmarkEnd w:id="311"/>
      <w:bookmarkEnd w:id="312"/>
      <w:bookmarkEnd w:id="313"/>
      <w:bookmarkEnd w:id="314"/>
      <w:bookmarkEnd w:id="315"/>
    </w:p>
    <w:p w14:paraId="313C05F0">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16" w:name="_Toc335660772"/>
      <w:r>
        <w:rPr>
          <w:rFonts w:ascii="宋体" w:hAnsi="宋体" w:cs="宋体"/>
          <w:snapToGrid w:val="0"/>
          <w:color w:val="auto"/>
          <w:kern w:val="0"/>
          <w:sz w:val="24"/>
          <w:highlight w:val="none"/>
        </w:rPr>
        <w:t>在本章第2.2.2</w:t>
      </w:r>
      <w:r>
        <w:rPr>
          <w:rFonts w:hint="eastAsia" w:ascii="宋体" w:hAnsi="宋体" w:cs="宋体"/>
          <w:snapToGrid w:val="0"/>
          <w:color w:val="auto"/>
          <w:kern w:val="0"/>
          <w:sz w:val="24"/>
          <w:highlight w:val="none"/>
        </w:rPr>
        <w:t>款</w:t>
      </w:r>
      <w:r>
        <w:rPr>
          <w:rFonts w:ascii="宋体" w:hAnsi="宋体" w:cs="宋体"/>
          <w:snapToGrid w:val="0"/>
          <w:color w:val="auto"/>
          <w:kern w:val="0"/>
          <w:sz w:val="24"/>
          <w:highlight w:val="none"/>
        </w:rPr>
        <w:t>规定的投标截止时间前，投标人可以</w:t>
      </w:r>
      <w:r>
        <w:rPr>
          <w:rFonts w:hint="eastAsia"/>
          <w:color w:val="auto"/>
          <w:sz w:val="24"/>
          <w:highlight w:val="none"/>
        </w:rPr>
        <w:t>使用本单位CA数字证书</w:t>
      </w:r>
      <w:r>
        <w:rPr>
          <w:rFonts w:ascii="宋体" w:hAnsi="宋体" w:cs="宋体"/>
          <w:snapToGrid w:val="0"/>
          <w:color w:val="auto"/>
          <w:kern w:val="0"/>
          <w:sz w:val="24"/>
          <w:highlight w:val="none"/>
        </w:rPr>
        <w:t>修改或撤回已递交的投标文件。</w:t>
      </w:r>
      <w:bookmarkEnd w:id="316"/>
      <w:r>
        <w:rPr>
          <w:rFonts w:hint="eastAsia" w:ascii="方正大标宋简体" w:hAnsi="方正大标宋简体"/>
          <w:bCs/>
          <w:color w:val="auto"/>
          <w:sz w:val="24"/>
          <w:highlight w:val="none"/>
        </w:rPr>
        <w:t>除投标人补充、修改或者撤回投标文件外，任何单位和个人不得解密、提取投标文件。</w:t>
      </w:r>
    </w:p>
    <w:p w14:paraId="3CABB2B7">
      <w:pPr>
        <w:pStyle w:val="4"/>
        <w:rPr>
          <w:color w:val="auto"/>
          <w:highlight w:val="none"/>
        </w:rPr>
      </w:pPr>
      <w:r>
        <w:rPr>
          <w:color w:val="auto"/>
          <w:highlight w:val="none"/>
        </w:rPr>
        <w:t>4.</w:t>
      </w:r>
      <w:r>
        <w:rPr>
          <w:rFonts w:hint="eastAsia"/>
          <w:color w:val="auto"/>
          <w:highlight w:val="none"/>
        </w:rPr>
        <w:t>3</w:t>
      </w:r>
      <w:r>
        <w:rPr>
          <w:color w:val="auto"/>
          <w:highlight w:val="none"/>
        </w:rPr>
        <w:t xml:space="preserve"> 投标文件的</w:t>
      </w:r>
      <w:r>
        <w:rPr>
          <w:rFonts w:hint="eastAsia"/>
          <w:color w:val="auto"/>
          <w:highlight w:val="none"/>
        </w:rPr>
        <w:t>加密</w:t>
      </w:r>
    </w:p>
    <w:p w14:paraId="33034E3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投标人应根据招标文件及交易平台的要求对投标文件进行电子签章并加密。投标人未按规定加密的投标文件，电子交易平台拒收并提示。</w:t>
      </w:r>
    </w:p>
    <w:p w14:paraId="5D8829E3">
      <w:pPr>
        <w:pStyle w:val="92"/>
        <w:spacing w:before="240" w:beforeLines="100" w:line="360" w:lineRule="auto"/>
        <w:outlineLvl w:val="0"/>
        <w:rPr>
          <w:rFonts w:ascii="宋体" w:hAnsi="宋体" w:eastAsia="宋体"/>
          <w:b/>
          <w:snapToGrid w:val="0"/>
          <w:color w:val="auto"/>
          <w:kern w:val="0"/>
          <w:sz w:val="24"/>
          <w:szCs w:val="24"/>
          <w:highlight w:val="none"/>
        </w:rPr>
      </w:pPr>
      <w:bookmarkStart w:id="317" w:name="_Toc335721945"/>
      <w:bookmarkStart w:id="318" w:name="_Toc335660775"/>
      <w:bookmarkStart w:id="319" w:name="_Toc488649885"/>
      <w:bookmarkStart w:id="320" w:name="_Toc326241887"/>
      <w:bookmarkStart w:id="321" w:name="_Toc346269456"/>
      <w:r>
        <w:rPr>
          <w:rFonts w:ascii="宋体" w:hAnsi="宋体" w:eastAsia="宋体"/>
          <w:b/>
          <w:snapToGrid w:val="0"/>
          <w:color w:val="auto"/>
          <w:kern w:val="0"/>
          <w:sz w:val="24"/>
          <w:szCs w:val="24"/>
          <w:highlight w:val="none"/>
        </w:rPr>
        <w:t>5. 开标</w:t>
      </w:r>
      <w:bookmarkEnd w:id="317"/>
      <w:bookmarkEnd w:id="318"/>
      <w:bookmarkEnd w:id="319"/>
      <w:bookmarkEnd w:id="320"/>
      <w:bookmarkEnd w:id="321"/>
    </w:p>
    <w:p w14:paraId="507DFFF5">
      <w:pPr>
        <w:pStyle w:val="4"/>
        <w:rPr>
          <w:color w:val="auto"/>
          <w:highlight w:val="none"/>
        </w:rPr>
      </w:pPr>
      <w:bookmarkStart w:id="322" w:name="_Toc330218636"/>
      <w:bookmarkStart w:id="323" w:name="_Toc335660397"/>
      <w:bookmarkStart w:id="324" w:name="_Toc335721946"/>
      <w:bookmarkStart w:id="325" w:name="_Toc330218071"/>
      <w:bookmarkStart w:id="326" w:name="_Toc330217922"/>
      <w:bookmarkStart w:id="327" w:name="_Toc335660776"/>
      <w:bookmarkStart w:id="328" w:name="_Toc335721494"/>
      <w:bookmarkStart w:id="329" w:name="_Toc335659984"/>
      <w:r>
        <w:rPr>
          <w:color w:val="auto"/>
          <w:highlight w:val="none"/>
        </w:rPr>
        <w:t>5.1 开标时间</w:t>
      </w:r>
      <w:r>
        <w:rPr>
          <w:rFonts w:hint="eastAsia"/>
          <w:color w:val="auto"/>
          <w:highlight w:val="none"/>
        </w:rPr>
        <w:t>、</w:t>
      </w:r>
      <w:r>
        <w:rPr>
          <w:color w:val="auto"/>
          <w:highlight w:val="none"/>
        </w:rPr>
        <w:t>地点</w:t>
      </w:r>
      <w:bookmarkEnd w:id="322"/>
      <w:bookmarkEnd w:id="323"/>
      <w:bookmarkEnd w:id="324"/>
      <w:bookmarkEnd w:id="325"/>
      <w:bookmarkEnd w:id="326"/>
      <w:bookmarkEnd w:id="327"/>
      <w:bookmarkEnd w:id="328"/>
      <w:bookmarkEnd w:id="329"/>
      <w:r>
        <w:rPr>
          <w:rFonts w:hint="eastAsia"/>
          <w:color w:val="auto"/>
          <w:highlight w:val="none"/>
        </w:rPr>
        <w:t>和人员</w:t>
      </w:r>
    </w:p>
    <w:p w14:paraId="31F9105D">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cs="黑体"/>
          <w:color w:val="auto"/>
          <w:kern w:val="0"/>
          <w:sz w:val="24"/>
          <w:highlight w:val="none"/>
        </w:rPr>
        <w:t>招标人按投标人须知前附表规定的时间（开标时间）在电子交易平台公开进行在线开标，所有投标人均应当准时在线参加开标。投标截止时间前，经建设单位研究确定后的定标方案应当加密后上传电子交易平台，未按照前述规定上传定标方案的，不得开标，招标人应该向招投标监督机构备案后重新确定开标时间。</w:t>
      </w:r>
    </w:p>
    <w:p w14:paraId="6ECC6DE2">
      <w:pPr>
        <w:pStyle w:val="4"/>
        <w:rPr>
          <w:color w:val="auto"/>
          <w:highlight w:val="none"/>
        </w:rPr>
      </w:pPr>
      <w:bookmarkStart w:id="330" w:name="_Toc335721495"/>
      <w:bookmarkStart w:id="331" w:name="_Toc335659985"/>
      <w:bookmarkStart w:id="332" w:name="_Toc335660777"/>
      <w:bookmarkStart w:id="333" w:name="_Toc330217923"/>
      <w:bookmarkStart w:id="334" w:name="_Toc330218637"/>
      <w:bookmarkStart w:id="335" w:name="_Toc335721947"/>
      <w:bookmarkStart w:id="336" w:name="_Toc330218072"/>
      <w:bookmarkStart w:id="337" w:name="_Toc335660398"/>
      <w:r>
        <w:rPr>
          <w:color w:val="auto"/>
          <w:highlight w:val="none"/>
        </w:rPr>
        <w:t>5.2 开标程序</w:t>
      </w:r>
      <w:bookmarkEnd w:id="330"/>
      <w:bookmarkEnd w:id="331"/>
      <w:bookmarkEnd w:id="332"/>
      <w:bookmarkEnd w:id="333"/>
      <w:bookmarkEnd w:id="334"/>
      <w:bookmarkEnd w:id="335"/>
      <w:bookmarkEnd w:id="336"/>
      <w:bookmarkEnd w:id="337"/>
    </w:p>
    <w:p w14:paraId="675CE81A">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38" w:name="_Toc335660778"/>
      <w:r>
        <w:rPr>
          <w:rFonts w:ascii="宋体" w:hAnsi="宋体" w:cs="宋体"/>
          <w:snapToGrid w:val="0"/>
          <w:color w:val="auto"/>
          <w:kern w:val="0"/>
          <w:sz w:val="24"/>
          <w:highlight w:val="none"/>
        </w:rPr>
        <w:t>5.2.1 主持人按下列程序进行开标：</w:t>
      </w:r>
      <w:bookmarkEnd w:id="338"/>
      <w:r>
        <w:rPr>
          <w:rFonts w:ascii="宋体" w:hAnsi="宋体" w:cs="宋体"/>
          <w:snapToGrid w:val="0"/>
          <w:color w:val="auto"/>
          <w:kern w:val="0"/>
          <w:sz w:val="24"/>
          <w:highlight w:val="none"/>
        </w:rPr>
        <w:t xml:space="preserve"> </w:t>
      </w:r>
    </w:p>
    <w:p w14:paraId="7ED4371F">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(1)宣布开标纪律；</w:t>
      </w:r>
    </w:p>
    <w:p w14:paraId="11E6DA1A">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olor w:val="auto"/>
          <w:sz w:val="24"/>
          <w:highlight w:val="none"/>
        </w:rPr>
        <w:t xml:space="preserve"> 加密检查。开标时间一到，电子交易平台自动公开显示递交投标文件顺序号及对应的电子投标文件加密状态</w:t>
      </w:r>
      <w:r>
        <w:rPr>
          <w:rFonts w:ascii="宋体" w:hAnsi="宋体" w:cs="宋体"/>
          <w:snapToGrid w:val="0"/>
          <w:color w:val="auto"/>
          <w:kern w:val="0"/>
          <w:sz w:val="24"/>
          <w:highlight w:val="none"/>
        </w:rPr>
        <w:t xml:space="preserve">； </w:t>
      </w:r>
    </w:p>
    <w:p w14:paraId="263281E2">
      <w:pPr>
        <w:tabs>
          <w:tab w:val="left" w:pos="480"/>
        </w:tabs>
        <w:adjustRightInd w:val="0"/>
        <w:snapToGrid w:val="0"/>
        <w:spacing w:line="360" w:lineRule="auto"/>
        <w:ind w:firstLine="480" w:firstLineChars="200"/>
        <w:rPr>
          <w:rFonts w:ascii="宋体" w:hAnsi="宋体"/>
          <w:color w:val="auto"/>
          <w:sz w:val="24"/>
          <w:highlight w:val="none"/>
        </w:rPr>
      </w:pPr>
      <w:r>
        <w:rPr>
          <w:rFonts w:ascii="宋体" w:hAnsi="宋体" w:cs="宋体"/>
          <w:snapToGrid w:val="0"/>
          <w:color w:val="auto"/>
          <w:kern w:val="0"/>
          <w:sz w:val="24"/>
          <w:highlight w:val="none"/>
        </w:rPr>
        <w:t>(3)</w:t>
      </w:r>
      <w:r>
        <w:rPr>
          <w:rFonts w:hint="eastAsia" w:ascii="宋体" w:hAnsi="宋体"/>
          <w:color w:val="auto"/>
          <w:sz w:val="24"/>
          <w:highlight w:val="none"/>
        </w:rPr>
        <w:t xml:space="preserve"> </w:t>
      </w:r>
      <w:r>
        <w:rPr>
          <w:rFonts w:hint="eastAsia" w:ascii="方正大标宋简体" w:hAnsi="方正大标宋简体"/>
          <w:color w:val="auto"/>
          <w:sz w:val="24"/>
          <w:highlight w:val="none"/>
        </w:rPr>
        <w:t>电子投标文件解密，</w:t>
      </w:r>
      <w:r>
        <w:rPr>
          <w:rFonts w:hint="eastAsia" w:ascii="宋体" w:hAnsi="宋体"/>
          <w:color w:val="auto"/>
          <w:sz w:val="24"/>
          <w:highlight w:val="none"/>
        </w:rPr>
        <w:t>投标人应在线参加开标</w:t>
      </w:r>
      <w:r>
        <w:rPr>
          <w:rFonts w:hint="eastAsia" w:ascii="方正大标宋简体" w:hAnsi="方正大标宋简体"/>
          <w:color w:val="auto"/>
          <w:sz w:val="24"/>
          <w:highlight w:val="none"/>
        </w:rPr>
        <w:t>。开标时，电子交易平台自动提取所有投标文件，提示投标人在线开始解密。投</w:t>
      </w:r>
      <w:r>
        <w:rPr>
          <w:rFonts w:hint="eastAsia" w:ascii="宋体" w:hAnsi="宋体"/>
          <w:color w:val="auto"/>
          <w:sz w:val="24"/>
          <w:highlight w:val="none"/>
        </w:rPr>
        <w:t>标人应在开始解密时间（开标时间）起1个小时内在线进行电子投标文件的解密操作，未在规定时间内解密，其投标视为无效；</w:t>
      </w:r>
    </w:p>
    <w:p w14:paraId="1A48F521">
      <w:pPr>
        <w:tabs>
          <w:tab w:val="left" w:pos="480"/>
        </w:tabs>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 xml:space="preserve"> </w:t>
      </w:r>
      <w:r>
        <w:rPr>
          <w:rFonts w:hint="eastAsia" w:ascii="方正大标宋简体" w:hAnsi="方正大标宋简体"/>
          <w:color w:val="auto"/>
          <w:sz w:val="24"/>
          <w:highlight w:val="none"/>
        </w:rPr>
        <w:t>解密全部完成后或解密时间截止时，电子交易平台</w:t>
      </w:r>
      <w:r>
        <w:rPr>
          <w:rFonts w:hint="eastAsia" w:ascii="宋体" w:hAnsi="宋体"/>
          <w:color w:val="auto"/>
          <w:sz w:val="24"/>
          <w:highlight w:val="none"/>
        </w:rPr>
        <w:t>按照投标人须知前附表的规定</w:t>
      </w:r>
      <w:r>
        <w:rPr>
          <w:rFonts w:hint="eastAsia" w:ascii="方正大标宋简体" w:hAnsi="方正大标宋简体"/>
          <w:color w:val="auto"/>
          <w:sz w:val="24"/>
          <w:highlight w:val="none"/>
        </w:rPr>
        <w:t>自动确定并显示</w:t>
      </w:r>
      <w:r>
        <w:rPr>
          <w:rFonts w:hint="eastAsia" w:ascii="宋体" w:hAnsi="宋体"/>
          <w:color w:val="auto"/>
          <w:sz w:val="24"/>
          <w:highlight w:val="none"/>
        </w:rPr>
        <w:t>投标文件开标顺序</w:t>
      </w:r>
      <w:r>
        <w:rPr>
          <w:rFonts w:ascii="宋体" w:hAnsi="宋体" w:cs="宋体"/>
          <w:snapToGrid w:val="0"/>
          <w:color w:val="auto"/>
          <w:kern w:val="0"/>
          <w:sz w:val="24"/>
          <w:highlight w:val="none"/>
        </w:rPr>
        <w:t>公布投标人名称、</w:t>
      </w:r>
      <w:r>
        <w:rPr>
          <w:rFonts w:hint="eastAsia" w:ascii="宋体" w:hAnsi="宋体" w:cs="宋体"/>
          <w:snapToGrid w:val="0"/>
          <w:color w:val="auto"/>
          <w:kern w:val="0"/>
          <w:sz w:val="24"/>
          <w:highlight w:val="none"/>
        </w:rPr>
        <w:t>投标报价、质量目标、工期、项目负责人姓名、证书及编号、投标保证金金额等</w:t>
      </w:r>
      <w:r>
        <w:rPr>
          <w:rFonts w:ascii="宋体" w:hAnsi="宋体" w:cs="宋体"/>
          <w:snapToGrid w:val="0"/>
          <w:color w:val="auto"/>
          <w:kern w:val="0"/>
          <w:sz w:val="24"/>
          <w:highlight w:val="none"/>
        </w:rPr>
        <w:t>内容；</w:t>
      </w:r>
    </w:p>
    <w:p w14:paraId="01CB7619">
      <w:pPr>
        <w:tabs>
          <w:tab w:val="left" w:pos="480"/>
        </w:tabs>
        <w:adjustRightInd w:val="0"/>
        <w:snapToGrid w:val="0"/>
        <w:spacing w:line="360" w:lineRule="auto"/>
        <w:ind w:firstLine="480" w:firstLineChars="200"/>
        <w:rPr>
          <w:rFonts w:ascii="宋体" w:hAnsi="宋体"/>
          <w:color w:val="auto"/>
          <w:sz w:val="24"/>
          <w:highlight w:val="none"/>
        </w:rPr>
      </w:pP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5</w:t>
      </w:r>
      <w:r>
        <w:rPr>
          <w:rFonts w:ascii="宋体" w:hAnsi="宋体" w:cs="宋体"/>
          <w:snapToGrid w:val="0"/>
          <w:color w:val="auto"/>
          <w:kern w:val="0"/>
          <w:sz w:val="24"/>
          <w:highlight w:val="none"/>
        </w:rPr>
        <w:t>)开标会议结束</w:t>
      </w:r>
      <w:r>
        <w:rPr>
          <w:rFonts w:hint="eastAsia" w:ascii="宋体" w:hAnsi="宋体"/>
          <w:color w:val="auto"/>
          <w:sz w:val="24"/>
          <w:highlight w:val="none"/>
        </w:rPr>
        <w:t>，</w:t>
      </w:r>
      <w:r>
        <w:rPr>
          <w:rFonts w:hint="eastAsia" w:ascii="方正大标宋简体" w:hAnsi="方正大标宋简体"/>
          <w:color w:val="auto"/>
          <w:sz w:val="24"/>
          <w:highlight w:val="none"/>
        </w:rPr>
        <w:t>电子交易平台自动生成开标记录并向社会公众公布，但依法应当保密的除外</w:t>
      </w:r>
      <w:r>
        <w:rPr>
          <w:rFonts w:ascii="宋体" w:hAnsi="宋体" w:cs="宋体"/>
          <w:snapToGrid w:val="0"/>
          <w:color w:val="auto"/>
          <w:kern w:val="0"/>
          <w:sz w:val="24"/>
          <w:highlight w:val="none"/>
        </w:rPr>
        <w:t xml:space="preserve">。 </w:t>
      </w:r>
    </w:p>
    <w:p w14:paraId="2D204EC0">
      <w:pPr>
        <w:widowControl/>
        <w:spacing w:line="360" w:lineRule="auto"/>
        <w:ind w:left="703"/>
        <w:jc w:val="left"/>
        <w:rPr>
          <w:rFonts w:ascii="宋体" w:hAnsi="宋体"/>
          <w:b/>
          <w:color w:val="auto"/>
          <w:sz w:val="24"/>
          <w:highlight w:val="none"/>
        </w:rPr>
      </w:pPr>
      <w:bookmarkStart w:id="339" w:name="_Toc335660779"/>
      <w:r>
        <w:rPr>
          <w:rFonts w:ascii="宋体" w:hAnsi="宋体"/>
          <w:color w:val="auto"/>
          <w:sz w:val="24"/>
          <w:highlight w:val="none"/>
        </w:rPr>
        <w:t>5.3</w:t>
      </w:r>
      <w:r>
        <w:rPr>
          <w:rFonts w:hint="eastAsia" w:ascii="宋体" w:hAnsi="宋体"/>
          <w:b/>
          <w:color w:val="auto"/>
          <w:sz w:val="24"/>
          <w:highlight w:val="none"/>
        </w:rPr>
        <w:t>解密失败的补救方案</w:t>
      </w:r>
    </w:p>
    <w:p w14:paraId="03572884">
      <w:pPr>
        <w:widowControl/>
        <w:numPr>
          <w:ilvl w:val="1"/>
          <w:numId w:val="5"/>
        </w:numPr>
        <w:spacing w:line="360" w:lineRule="auto"/>
        <w:ind w:left="0" w:firstLine="480" w:firstLineChars="200"/>
        <w:jc w:val="left"/>
        <w:rPr>
          <w:rFonts w:ascii="宋体" w:hAnsi="宋体"/>
          <w:color w:val="auto"/>
          <w:sz w:val="24"/>
          <w:highlight w:val="none"/>
        </w:rPr>
      </w:pPr>
      <w:r>
        <w:rPr>
          <w:rFonts w:hint="eastAsia" w:ascii="宋体" w:hAnsi="宋体"/>
          <w:color w:val="auto"/>
          <w:sz w:val="24"/>
          <w:highlight w:val="none"/>
        </w:rPr>
        <w:t>若为投标人设备故障或网络故障，则投标人自行更换设备或解决网络问题，投标文件解密失败经补救，仍不成功的，视为放弃投标,开标继续进行；</w:t>
      </w:r>
    </w:p>
    <w:p w14:paraId="59EF41BF">
      <w:pPr>
        <w:widowControl/>
        <w:numPr>
          <w:ilvl w:val="1"/>
          <w:numId w:val="5"/>
        </w:numPr>
        <w:spacing w:line="360" w:lineRule="auto"/>
        <w:ind w:left="0" w:firstLine="480" w:firstLineChars="200"/>
        <w:jc w:val="left"/>
        <w:rPr>
          <w:rFonts w:ascii="宋体" w:hAnsi="宋体"/>
          <w:color w:val="auto"/>
          <w:sz w:val="24"/>
          <w:highlight w:val="none"/>
        </w:rPr>
      </w:pPr>
      <w:r>
        <w:rPr>
          <w:rFonts w:hint="eastAsia" w:ascii="宋体" w:hAnsi="宋体"/>
          <w:color w:val="auto"/>
          <w:sz w:val="24"/>
          <w:highlight w:val="none"/>
        </w:rPr>
        <w:t>若为招标人原因导致无法正常解密，则由招标人及时提出解决方案；</w:t>
      </w:r>
    </w:p>
    <w:p w14:paraId="0F1CA802">
      <w:pPr>
        <w:widowControl/>
        <w:numPr>
          <w:ilvl w:val="1"/>
          <w:numId w:val="5"/>
        </w:numPr>
        <w:spacing w:line="360" w:lineRule="auto"/>
        <w:ind w:left="0" w:firstLine="480" w:firstLineChars="200"/>
        <w:jc w:val="left"/>
        <w:rPr>
          <w:rFonts w:ascii="宋体" w:hAnsi="宋体"/>
          <w:color w:val="auto"/>
          <w:sz w:val="24"/>
          <w:highlight w:val="none"/>
        </w:rPr>
      </w:pPr>
      <w:r>
        <w:rPr>
          <w:rFonts w:ascii="宋体" w:hAnsi="宋体"/>
          <w:color w:val="auto"/>
          <w:sz w:val="24"/>
          <w:highlight w:val="none"/>
        </w:rPr>
        <w:t>若为交易平台原因导致无法正常解密</w:t>
      </w:r>
      <w:r>
        <w:rPr>
          <w:rFonts w:hint="eastAsia" w:ascii="宋体" w:hAnsi="宋体"/>
          <w:color w:val="auto"/>
          <w:sz w:val="24"/>
          <w:highlight w:val="none"/>
        </w:rPr>
        <w:t>，</w:t>
      </w:r>
      <w:r>
        <w:rPr>
          <w:rFonts w:ascii="宋体" w:hAnsi="宋体"/>
          <w:color w:val="auto"/>
          <w:sz w:val="24"/>
          <w:highlight w:val="none"/>
        </w:rPr>
        <w:t>则由交易平台及时提出解决方案</w:t>
      </w:r>
      <w:r>
        <w:rPr>
          <w:rFonts w:hint="eastAsia" w:ascii="宋体" w:hAnsi="宋体"/>
          <w:color w:val="auto"/>
          <w:sz w:val="24"/>
          <w:highlight w:val="none"/>
        </w:rPr>
        <w:t>。</w:t>
      </w:r>
    </w:p>
    <w:bookmarkEnd w:id="339"/>
    <w:p w14:paraId="472258B1">
      <w:pPr>
        <w:pStyle w:val="92"/>
        <w:spacing w:before="240" w:beforeLines="100" w:line="360" w:lineRule="auto"/>
        <w:outlineLvl w:val="0"/>
        <w:rPr>
          <w:rFonts w:ascii="宋体" w:hAnsi="宋体" w:eastAsia="宋体"/>
          <w:b/>
          <w:snapToGrid w:val="0"/>
          <w:color w:val="auto"/>
          <w:kern w:val="0"/>
          <w:sz w:val="24"/>
          <w:szCs w:val="24"/>
          <w:highlight w:val="none"/>
        </w:rPr>
      </w:pPr>
      <w:bookmarkStart w:id="340" w:name="_Toc335660780"/>
      <w:bookmarkStart w:id="341" w:name="_Toc335721948"/>
      <w:bookmarkStart w:id="342" w:name="_Toc326241888"/>
      <w:bookmarkStart w:id="343" w:name="_Toc488649886"/>
      <w:bookmarkStart w:id="344" w:name="_Toc346269457"/>
      <w:r>
        <w:rPr>
          <w:rFonts w:ascii="宋体" w:hAnsi="宋体" w:eastAsia="宋体"/>
          <w:b/>
          <w:snapToGrid w:val="0"/>
          <w:color w:val="auto"/>
          <w:kern w:val="0"/>
          <w:sz w:val="24"/>
          <w:szCs w:val="24"/>
          <w:highlight w:val="none"/>
        </w:rPr>
        <w:t>6. 评标</w:t>
      </w:r>
      <w:bookmarkEnd w:id="340"/>
      <w:bookmarkEnd w:id="341"/>
      <w:bookmarkEnd w:id="342"/>
      <w:bookmarkEnd w:id="343"/>
      <w:bookmarkEnd w:id="344"/>
    </w:p>
    <w:p w14:paraId="0E9CBBE6">
      <w:pPr>
        <w:pStyle w:val="4"/>
        <w:rPr>
          <w:color w:val="auto"/>
          <w:highlight w:val="none"/>
        </w:rPr>
      </w:pPr>
      <w:bookmarkStart w:id="345" w:name="_Toc335659987"/>
      <w:bookmarkStart w:id="346" w:name="_Toc330217925"/>
      <w:bookmarkStart w:id="347" w:name="_Toc335660400"/>
      <w:bookmarkStart w:id="348" w:name="_Toc335721949"/>
      <w:bookmarkStart w:id="349" w:name="_Toc330218639"/>
      <w:bookmarkStart w:id="350" w:name="_Toc335660781"/>
      <w:bookmarkStart w:id="351" w:name="_Toc335721497"/>
      <w:bookmarkStart w:id="352" w:name="_Toc330218074"/>
      <w:r>
        <w:rPr>
          <w:color w:val="auto"/>
          <w:highlight w:val="none"/>
        </w:rPr>
        <w:t>6.1 评标委员会</w:t>
      </w:r>
      <w:bookmarkEnd w:id="345"/>
      <w:bookmarkEnd w:id="346"/>
      <w:bookmarkEnd w:id="347"/>
      <w:bookmarkEnd w:id="348"/>
      <w:bookmarkEnd w:id="349"/>
      <w:bookmarkEnd w:id="350"/>
      <w:bookmarkEnd w:id="351"/>
      <w:bookmarkEnd w:id="352"/>
    </w:p>
    <w:p w14:paraId="7AE250DE">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53" w:name="_Toc335660782"/>
      <w:r>
        <w:rPr>
          <w:rFonts w:ascii="宋体" w:hAnsi="宋体" w:cs="宋体"/>
          <w:snapToGrid w:val="0"/>
          <w:color w:val="auto"/>
          <w:kern w:val="0"/>
          <w:sz w:val="24"/>
          <w:highlight w:val="none"/>
        </w:rPr>
        <w:t>6.1.1 评标由招标人依法组建的评标委员会负责。评标委员会由招标人熟悉相关业务的代表，以及有关技术、经济等方面的专家组成。</w:t>
      </w:r>
      <w:bookmarkEnd w:id="353"/>
      <w:r>
        <w:rPr>
          <w:rFonts w:ascii="宋体" w:hAnsi="宋体" w:cs="宋体"/>
          <w:snapToGrid w:val="0"/>
          <w:color w:val="auto"/>
          <w:kern w:val="0"/>
          <w:sz w:val="24"/>
          <w:highlight w:val="none"/>
        </w:rPr>
        <w:t>评标委员会成员人数以及技术、经济等方面专家的确定方式见投标人须知前附表。</w:t>
      </w:r>
    </w:p>
    <w:p w14:paraId="38EBF172">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bookmarkStart w:id="354" w:name="_Toc335660783"/>
      <w:r>
        <w:rPr>
          <w:rFonts w:ascii="宋体" w:hAnsi="宋体" w:cs="宋体"/>
          <w:snapToGrid w:val="0"/>
          <w:color w:val="auto"/>
          <w:kern w:val="0"/>
          <w:sz w:val="24"/>
          <w:highlight w:val="none"/>
        </w:rPr>
        <w:t>6.1.2</w:t>
      </w:r>
      <w:r>
        <w:rPr>
          <w:rFonts w:hint="eastAsia" w:ascii="宋体" w:hAnsi="宋体" w:cs="宋体"/>
          <w:snapToGrid w:val="0"/>
          <w:color w:val="auto"/>
          <w:kern w:val="0"/>
          <w:sz w:val="24"/>
          <w:highlight w:val="none"/>
        </w:rPr>
        <w:t xml:space="preserve"> </w:t>
      </w:r>
      <w:r>
        <w:rPr>
          <w:rFonts w:ascii="宋体" w:hAnsi="宋体" w:cs="宋体"/>
          <w:snapToGrid w:val="0"/>
          <w:color w:val="auto"/>
          <w:kern w:val="0"/>
          <w:sz w:val="24"/>
          <w:highlight w:val="none"/>
        </w:rPr>
        <w:t>评标委员会成员应按照招标文件规定的评标标准和方法，客观、公正地对投标文件提出评审意见。招标文件没有规定的评标标准和方法不得作为评标的依据。</w:t>
      </w:r>
      <w:bookmarkEnd w:id="354"/>
    </w:p>
    <w:p w14:paraId="2017BB28">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6.1.3 </w:t>
      </w:r>
      <w:r>
        <w:rPr>
          <w:rFonts w:hint="eastAsia" w:ascii="宋体" w:hAnsi="宋体" w:cs="宋体"/>
          <w:snapToGrid w:val="0"/>
          <w:color w:val="auto"/>
          <w:kern w:val="0"/>
          <w:sz w:val="24"/>
          <w:highlight w:val="none"/>
        </w:rPr>
        <w:t>评标委员会成员有下列情形之一的，应回避：</w:t>
      </w:r>
    </w:p>
    <w:p w14:paraId="000FC6DC">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招标人或投标人的主要负责人的近亲属；</w:t>
      </w:r>
      <w:r>
        <w:rPr>
          <w:rFonts w:ascii="宋体" w:hAnsi="宋体" w:cs="宋体"/>
          <w:snapToGrid w:val="0"/>
          <w:color w:val="auto"/>
          <w:kern w:val="0"/>
          <w:sz w:val="24"/>
          <w:highlight w:val="none"/>
        </w:rPr>
        <w:t xml:space="preserve"> </w:t>
      </w:r>
    </w:p>
    <w:p w14:paraId="454116A8">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(2)</w:t>
      </w:r>
      <w:r>
        <w:rPr>
          <w:rFonts w:hint="eastAsia" w:ascii="宋体" w:hAnsi="宋体" w:cs="宋体"/>
          <w:snapToGrid w:val="0"/>
          <w:color w:val="auto"/>
          <w:kern w:val="0"/>
          <w:sz w:val="24"/>
          <w:highlight w:val="none"/>
        </w:rPr>
        <w:t>项目主管部门或行政监督部门的人员；</w:t>
      </w:r>
    </w:p>
    <w:p w14:paraId="78CBE466">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与投标人有经济利益关系，可能影响对投标公正评审的；</w:t>
      </w:r>
    </w:p>
    <w:p w14:paraId="78B116DE">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(4)</w:t>
      </w:r>
      <w:r>
        <w:rPr>
          <w:rFonts w:hint="eastAsia" w:ascii="宋体" w:hAnsi="宋体" w:cs="宋体"/>
          <w:snapToGrid w:val="0"/>
          <w:color w:val="auto"/>
          <w:kern w:val="0"/>
          <w:sz w:val="24"/>
          <w:highlight w:val="none"/>
        </w:rPr>
        <w:t>曾因在招标、评标以及其他与招标投标有关活动中从事违法行为而受过行政处罚或刑事处罚的；</w:t>
      </w:r>
    </w:p>
    <w:p w14:paraId="61007122">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（5）与投标人有其他利害关系的。</w:t>
      </w:r>
    </w:p>
    <w:p w14:paraId="6EEF39E4">
      <w:pPr>
        <w:pStyle w:val="4"/>
        <w:rPr>
          <w:color w:val="auto"/>
          <w:highlight w:val="none"/>
        </w:rPr>
      </w:pPr>
      <w:bookmarkStart w:id="355" w:name="_Toc330217926"/>
      <w:bookmarkStart w:id="356" w:name="_Toc335660784"/>
      <w:bookmarkStart w:id="357" w:name="_Toc330218075"/>
      <w:bookmarkStart w:id="358" w:name="_Toc335721950"/>
      <w:bookmarkStart w:id="359" w:name="_Toc335721498"/>
      <w:bookmarkStart w:id="360" w:name="_Toc330218640"/>
      <w:bookmarkStart w:id="361" w:name="_Toc335659988"/>
      <w:bookmarkStart w:id="362" w:name="_Toc335660401"/>
      <w:r>
        <w:rPr>
          <w:color w:val="auto"/>
          <w:highlight w:val="none"/>
        </w:rPr>
        <w:t>6.2 评标原则</w:t>
      </w:r>
      <w:bookmarkEnd w:id="355"/>
      <w:bookmarkEnd w:id="356"/>
      <w:bookmarkEnd w:id="357"/>
      <w:bookmarkEnd w:id="358"/>
      <w:bookmarkEnd w:id="359"/>
      <w:bookmarkEnd w:id="360"/>
      <w:bookmarkEnd w:id="361"/>
      <w:bookmarkEnd w:id="362"/>
    </w:p>
    <w:p w14:paraId="24353767">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评标活动遵循公平、公正、科学和择优的原则</w:t>
      </w:r>
      <w:r>
        <w:rPr>
          <w:rFonts w:hint="eastAsia" w:ascii="宋体" w:hAnsi="宋体" w:cs="宋体"/>
          <w:snapToGrid w:val="0"/>
          <w:color w:val="auto"/>
          <w:kern w:val="0"/>
          <w:sz w:val="24"/>
          <w:highlight w:val="none"/>
        </w:rPr>
        <w:t>，按照招标文件规定的标准和方法，对投标文件进行评审和比较</w:t>
      </w:r>
      <w:r>
        <w:rPr>
          <w:rFonts w:ascii="宋体" w:hAnsi="宋体" w:cs="宋体"/>
          <w:snapToGrid w:val="0"/>
          <w:color w:val="auto"/>
          <w:kern w:val="0"/>
          <w:sz w:val="24"/>
          <w:highlight w:val="none"/>
        </w:rPr>
        <w:t>。</w:t>
      </w:r>
    </w:p>
    <w:p w14:paraId="5F9882CC">
      <w:pPr>
        <w:pStyle w:val="4"/>
        <w:rPr>
          <w:color w:val="auto"/>
          <w:highlight w:val="none"/>
        </w:rPr>
      </w:pPr>
      <w:bookmarkStart w:id="363" w:name="_Toc335721951"/>
      <w:bookmarkStart w:id="364" w:name="_Toc330218641"/>
      <w:bookmarkStart w:id="365" w:name="_Toc330217927"/>
      <w:bookmarkStart w:id="366" w:name="_Toc335660785"/>
      <w:bookmarkStart w:id="367" w:name="_Toc330218076"/>
      <w:bookmarkStart w:id="368" w:name="_Toc335660402"/>
      <w:bookmarkStart w:id="369" w:name="_Toc335659989"/>
      <w:bookmarkStart w:id="370" w:name="_Toc335721499"/>
      <w:r>
        <w:rPr>
          <w:color w:val="auto"/>
          <w:highlight w:val="none"/>
        </w:rPr>
        <w:t>6.3 评标</w:t>
      </w:r>
      <w:bookmarkEnd w:id="363"/>
      <w:bookmarkEnd w:id="364"/>
      <w:bookmarkEnd w:id="365"/>
      <w:bookmarkEnd w:id="366"/>
      <w:bookmarkEnd w:id="367"/>
      <w:bookmarkEnd w:id="368"/>
      <w:bookmarkEnd w:id="369"/>
      <w:bookmarkEnd w:id="370"/>
    </w:p>
    <w:p w14:paraId="0A65E6DA">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本项目采用的评标方法见投标人须知前附表。评标委员会按照第三章“评标办法”的规定进行评</w:t>
      </w:r>
      <w:r>
        <w:rPr>
          <w:rFonts w:hint="eastAsia" w:ascii="宋体" w:hAnsi="宋体" w:cs="宋体"/>
          <w:snapToGrid w:val="0"/>
          <w:color w:val="auto"/>
          <w:kern w:val="0"/>
          <w:sz w:val="24"/>
          <w:highlight w:val="none"/>
        </w:rPr>
        <w:t>审</w:t>
      </w:r>
      <w:r>
        <w:rPr>
          <w:rFonts w:ascii="宋体" w:hAnsi="宋体" w:cs="宋体"/>
          <w:snapToGrid w:val="0"/>
          <w:color w:val="auto"/>
          <w:kern w:val="0"/>
          <w:sz w:val="24"/>
          <w:highlight w:val="none"/>
        </w:rPr>
        <w:t>。第三章“评标办法”没有规定的方法、评审因素和标准，不作为评标依据。</w:t>
      </w:r>
    </w:p>
    <w:p w14:paraId="06D2E080">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评标委员会汇总评审意见，向招标人提交评标报告和定标候选人名单。评标报告应由评标委员会全体成员签字。对评标结果有不同意见的评标委员会成员应以书面形式说明其不同意见和理由，评标报告应注明该不同意见。评标委员会成员拒绝在评标报告上签字又不书面说明其不同意见和理由的，视为同意评标结果，评标委员会应对此作出书面说明并记录 。</w:t>
      </w:r>
    </w:p>
    <w:p w14:paraId="6EE08EDC">
      <w:pPr>
        <w:pStyle w:val="92"/>
        <w:spacing w:before="240" w:beforeLines="100" w:line="360" w:lineRule="auto"/>
        <w:outlineLvl w:val="0"/>
        <w:rPr>
          <w:rFonts w:ascii="宋体" w:hAnsi="宋体" w:eastAsia="宋体"/>
          <w:b/>
          <w:snapToGrid w:val="0"/>
          <w:color w:val="auto"/>
          <w:kern w:val="0"/>
          <w:sz w:val="24"/>
          <w:szCs w:val="24"/>
          <w:highlight w:val="none"/>
        </w:rPr>
      </w:pPr>
      <w:bookmarkStart w:id="371" w:name="_Toc335660786"/>
      <w:bookmarkStart w:id="372" w:name="_Toc488649887"/>
      <w:bookmarkStart w:id="373" w:name="_Toc346269458"/>
      <w:bookmarkStart w:id="374" w:name="_Toc335721952"/>
      <w:bookmarkStart w:id="375" w:name="_Toc326241889"/>
      <w:r>
        <w:rPr>
          <w:rFonts w:ascii="宋体" w:hAnsi="宋体" w:eastAsia="宋体"/>
          <w:b/>
          <w:snapToGrid w:val="0"/>
          <w:color w:val="auto"/>
          <w:kern w:val="0"/>
          <w:sz w:val="24"/>
          <w:szCs w:val="24"/>
          <w:highlight w:val="none"/>
        </w:rPr>
        <w:t xml:space="preserve">7. </w:t>
      </w:r>
      <w:r>
        <w:rPr>
          <w:rFonts w:hint="eastAsia" w:ascii="宋体" w:hAnsi="宋体" w:eastAsia="宋体"/>
          <w:b/>
          <w:snapToGrid w:val="0"/>
          <w:color w:val="auto"/>
          <w:kern w:val="0"/>
          <w:sz w:val="24"/>
          <w:szCs w:val="24"/>
          <w:highlight w:val="none"/>
        </w:rPr>
        <w:t>清标、</w:t>
      </w:r>
      <w:r>
        <w:rPr>
          <w:rFonts w:ascii="宋体" w:hAnsi="宋体" w:eastAsia="宋体"/>
          <w:b/>
          <w:snapToGrid w:val="0"/>
          <w:color w:val="auto"/>
          <w:kern w:val="0"/>
          <w:sz w:val="24"/>
          <w:szCs w:val="24"/>
          <w:highlight w:val="none"/>
        </w:rPr>
        <w:t>定标</w:t>
      </w:r>
      <w:r>
        <w:rPr>
          <w:rFonts w:hint="eastAsia" w:ascii="宋体" w:hAnsi="宋体" w:eastAsia="宋体"/>
          <w:b/>
          <w:snapToGrid w:val="0"/>
          <w:color w:val="auto"/>
          <w:kern w:val="0"/>
          <w:sz w:val="24"/>
          <w:szCs w:val="24"/>
          <w:highlight w:val="none"/>
        </w:rPr>
        <w:t>、中标</w:t>
      </w:r>
      <w:r>
        <w:rPr>
          <w:rFonts w:ascii="宋体" w:hAnsi="宋体" w:eastAsia="宋体"/>
          <w:b/>
          <w:snapToGrid w:val="0"/>
          <w:color w:val="auto"/>
          <w:kern w:val="0"/>
          <w:sz w:val="24"/>
          <w:szCs w:val="24"/>
          <w:highlight w:val="none"/>
        </w:rPr>
        <w:t>与合同授予</w:t>
      </w:r>
      <w:bookmarkEnd w:id="371"/>
      <w:bookmarkEnd w:id="372"/>
      <w:bookmarkEnd w:id="373"/>
      <w:bookmarkEnd w:id="374"/>
      <w:bookmarkEnd w:id="375"/>
    </w:p>
    <w:p w14:paraId="51E081C1">
      <w:pPr>
        <w:pStyle w:val="4"/>
        <w:rPr>
          <w:rFonts w:hint="eastAsia" w:eastAsia="宋体"/>
          <w:color w:val="auto"/>
          <w:highlight w:val="none"/>
          <w:lang w:val="en-US" w:eastAsia="zh-CN"/>
        </w:rPr>
      </w:pPr>
      <w:bookmarkStart w:id="376" w:name="_Toc335660787"/>
      <w:bookmarkStart w:id="377" w:name="_Toc335659991"/>
      <w:bookmarkStart w:id="378" w:name="_Toc335721953"/>
      <w:bookmarkStart w:id="379" w:name="_Toc335721501"/>
      <w:bookmarkStart w:id="380" w:name="_Toc335660404"/>
      <w:bookmarkStart w:id="381" w:name="_Toc330217929"/>
      <w:bookmarkStart w:id="382" w:name="_Toc330218643"/>
      <w:bookmarkStart w:id="383" w:name="_Toc330218078"/>
      <w:r>
        <w:rPr>
          <w:rFonts w:hint="eastAsia"/>
          <w:color w:val="auto"/>
          <w:highlight w:val="none"/>
        </w:rPr>
        <w:t>7.1 清标</w:t>
      </w:r>
      <w:r>
        <w:rPr>
          <w:rFonts w:hint="eastAsia"/>
          <w:color w:val="auto"/>
          <w:highlight w:val="none"/>
          <w:lang w:val="en-US" w:eastAsia="zh-CN"/>
        </w:rPr>
        <w:t>小组</w:t>
      </w:r>
    </w:p>
    <w:p w14:paraId="33279B16">
      <w:pPr>
        <w:spacing w:line="360" w:lineRule="auto"/>
        <w:ind w:firstLine="480" w:firstLineChars="200"/>
        <w:rPr>
          <w:rFonts w:ascii="宋体" w:hAnsi="宋体" w:cs="宋体"/>
          <w:color w:val="auto"/>
          <w:kern w:val="1"/>
          <w:sz w:val="24"/>
          <w:highlight w:val="none"/>
        </w:rPr>
      </w:pPr>
      <w:r>
        <w:rPr>
          <w:rFonts w:hint="eastAsia" w:ascii="宋体" w:hAnsi="宋体" w:cs="宋体"/>
          <w:color w:val="auto"/>
          <w:kern w:val="1"/>
          <w:sz w:val="24"/>
          <w:highlight w:val="none"/>
        </w:rPr>
        <w:t>清标小组按照第四章“定标方案”规定的规则组建并按照规定的方法、规则、标准和程序负责清标工作，整理汇总各定标候选人</w:t>
      </w:r>
      <w:r>
        <w:rPr>
          <w:rFonts w:hint="eastAsia" w:ascii="宋体" w:hAnsi="宋体" w:cs="宋体"/>
          <w:color w:val="auto"/>
          <w:sz w:val="24"/>
          <w:highlight w:val="none"/>
        </w:rPr>
        <w:t>的清标情况，</w:t>
      </w:r>
      <w:r>
        <w:rPr>
          <w:rFonts w:hint="eastAsia" w:ascii="宋体" w:hAnsi="宋体" w:cs="宋体"/>
          <w:color w:val="auto"/>
          <w:kern w:val="1"/>
          <w:sz w:val="24"/>
          <w:highlight w:val="none"/>
        </w:rPr>
        <w:t>并编制清标报告。</w:t>
      </w:r>
    </w:p>
    <w:p w14:paraId="1749C382">
      <w:pPr>
        <w:pStyle w:val="4"/>
        <w:rPr>
          <w:rFonts w:hint="eastAsia" w:eastAsia="宋体"/>
          <w:color w:val="auto"/>
          <w:highlight w:val="none"/>
          <w:lang w:val="en-US" w:eastAsia="zh-CN"/>
        </w:rPr>
      </w:pPr>
      <w:r>
        <w:rPr>
          <w:rFonts w:hint="eastAsia"/>
          <w:color w:val="auto"/>
          <w:highlight w:val="none"/>
        </w:rPr>
        <w:t>7.2 定标</w:t>
      </w:r>
      <w:r>
        <w:rPr>
          <w:rFonts w:hint="eastAsia"/>
          <w:color w:val="auto"/>
          <w:highlight w:val="none"/>
          <w:lang w:val="en-US" w:eastAsia="zh-CN"/>
        </w:rPr>
        <w:t>委员会</w:t>
      </w:r>
    </w:p>
    <w:p w14:paraId="1D1B34D3">
      <w:pPr>
        <w:spacing w:line="360" w:lineRule="auto"/>
        <w:ind w:firstLine="420"/>
        <w:rPr>
          <w:rFonts w:ascii="宋体" w:hAnsi="宋体" w:cs="宋体"/>
          <w:color w:val="auto"/>
          <w:kern w:val="1"/>
          <w:highlight w:val="none"/>
        </w:rPr>
      </w:pPr>
      <w:r>
        <w:rPr>
          <w:rFonts w:hint="eastAsia" w:ascii="宋体" w:hAnsi="宋体" w:cs="宋体"/>
          <w:color w:val="auto"/>
          <w:kern w:val="1"/>
          <w:sz w:val="24"/>
          <w:szCs w:val="24"/>
          <w:highlight w:val="none"/>
        </w:rPr>
        <w:t>定标委员会按照第四章“定标方案”规定的规则组建并按照规定的方法、规则、标准和程序负责</w:t>
      </w:r>
      <w:r>
        <w:rPr>
          <w:rFonts w:hint="eastAsia" w:ascii="宋体" w:hAnsi="宋体" w:cs="宋体"/>
          <w:color w:val="auto"/>
          <w:kern w:val="1"/>
          <w:sz w:val="24"/>
          <w:szCs w:val="24"/>
          <w:highlight w:val="none"/>
          <w:lang w:val="en-US" w:eastAsia="zh-CN"/>
        </w:rPr>
        <w:t>项目负责人</w:t>
      </w:r>
      <w:r>
        <w:rPr>
          <w:rFonts w:hint="eastAsia" w:ascii="宋体" w:hAnsi="宋体" w:cs="宋体"/>
          <w:color w:val="auto"/>
          <w:kern w:val="1"/>
          <w:sz w:val="24"/>
          <w:szCs w:val="24"/>
          <w:highlight w:val="none"/>
        </w:rPr>
        <w:t>陈述答辩考核以及定标工作，编制定标报告。</w:t>
      </w:r>
    </w:p>
    <w:p w14:paraId="6D082EB2">
      <w:pPr>
        <w:wordWrap w:val="0"/>
        <w:spacing w:line="300" w:lineRule="auto"/>
        <w:outlineLvl w:val="3"/>
        <w:rPr>
          <w:rFonts w:eastAsia="黑体"/>
          <w:color w:val="auto"/>
          <w:sz w:val="24"/>
          <w:highlight w:val="none"/>
        </w:rPr>
      </w:pPr>
      <w:r>
        <w:rPr>
          <w:rFonts w:hint="eastAsia" w:eastAsia="黑体"/>
          <w:color w:val="auto"/>
          <w:sz w:val="24"/>
          <w:highlight w:val="none"/>
        </w:rPr>
        <w:t>7.</w:t>
      </w:r>
      <w:r>
        <w:rPr>
          <w:rFonts w:hint="eastAsia" w:eastAsia="黑体"/>
          <w:color w:val="auto"/>
          <w:sz w:val="24"/>
          <w:highlight w:val="none"/>
          <w:lang w:val="en-US" w:eastAsia="zh-CN"/>
        </w:rPr>
        <w:t>2</w:t>
      </w:r>
      <w:r>
        <w:rPr>
          <w:rFonts w:hint="eastAsia" w:eastAsia="黑体"/>
          <w:color w:val="auto"/>
          <w:sz w:val="24"/>
          <w:highlight w:val="none"/>
        </w:rPr>
        <w:t xml:space="preserve"> 定标方案</w:t>
      </w:r>
    </w:p>
    <w:p w14:paraId="0B472D34">
      <w:pPr>
        <w:spacing w:line="360" w:lineRule="auto"/>
        <w:ind w:firstLine="42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第四章“定标方案”中使用的定标方法见投标人须知前附表。定标方案没有规定的方法、规则、标准，不作为清标或定标依据。</w:t>
      </w:r>
    </w:p>
    <w:p w14:paraId="072E1EE8">
      <w:pPr>
        <w:pStyle w:val="4"/>
        <w:rPr>
          <w:color w:val="auto"/>
          <w:highlight w:val="none"/>
        </w:rPr>
      </w:pPr>
      <w:r>
        <w:rPr>
          <w:rFonts w:hint="eastAsia"/>
          <w:color w:val="auto"/>
          <w:highlight w:val="none"/>
        </w:rPr>
        <w:t>7.</w:t>
      </w:r>
      <w:r>
        <w:rPr>
          <w:rFonts w:hint="eastAsia"/>
          <w:color w:val="auto"/>
          <w:highlight w:val="none"/>
          <w:lang w:val="en-US" w:eastAsia="zh-CN"/>
        </w:rPr>
        <w:t>4</w:t>
      </w:r>
      <w:r>
        <w:rPr>
          <w:rFonts w:hint="eastAsia"/>
          <w:color w:val="auto"/>
          <w:highlight w:val="none"/>
        </w:rPr>
        <w:t xml:space="preserve"> 中标候选人公示</w:t>
      </w:r>
    </w:p>
    <w:p w14:paraId="5E17F027">
      <w:pPr>
        <w:spacing w:line="360" w:lineRule="auto"/>
        <w:ind w:firstLine="420" w:firstLineChars="0"/>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招标人自完成定标之日起3日内在投标人须知前附表规定的媒介公示中标候选人，公示期不得少于3日，中标候选人公示的格式见附件。</w:t>
      </w:r>
    </w:p>
    <w:p w14:paraId="47149BD0">
      <w:pPr>
        <w:adjustRightInd w:val="0"/>
        <w:snapToGrid w:val="0"/>
        <w:spacing w:line="360" w:lineRule="auto"/>
        <w:ind w:firstLine="480" w:firstLineChars="200"/>
        <w:rPr>
          <w:rFonts w:ascii="宋体" w:hAnsi="宋体" w:cs="宋体"/>
          <w:color w:val="auto"/>
          <w:kern w:val="1"/>
          <w:sz w:val="24"/>
          <w:highlight w:val="none"/>
        </w:rPr>
      </w:pPr>
      <w:r>
        <w:rPr>
          <w:rFonts w:hint="eastAsia" w:ascii="宋体" w:hAnsi="宋体" w:cs="宋体"/>
          <w:color w:val="auto"/>
          <w:kern w:val="1"/>
          <w:sz w:val="24"/>
          <w:szCs w:val="24"/>
          <w:highlight w:val="none"/>
        </w:rPr>
        <w:t>投标人或其他利害关系人对评标、定标结果有异议的，应在中标候选人公示期间提出。招标人在自收到异议之日起3日内作出答复；作出答复前，应暂停招标投标活动。提出异议与作出答复均应通过“电子交易平台”在“异议与答复”菜单以书面形式进行。</w:t>
      </w:r>
    </w:p>
    <w:bookmarkEnd w:id="376"/>
    <w:bookmarkEnd w:id="377"/>
    <w:bookmarkEnd w:id="378"/>
    <w:bookmarkEnd w:id="379"/>
    <w:bookmarkEnd w:id="380"/>
    <w:p w14:paraId="59DE9A47">
      <w:pPr>
        <w:pStyle w:val="4"/>
        <w:rPr>
          <w:color w:val="auto"/>
          <w:highlight w:val="none"/>
        </w:rPr>
      </w:pPr>
      <w:bookmarkStart w:id="384" w:name="_Toc335659992"/>
      <w:bookmarkStart w:id="385" w:name="_Toc335660405"/>
      <w:bookmarkStart w:id="386" w:name="_Toc335721954"/>
      <w:bookmarkStart w:id="387" w:name="_Toc335721502"/>
      <w:bookmarkStart w:id="388" w:name="_Toc335660788"/>
      <w:r>
        <w:rPr>
          <w:color w:val="auto"/>
          <w:highlight w:val="none"/>
        </w:rPr>
        <w:t>7.</w:t>
      </w:r>
      <w:r>
        <w:rPr>
          <w:rFonts w:hint="eastAsia"/>
          <w:color w:val="auto"/>
          <w:highlight w:val="none"/>
          <w:lang w:val="en-US" w:eastAsia="zh-CN"/>
        </w:rPr>
        <w:t>5</w:t>
      </w:r>
      <w:r>
        <w:rPr>
          <w:color w:val="auto"/>
          <w:highlight w:val="none"/>
        </w:rPr>
        <w:t xml:space="preserve"> 中标通知</w:t>
      </w:r>
      <w:bookmarkEnd w:id="384"/>
      <w:bookmarkEnd w:id="385"/>
      <w:bookmarkEnd w:id="386"/>
      <w:bookmarkEnd w:id="387"/>
      <w:bookmarkEnd w:id="388"/>
    </w:p>
    <w:p w14:paraId="6087ECFD">
      <w:pPr>
        <w:spacing w:line="360" w:lineRule="auto"/>
        <w:ind w:firstLine="420" w:firstLineChars="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中标人确定后，招标人应当向中标人发出中标通知书，并将中标结果在投标人须知前附表规定的媒介公示进行公布。中标结果公示格式见投标须知附件。</w:t>
      </w:r>
    </w:p>
    <w:p w14:paraId="0DD6EDAD">
      <w:pPr>
        <w:pStyle w:val="4"/>
        <w:spacing w:before="0" w:beforeLines="0" w:after="0" w:afterLines="0"/>
        <w:rPr>
          <w:color w:val="auto"/>
          <w:highlight w:val="none"/>
        </w:rPr>
      </w:pPr>
      <w:r>
        <w:rPr>
          <w:color w:val="auto"/>
          <w:highlight w:val="none"/>
        </w:rPr>
        <w:t>7.</w:t>
      </w:r>
      <w:r>
        <w:rPr>
          <w:rFonts w:hint="eastAsia"/>
          <w:color w:val="auto"/>
          <w:highlight w:val="none"/>
          <w:lang w:val="en-US" w:eastAsia="zh-CN"/>
        </w:rPr>
        <w:t>6</w:t>
      </w:r>
      <w:r>
        <w:rPr>
          <w:color w:val="auto"/>
          <w:highlight w:val="none"/>
        </w:rPr>
        <w:t xml:space="preserve"> </w:t>
      </w:r>
      <w:r>
        <w:rPr>
          <w:rFonts w:hint="eastAsia"/>
          <w:color w:val="auto"/>
          <w:highlight w:val="none"/>
        </w:rPr>
        <w:t>履约担保</w:t>
      </w:r>
    </w:p>
    <w:p w14:paraId="132CFA51">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签订合同前需提交履约担保的，应符合下列规定。</w:t>
      </w:r>
    </w:p>
    <w:p w14:paraId="4FF778E4">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lang w:val="en-US" w:eastAsia="zh-CN"/>
        </w:rPr>
        <w:t>6</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中标人应按投标人须知前附表规定的金额、担保形式和招标文件第五章</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合同条款及格</w:t>
      </w:r>
      <w:r>
        <w:rPr>
          <w:rFonts w:hint="eastAsia" w:ascii="宋体" w:hAnsi="宋体"/>
          <w:snapToGrid w:val="0"/>
          <w:color w:val="auto"/>
          <w:kern w:val="0"/>
          <w:sz w:val="24"/>
          <w:highlight w:val="none"/>
        </w:rPr>
        <w:t>式</w:t>
      </w:r>
      <w:r>
        <w:rPr>
          <w:rFonts w:ascii="宋体" w:hAnsi="宋体"/>
          <w:snapToGrid w:val="0"/>
          <w:color w:val="auto"/>
          <w:kern w:val="0"/>
          <w:sz w:val="24"/>
          <w:highlight w:val="none"/>
        </w:rPr>
        <w:t>”</w:t>
      </w:r>
      <w:r>
        <w:rPr>
          <w:rFonts w:hint="eastAsia" w:ascii="宋体" w:hAnsi="宋体"/>
          <w:snapToGrid w:val="0"/>
          <w:color w:val="auto"/>
          <w:kern w:val="0"/>
          <w:sz w:val="24"/>
          <w:highlight w:val="none"/>
        </w:rPr>
        <w:t>规定的，或事先经过招标人书面认可的履约担保格式向招标人提交履约担保。履约担保金额不</w:t>
      </w:r>
      <w:r>
        <w:rPr>
          <w:rFonts w:hint="eastAsia" w:ascii="宋体" w:hAnsi="宋体" w:cs="宋体"/>
          <w:snapToGrid w:val="0"/>
          <w:color w:val="auto"/>
          <w:kern w:val="0"/>
          <w:sz w:val="24"/>
          <w:highlight w:val="none"/>
        </w:rPr>
        <w:t>得超过中标合同价的10%，详见投标人须知前附表。</w:t>
      </w:r>
      <w:r>
        <w:rPr>
          <w:rFonts w:ascii="宋体" w:hAnsi="宋体" w:cs="宋体"/>
          <w:snapToGrid w:val="0"/>
          <w:color w:val="auto"/>
          <w:kern w:val="0"/>
          <w:sz w:val="24"/>
          <w:highlight w:val="none"/>
        </w:rPr>
        <w:t xml:space="preserve"> </w:t>
      </w:r>
    </w:p>
    <w:p w14:paraId="2B3CC534">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lang w:val="en-US" w:eastAsia="zh-CN"/>
        </w:rPr>
        <w:t>6</w:t>
      </w:r>
      <w:r>
        <w:rPr>
          <w:rFonts w:ascii="宋体" w:hAnsi="宋体" w:cs="宋体"/>
          <w:snapToGrid w:val="0"/>
          <w:color w:val="auto"/>
          <w:kern w:val="0"/>
          <w:sz w:val="24"/>
          <w:highlight w:val="none"/>
        </w:rPr>
        <w:t xml:space="preserve">.2 </w:t>
      </w:r>
      <w:r>
        <w:rPr>
          <w:rFonts w:hint="eastAsia" w:ascii="宋体" w:hAnsi="宋体" w:cs="宋体"/>
          <w:snapToGrid w:val="0"/>
          <w:color w:val="auto"/>
          <w:kern w:val="0"/>
          <w:sz w:val="24"/>
          <w:highlight w:val="none"/>
        </w:rPr>
        <w:t>中标人不能按本章第</w:t>
      </w: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lang w:val="en-US" w:eastAsia="zh-CN"/>
        </w:rPr>
        <w:t>6</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款要求提交履约担保的，视为放弃中标，其投标保证金不予退还，给招标人造成的损失超过投标保证金数额的，中标人还应当对超过部分予以赔偿。</w:t>
      </w:r>
    </w:p>
    <w:p w14:paraId="1F63994F">
      <w:pPr>
        <w:pStyle w:val="4"/>
        <w:rPr>
          <w:color w:val="auto"/>
          <w:highlight w:val="none"/>
        </w:rPr>
      </w:pPr>
      <w:bookmarkStart w:id="389" w:name="_Toc335721503"/>
      <w:bookmarkStart w:id="390" w:name="_Toc335660789"/>
      <w:bookmarkStart w:id="391" w:name="_Toc335721955"/>
      <w:bookmarkStart w:id="392" w:name="_Toc335659993"/>
      <w:bookmarkStart w:id="393" w:name="_Toc335660406"/>
      <w:r>
        <w:rPr>
          <w:color w:val="auto"/>
          <w:highlight w:val="none"/>
        </w:rPr>
        <w:t>7.</w:t>
      </w:r>
      <w:r>
        <w:rPr>
          <w:rFonts w:hint="eastAsia"/>
          <w:color w:val="auto"/>
          <w:highlight w:val="none"/>
          <w:lang w:val="en-US" w:eastAsia="zh-CN"/>
        </w:rPr>
        <w:t>7</w:t>
      </w:r>
      <w:r>
        <w:rPr>
          <w:color w:val="auto"/>
          <w:highlight w:val="none"/>
        </w:rPr>
        <w:t xml:space="preserve"> </w:t>
      </w:r>
      <w:r>
        <w:rPr>
          <w:rFonts w:hint="eastAsia"/>
          <w:color w:val="auto"/>
          <w:highlight w:val="none"/>
        </w:rPr>
        <w:t>签订</w:t>
      </w:r>
      <w:r>
        <w:rPr>
          <w:color w:val="auto"/>
          <w:highlight w:val="none"/>
        </w:rPr>
        <w:t>合同</w:t>
      </w:r>
      <w:bookmarkEnd w:id="389"/>
      <w:bookmarkEnd w:id="390"/>
      <w:bookmarkEnd w:id="391"/>
      <w:bookmarkEnd w:id="392"/>
      <w:bookmarkEnd w:id="393"/>
    </w:p>
    <w:p w14:paraId="2E531FD5">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lang w:val="en-US" w:eastAsia="zh-CN"/>
        </w:rPr>
        <w:t>7</w:t>
      </w:r>
      <w:r>
        <w:rPr>
          <w:rFonts w:ascii="宋体" w:hAnsi="宋体" w:cs="宋体"/>
          <w:snapToGrid w:val="0"/>
          <w:color w:val="auto"/>
          <w:kern w:val="0"/>
          <w:sz w:val="24"/>
          <w:highlight w:val="none"/>
        </w:rPr>
        <w:t>.1 招标人和中标人应自中标通知书发出之日起30</w:t>
      </w:r>
      <w:r>
        <w:rPr>
          <w:rFonts w:hint="eastAsia" w:ascii="宋体" w:hAnsi="宋体" w:cs="宋体"/>
          <w:snapToGrid w:val="0"/>
          <w:color w:val="auto"/>
          <w:kern w:val="0"/>
          <w:sz w:val="24"/>
          <w:highlight w:val="none"/>
        </w:rPr>
        <w:t>日</w:t>
      </w:r>
      <w:r>
        <w:rPr>
          <w:rFonts w:ascii="宋体" w:hAnsi="宋体" w:cs="宋体"/>
          <w:snapToGrid w:val="0"/>
          <w:color w:val="auto"/>
          <w:kern w:val="0"/>
          <w:sz w:val="24"/>
          <w:highlight w:val="none"/>
        </w:rPr>
        <w:t>内，根据招标文件和中标人的投标文件订立书面合同。</w:t>
      </w:r>
      <w:r>
        <w:rPr>
          <w:rFonts w:hint="eastAsia" w:ascii="宋体" w:hAnsi="宋体" w:cs="宋体"/>
          <w:snapToGrid w:val="0"/>
          <w:color w:val="auto"/>
          <w:kern w:val="0"/>
          <w:sz w:val="24"/>
          <w:highlight w:val="none"/>
        </w:rPr>
        <w:t>中标人无正当理由拒签合同的，招标人取消其中标资格，其投标保证金不予退还；给招标人造成的损失超过投标保证金数额的，中标人还应当对超过部分予以赔偿。</w:t>
      </w:r>
    </w:p>
    <w:p w14:paraId="2CB2C8FB">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7.</w:t>
      </w:r>
      <w:r>
        <w:rPr>
          <w:rFonts w:hint="eastAsia" w:ascii="宋体" w:hAnsi="宋体" w:cs="宋体"/>
          <w:snapToGrid w:val="0"/>
          <w:color w:val="auto"/>
          <w:kern w:val="0"/>
          <w:sz w:val="24"/>
          <w:highlight w:val="none"/>
          <w:lang w:val="en-US" w:eastAsia="zh-CN"/>
        </w:rPr>
        <w:t>7</w:t>
      </w:r>
      <w:r>
        <w:rPr>
          <w:rFonts w:ascii="宋体" w:hAnsi="宋体" w:cs="宋体"/>
          <w:snapToGrid w:val="0"/>
          <w:color w:val="auto"/>
          <w:kern w:val="0"/>
          <w:sz w:val="24"/>
          <w:highlight w:val="none"/>
        </w:rPr>
        <w:t>.</w:t>
      </w:r>
      <w:r>
        <w:rPr>
          <w:rFonts w:hint="eastAsia" w:ascii="宋体" w:hAnsi="宋体" w:cs="宋体"/>
          <w:snapToGrid w:val="0"/>
          <w:color w:val="auto"/>
          <w:kern w:val="0"/>
          <w:sz w:val="24"/>
          <w:highlight w:val="none"/>
        </w:rPr>
        <w:t>2</w:t>
      </w: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发出中标通知书后招标人无正当理由拒签合同的，招标人应及时向投标人退还投标保证金及同期银行存款利息；给中标人造成损失的，还应当赔偿损失。</w:t>
      </w:r>
    </w:p>
    <w:p w14:paraId="6A2E0764">
      <w:pPr>
        <w:pStyle w:val="92"/>
        <w:spacing w:before="240" w:beforeLines="100" w:line="360" w:lineRule="auto"/>
        <w:outlineLvl w:val="0"/>
        <w:rPr>
          <w:rFonts w:ascii="宋体" w:hAnsi="宋体" w:eastAsia="宋体"/>
          <w:b/>
          <w:snapToGrid w:val="0"/>
          <w:color w:val="auto"/>
          <w:kern w:val="0"/>
          <w:sz w:val="24"/>
          <w:szCs w:val="24"/>
          <w:highlight w:val="none"/>
        </w:rPr>
      </w:pPr>
      <w:bookmarkStart w:id="394" w:name="_Toc346269459"/>
      <w:bookmarkStart w:id="395" w:name="_Toc488649888"/>
      <w:bookmarkStart w:id="396" w:name="_Toc335660790"/>
      <w:bookmarkStart w:id="397" w:name="_Toc335721956"/>
      <w:r>
        <w:rPr>
          <w:rFonts w:ascii="宋体" w:hAnsi="宋体" w:eastAsia="宋体"/>
          <w:b/>
          <w:snapToGrid w:val="0"/>
          <w:color w:val="auto"/>
          <w:kern w:val="0"/>
          <w:sz w:val="24"/>
          <w:szCs w:val="24"/>
          <w:highlight w:val="none"/>
        </w:rPr>
        <w:t>8. 重新招标</w:t>
      </w:r>
      <w:bookmarkEnd w:id="394"/>
      <w:bookmarkEnd w:id="395"/>
      <w:bookmarkEnd w:id="396"/>
      <w:bookmarkEnd w:id="397"/>
    </w:p>
    <w:p w14:paraId="14D80039">
      <w:pPr>
        <w:pStyle w:val="4"/>
        <w:rPr>
          <w:color w:val="auto"/>
          <w:highlight w:val="none"/>
        </w:rPr>
      </w:pPr>
      <w:bookmarkStart w:id="398" w:name="_Toc335660791"/>
      <w:bookmarkStart w:id="399" w:name="_Toc335660408"/>
      <w:bookmarkStart w:id="400" w:name="_Toc335659995"/>
      <w:bookmarkStart w:id="401" w:name="_Toc335721505"/>
      <w:bookmarkStart w:id="402" w:name="_Toc335721957"/>
      <w:r>
        <w:rPr>
          <w:color w:val="auto"/>
          <w:highlight w:val="none"/>
        </w:rPr>
        <w:t>8.1 重新招标</w:t>
      </w:r>
      <w:bookmarkEnd w:id="398"/>
      <w:bookmarkEnd w:id="399"/>
      <w:bookmarkEnd w:id="400"/>
      <w:bookmarkEnd w:id="401"/>
      <w:bookmarkEnd w:id="402"/>
    </w:p>
    <w:p w14:paraId="0DD377E9">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有下列情形之一的，招标人将重新招标：</w:t>
      </w:r>
    </w:p>
    <w:p w14:paraId="0E363E03">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1)</w:t>
      </w:r>
      <w:r>
        <w:rPr>
          <w:rFonts w:hint="eastAsia" w:ascii="宋体" w:hAnsi="宋体" w:cs="宋体"/>
          <w:snapToGrid w:val="0"/>
          <w:color w:val="auto"/>
          <w:kern w:val="0"/>
          <w:sz w:val="24"/>
          <w:highlight w:val="none"/>
        </w:rPr>
        <w:t xml:space="preserve"> </w:t>
      </w:r>
      <w:r>
        <w:rPr>
          <w:rFonts w:ascii="宋体" w:hAnsi="宋体" w:cs="宋体"/>
          <w:snapToGrid w:val="0"/>
          <w:color w:val="auto"/>
          <w:kern w:val="0"/>
          <w:sz w:val="24"/>
          <w:highlight w:val="none"/>
        </w:rPr>
        <w:t>投标截止时间止，投标人少于3个的；</w:t>
      </w:r>
    </w:p>
    <w:p w14:paraId="54A8158F">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2) 经评标委员会评审后否决所有投标的；</w:t>
      </w:r>
    </w:p>
    <w:p w14:paraId="17B0A998">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 xml:space="preserve">   </w:t>
      </w:r>
      <w:r>
        <w:rPr>
          <w:rFonts w:hint="eastAsia" w:ascii="宋体" w:hAnsi="宋体" w:cs="宋体"/>
          <w:snapToGrid w:val="0"/>
          <w:color w:val="auto"/>
          <w:kern w:val="0"/>
          <w:sz w:val="24"/>
          <w:highlight w:val="none"/>
        </w:rPr>
        <w:t>（</w:t>
      </w:r>
      <w:r>
        <w:rPr>
          <w:rFonts w:ascii="宋体" w:hAnsi="宋体" w:cs="宋体"/>
          <w:snapToGrid w:val="0"/>
          <w:color w:val="auto"/>
          <w:kern w:val="0"/>
          <w:sz w:val="24"/>
          <w:highlight w:val="none"/>
        </w:rPr>
        <w:t>3)</w:t>
      </w:r>
      <w:r>
        <w:rPr>
          <w:rFonts w:hint="eastAsia" w:ascii="宋体" w:hAnsi="宋体" w:cs="宋体"/>
          <w:snapToGrid w:val="0"/>
          <w:color w:val="auto"/>
          <w:kern w:val="0"/>
          <w:sz w:val="24"/>
          <w:highlight w:val="none"/>
        </w:rPr>
        <w:t xml:space="preserve"> </w:t>
      </w:r>
      <w:r>
        <w:rPr>
          <w:rFonts w:ascii="宋体" w:hAnsi="宋体" w:cs="宋体"/>
          <w:snapToGrid w:val="0"/>
          <w:color w:val="auto"/>
          <w:kern w:val="0"/>
          <w:sz w:val="24"/>
          <w:highlight w:val="none"/>
        </w:rPr>
        <w:t>法律规定的其他情形。</w:t>
      </w:r>
    </w:p>
    <w:p w14:paraId="0145D5DB">
      <w:pPr>
        <w:pStyle w:val="92"/>
        <w:spacing w:before="240" w:beforeLines="100" w:line="360" w:lineRule="auto"/>
        <w:outlineLvl w:val="0"/>
        <w:rPr>
          <w:rFonts w:ascii="宋体" w:hAnsi="宋体" w:eastAsia="宋体"/>
          <w:b/>
          <w:snapToGrid w:val="0"/>
          <w:color w:val="auto"/>
          <w:kern w:val="0"/>
          <w:sz w:val="24"/>
          <w:szCs w:val="24"/>
          <w:highlight w:val="none"/>
        </w:rPr>
      </w:pPr>
      <w:bookmarkStart w:id="403" w:name="_Toc335660793"/>
      <w:bookmarkStart w:id="404" w:name="_Toc488649889"/>
      <w:bookmarkStart w:id="405" w:name="_Toc346269460"/>
      <w:bookmarkStart w:id="406" w:name="_Toc335721959"/>
      <w:r>
        <w:rPr>
          <w:rFonts w:ascii="宋体" w:hAnsi="宋体" w:eastAsia="宋体"/>
          <w:b/>
          <w:snapToGrid w:val="0"/>
          <w:color w:val="auto"/>
          <w:kern w:val="0"/>
          <w:sz w:val="24"/>
          <w:szCs w:val="24"/>
          <w:highlight w:val="none"/>
        </w:rPr>
        <w:t>9. 纪律和监督</w:t>
      </w:r>
      <w:bookmarkEnd w:id="403"/>
      <w:bookmarkEnd w:id="404"/>
      <w:bookmarkEnd w:id="405"/>
      <w:bookmarkEnd w:id="406"/>
    </w:p>
    <w:p w14:paraId="1279658F">
      <w:pPr>
        <w:pStyle w:val="4"/>
        <w:rPr>
          <w:color w:val="auto"/>
          <w:highlight w:val="none"/>
        </w:rPr>
      </w:pPr>
      <w:bookmarkStart w:id="407" w:name="_Toc335660411"/>
      <w:bookmarkStart w:id="408" w:name="_Toc335721508"/>
      <w:bookmarkStart w:id="409" w:name="_Toc335660794"/>
      <w:bookmarkStart w:id="410" w:name="_Toc335721960"/>
      <w:bookmarkStart w:id="411" w:name="_Toc335659998"/>
      <w:r>
        <w:rPr>
          <w:color w:val="auto"/>
          <w:highlight w:val="none"/>
        </w:rPr>
        <w:t>9.1 对招标人的纪律要求</w:t>
      </w:r>
      <w:bookmarkEnd w:id="407"/>
      <w:bookmarkEnd w:id="408"/>
      <w:bookmarkEnd w:id="409"/>
      <w:bookmarkEnd w:id="410"/>
      <w:bookmarkEnd w:id="411"/>
    </w:p>
    <w:p w14:paraId="796C8EA3">
      <w:pPr>
        <w:tabs>
          <w:tab w:val="left" w:pos="480"/>
        </w:tabs>
        <w:adjustRightInd w:val="0"/>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招标人不得泄漏招标投标活动中应保密的情况和资料，不得与投标人串通损害国家利益、社会公共利益或他人合法权益。</w:t>
      </w:r>
    </w:p>
    <w:p w14:paraId="6EBF3C25">
      <w:pPr>
        <w:pStyle w:val="4"/>
        <w:rPr>
          <w:color w:val="auto"/>
          <w:highlight w:val="none"/>
        </w:rPr>
      </w:pPr>
      <w:bookmarkStart w:id="412" w:name="_Toc335660412"/>
      <w:bookmarkStart w:id="413" w:name="_Toc335660795"/>
      <w:bookmarkStart w:id="414" w:name="_Toc335721961"/>
      <w:bookmarkStart w:id="415" w:name="_Toc335659999"/>
      <w:bookmarkStart w:id="416" w:name="_Toc335721509"/>
      <w:r>
        <w:rPr>
          <w:color w:val="auto"/>
          <w:highlight w:val="none"/>
        </w:rPr>
        <w:t>9.2 对投标人的纪律要求</w:t>
      </w:r>
      <w:bookmarkEnd w:id="412"/>
      <w:bookmarkEnd w:id="413"/>
      <w:bookmarkEnd w:id="414"/>
      <w:bookmarkEnd w:id="415"/>
      <w:bookmarkEnd w:id="416"/>
    </w:p>
    <w:p w14:paraId="49BE3EBB">
      <w:pPr>
        <w:snapToGrid w:val="0"/>
        <w:spacing w:line="360" w:lineRule="auto"/>
        <w:ind w:firstLine="480" w:firstLineChars="200"/>
        <w:rPr>
          <w:rFonts w:ascii="宋体" w:hAnsi="宋体" w:cs="宋体"/>
          <w:snapToGrid w:val="0"/>
          <w:color w:val="auto"/>
          <w:kern w:val="0"/>
          <w:sz w:val="24"/>
          <w:highlight w:val="none"/>
        </w:rPr>
      </w:pPr>
      <w:r>
        <w:rPr>
          <w:rFonts w:ascii="宋体" w:hAnsi="宋体" w:cs="宋体"/>
          <w:snapToGrid w:val="0"/>
          <w:color w:val="auto"/>
          <w:kern w:val="0"/>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65B830FF">
      <w:pPr>
        <w:pStyle w:val="4"/>
        <w:rPr>
          <w:color w:val="auto"/>
          <w:highlight w:val="none"/>
        </w:rPr>
      </w:pPr>
      <w:bookmarkStart w:id="417" w:name="_Toc335660000"/>
      <w:bookmarkStart w:id="418" w:name="_Toc335660796"/>
      <w:bookmarkStart w:id="419" w:name="_Toc335721510"/>
      <w:bookmarkStart w:id="420" w:name="_Toc335660413"/>
      <w:bookmarkStart w:id="421" w:name="_Toc335721962"/>
      <w:r>
        <w:rPr>
          <w:color w:val="auto"/>
          <w:highlight w:val="none"/>
        </w:rPr>
        <w:t xml:space="preserve">9.3 </w:t>
      </w:r>
      <w:r>
        <w:rPr>
          <w:rFonts w:hint="eastAsia"/>
          <w:color w:val="auto"/>
          <w:highlight w:val="none"/>
        </w:rPr>
        <w:t>对评标委员会、清标小组和定标委员会成员的纪律要求</w:t>
      </w:r>
    </w:p>
    <w:p w14:paraId="4AFFA022">
      <w:pPr>
        <w:snapToGrid w:val="0"/>
        <w:spacing w:line="360" w:lineRule="auto"/>
        <w:ind w:firstLine="420" w:firstLineChars="200"/>
        <w:rPr>
          <w:rFonts w:ascii="宋体" w:hAnsi="宋体" w:cs="宋体"/>
          <w:snapToGrid w:val="0"/>
          <w:color w:val="auto"/>
          <w:kern w:val="0"/>
          <w:sz w:val="24"/>
          <w:highlight w:val="none"/>
        </w:rPr>
      </w:pPr>
      <w:r>
        <w:rPr>
          <w:rFonts w:hint="eastAsia"/>
          <w:color w:val="auto"/>
          <w:highlight w:val="none"/>
        </w:rPr>
        <w:t>评标委员会、清标小组和定标委员会成员不得收受他人的财物或者其他好处，不得向他人透漏对投标文件的评审和比较、定标候选人的推荐情况、清标定标情况及有关的其他情况。在评标、清标、定标活动中，评标委员会、清标小组和定标委员会成员应当客观、公正地履行职责，遵守职业道德，不得擅离职守，影响有关程序正常进行。</w:t>
      </w:r>
      <w:bookmarkEnd w:id="417"/>
      <w:bookmarkEnd w:id="418"/>
      <w:bookmarkEnd w:id="419"/>
      <w:bookmarkEnd w:id="420"/>
      <w:bookmarkEnd w:id="421"/>
    </w:p>
    <w:p w14:paraId="3FB15DE0">
      <w:pPr>
        <w:pStyle w:val="4"/>
        <w:rPr>
          <w:color w:val="auto"/>
          <w:highlight w:val="none"/>
        </w:rPr>
      </w:pPr>
      <w:bookmarkStart w:id="422" w:name="_Toc335721963"/>
      <w:bookmarkStart w:id="423" w:name="_Toc335660001"/>
      <w:bookmarkStart w:id="424" w:name="_Toc335721511"/>
      <w:bookmarkStart w:id="425" w:name="_Toc335660797"/>
      <w:bookmarkStart w:id="426" w:name="_Toc335660414"/>
      <w:r>
        <w:rPr>
          <w:color w:val="auto"/>
          <w:highlight w:val="none"/>
        </w:rPr>
        <w:t xml:space="preserve">9.4 </w:t>
      </w:r>
      <w:r>
        <w:rPr>
          <w:rFonts w:hint="eastAsia"/>
          <w:color w:val="auto"/>
          <w:highlight w:val="none"/>
        </w:rPr>
        <w:t>对与评标、清标和定标活动有关的工作人员的纪律要求</w:t>
      </w:r>
    </w:p>
    <w:p w14:paraId="25E54F18">
      <w:pPr>
        <w:snapToGrid w:val="0"/>
        <w:spacing w:line="360" w:lineRule="auto"/>
        <w:ind w:firstLine="420" w:firstLineChars="200"/>
        <w:rPr>
          <w:rFonts w:ascii="宋体" w:hAnsi="宋体" w:cs="宋体"/>
          <w:snapToGrid w:val="0"/>
          <w:color w:val="auto"/>
          <w:kern w:val="0"/>
          <w:sz w:val="24"/>
          <w:highlight w:val="none"/>
        </w:rPr>
      </w:pPr>
      <w:r>
        <w:rPr>
          <w:rFonts w:hint="eastAsia"/>
          <w:color w:val="auto"/>
          <w:highlight w:val="none"/>
        </w:rPr>
        <w:t>与评标、清标、定标活动有关的工作人员不得收受他人的财物或者其他好处，不得向他人透露对投标文件的评审和比较、定标候选人的推荐情况、清标定标情况以及有关的其他情况。在评标、清标、定标活动中，与评标、清标、定标活动有关的工作人员不得擅离职守，影响有关程序正常进行。</w:t>
      </w:r>
      <w:bookmarkEnd w:id="422"/>
      <w:bookmarkEnd w:id="423"/>
      <w:bookmarkEnd w:id="424"/>
      <w:bookmarkEnd w:id="425"/>
      <w:bookmarkEnd w:id="426"/>
    </w:p>
    <w:p w14:paraId="289A42CB">
      <w:pPr>
        <w:pStyle w:val="4"/>
        <w:rPr>
          <w:color w:val="auto"/>
          <w:highlight w:val="none"/>
        </w:rPr>
      </w:pPr>
      <w:bookmarkStart w:id="427" w:name="_Toc335660002"/>
      <w:bookmarkStart w:id="428" w:name="_Toc335660798"/>
      <w:bookmarkStart w:id="429" w:name="_Toc335721964"/>
      <w:bookmarkStart w:id="430" w:name="_Toc335660415"/>
      <w:bookmarkStart w:id="431" w:name="_Toc335721512"/>
      <w:r>
        <w:rPr>
          <w:color w:val="auto"/>
          <w:highlight w:val="none"/>
        </w:rPr>
        <w:t xml:space="preserve">9.5 </w:t>
      </w:r>
      <w:r>
        <w:rPr>
          <w:rFonts w:hint="eastAsia"/>
          <w:color w:val="auto"/>
          <w:highlight w:val="none"/>
          <w:lang w:val="zh-CN"/>
        </w:rPr>
        <w:t>异议、投诉与处理</w:t>
      </w:r>
      <w:bookmarkEnd w:id="427"/>
      <w:bookmarkEnd w:id="428"/>
      <w:bookmarkEnd w:id="429"/>
      <w:bookmarkEnd w:id="430"/>
      <w:bookmarkEnd w:id="431"/>
    </w:p>
    <w:p w14:paraId="59D1B83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9.5.1异议处理</w:t>
      </w:r>
    </w:p>
    <w:p w14:paraId="550E5A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（1）投标人对开标有异议的，应当使用本单位的CA证书当场通过电子交易平台在线提出；招标人应当通过电子交易平台当场作出答复。电子交易平台应当记录并保存异议的提出和答复情况。</w:t>
      </w:r>
    </w:p>
    <w:p w14:paraId="1B2AB1B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（2）潜在投标人对招标文件</w:t>
      </w:r>
      <w:r>
        <w:rPr>
          <w:rFonts w:hint="eastAsia" w:ascii="宋体" w:hAnsi="宋体"/>
          <w:color w:val="auto"/>
          <w:sz w:val="24"/>
          <w:highlight w:val="none"/>
          <w:lang w:val="en-US" w:eastAsia="zh-CN"/>
        </w:rPr>
        <w:t>有异议的，</w:t>
      </w:r>
      <w:r>
        <w:rPr>
          <w:rFonts w:hint="eastAsia" w:ascii="宋体" w:hAnsi="宋体"/>
          <w:color w:val="auto"/>
          <w:sz w:val="24"/>
          <w:highlight w:val="none"/>
        </w:rPr>
        <w:t>应当在规定的期限内（对招标文件的异议期限为在投标截止时间10天前</w:t>
      </w:r>
      <w:r>
        <w:rPr>
          <w:rFonts w:hint="eastAsia" w:ascii="宋体" w:hAnsi="宋体"/>
          <w:color w:val="auto"/>
          <w:sz w:val="24"/>
          <w:highlight w:val="none"/>
          <w:lang w:eastAsia="zh-CN"/>
        </w:rPr>
        <w:t>）</w:t>
      </w:r>
      <w:r>
        <w:rPr>
          <w:rFonts w:hint="eastAsia" w:ascii="宋体" w:hAnsi="宋体"/>
          <w:color w:val="auto"/>
          <w:sz w:val="24"/>
          <w:highlight w:val="none"/>
        </w:rPr>
        <w:t>通过</w:t>
      </w:r>
      <w:r>
        <w:rPr>
          <w:rFonts w:hint="eastAsia" w:ascii="宋体" w:hAnsi="宋体"/>
          <w:color w:val="auto"/>
          <w:sz w:val="24"/>
          <w:highlight w:val="none"/>
          <w:lang w:val="en-US" w:eastAsia="zh-CN"/>
        </w:rPr>
        <w:t>公共资源</w:t>
      </w:r>
      <w:r>
        <w:rPr>
          <w:rFonts w:hint="eastAsia" w:ascii="宋体" w:hAnsi="宋体"/>
          <w:color w:val="auto"/>
          <w:sz w:val="24"/>
          <w:highlight w:val="none"/>
        </w:rPr>
        <w:t>电子交易平台向招标人提出</w:t>
      </w:r>
      <w:r>
        <w:rPr>
          <w:rFonts w:hint="eastAsia" w:ascii="宋体" w:hAnsi="宋体"/>
          <w:color w:val="auto"/>
          <w:sz w:val="24"/>
          <w:highlight w:val="none"/>
          <w:lang w:eastAsia="zh-CN"/>
        </w:rPr>
        <w:t>。</w:t>
      </w:r>
      <w:r>
        <w:rPr>
          <w:rFonts w:hint="eastAsia" w:ascii="宋体" w:hAnsi="宋体"/>
          <w:color w:val="auto"/>
          <w:sz w:val="24"/>
          <w:highlight w:val="none"/>
        </w:rPr>
        <w:t>投标人及其他利害关系人</w:t>
      </w:r>
      <w:r>
        <w:rPr>
          <w:rFonts w:hint="eastAsia" w:ascii="宋体" w:hAnsi="宋体"/>
          <w:color w:val="auto"/>
          <w:sz w:val="24"/>
          <w:highlight w:val="none"/>
          <w:lang w:val="en-US" w:eastAsia="zh-CN"/>
        </w:rPr>
        <w:t>对</w:t>
      </w:r>
      <w:r>
        <w:rPr>
          <w:rFonts w:hint="eastAsia" w:ascii="宋体" w:hAnsi="宋体"/>
          <w:color w:val="auto"/>
          <w:sz w:val="24"/>
          <w:highlight w:val="none"/>
        </w:rPr>
        <w:t>评标结果或定标结果有异议的，应当在规定的期限内（对评标结果或定标结果的异议期限为中标候选人公示期内）通过</w:t>
      </w:r>
      <w:r>
        <w:rPr>
          <w:rFonts w:hint="eastAsia" w:ascii="宋体" w:hAnsi="宋体"/>
          <w:color w:val="auto"/>
          <w:sz w:val="24"/>
          <w:highlight w:val="none"/>
          <w:lang w:val="en-US" w:eastAsia="zh-CN"/>
        </w:rPr>
        <w:t>公共资源</w:t>
      </w:r>
      <w:r>
        <w:rPr>
          <w:rFonts w:hint="eastAsia" w:ascii="宋体" w:hAnsi="宋体"/>
          <w:color w:val="auto"/>
          <w:sz w:val="24"/>
          <w:highlight w:val="none"/>
        </w:rPr>
        <w:t xml:space="preserve">电子交易平台向招标人提出。     </w:t>
      </w:r>
    </w:p>
    <w:p w14:paraId="1029A3B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异议应当包括下列内容：</w:t>
      </w:r>
    </w:p>
    <w:p w14:paraId="055882A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（一）异议人的名称、地址及有效联系方式；</w:t>
      </w:r>
    </w:p>
    <w:p w14:paraId="42E904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（二）被异议人的名称（仅适用于对评标结果或定标结果的异议）；</w:t>
      </w:r>
    </w:p>
    <w:p w14:paraId="2301748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（三）异议事项的基本事实；</w:t>
      </w:r>
    </w:p>
    <w:p w14:paraId="718AAB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（四）相关请求及主张；</w:t>
      </w:r>
    </w:p>
    <w:p w14:paraId="30C3D9E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（五）有效线索和相关证明材料。 </w:t>
      </w:r>
    </w:p>
    <w:p w14:paraId="62EE82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14:paraId="3DF3A21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招标人收到对招标文件或评标结果或定标结果的异议后，应当在3日内作出是否受理的决定，逾期未作出不予受理决定的，自收到异议之日起即视为受理。有下列情形之一的异议，不予受理，并向异议人发出不予受理告知书：</w:t>
      </w:r>
    </w:p>
    <w:p w14:paraId="1AD244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（一）对评标结果或定标结果有异议的异议人不是本项目的参与者，或者与本项目无任何利害关系；</w:t>
      </w:r>
    </w:p>
    <w:p w14:paraId="40A1991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（二）异议事项不具体，且未提供有效线索，难以查证的； </w:t>
      </w:r>
    </w:p>
    <w:p w14:paraId="3C3AFC6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（三）异议未署具异议人真实姓名、签字和有效联系方式的；以法人名义提出异议的，异议未经法定代表人签字并加盖公章的；</w:t>
      </w:r>
    </w:p>
    <w:p w14:paraId="08A008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（四）超过异议时效的。</w:t>
      </w:r>
    </w:p>
    <w:p w14:paraId="5927D5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招标人对招标文件或评标结果或定标结果异议的处理结果，应当通过电子交易平台作出答复并向社会公开，同时通过省行政监督平台向监督机关备案。在作出答复前应当暂停下一阶段招投标活动。</w:t>
      </w:r>
    </w:p>
    <w:p w14:paraId="2C3DAE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9.5.2投诉</w:t>
      </w:r>
    </w:p>
    <w:p w14:paraId="0A3155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根据中华人民共和国国务院令《中华人民共和国招标投标法实施条例》、国家发改委、交通运输部等8部委（局）《关于工程建设项目招标投标活动投诉处理办法（2013年修正）》以及《福建省交通运输厅关于规范公路水运工程招投标线上投诉有关事项的通知》（闽交建函〔2020〕72号）等有关规定，投标人和其他利害关系人认为招投标活动不符合法律、行政法规定的。应当先向招标人提出异议，招标人应按《招标法实施条例》规定的时限做出答复，异议答复不能解决的。可以向各级行政监督部门逐级投诉（应提供向招标人提出异议的证明函件）。 </w:t>
      </w:r>
    </w:p>
    <w:p w14:paraId="46BEB16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9.5.2.1投诉人投诉时，应提交投诉书。投诉书应包括以下内容： </w:t>
      </w:r>
    </w:p>
    <w:p w14:paraId="45AFA0B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（1）投诉人的名称、地址及有效联系方式； </w:t>
      </w:r>
    </w:p>
    <w:p w14:paraId="116F757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（2）被投诉人的名称、地址及有效联系方式；</w:t>
      </w:r>
    </w:p>
    <w:p w14:paraId="11E25C3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（3）投诉事项的基本事实；</w:t>
      </w:r>
    </w:p>
    <w:p w14:paraId="6F72E1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（4）相关请求及主张；</w:t>
      </w:r>
    </w:p>
    <w:p w14:paraId="712A822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投诉人是法人的，投诉书必须由其法定代表人或者授权代表签字并盖章；其他组织或个人投诉的，投诉书必须由其主要负责人或投诉人本人签字，并附有效身份证明复印件，已向有关行政监督部门投诉的、应当一并说明情况，并附上有效线索和相关证明材料。 投诉书有关材料是外文的，投诉人应当同时提供其中文译本。</w:t>
      </w:r>
    </w:p>
    <w:p w14:paraId="31569E5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9.5.2.2投诉人不得以投诉为名排挤竞争对手，不得虚假、恶意投诉、阻碍招标投标活动的正常进行。 </w:t>
      </w:r>
    </w:p>
    <w:p w14:paraId="1734D3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9.5.2.3投诉人认为招投标活动不符合法律、行政法规定的，可以在知道或应当知道之日起10日内提出书面投诉。依照有关行政法规提出异议的，异议答复期不计在内。</w:t>
      </w:r>
    </w:p>
    <w:p w14:paraId="623A29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9.5.2.4投诉人可以自己直接投诉，也可以委托代理人办理投诉事务。代理人办理投诉事务时，应将授权委托书连同投诉书一并提交投诉机构。授权委托书应当明确有关委托代理的权限和事项。 </w:t>
      </w:r>
    </w:p>
    <w:p w14:paraId="081BC40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9.5.2.5负责受理的投诉机构自收到投诉之日起3个工作日内决定是否受理投诉，并自受理投诉之日起30个工作日内做出书面处理决定；需要检验、检测、鉴定、专家评审的，所需时间不计算在内。投诉人缺乏事实根据或者法律依据的或者捏造事实、伪造材料或者以非法手段取得证明材料进行投诉的，负责受理的投诉机构予以驳回投诉。</w:t>
      </w:r>
      <w:r>
        <w:rPr>
          <w:rFonts w:ascii="宋体" w:hAnsi="宋体"/>
          <w:color w:val="auto"/>
          <w:sz w:val="24"/>
          <w:highlight w:val="none"/>
        </w:rPr>
        <w:t xml:space="preserve"> </w:t>
      </w:r>
    </w:p>
    <w:p w14:paraId="1A2E6C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9.5.3投诉处理决定做出前，投诉人要求撤回投诉的，应以书面形式提出并说明理由，受理机构根据以下情况，决定是否准予撤回。</w:t>
      </w:r>
      <w:r>
        <w:rPr>
          <w:rFonts w:ascii="宋体" w:hAnsi="宋体"/>
          <w:color w:val="auto"/>
          <w:sz w:val="24"/>
          <w:highlight w:val="none"/>
        </w:rPr>
        <w:t xml:space="preserve"> </w:t>
      </w:r>
    </w:p>
    <w:p w14:paraId="271314E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9.5.3.1已经查实有明显违法行为的，应当不准撤回，并继续调查直至做出处理决定；</w:t>
      </w:r>
    </w:p>
    <w:p w14:paraId="5277F193">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9.5.3.2撤回投诉不损害国家利益、社会公共利益或其他当事人合法权益的，准予撤回，投诉处理过程终止。投诉人不得以同一事实和理由再提出投诉。</w:t>
      </w:r>
    </w:p>
    <w:p w14:paraId="7ECBB1CB">
      <w:pPr>
        <w:pStyle w:val="92"/>
        <w:spacing w:before="240" w:beforeLines="100" w:line="360" w:lineRule="auto"/>
        <w:outlineLvl w:val="0"/>
        <w:rPr>
          <w:rFonts w:ascii="宋体" w:hAnsi="宋体" w:eastAsia="宋体"/>
          <w:b/>
          <w:snapToGrid w:val="0"/>
          <w:color w:val="auto"/>
          <w:kern w:val="0"/>
          <w:sz w:val="24"/>
          <w:szCs w:val="24"/>
          <w:highlight w:val="none"/>
        </w:rPr>
      </w:pPr>
      <w:bookmarkStart w:id="432" w:name="_Toc346269461"/>
      <w:bookmarkStart w:id="433" w:name="_Toc335721965"/>
      <w:bookmarkStart w:id="434" w:name="_Toc335660799"/>
      <w:bookmarkStart w:id="435" w:name="_Toc488649890"/>
      <w:r>
        <w:rPr>
          <w:rFonts w:ascii="宋体" w:hAnsi="宋体" w:eastAsia="宋体"/>
          <w:b/>
          <w:snapToGrid w:val="0"/>
          <w:color w:val="auto"/>
          <w:kern w:val="0"/>
          <w:sz w:val="24"/>
          <w:szCs w:val="24"/>
          <w:highlight w:val="none"/>
        </w:rPr>
        <w:t>10. 其他规定</w:t>
      </w:r>
      <w:bookmarkEnd w:id="432"/>
      <w:bookmarkEnd w:id="433"/>
      <w:bookmarkEnd w:id="434"/>
      <w:bookmarkEnd w:id="435"/>
    </w:p>
    <w:p w14:paraId="0C98DF97">
      <w:pPr>
        <w:wordWrap w:val="0"/>
        <w:spacing w:before="240" w:beforeLines="100" w:line="300" w:lineRule="auto"/>
        <w:ind w:firstLine="480" w:firstLineChars="200"/>
        <w:rPr>
          <w:rFonts w:hint="eastAsia"/>
          <w:color w:val="auto"/>
          <w:sz w:val="24"/>
          <w:highlight w:val="none"/>
          <w:shd w:val="clear" w:color="auto" w:fill="auto"/>
        </w:rPr>
      </w:pPr>
      <w:bookmarkStart w:id="436" w:name="_Toc335660801"/>
      <w:r>
        <w:rPr>
          <w:rFonts w:hint="eastAsia"/>
          <w:color w:val="auto"/>
          <w:sz w:val="24"/>
          <w:highlight w:val="none"/>
          <w:shd w:val="clear" w:color="auto" w:fill="auto"/>
          <w:lang w:val="en-US" w:eastAsia="zh-CN"/>
        </w:rPr>
        <w:t xml:space="preserve">10.1 </w:t>
      </w:r>
      <w:r>
        <w:rPr>
          <w:rFonts w:hint="eastAsia"/>
          <w:color w:val="auto"/>
          <w:sz w:val="24"/>
          <w:highlight w:val="none"/>
          <w:shd w:val="clear" w:color="auto" w:fill="auto"/>
        </w:rPr>
        <w:t>自招标文件发布之日起，投标人应随时关注交易系统的招标信息更新，以保证能及时下载招标文件的澄清或变更等信息。特别需要说明的是，招标人的各项通知、文件均通过网络发布，即默认为已送达投标人，若因投标人未及时上网查收等原因导致的不利后果由投标人自行承担。</w:t>
      </w:r>
    </w:p>
    <w:p w14:paraId="4174FBEE">
      <w:pPr>
        <w:wordWrap w:val="0"/>
        <w:adjustRightInd/>
        <w:snapToGrid/>
        <w:spacing w:before="240" w:beforeLines="100" w:after="0" w:afterLines="-2147483648" w:line="300" w:lineRule="auto"/>
        <w:ind w:firstLine="480" w:firstLineChars="200"/>
        <w:rPr>
          <w:rFonts w:hint="eastAsia" w:ascii="Calibri" w:hAnsi="Calibri"/>
          <w:snapToGrid/>
          <w:color w:val="auto"/>
          <w:kern w:val="2"/>
          <w:sz w:val="24"/>
          <w:szCs w:val="24"/>
          <w:highlight w:val="none"/>
          <w:shd w:val="clear" w:color="auto" w:fill="auto"/>
        </w:rPr>
      </w:pPr>
      <w:r>
        <w:rPr>
          <w:rFonts w:hint="eastAsia" w:ascii="Calibri" w:hAnsi="Calibri"/>
          <w:snapToGrid/>
          <w:color w:val="auto"/>
          <w:kern w:val="2"/>
          <w:sz w:val="24"/>
          <w:szCs w:val="24"/>
          <w:highlight w:val="none"/>
          <w:shd w:val="clear" w:color="auto" w:fill="auto"/>
        </w:rPr>
        <w:t>10.</w:t>
      </w:r>
      <w:r>
        <w:rPr>
          <w:rFonts w:hint="eastAsia" w:ascii="Calibri" w:hAnsi="Calibri"/>
          <w:snapToGrid/>
          <w:color w:val="auto"/>
          <w:kern w:val="2"/>
          <w:sz w:val="24"/>
          <w:szCs w:val="24"/>
          <w:highlight w:val="none"/>
          <w:shd w:val="clear" w:color="auto" w:fill="auto"/>
          <w:lang w:val="en-US" w:eastAsia="zh-CN"/>
        </w:rPr>
        <w:t>2</w:t>
      </w:r>
      <w:r>
        <w:rPr>
          <w:rFonts w:hint="eastAsia" w:ascii="Calibri" w:hAnsi="Calibri"/>
          <w:snapToGrid/>
          <w:color w:val="auto"/>
          <w:kern w:val="2"/>
          <w:sz w:val="24"/>
          <w:szCs w:val="24"/>
          <w:highlight w:val="none"/>
          <w:shd w:val="clear" w:color="auto" w:fill="auto"/>
        </w:rPr>
        <w:t xml:space="preserve"> 电子招标投标要求</w:t>
      </w:r>
    </w:p>
    <w:p w14:paraId="497ABCD8">
      <w:pPr>
        <w:wordWrap w:val="0"/>
        <w:adjustRightInd/>
        <w:snapToGrid/>
        <w:spacing w:before="240" w:beforeLines="100" w:after="0" w:afterLines="-2147483648" w:line="300" w:lineRule="auto"/>
        <w:ind w:firstLine="480" w:firstLineChars="200"/>
        <w:rPr>
          <w:rFonts w:hint="eastAsia" w:ascii="Calibri" w:hAnsi="Calibri"/>
          <w:snapToGrid/>
          <w:color w:val="auto"/>
          <w:kern w:val="2"/>
          <w:sz w:val="24"/>
          <w:szCs w:val="24"/>
          <w:highlight w:val="none"/>
          <w:shd w:val="clear" w:color="auto" w:fill="auto"/>
        </w:rPr>
      </w:pPr>
      <w:r>
        <w:rPr>
          <w:rFonts w:hint="eastAsia" w:ascii="Calibri" w:hAnsi="Calibri"/>
          <w:snapToGrid/>
          <w:color w:val="auto"/>
          <w:kern w:val="2"/>
          <w:sz w:val="24"/>
          <w:szCs w:val="24"/>
          <w:highlight w:val="none"/>
          <w:shd w:val="clear" w:color="auto" w:fill="auto"/>
        </w:rPr>
        <w:t>10.</w:t>
      </w:r>
      <w:r>
        <w:rPr>
          <w:rFonts w:hint="eastAsia" w:ascii="Calibri" w:hAnsi="Calibri"/>
          <w:snapToGrid/>
          <w:color w:val="auto"/>
          <w:kern w:val="2"/>
          <w:sz w:val="24"/>
          <w:szCs w:val="24"/>
          <w:highlight w:val="none"/>
          <w:shd w:val="clear" w:color="auto" w:fill="auto"/>
          <w:lang w:val="en-US" w:eastAsia="zh-CN"/>
        </w:rPr>
        <w:t>2</w:t>
      </w:r>
      <w:r>
        <w:rPr>
          <w:rFonts w:hint="eastAsia" w:ascii="Calibri" w:hAnsi="Calibri"/>
          <w:snapToGrid/>
          <w:color w:val="auto"/>
          <w:kern w:val="2"/>
          <w:sz w:val="24"/>
          <w:szCs w:val="24"/>
          <w:highlight w:val="none"/>
          <w:shd w:val="clear" w:color="auto" w:fill="auto"/>
        </w:rPr>
        <w:t>.1投标人应仔细阅读厦门市建设工程电子招投标交易平台有关的系统操作手册和使用说明（相关手册和使用说明在厦门市公共资源交易网http://zyjy.as.xm.gov.cn/中的“办事服务- “下载中心”下载，并关注更新信息）以及招标文件中电子招投标的相关条款，并根据操作手册、使用说明和招标文件电子招投标的相关条款完成投标文件的编制、加密、递交、自行解密工作。</w:t>
      </w:r>
    </w:p>
    <w:p w14:paraId="638E7827">
      <w:pPr>
        <w:snapToGrid w:val="0"/>
        <w:spacing w:line="360" w:lineRule="auto"/>
        <w:ind w:firstLine="480" w:firstLineChars="200"/>
        <w:rPr>
          <w:rFonts w:hint="eastAsia" w:ascii="宋体" w:hAnsi="宋体" w:cs="宋体"/>
          <w:snapToGrid w:val="0"/>
          <w:color w:val="auto"/>
          <w:kern w:val="0"/>
          <w:sz w:val="24"/>
          <w:highlight w:val="none"/>
        </w:rPr>
      </w:pPr>
      <w:r>
        <w:rPr>
          <w:rFonts w:hint="eastAsia" w:ascii="Calibri" w:hAnsi="Calibri"/>
          <w:snapToGrid/>
          <w:color w:val="auto"/>
          <w:kern w:val="2"/>
          <w:sz w:val="24"/>
          <w:szCs w:val="24"/>
          <w:highlight w:val="none"/>
          <w:shd w:val="clear" w:color="auto" w:fill="auto"/>
        </w:rPr>
        <w:t>10.</w:t>
      </w:r>
      <w:r>
        <w:rPr>
          <w:rFonts w:hint="eastAsia" w:ascii="Calibri" w:hAnsi="Calibri"/>
          <w:snapToGrid/>
          <w:color w:val="auto"/>
          <w:kern w:val="2"/>
          <w:sz w:val="24"/>
          <w:szCs w:val="24"/>
          <w:highlight w:val="none"/>
          <w:shd w:val="clear" w:color="auto" w:fill="auto"/>
          <w:lang w:val="en-US" w:eastAsia="zh-CN"/>
        </w:rPr>
        <w:t>2</w:t>
      </w:r>
      <w:r>
        <w:rPr>
          <w:rFonts w:hint="eastAsia" w:ascii="Calibri" w:hAnsi="Calibri"/>
          <w:snapToGrid/>
          <w:color w:val="auto"/>
          <w:kern w:val="2"/>
          <w:sz w:val="24"/>
          <w:szCs w:val="24"/>
          <w:highlight w:val="none"/>
          <w:shd w:val="clear" w:color="auto" w:fill="auto"/>
        </w:rPr>
        <w:t>.2在开标、评标、清标或定标工作开始后，因停电、网络故障、电子设备或者电子评标系统故障导致无法继续进行开标、评标、清标或定标工作时，故障可在短时间内解除的（不超过4小时），招标人可以暂停开标、评标、清标或定标工作，待故障解除后继续相应工作；故障无法在短时间内解除的（超过4小时），招标人应当终止开标、评标、清标或定标工作，并配合公共资源交易场所、电子交易平台做好招投标资料的封存和保密工作，待故障解除后再重新进行开标、重新组建评标委员会进行评标或重新进行清标、定标工作。</w:t>
      </w:r>
    </w:p>
    <w:p w14:paraId="37A6721B">
      <w:pPr>
        <w:snapToGrid w:val="0"/>
        <w:spacing w:line="360" w:lineRule="auto"/>
        <w:ind w:firstLine="480" w:firstLineChars="200"/>
        <w:rPr>
          <w:rFonts w:ascii="宋体" w:hAnsi="宋体" w:cs="宋体"/>
          <w:snapToGrid w:val="0"/>
          <w:color w:val="auto"/>
          <w:kern w:val="0"/>
          <w:szCs w:val="21"/>
          <w:highlight w:val="none"/>
        </w:rPr>
      </w:pPr>
      <w:r>
        <w:rPr>
          <w:rFonts w:hint="eastAsia" w:ascii="宋体" w:hAnsi="宋体" w:cs="宋体"/>
          <w:snapToGrid w:val="0"/>
          <w:color w:val="auto"/>
          <w:kern w:val="0"/>
          <w:sz w:val="24"/>
          <w:highlight w:val="none"/>
          <w:lang w:val="en-US" w:eastAsia="zh-CN"/>
        </w:rPr>
        <w:t>10.3</w:t>
      </w:r>
      <w:r>
        <w:rPr>
          <w:rFonts w:hint="eastAsia" w:ascii="宋体" w:hAnsi="宋体" w:cs="宋体"/>
          <w:snapToGrid w:val="0"/>
          <w:color w:val="auto"/>
          <w:kern w:val="0"/>
          <w:sz w:val="24"/>
          <w:highlight w:val="none"/>
        </w:rPr>
        <w:t>其他</w:t>
      </w:r>
      <w:r>
        <w:rPr>
          <w:rFonts w:ascii="宋体" w:hAnsi="宋体" w:cs="宋体"/>
          <w:snapToGrid w:val="0"/>
          <w:color w:val="auto"/>
          <w:kern w:val="0"/>
          <w:sz w:val="24"/>
          <w:highlight w:val="none"/>
        </w:rPr>
        <w:t>需要补充的内容：见投标人须知前附表。</w:t>
      </w:r>
      <w:bookmarkEnd w:id="381"/>
      <w:bookmarkEnd w:id="382"/>
      <w:bookmarkEnd w:id="383"/>
      <w:bookmarkEnd w:id="436"/>
    </w:p>
    <w:p w14:paraId="08962346">
      <w:pPr>
        <w:pStyle w:val="92"/>
        <w:spacing w:before="240" w:beforeLines="100"/>
        <w:outlineLvl w:val="0"/>
        <w:rPr>
          <w:rFonts w:ascii="宋体" w:hAnsi="宋体" w:eastAsia="宋体"/>
          <w:b/>
          <w:snapToGrid w:val="0"/>
          <w:color w:val="auto"/>
          <w:kern w:val="0"/>
          <w:highlight w:val="none"/>
        </w:rPr>
      </w:pPr>
      <w:r>
        <w:rPr>
          <w:rFonts w:ascii="宋体" w:hAnsi="宋体" w:eastAsia="宋体"/>
          <w:color w:val="auto"/>
          <w:highlight w:val="none"/>
        </w:rPr>
        <w:br w:type="page"/>
      </w:r>
      <w:bookmarkStart w:id="437" w:name="_Toc488649891"/>
      <w:bookmarkStart w:id="438" w:name="_Toc346269462"/>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件</w:t>
      </w:r>
      <w:r>
        <w:rPr>
          <w:rFonts w:ascii="宋体" w:hAnsi="宋体" w:eastAsia="宋体"/>
          <w:b/>
          <w:snapToGrid w:val="0"/>
          <w:color w:val="auto"/>
          <w:kern w:val="0"/>
          <w:highlight w:val="none"/>
        </w:rPr>
        <w:t>1 资格审查条件（资质要求）</w:t>
      </w:r>
      <w:bookmarkEnd w:id="437"/>
      <w:bookmarkEnd w:id="438"/>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14:paraId="78DC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vAlign w:val="center"/>
          </w:tcPr>
          <w:p w14:paraId="4EB56A0C">
            <w:pPr>
              <w:snapToGrid w:val="0"/>
              <w:spacing w:before="72" w:beforeLines="30" w:after="72" w:afterLines="30"/>
              <w:jc w:val="center"/>
              <w:rPr>
                <w:rFonts w:ascii="宋体" w:hAnsi="宋体"/>
                <w:b/>
                <w:snapToGrid w:val="0"/>
                <w:color w:val="auto"/>
                <w:kern w:val="0"/>
                <w:szCs w:val="21"/>
                <w:highlight w:val="none"/>
              </w:rPr>
            </w:pPr>
            <w:r>
              <w:rPr>
                <w:rFonts w:ascii="宋体" w:hAnsi="宋体"/>
                <w:b/>
                <w:snapToGrid w:val="0"/>
                <w:color w:val="auto"/>
                <w:kern w:val="0"/>
                <w:szCs w:val="21"/>
                <w:highlight w:val="none"/>
              </w:rPr>
              <w:t>勘察设计企业资质等级</w:t>
            </w:r>
            <w:r>
              <w:rPr>
                <w:rFonts w:hint="eastAsia" w:ascii="宋体" w:hAnsi="宋体"/>
                <w:b/>
                <w:snapToGrid w:val="0"/>
                <w:color w:val="auto"/>
                <w:kern w:val="0"/>
                <w:szCs w:val="21"/>
                <w:highlight w:val="none"/>
              </w:rPr>
              <w:t>最低</w:t>
            </w:r>
            <w:r>
              <w:rPr>
                <w:rFonts w:ascii="宋体" w:hAnsi="宋体"/>
                <w:b/>
                <w:snapToGrid w:val="0"/>
                <w:color w:val="auto"/>
                <w:kern w:val="0"/>
                <w:szCs w:val="21"/>
                <w:highlight w:val="none"/>
              </w:rPr>
              <w:t>要求</w:t>
            </w:r>
          </w:p>
        </w:tc>
      </w:tr>
      <w:tr w14:paraId="0EF4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238" w:type="dxa"/>
          </w:tcPr>
          <w:p w14:paraId="4FE4C5A2">
            <w:pPr>
              <w:spacing w:line="440" w:lineRule="exact"/>
              <w:rPr>
                <w:rFonts w:ascii="宋体" w:hAnsi="宋体"/>
                <w:bCs/>
                <w:color w:val="auto"/>
                <w:szCs w:val="21"/>
                <w:highlight w:val="none"/>
              </w:rPr>
            </w:pPr>
            <w:r>
              <w:rPr>
                <w:rFonts w:hint="eastAsia" w:ascii="宋体" w:hAnsi="宋体"/>
                <w:bCs/>
                <w:color w:val="auto"/>
                <w:szCs w:val="21"/>
                <w:highlight w:val="none"/>
              </w:rPr>
              <w:t>1、具有</w:t>
            </w:r>
            <w:r>
              <w:rPr>
                <w:rFonts w:hint="eastAsia" w:ascii="宋体" w:hAnsi="宋体"/>
                <w:bCs/>
                <w:color w:val="auto"/>
                <w:szCs w:val="21"/>
                <w:highlight w:val="none"/>
                <w:u w:val="single"/>
              </w:rPr>
              <w:t xml:space="preserve">  </w:t>
            </w:r>
            <w:r>
              <w:rPr>
                <w:rFonts w:hint="eastAsia" w:ascii="宋体" w:hAnsi="宋体"/>
                <w:bCs/>
                <w:snapToGrid w:val="0"/>
                <w:color w:val="auto"/>
                <w:kern w:val="0"/>
                <w:highlight w:val="none"/>
                <w:u w:val="single"/>
              </w:rPr>
              <w:t>（企业勘察设计资质）</w:t>
            </w:r>
            <w:r>
              <w:rPr>
                <w:rFonts w:hint="eastAsia" w:ascii="宋体" w:hAnsi="宋体"/>
                <w:bCs/>
                <w:color w:val="auto"/>
                <w:szCs w:val="21"/>
                <w:highlight w:val="none"/>
                <w:u w:val="single"/>
              </w:rPr>
              <w:t xml:space="preserve">  </w:t>
            </w:r>
            <w:r>
              <w:rPr>
                <w:rFonts w:hint="eastAsia" w:ascii="宋体" w:hAnsi="宋体"/>
                <w:bCs/>
                <w:color w:val="auto"/>
                <w:szCs w:val="21"/>
                <w:highlight w:val="none"/>
              </w:rPr>
              <w:t>资质等级证书；</w:t>
            </w:r>
          </w:p>
          <w:p w14:paraId="0F3D8DFA">
            <w:pPr>
              <w:spacing w:line="440" w:lineRule="exact"/>
              <w:rPr>
                <w:rFonts w:ascii="宋体" w:hAnsi="宋体"/>
                <w:bCs/>
                <w:color w:val="auto"/>
                <w:szCs w:val="21"/>
                <w:highlight w:val="none"/>
              </w:rPr>
            </w:pPr>
            <w:r>
              <w:rPr>
                <w:rFonts w:hint="eastAsia" w:ascii="宋体" w:hAnsi="宋体"/>
                <w:bCs/>
                <w:color w:val="auto"/>
                <w:szCs w:val="21"/>
                <w:highlight w:val="none"/>
              </w:rPr>
              <w:t>2、具备独立的法人资格、有效的营业执照。</w:t>
            </w:r>
          </w:p>
          <w:p w14:paraId="43EB95E4">
            <w:pPr>
              <w:snapToGrid w:val="0"/>
              <w:spacing w:before="72" w:beforeLines="30" w:after="72" w:afterLines="30"/>
              <w:rPr>
                <w:rFonts w:ascii="宋体" w:hAnsi="宋体"/>
                <w:snapToGrid w:val="0"/>
                <w:color w:val="auto"/>
                <w:kern w:val="0"/>
                <w:szCs w:val="21"/>
                <w:highlight w:val="none"/>
              </w:rPr>
            </w:pPr>
            <w:r>
              <w:rPr>
                <w:rFonts w:hint="eastAsia" w:ascii="宋体" w:hAnsi="宋体"/>
                <w:bCs/>
                <w:color w:val="auto"/>
                <w:szCs w:val="21"/>
                <w:highlight w:val="none"/>
              </w:rPr>
              <w:t>3、本招标项目</w:t>
            </w:r>
            <w:r>
              <w:rPr>
                <w:rFonts w:hint="eastAsia" w:ascii="宋体" w:hAnsi="宋体"/>
                <w:bCs/>
                <w:color w:val="auto"/>
                <w:szCs w:val="21"/>
                <w:highlight w:val="none"/>
                <w:u w:val="single"/>
              </w:rPr>
              <w:t xml:space="preserve"> （接受或不接受，要求两种及以上不同专业资质要求的，不得出现“不接受”联合体投标词汇。 ） </w:t>
            </w:r>
            <w:r>
              <w:rPr>
                <w:rFonts w:hint="eastAsia" w:ascii="宋体" w:hAnsi="宋体"/>
                <w:bCs/>
                <w:color w:val="auto"/>
                <w:szCs w:val="21"/>
                <w:highlight w:val="none"/>
              </w:rPr>
              <w:t>联合体投标。</w:t>
            </w:r>
          </w:p>
        </w:tc>
      </w:tr>
    </w:tbl>
    <w:p w14:paraId="2CC2106F">
      <w:pPr>
        <w:rPr>
          <w:rFonts w:ascii="宋体" w:hAnsi="宋体"/>
          <w:snapToGrid w:val="0"/>
          <w:color w:val="auto"/>
          <w:kern w:val="0"/>
          <w:highlight w:val="none"/>
        </w:rPr>
      </w:pPr>
      <w:r>
        <w:rPr>
          <w:rFonts w:hint="eastAsia" w:ascii="宋体" w:hAnsi="宋体"/>
          <w:snapToGrid w:val="0"/>
          <w:color w:val="auto"/>
          <w:kern w:val="0"/>
          <w:highlight w:val="none"/>
        </w:rPr>
        <w:t>注：</w:t>
      </w:r>
      <w:r>
        <w:rPr>
          <w:rFonts w:hint="eastAsia" w:ascii="宋体" w:hAnsi="宋体" w:cs="宋体"/>
          <w:color w:val="auto"/>
          <w:szCs w:val="18"/>
          <w:highlight w:val="none"/>
        </w:rPr>
        <w:t>具体资质要求由招标人在满足国家相关法律法规前提下，根据招标项目具体特点和实际情况确定，不得设定与项目等级不相应、过高的资质要求。企业资质等级的选择以住建部最新发布的资质等级划分标准为准。</w:t>
      </w:r>
    </w:p>
    <w:p w14:paraId="215DB028">
      <w:pPr>
        <w:rPr>
          <w:rFonts w:ascii="宋体" w:hAnsi="宋体"/>
          <w:snapToGrid w:val="0"/>
          <w:color w:val="auto"/>
          <w:kern w:val="0"/>
          <w:highlight w:val="none"/>
        </w:rPr>
      </w:pPr>
    </w:p>
    <w:p w14:paraId="5B102F4C">
      <w:pPr>
        <w:pStyle w:val="92"/>
        <w:spacing w:before="240" w:beforeLines="100"/>
        <w:outlineLvl w:val="0"/>
        <w:rPr>
          <w:rFonts w:ascii="宋体" w:hAnsi="宋体" w:eastAsia="宋体"/>
          <w:b/>
          <w:snapToGrid w:val="0"/>
          <w:color w:val="auto"/>
          <w:kern w:val="0"/>
          <w:highlight w:val="none"/>
        </w:rPr>
      </w:pPr>
      <w:bookmarkStart w:id="439" w:name="_Toc346269463"/>
      <w:bookmarkStart w:id="440" w:name="_Toc488649892"/>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件</w:t>
      </w:r>
      <w:r>
        <w:rPr>
          <w:rFonts w:ascii="宋体" w:hAnsi="宋体" w:eastAsia="宋体"/>
          <w:b/>
          <w:snapToGrid w:val="0"/>
          <w:color w:val="auto"/>
          <w:kern w:val="0"/>
          <w:highlight w:val="none"/>
        </w:rPr>
        <w:t>2 资格审查条件（业绩要求）</w:t>
      </w:r>
      <w:bookmarkEnd w:id="439"/>
      <w:bookmarkEnd w:id="440"/>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14:paraId="476E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vAlign w:val="center"/>
          </w:tcPr>
          <w:p w14:paraId="553C5396">
            <w:pPr>
              <w:snapToGrid w:val="0"/>
              <w:spacing w:before="72" w:beforeLines="30" w:after="72" w:afterLines="30"/>
              <w:jc w:val="center"/>
              <w:rPr>
                <w:rFonts w:ascii="宋体" w:hAnsi="宋体"/>
                <w:snapToGrid w:val="0"/>
                <w:color w:val="auto"/>
                <w:kern w:val="0"/>
                <w:szCs w:val="21"/>
                <w:highlight w:val="none"/>
              </w:rPr>
            </w:pPr>
            <w:r>
              <w:rPr>
                <w:rFonts w:ascii="宋体" w:hAnsi="宋体"/>
                <w:b/>
                <w:snapToGrid w:val="0"/>
                <w:color w:val="auto"/>
                <w:kern w:val="0"/>
                <w:szCs w:val="21"/>
                <w:highlight w:val="none"/>
              </w:rPr>
              <w:t>勘察设计企业业绩</w:t>
            </w:r>
            <w:r>
              <w:rPr>
                <w:rFonts w:hint="eastAsia" w:ascii="宋体" w:hAnsi="宋体"/>
                <w:b/>
                <w:snapToGrid w:val="0"/>
                <w:color w:val="auto"/>
                <w:kern w:val="0"/>
                <w:szCs w:val="21"/>
                <w:highlight w:val="none"/>
              </w:rPr>
              <w:t>最低</w:t>
            </w:r>
            <w:r>
              <w:rPr>
                <w:rFonts w:ascii="宋体" w:hAnsi="宋体"/>
                <w:b/>
                <w:snapToGrid w:val="0"/>
                <w:color w:val="auto"/>
                <w:kern w:val="0"/>
                <w:szCs w:val="21"/>
                <w:highlight w:val="none"/>
              </w:rPr>
              <w:t>要求</w:t>
            </w:r>
          </w:p>
        </w:tc>
      </w:tr>
      <w:tr w14:paraId="7D7D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3" w:hRule="atLeast"/>
          <w:jc w:val="center"/>
        </w:trPr>
        <w:tc>
          <w:tcPr>
            <w:tcW w:w="9238" w:type="dxa"/>
          </w:tcPr>
          <w:p w14:paraId="0995DF27">
            <w:pPr>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业绩要求：</w:t>
            </w:r>
          </w:p>
          <w:p w14:paraId="1EC5E8E8">
            <w:pPr>
              <w:spacing w:line="44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 xml:space="preserve"> 本次招标不设置业绩要求。</w:t>
            </w:r>
          </w:p>
          <w:p w14:paraId="5F427A24">
            <w:pPr>
              <w:spacing w:line="440" w:lineRule="exact"/>
              <w:ind w:firstLine="420" w:firstLineChars="200"/>
              <w:rPr>
                <w:rFonts w:ascii="宋体" w:hAnsi="宋体"/>
                <w:bCs/>
                <w:color w:val="auto"/>
                <w:szCs w:val="21"/>
                <w:highlight w:val="none"/>
              </w:rPr>
            </w:pPr>
            <w:r>
              <w:rPr>
                <w:rFonts w:ascii="宋体" w:hAnsi="宋体"/>
                <w:snapToGrid w:val="0"/>
                <w:color w:val="auto"/>
                <w:kern w:val="0"/>
                <w:szCs w:val="21"/>
                <w:highlight w:val="none"/>
              </w:rPr>
              <w:t>□</w:t>
            </w:r>
            <w:r>
              <w:rPr>
                <w:rFonts w:hint="eastAsia" w:ascii="宋体" w:hAnsi="宋体"/>
                <w:bCs/>
                <w:color w:val="auto"/>
                <w:szCs w:val="21"/>
                <w:highlight w:val="none"/>
              </w:rPr>
              <w:t>企业近年【自招标公告正式发布之日前5年内，以行业主管部门出具的初步设计批复或施工图设计批复（审核意见）、或项目业主出具的施工图设计审定意见最迟落款日期为准】至少完成过1项</w:t>
            </w:r>
            <w:r>
              <w:rPr>
                <w:rFonts w:hint="eastAsia" w:ascii="宋体" w:hAnsi="宋体"/>
                <w:bCs/>
                <w:color w:val="auto"/>
                <w:szCs w:val="21"/>
                <w:highlight w:val="none"/>
                <w:u w:val="single"/>
              </w:rPr>
              <w:t xml:space="preserve">        </w:t>
            </w:r>
            <w:r>
              <w:rPr>
                <w:rFonts w:hint="eastAsia" w:ascii="宋体" w:hAnsi="宋体"/>
                <w:bCs/>
                <w:color w:val="auto"/>
                <w:szCs w:val="21"/>
                <w:highlight w:val="none"/>
              </w:rPr>
              <w:t>设计业绩。</w:t>
            </w:r>
          </w:p>
          <w:p w14:paraId="20AC065A">
            <w:pPr>
              <w:snapToGrid w:val="0"/>
              <w:spacing w:before="72" w:beforeLines="30" w:after="72" w:afterLines="30"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bCs/>
                <w:color w:val="auto"/>
                <w:szCs w:val="21"/>
                <w:highlight w:val="none"/>
              </w:rPr>
              <w:t>企业近年【自招标公告正式发布之日前10年内，以行业主管部门出具的初步设计批复或施工图设计批复（审核意见）、或项目业主出具的施工图设计审定意见最迟落款日期为准】至少完成过1项</w:t>
            </w:r>
            <w:r>
              <w:rPr>
                <w:rFonts w:hint="eastAsia" w:ascii="宋体" w:hAnsi="宋体"/>
                <w:bCs/>
                <w:color w:val="auto"/>
                <w:szCs w:val="21"/>
                <w:highlight w:val="none"/>
                <w:u w:val="single"/>
              </w:rPr>
              <w:t xml:space="preserve">        </w:t>
            </w:r>
            <w:r>
              <w:rPr>
                <w:rFonts w:hint="eastAsia" w:ascii="宋体" w:hAnsi="宋体"/>
                <w:bCs/>
                <w:color w:val="auto"/>
                <w:szCs w:val="21"/>
                <w:highlight w:val="none"/>
              </w:rPr>
              <w:t>设计业绩。</w:t>
            </w:r>
          </w:p>
        </w:tc>
      </w:tr>
    </w:tbl>
    <w:p w14:paraId="0871C509">
      <w:pPr>
        <w:wordWrap w:val="0"/>
        <w:spacing w:line="300" w:lineRule="exact"/>
        <w:rPr>
          <w:rFonts w:ascii="宋体" w:hAnsi="宋体" w:cs="宋体"/>
          <w:color w:val="auto"/>
          <w:szCs w:val="21"/>
          <w:highlight w:val="none"/>
        </w:rPr>
      </w:pPr>
      <w:bookmarkStart w:id="441" w:name="_Hlk134608816"/>
      <w:r>
        <w:rPr>
          <w:rFonts w:hint="eastAsia" w:ascii="宋体" w:hAnsi="宋体" w:cs="宋体"/>
          <w:color w:val="auto"/>
          <w:szCs w:val="21"/>
          <w:highlight w:val="none"/>
        </w:rPr>
        <w:t>注：1.招标人可根据项目本身要求合理设定企业近5年或10年项目业绩，项目业绩最多设置1项。招标人设定项目业绩时，原则应与批复的建设规模等级相适应(含批复文件中明确的结构预留等级)，且设定的最大建设规模等级不得超过沿海5万吨级（内河500吨级），</w:t>
      </w:r>
      <w:r>
        <w:rPr>
          <w:rFonts w:hint="eastAsia" w:ascii="宋体" w:hAnsi="宋体"/>
          <w:bCs/>
          <w:color w:val="auto"/>
          <w:szCs w:val="21"/>
          <w:highlight w:val="none"/>
        </w:rPr>
        <w:t>其中码头工程业绩不得设置货种、结构形式要求，航道工程设计业绩应为单独立项的航道工程（分标段航道工程业绩视为单独立项的航道工程业绩）</w:t>
      </w:r>
      <w:r>
        <w:rPr>
          <w:rFonts w:hint="eastAsia" w:ascii="宋体" w:hAnsi="宋体" w:cs="宋体"/>
          <w:color w:val="auto"/>
          <w:szCs w:val="21"/>
          <w:highlight w:val="none"/>
        </w:rPr>
        <w:t xml:space="preserve">。招标人不得设置人员业绩。    </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w:t>
      </w:r>
      <w:r>
        <w:rPr>
          <w:rFonts w:hint="eastAsia"/>
          <w:color w:val="auto"/>
          <w:highlight w:val="none"/>
        </w:rPr>
        <w:t>业绩证明材料：</w:t>
      </w:r>
      <w:r>
        <w:rPr>
          <w:rFonts w:hint="eastAsia" w:ascii="宋体" w:hAnsi="宋体"/>
          <w:color w:val="auto"/>
          <w:szCs w:val="21"/>
          <w:highlight w:val="none"/>
        </w:rPr>
        <w:t>在交通运输部“全国水运建设市场信用信息管理系统”（https://wtis.mot.gov.cn/credit/index.html）中查询到的企业“业绩信息”相关项目网页截图扫描件，或在“福建省交通公路水运建设与运输市场信用信息管理系统（信用交通·福建）”（http://220.160.53.3:30050/gzwz）中查询到的网页截图（并注明查询路径）；或提供</w:t>
      </w:r>
      <w:r>
        <w:rPr>
          <w:rFonts w:hint="eastAsia" w:ascii="汉仪书宋二S" w:hAnsi="汉仪书宋二S" w:eastAsia="汉仪书宋二S" w:cs="汉仪书宋二S"/>
          <w:color w:val="auto"/>
          <w:szCs w:val="21"/>
          <w:highlight w:val="none"/>
        </w:rPr>
        <w:t>①</w:t>
      </w:r>
      <w:r>
        <w:rPr>
          <w:rFonts w:hint="eastAsia" w:ascii="宋体" w:hAnsi="宋体" w:cs="宋体"/>
          <w:bCs/>
          <w:color w:val="auto"/>
          <w:szCs w:val="21"/>
          <w:highlight w:val="none"/>
        </w:rPr>
        <w:t>合同文件扫描件，</w:t>
      </w:r>
      <w:r>
        <w:rPr>
          <w:rFonts w:hint="eastAsia" w:ascii="汉仪书宋二S" w:hAnsi="汉仪书宋二S" w:eastAsia="汉仪书宋二S" w:cs="汉仪书宋二S"/>
          <w:color w:val="auto"/>
          <w:szCs w:val="21"/>
          <w:highlight w:val="none"/>
        </w:rPr>
        <w:t>②</w:t>
      </w:r>
      <w:r>
        <w:rPr>
          <w:rFonts w:hint="eastAsia" w:ascii="宋体" w:hAnsi="宋体" w:cs="宋体"/>
          <w:bCs/>
          <w:color w:val="auto"/>
          <w:szCs w:val="21"/>
          <w:highlight w:val="none"/>
        </w:rPr>
        <w:t>行业主管部门出具的初步设计批复或施工图设计批复（审核意见）或</w:t>
      </w:r>
      <w:r>
        <w:rPr>
          <w:rFonts w:hint="eastAsia" w:ascii="宋体" w:hAnsi="宋体"/>
          <w:bCs/>
          <w:color w:val="auto"/>
          <w:szCs w:val="21"/>
          <w:highlight w:val="none"/>
        </w:rPr>
        <w:t>项目业主出具的施工图设计审定意见</w:t>
      </w:r>
      <w:r>
        <w:rPr>
          <w:rFonts w:hint="eastAsia" w:ascii="宋体" w:hAnsi="宋体" w:cs="宋体"/>
          <w:bCs/>
          <w:color w:val="auto"/>
          <w:szCs w:val="21"/>
          <w:highlight w:val="none"/>
        </w:rPr>
        <w:t>扫描件。航道工程还需提供单独立项的</w:t>
      </w:r>
      <w:r>
        <w:rPr>
          <w:rFonts w:hint="eastAsia" w:ascii="宋体" w:hAnsi="宋体" w:cs="宋体"/>
          <w:bCs/>
          <w:color w:val="auto"/>
          <w:szCs w:val="21"/>
          <w:highlight w:val="none"/>
          <w:lang w:val="en-US" w:eastAsia="zh-CN"/>
        </w:rPr>
        <w:t>工可</w:t>
      </w:r>
      <w:r>
        <w:rPr>
          <w:rFonts w:hint="eastAsia" w:ascii="宋体" w:hAnsi="宋体" w:cs="宋体"/>
          <w:bCs/>
          <w:color w:val="auto"/>
          <w:szCs w:val="21"/>
          <w:highlight w:val="none"/>
        </w:rPr>
        <w:t>批复文件</w:t>
      </w:r>
      <w:r>
        <w:rPr>
          <w:rFonts w:hint="eastAsia" w:ascii="宋体" w:hAnsi="宋体" w:cs="宋体"/>
          <w:bCs/>
          <w:color w:val="auto"/>
          <w:szCs w:val="21"/>
          <w:highlight w:val="none"/>
          <w:lang w:val="en-US" w:eastAsia="zh-CN"/>
        </w:rPr>
        <w:t>扫描件</w:t>
      </w:r>
      <w:r>
        <w:rPr>
          <w:rFonts w:hint="eastAsia" w:ascii="宋体" w:hAnsi="宋体" w:cs="宋体"/>
          <w:bCs/>
          <w:color w:val="auto"/>
          <w:szCs w:val="21"/>
          <w:highlight w:val="none"/>
        </w:rPr>
        <w:t>。</w:t>
      </w:r>
    </w:p>
    <w:p w14:paraId="4ED24572">
      <w:pPr>
        <w:rPr>
          <w:rFonts w:ascii="宋体" w:hAnsi="宋体"/>
          <w:snapToGrid w:val="0"/>
          <w:color w:val="auto"/>
          <w:kern w:val="0"/>
          <w:highlight w:val="none"/>
        </w:rPr>
      </w:pPr>
      <w:r>
        <w:rPr>
          <w:rFonts w:hint="eastAsia" w:ascii="宋体" w:hAnsi="宋体" w:cs="宋体"/>
          <w:color w:val="auto"/>
          <w:szCs w:val="21"/>
          <w:highlight w:val="none"/>
        </w:rPr>
        <w:t xml:space="preserve">  3.若</w:t>
      </w:r>
      <w:r>
        <w:rPr>
          <w:rFonts w:ascii="宋体" w:hAnsi="宋体"/>
          <w:bCs/>
          <w:color w:val="auto"/>
          <w:szCs w:val="21"/>
          <w:highlight w:val="none"/>
        </w:rPr>
        <w:t>近年来，投标人法人机构发生合法变更或重组或法人名称变更时，应提供相关部门的合法批件或其他相关证明材料来证明其所附业绩的继承性。投标人提供的业绩必须是</w:t>
      </w:r>
      <w:r>
        <w:rPr>
          <w:rFonts w:hint="eastAsia" w:ascii="宋体" w:hAnsi="宋体"/>
          <w:bCs/>
          <w:color w:val="auto"/>
          <w:szCs w:val="21"/>
          <w:highlight w:val="none"/>
        </w:rPr>
        <w:t>独立投标人或联合体牵头人的自身业绩。</w:t>
      </w:r>
      <w:bookmarkEnd w:id="441"/>
    </w:p>
    <w:p w14:paraId="16EBBF64">
      <w:pPr>
        <w:pStyle w:val="92"/>
        <w:spacing w:before="240" w:beforeLines="100"/>
        <w:outlineLvl w:val="0"/>
        <w:rPr>
          <w:rFonts w:ascii="宋体" w:hAnsi="宋体" w:eastAsia="宋体"/>
          <w:b/>
          <w:snapToGrid w:val="0"/>
          <w:color w:val="auto"/>
          <w:kern w:val="0"/>
          <w:highlight w:val="none"/>
        </w:rPr>
      </w:pPr>
      <w:bookmarkStart w:id="442" w:name="_Toc346269464"/>
      <w:bookmarkStart w:id="443" w:name="_Toc488649893"/>
      <w:r>
        <w:rPr>
          <w:rFonts w:ascii="宋体" w:hAnsi="宋体" w:eastAsia="宋体"/>
          <w:b/>
          <w:snapToGrid w:val="0"/>
          <w:color w:val="auto"/>
          <w:kern w:val="0"/>
          <w:highlight w:val="none"/>
        </w:rPr>
        <w:br w:type="page"/>
      </w:r>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件</w:t>
      </w:r>
      <w:r>
        <w:rPr>
          <w:rFonts w:ascii="宋体" w:hAnsi="宋体" w:eastAsia="宋体"/>
          <w:b/>
          <w:snapToGrid w:val="0"/>
          <w:color w:val="auto"/>
          <w:kern w:val="0"/>
          <w:highlight w:val="none"/>
        </w:rPr>
        <w:t>3</w:t>
      </w:r>
      <w:r>
        <w:rPr>
          <w:rFonts w:hint="eastAsia" w:ascii="宋体" w:hAnsi="宋体" w:eastAsia="宋体"/>
          <w:b/>
          <w:snapToGrid w:val="0"/>
          <w:color w:val="auto"/>
          <w:kern w:val="0"/>
          <w:highlight w:val="none"/>
        </w:rPr>
        <w:t xml:space="preserve"> </w:t>
      </w:r>
      <w:r>
        <w:rPr>
          <w:rFonts w:ascii="宋体" w:hAnsi="宋体" w:eastAsia="宋体"/>
          <w:b/>
          <w:snapToGrid w:val="0"/>
          <w:color w:val="auto"/>
          <w:kern w:val="0"/>
          <w:highlight w:val="none"/>
        </w:rPr>
        <w:t>资格审查条件（信誉要求）</w:t>
      </w:r>
      <w:bookmarkEnd w:id="442"/>
      <w:bookmarkEnd w:id="443"/>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14:paraId="2022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vAlign w:val="center"/>
          </w:tcPr>
          <w:p w14:paraId="46B4C316">
            <w:pPr>
              <w:snapToGrid w:val="0"/>
              <w:spacing w:before="72" w:beforeLines="30" w:after="72" w:afterLines="30"/>
              <w:jc w:val="center"/>
              <w:rPr>
                <w:rFonts w:ascii="宋体" w:hAnsi="宋体"/>
                <w:snapToGrid w:val="0"/>
                <w:color w:val="auto"/>
                <w:kern w:val="0"/>
                <w:szCs w:val="21"/>
                <w:highlight w:val="none"/>
              </w:rPr>
            </w:pPr>
            <w:r>
              <w:rPr>
                <w:rFonts w:ascii="宋体" w:hAnsi="宋体"/>
                <w:b/>
                <w:snapToGrid w:val="0"/>
                <w:color w:val="auto"/>
                <w:kern w:val="0"/>
                <w:szCs w:val="21"/>
                <w:highlight w:val="none"/>
              </w:rPr>
              <w:t>勘察设计企业信誉</w:t>
            </w:r>
            <w:r>
              <w:rPr>
                <w:rFonts w:hint="eastAsia" w:ascii="宋体" w:hAnsi="宋体"/>
                <w:b/>
                <w:snapToGrid w:val="0"/>
                <w:color w:val="auto"/>
                <w:kern w:val="0"/>
                <w:szCs w:val="21"/>
                <w:highlight w:val="none"/>
              </w:rPr>
              <w:t>最低</w:t>
            </w:r>
            <w:r>
              <w:rPr>
                <w:rFonts w:ascii="宋体" w:hAnsi="宋体"/>
                <w:b/>
                <w:snapToGrid w:val="0"/>
                <w:color w:val="auto"/>
                <w:kern w:val="0"/>
                <w:szCs w:val="21"/>
                <w:highlight w:val="none"/>
              </w:rPr>
              <w:t>要求</w:t>
            </w:r>
          </w:p>
        </w:tc>
      </w:tr>
      <w:tr w14:paraId="4028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9238" w:type="dxa"/>
          </w:tcPr>
          <w:p w14:paraId="331DCAE0">
            <w:pPr>
              <w:spacing w:line="440" w:lineRule="exact"/>
              <w:rPr>
                <w:rFonts w:ascii="宋体" w:hAnsi="宋体"/>
                <w:snapToGrid w:val="0"/>
                <w:color w:val="auto"/>
                <w:kern w:val="0"/>
                <w:szCs w:val="21"/>
                <w:highlight w:val="none"/>
              </w:rPr>
            </w:pPr>
            <w:r>
              <w:rPr>
                <w:rFonts w:hint="eastAsia" w:ascii="宋体" w:hAnsi="宋体"/>
                <w:bCs/>
                <w:color w:val="auto"/>
                <w:szCs w:val="21"/>
                <w:highlight w:val="none"/>
                <w:u w:val="single"/>
              </w:rPr>
              <w:t xml:space="preserve">                                                                                 </w:t>
            </w:r>
          </w:p>
          <w:p w14:paraId="2890192F">
            <w:pPr>
              <w:spacing w:line="440" w:lineRule="exact"/>
              <w:rPr>
                <w:rFonts w:ascii="宋体" w:hAnsi="宋体"/>
                <w:snapToGrid w:val="0"/>
                <w:color w:val="auto"/>
                <w:kern w:val="0"/>
                <w:szCs w:val="21"/>
                <w:highlight w:val="none"/>
              </w:rPr>
            </w:pPr>
          </w:p>
          <w:p w14:paraId="34CC3EAA">
            <w:pPr>
              <w:spacing w:line="440" w:lineRule="exact"/>
              <w:rPr>
                <w:rFonts w:ascii="宋体" w:hAnsi="宋体"/>
                <w:snapToGrid w:val="0"/>
                <w:color w:val="auto"/>
                <w:kern w:val="0"/>
                <w:szCs w:val="21"/>
                <w:highlight w:val="none"/>
              </w:rPr>
            </w:pPr>
          </w:p>
        </w:tc>
      </w:tr>
    </w:tbl>
    <w:p w14:paraId="1055E791">
      <w:pPr>
        <w:rPr>
          <w:rFonts w:hint="eastAsia"/>
          <w:color w:val="auto"/>
          <w:highlight w:val="none"/>
        </w:rPr>
      </w:pPr>
      <w:r>
        <w:rPr>
          <w:rFonts w:hint="eastAsia" w:ascii="宋体" w:hAnsi="宋体"/>
          <w:snapToGrid w:val="0"/>
          <w:color w:val="auto"/>
          <w:kern w:val="0"/>
          <w:szCs w:val="21"/>
          <w:highlight w:val="none"/>
        </w:rPr>
        <w:t>注：</w:t>
      </w:r>
      <w:r>
        <w:rPr>
          <w:rFonts w:hint="eastAsia"/>
          <w:color w:val="auto"/>
          <w:highlight w:val="none"/>
        </w:rPr>
        <w:t>具体信誉要求由招标人在满足国家相关法律法规前提下，根据招标项目具体特点和实际情况确定，但不得与“</w:t>
      </w:r>
      <w:r>
        <w:rPr>
          <w:rFonts w:hint="eastAsia"/>
          <w:color w:val="auto"/>
          <w:highlight w:val="none"/>
          <w:lang w:val="en-US" w:eastAsia="zh-CN"/>
        </w:rPr>
        <w:t>投</w:t>
      </w:r>
      <w:r>
        <w:rPr>
          <w:rFonts w:hint="eastAsia"/>
          <w:color w:val="auto"/>
          <w:highlight w:val="none"/>
        </w:rPr>
        <w:t>标人须知”第 1.4.4 项规定的内容重复。</w:t>
      </w:r>
    </w:p>
    <w:p w14:paraId="4714F963">
      <w:pPr>
        <w:ind w:firstLine="420" w:firstLineChars="200"/>
        <w:rPr>
          <w:rFonts w:ascii="宋体" w:hAnsi="宋体"/>
          <w:snapToGrid w:val="0"/>
          <w:color w:val="auto"/>
          <w:kern w:val="0"/>
          <w:highlight w:val="none"/>
        </w:rPr>
      </w:pPr>
      <w:r>
        <w:rPr>
          <w:rFonts w:hint="eastAsia" w:ascii="宋体" w:hAnsi="宋体"/>
          <w:snapToGrid w:val="0"/>
          <w:color w:val="auto"/>
          <w:kern w:val="0"/>
          <w:szCs w:val="21"/>
          <w:highlight w:val="none"/>
        </w:rPr>
        <w:t>在福建省交通运输厅最新发布的信用考核定级为AA、A级且在有效期限内的单位，资格审查阶段，当其他条件满足时，其履约信誉可免于审查，直接通过资格审查。</w:t>
      </w:r>
    </w:p>
    <w:p w14:paraId="7F1C179F">
      <w:pPr>
        <w:pStyle w:val="92"/>
        <w:spacing w:before="240" w:beforeLines="100"/>
        <w:outlineLvl w:val="0"/>
        <w:rPr>
          <w:rFonts w:ascii="宋体" w:hAnsi="宋体" w:eastAsia="宋体"/>
          <w:b/>
          <w:snapToGrid w:val="0"/>
          <w:color w:val="auto"/>
          <w:kern w:val="0"/>
          <w:highlight w:val="none"/>
        </w:rPr>
      </w:pPr>
      <w:bookmarkStart w:id="444" w:name="_Toc488649894"/>
      <w:bookmarkStart w:id="445" w:name="_Toc346269465"/>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 xml:space="preserve">件4 </w:t>
      </w:r>
      <w:r>
        <w:rPr>
          <w:rFonts w:ascii="宋体" w:hAnsi="宋体" w:eastAsia="宋体"/>
          <w:b/>
          <w:snapToGrid w:val="0"/>
          <w:color w:val="auto"/>
          <w:kern w:val="0"/>
          <w:highlight w:val="none"/>
        </w:rPr>
        <w:t>资格审查条件（</w:t>
      </w:r>
      <w:r>
        <w:rPr>
          <w:rFonts w:hint="eastAsia" w:ascii="宋体" w:hAnsi="宋体" w:eastAsia="宋体"/>
          <w:b/>
          <w:snapToGrid w:val="0"/>
          <w:color w:val="auto"/>
          <w:kern w:val="0"/>
          <w:highlight w:val="none"/>
        </w:rPr>
        <w:t>财务</w:t>
      </w:r>
      <w:r>
        <w:rPr>
          <w:rFonts w:ascii="宋体" w:hAnsi="宋体" w:eastAsia="宋体"/>
          <w:b/>
          <w:snapToGrid w:val="0"/>
          <w:color w:val="auto"/>
          <w:kern w:val="0"/>
          <w:highlight w:val="none"/>
        </w:rPr>
        <w:t>要求）</w:t>
      </w:r>
      <w:bookmarkEnd w:id="444"/>
      <w:bookmarkEnd w:id="445"/>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14:paraId="054D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vAlign w:val="center"/>
          </w:tcPr>
          <w:p w14:paraId="2B8BD5B7">
            <w:pPr>
              <w:snapToGrid w:val="0"/>
              <w:spacing w:before="72" w:beforeLines="30" w:after="72" w:afterLines="30"/>
              <w:jc w:val="center"/>
              <w:rPr>
                <w:rFonts w:ascii="宋体" w:hAnsi="宋体"/>
                <w:snapToGrid w:val="0"/>
                <w:color w:val="auto"/>
                <w:kern w:val="0"/>
                <w:szCs w:val="21"/>
                <w:highlight w:val="none"/>
              </w:rPr>
            </w:pPr>
            <w:r>
              <w:rPr>
                <w:rFonts w:ascii="宋体" w:hAnsi="宋体"/>
                <w:b/>
                <w:snapToGrid w:val="0"/>
                <w:color w:val="auto"/>
                <w:kern w:val="0"/>
                <w:szCs w:val="21"/>
                <w:highlight w:val="none"/>
              </w:rPr>
              <w:t>勘察设计企业</w:t>
            </w:r>
            <w:r>
              <w:rPr>
                <w:rFonts w:hint="eastAsia" w:ascii="宋体" w:hAnsi="宋体"/>
                <w:b/>
                <w:snapToGrid w:val="0"/>
                <w:color w:val="auto"/>
                <w:kern w:val="0"/>
                <w:szCs w:val="21"/>
                <w:highlight w:val="none"/>
              </w:rPr>
              <w:t>财务最低</w:t>
            </w:r>
            <w:r>
              <w:rPr>
                <w:rFonts w:ascii="宋体" w:hAnsi="宋体"/>
                <w:b/>
                <w:snapToGrid w:val="0"/>
                <w:color w:val="auto"/>
                <w:kern w:val="0"/>
                <w:szCs w:val="21"/>
                <w:highlight w:val="none"/>
              </w:rPr>
              <w:t>要求</w:t>
            </w:r>
          </w:p>
        </w:tc>
      </w:tr>
      <w:tr w14:paraId="0D91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238" w:type="dxa"/>
          </w:tcPr>
          <w:p w14:paraId="192F2810">
            <w:pPr>
              <w:spacing w:line="440" w:lineRule="exact"/>
              <w:jc w:val="center"/>
              <w:rPr>
                <w:rFonts w:ascii="宋体" w:hAnsi="宋体"/>
                <w:snapToGrid w:val="0"/>
                <w:color w:val="auto"/>
                <w:kern w:val="0"/>
                <w:szCs w:val="21"/>
                <w:highlight w:val="none"/>
              </w:rPr>
            </w:pPr>
            <w:r>
              <w:rPr>
                <w:rFonts w:hint="eastAsia" w:ascii="宋体" w:hAnsi="宋体"/>
                <w:bCs/>
                <w:color w:val="auto"/>
                <w:szCs w:val="21"/>
                <w:highlight w:val="none"/>
                <w:u w:val="single"/>
              </w:rPr>
              <w:t>不需要</w:t>
            </w:r>
          </w:p>
        </w:tc>
      </w:tr>
    </w:tbl>
    <w:p w14:paraId="0EAA01B9">
      <w:pPr>
        <w:snapToGrid w:val="0"/>
        <w:rPr>
          <w:rFonts w:ascii="宋体" w:hAnsi="宋体"/>
          <w:snapToGrid w:val="0"/>
          <w:color w:val="auto"/>
          <w:kern w:val="0"/>
          <w:sz w:val="17"/>
          <w:highlight w:val="none"/>
        </w:rPr>
      </w:pPr>
    </w:p>
    <w:p w14:paraId="563902BF">
      <w:pPr>
        <w:snapToGrid w:val="0"/>
        <w:rPr>
          <w:rFonts w:ascii="宋体" w:hAnsi="宋体"/>
          <w:snapToGrid w:val="0"/>
          <w:color w:val="auto"/>
          <w:kern w:val="0"/>
          <w:sz w:val="2"/>
          <w:highlight w:val="none"/>
        </w:rPr>
      </w:pPr>
    </w:p>
    <w:p w14:paraId="69DAE1F0">
      <w:pPr>
        <w:pStyle w:val="92"/>
        <w:spacing w:before="240" w:beforeLines="100"/>
        <w:outlineLvl w:val="0"/>
        <w:rPr>
          <w:rFonts w:ascii="宋体" w:hAnsi="宋体" w:eastAsia="宋体"/>
          <w:b/>
          <w:snapToGrid w:val="0"/>
          <w:color w:val="auto"/>
          <w:kern w:val="0"/>
          <w:highlight w:val="none"/>
        </w:rPr>
      </w:pPr>
      <w:bookmarkStart w:id="446" w:name="_Toc488649895"/>
      <w:bookmarkStart w:id="447" w:name="_Toc346269466"/>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 xml:space="preserve">件5 </w:t>
      </w:r>
      <w:r>
        <w:rPr>
          <w:rFonts w:ascii="宋体" w:hAnsi="宋体" w:eastAsia="宋体"/>
          <w:b/>
          <w:snapToGrid w:val="0"/>
          <w:color w:val="auto"/>
          <w:kern w:val="0"/>
          <w:highlight w:val="none"/>
        </w:rPr>
        <w:t>资格审查条件（主要人员要求）</w:t>
      </w:r>
      <w:bookmarkEnd w:id="446"/>
      <w:bookmarkEnd w:id="447"/>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543"/>
        <w:gridCol w:w="4783"/>
      </w:tblGrid>
      <w:tr w14:paraId="0CB1C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12" w:type="dxa"/>
          </w:tcPr>
          <w:p w14:paraId="4A3CC21A">
            <w:pPr>
              <w:spacing w:line="440" w:lineRule="exact"/>
              <w:jc w:val="center"/>
              <w:rPr>
                <w:rFonts w:ascii="宋体" w:hAnsi="宋体"/>
                <w:b/>
                <w:color w:val="auto"/>
                <w:szCs w:val="21"/>
                <w:highlight w:val="none"/>
              </w:rPr>
            </w:pPr>
            <w:r>
              <w:rPr>
                <w:rFonts w:hint="eastAsia" w:ascii="宋体" w:hAnsi="宋体"/>
                <w:b/>
                <w:snapToGrid w:val="0"/>
                <w:color w:val="auto"/>
                <w:kern w:val="0"/>
                <w:szCs w:val="21"/>
                <w:highlight w:val="none"/>
              </w:rPr>
              <w:t>人员</w:t>
            </w:r>
          </w:p>
        </w:tc>
        <w:tc>
          <w:tcPr>
            <w:tcW w:w="1543" w:type="dxa"/>
          </w:tcPr>
          <w:p w14:paraId="6866B19B">
            <w:pPr>
              <w:spacing w:line="44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783" w:type="dxa"/>
          </w:tcPr>
          <w:p w14:paraId="074EE982">
            <w:pPr>
              <w:spacing w:line="440" w:lineRule="exact"/>
              <w:jc w:val="center"/>
              <w:rPr>
                <w:rFonts w:ascii="宋体" w:hAnsi="宋体"/>
                <w:b/>
                <w:color w:val="auto"/>
                <w:szCs w:val="21"/>
                <w:highlight w:val="none"/>
              </w:rPr>
            </w:pPr>
            <w:r>
              <w:rPr>
                <w:rFonts w:hint="eastAsia" w:ascii="宋体" w:hAnsi="宋体"/>
                <w:b/>
                <w:color w:val="auto"/>
                <w:szCs w:val="21"/>
                <w:highlight w:val="none"/>
              </w:rPr>
              <w:t>资格要求</w:t>
            </w:r>
          </w:p>
        </w:tc>
      </w:tr>
      <w:tr w14:paraId="4578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912" w:type="dxa"/>
          </w:tcPr>
          <w:p w14:paraId="53BBE708">
            <w:pPr>
              <w:spacing w:line="440" w:lineRule="exact"/>
              <w:jc w:val="left"/>
              <w:rPr>
                <w:rFonts w:ascii="宋体" w:hAnsi="宋体"/>
                <w:b/>
                <w:color w:val="auto"/>
                <w:szCs w:val="21"/>
                <w:highlight w:val="none"/>
              </w:rPr>
            </w:pPr>
            <w:r>
              <w:rPr>
                <w:rFonts w:hint="eastAsia" w:ascii="宋体" w:hAnsi="宋体"/>
                <w:b/>
                <w:snapToGrid w:val="0"/>
                <w:color w:val="auto"/>
                <w:kern w:val="0"/>
                <w:szCs w:val="21"/>
                <w:highlight w:val="none"/>
              </w:rPr>
              <w:t>项目负责人</w:t>
            </w:r>
          </w:p>
        </w:tc>
        <w:tc>
          <w:tcPr>
            <w:tcW w:w="1543" w:type="dxa"/>
          </w:tcPr>
          <w:p w14:paraId="30F64316">
            <w:pPr>
              <w:spacing w:line="440" w:lineRule="exact"/>
              <w:jc w:val="center"/>
              <w:rPr>
                <w:rFonts w:ascii="宋体" w:hAnsi="宋体"/>
                <w:b/>
                <w:color w:val="auto"/>
                <w:szCs w:val="21"/>
                <w:highlight w:val="none"/>
              </w:rPr>
            </w:pPr>
            <w:r>
              <w:rPr>
                <w:rFonts w:hint="eastAsia" w:ascii="宋体" w:hAnsi="宋体"/>
                <w:b/>
                <w:color w:val="auto"/>
                <w:szCs w:val="21"/>
                <w:highlight w:val="none"/>
              </w:rPr>
              <w:t>1</w:t>
            </w:r>
          </w:p>
        </w:tc>
        <w:tc>
          <w:tcPr>
            <w:tcW w:w="4783" w:type="dxa"/>
          </w:tcPr>
          <w:p w14:paraId="6DE0683A">
            <w:pPr>
              <w:spacing w:line="440" w:lineRule="exact"/>
              <w:jc w:val="left"/>
              <w:rPr>
                <w:rFonts w:ascii="宋体" w:hAnsi="宋体"/>
                <w:b/>
                <w:color w:val="auto"/>
                <w:szCs w:val="21"/>
                <w:highlight w:val="none"/>
              </w:rPr>
            </w:pPr>
            <w:r>
              <w:rPr>
                <w:rFonts w:hint="eastAsia" w:ascii="宋体" w:hAnsi="宋体"/>
                <w:b/>
                <w:snapToGrid w:val="0"/>
                <w:color w:val="auto"/>
                <w:kern w:val="0"/>
                <w:highlight w:val="none"/>
                <w:u w:val="single"/>
              </w:rPr>
              <w:t>（职称或执业资格证书）</w:t>
            </w:r>
          </w:p>
        </w:tc>
      </w:tr>
    </w:tbl>
    <w:p w14:paraId="3E71C3CB">
      <w:pPr>
        <w:pStyle w:val="92"/>
        <w:spacing w:before="240" w:beforeLines="100"/>
        <w:outlineLvl w:val="0"/>
        <w:rPr>
          <w:rFonts w:ascii="宋体" w:hAnsi="宋体" w:eastAsia="宋体"/>
          <w:b/>
          <w:snapToGrid w:val="0"/>
          <w:color w:val="auto"/>
          <w:kern w:val="0"/>
          <w:highlight w:val="none"/>
        </w:rPr>
      </w:pPr>
      <w:bookmarkStart w:id="448" w:name="_Toc488649896"/>
      <w:bookmarkStart w:id="449" w:name="_Toc346269467"/>
    </w:p>
    <w:p w14:paraId="6F4F25CA">
      <w:pPr>
        <w:pStyle w:val="92"/>
        <w:spacing w:before="240" w:beforeLines="100"/>
        <w:outlineLvl w:val="0"/>
        <w:rPr>
          <w:rFonts w:ascii="宋体" w:hAnsi="宋体" w:eastAsia="宋体"/>
          <w:b/>
          <w:snapToGrid w:val="0"/>
          <w:color w:val="auto"/>
          <w:kern w:val="0"/>
          <w:highlight w:val="none"/>
        </w:rPr>
      </w:pPr>
      <w:r>
        <w:rPr>
          <w:rFonts w:ascii="宋体" w:hAnsi="宋体" w:eastAsia="宋体"/>
          <w:b/>
          <w:snapToGrid w:val="0"/>
          <w:color w:val="auto"/>
          <w:kern w:val="0"/>
          <w:highlight w:val="none"/>
        </w:rPr>
        <w:br w:type="page"/>
      </w:r>
      <w:r>
        <w:rPr>
          <w:rFonts w:ascii="宋体" w:hAnsi="宋体" w:eastAsia="宋体"/>
          <w:b/>
          <w:snapToGrid w:val="0"/>
          <w:color w:val="auto"/>
          <w:kern w:val="0"/>
          <w:highlight w:val="none"/>
        </w:rPr>
        <w:t>附</w:t>
      </w:r>
      <w:r>
        <w:rPr>
          <w:rFonts w:hint="eastAsia" w:ascii="宋体" w:hAnsi="宋体" w:eastAsia="宋体"/>
          <w:b/>
          <w:snapToGrid w:val="0"/>
          <w:color w:val="auto"/>
          <w:kern w:val="0"/>
          <w:highlight w:val="none"/>
        </w:rPr>
        <w:t xml:space="preserve">件6 </w:t>
      </w:r>
      <w:r>
        <w:rPr>
          <w:rFonts w:ascii="宋体" w:hAnsi="宋体" w:eastAsia="宋体"/>
          <w:b/>
          <w:snapToGrid w:val="0"/>
          <w:color w:val="auto"/>
          <w:kern w:val="0"/>
          <w:highlight w:val="none"/>
        </w:rPr>
        <w:t>资格审查条件（</w:t>
      </w:r>
      <w:r>
        <w:rPr>
          <w:rFonts w:hint="eastAsia" w:ascii="宋体" w:hAnsi="宋体" w:eastAsia="宋体"/>
          <w:b/>
          <w:snapToGrid w:val="0"/>
          <w:color w:val="auto"/>
          <w:kern w:val="0"/>
          <w:highlight w:val="none"/>
        </w:rPr>
        <w:t>其他</w:t>
      </w:r>
      <w:r>
        <w:rPr>
          <w:rFonts w:ascii="宋体" w:hAnsi="宋体" w:eastAsia="宋体"/>
          <w:b/>
          <w:snapToGrid w:val="0"/>
          <w:color w:val="auto"/>
          <w:kern w:val="0"/>
          <w:highlight w:val="none"/>
        </w:rPr>
        <w:t>要求）</w:t>
      </w:r>
      <w:bookmarkEnd w:id="448"/>
      <w:bookmarkEnd w:id="449"/>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8"/>
      </w:tblGrid>
      <w:tr w14:paraId="17D6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8" w:type="dxa"/>
            <w:vAlign w:val="center"/>
          </w:tcPr>
          <w:p w14:paraId="3FEFD9D7">
            <w:pPr>
              <w:snapToGrid w:val="0"/>
              <w:spacing w:before="72" w:beforeLines="30" w:after="72" w:afterLines="30"/>
              <w:jc w:val="center"/>
              <w:rPr>
                <w:rFonts w:ascii="宋体" w:hAnsi="宋体"/>
                <w:snapToGrid w:val="0"/>
                <w:color w:val="auto"/>
                <w:kern w:val="0"/>
                <w:szCs w:val="21"/>
                <w:highlight w:val="none"/>
              </w:rPr>
            </w:pPr>
            <w:r>
              <w:rPr>
                <w:rFonts w:hint="eastAsia" w:ascii="宋体" w:hAnsi="宋体"/>
                <w:b/>
                <w:snapToGrid w:val="0"/>
                <w:color w:val="auto"/>
                <w:kern w:val="0"/>
                <w:szCs w:val="21"/>
                <w:highlight w:val="none"/>
              </w:rPr>
              <w:t>其他</w:t>
            </w:r>
            <w:r>
              <w:rPr>
                <w:rFonts w:ascii="宋体" w:hAnsi="宋体"/>
                <w:b/>
                <w:snapToGrid w:val="0"/>
                <w:color w:val="auto"/>
                <w:kern w:val="0"/>
                <w:szCs w:val="21"/>
                <w:highlight w:val="none"/>
              </w:rPr>
              <w:t>要求</w:t>
            </w:r>
          </w:p>
        </w:tc>
      </w:tr>
      <w:tr w14:paraId="50B0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238" w:type="dxa"/>
          </w:tcPr>
          <w:p w14:paraId="671A8C9A">
            <w:pPr>
              <w:snapToGrid w:val="0"/>
              <w:spacing w:before="72" w:beforeLines="30" w:after="72" w:afterLines="30" w:line="360" w:lineRule="auto"/>
              <w:ind w:firstLine="420" w:firstLineChars="200"/>
              <w:jc w:val="left"/>
              <w:rPr>
                <w:color w:val="auto"/>
                <w:highlight w:val="none"/>
              </w:rPr>
            </w:pPr>
            <w:r>
              <w:rPr>
                <w:rFonts w:hint="eastAsia"/>
                <w:color w:val="auto"/>
                <w:highlight w:val="none"/>
              </w:rPr>
              <w:t>1）本次招标</w:t>
            </w:r>
            <w:r>
              <w:rPr>
                <w:rFonts w:hint="eastAsia" w:ascii="宋体" w:hAnsi="宋体"/>
                <w:bCs/>
                <w:color w:val="auto"/>
                <w:szCs w:val="21"/>
                <w:highlight w:val="none"/>
                <w:u w:val="single"/>
              </w:rPr>
              <w:t xml:space="preserve">        </w:t>
            </w:r>
            <w:r>
              <w:rPr>
                <w:rFonts w:hint="eastAsia"/>
                <w:color w:val="auto"/>
                <w:highlight w:val="none"/>
              </w:rPr>
              <w:t>（接受或不接受） 联合体投标。若采用联合体投标的，允许由具有设计、勘察资质的单位组成联合体参加投标；自愿组成联合体的应由具有招标项目相适应的设计资质的单位为联合体牵头人，且各方均应具备其所承担招标项目工作内容的相应资质条件；承担相同工作内容的专业单位组成联合体的，按照资质等级较低的单位确定资质等级。</w:t>
            </w:r>
          </w:p>
          <w:p w14:paraId="01DDD945">
            <w:pPr>
              <w:snapToGrid w:val="0"/>
              <w:spacing w:before="72" w:beforeLines="30" w:after="72" w:afterLines="30" w:line="360" w:lineRule="auto"/>
              <w:ind w:firstLine="420" w:firstLineChars="200"/>
              <w:jc w:val="left"/>
              <w:rPr>
                <w:color w:val="auto"/>
                <w:highlight w:val="none"/>
              </w:rPr>
            </w:pPr>
            <w:r>
              <w:rPr>
                <w:rFonts w:hint="eastAsia"/>
                <w:color w:val="auto"/>
                <w:highlight w:val="none"/>
              </w:rPr>
              <w:t>2）本工程</w:t>
            </w:r>
            <w:r>
              <w:rPr>
                <w:rFonts w:hint="eastAsia" w:ascii="宋体" w:hAnsi="宋体"/>
                <w:bCs/>
                <w:color w:val="auto"/>
                <w:szCs w:val="21"/>
                <w:highlight w:val="none"/>
                <w:u w:val="single"/>
              </w:rPr>
              <w:t xml:space="preserve">         </w:t>
            </w:r>
            <w:r>
              <w:rPr>
                <w:rFonts w:hint="eastAsia"/>
                <w:color w:val="auto"/>
                <w:highlight w:val="none"/>
              </w:rPr>
              <w:t>（允许或不允许）分包。</w:t>
            </w:r>
          </w:p>
          <w:p w14:paraId="3C9F5E0B">
            <w:pPr>
              <w:pStyle w:val="41"/>
              <w:rPr>
                <w:color w:val="auto"/>
                <w:highlight w:val="none"/>
              </w:rPr>
            </w:pPr>
          </w:p>
        </w:tc>
      </w:tr>
    </w:tbl>
    <w:p w14:paraId="3887277E">
      <w:pPr>
        <w:rPr>
          <w:rFonts w:ascii="宋体" w:hAnsi="宋体"/>
          <w:snapToGrid w:val="0"/>
          <w:color w:val="auto"/>
          <w:kern w:val="0"/>
          <w:highlight w:val="none"/>
        </w:rPr>
      </w:pPr>
    </w:p>
    <w:p w14:paraId="7C207ED8">
      <w:pPr>
        <w:pStyle w:val="92"/>
        <w:spacing w:before="240" w:beforeLines="100"/>
        <w:outlineLvl w:val="0"/>
        <w:rPr>
          <w:color w:val="auto"/>
          <w:highlight w:val="none"/>
        </w:rPr>
      </w:pPr>
      <w:bookmarkStart w:id="450" w:name="_Toc488492820"/>
      <w:bookmarkStart w:id="451" w:name="_Toc488649897"/>
      <w:r>
        <w:rPr>
          <w:rFonts w:hint="eastAsia" w:ascii="宋体" w:hAnsi="宋体" w:eastAsia="宋体"/>
          <w:b/>
          <w:snapToGrid w:val="0"/>
          <w:color w:val="auto"/>
          <w:kern w:val="0"/>
          <w:highlight w:val="none"/>
        </w:rPr>
        <w:t>附件7 其他主要专业负责人最低要求</w:t>
      </w:r>
      <w:bookmarkEnd w:id="450"/>
      <w:bookmarkEnd w:id="451"/>
    </w:p>
    <w:p w14:paraId="3161FC11">
      <w:pPr>
        <w:spacing w:before="120" w:beforeLines="50" w:after="120" w:afterLines="50" w:line="280" w:lineRule="exact"/>
        <w:jc w:val="center"/>
        <w:rPr>
          <w:b/>
          <w:color w:val="auto"/>
          <w:szCs w:val="21"/>
          <w:highlight w:val="none"/>
          <w:u w:val="single"/>
        </w:rPr>
      </w:pPr>
      <w:r>
        <w:rPr>
          <w:rFonts w:hint="eastAsia" w:ascii="宋体" w:hAnsi="宋体"/>
          <w:b/>
          <w:color w:val="auto"/>
          <w:szCs w:val="21"/>
          <w:highlight w:val="none"/>
          <w:u w:val="single"/>
        </w:rPr>
        <w:t>（本附件投标人投标时不须提交）</w:t>
      </w:r>
    </w:p>
    <w:tbl>
      <w:tblPr>
        <w:tblStyle w:val="4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54"/>
        <w:gridCol w:w="2793"/>
      </w:tblGrid>
      <w:tr w14:paraId="429E7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46173F3E">
            <w:pPr>
              <w:spacing w:line="440" w:lineRule="exact"/>
              <w:jc w:val="center"/>
              <w:rPr>
                <w:b/>
                <w:color w:val="auto"/>
                <w:szCs w:val="21"/>
                <w:highlight w:val="none"/>
              </w:rPr>
            </w:pPr>
            <w:r>
              <w:rPr>
                <w:rFonts w:hint="eastAsia"/>
                <w:b/>
                <w:color w:val="auto"/>
                <w:szCs w:val="21"/>
                <w:highlight w:val="none"/>
              </w:rPr>
              <w:t>人员</w:t>
            </w:r>
          </w:p>
        </w:tc>
        <w:tc>
          <w:tcPr>
            <w:tcW w:w="3254" w:type="dxa"/>
          </w:tcPr>
          <w:p w14:paraId="5F324DC8">
            <w:pPr>
              <w:spacing w:line="440" w:lineRule="exact"/>
              <w:jc w:val="center"/>
              <w:rPr>
                <w:b/>
                <w:color w:val="auto"/>
                <w:szCs w:val="21"/>
                <w:highlight w:val="none"/>
              </w:rPr>
            </w:pPr>
            <w:r>
              <w:rPr>
                <w:rFonts w:hint="eastAsia"/>
                <w:b/>
                <w:color w:val="auto"/>
                <w:szCs w:val="21"/>
                <w:highlight w:val="none"/>
              </w:rPr>
              <w:t>数量</w:t>
            </w:r>
          </w:p>
        </w:tc>
        <w:tc>
          <w:tcPr>
            <w:tcW w:w="2793" w:type="dxa"/>
          </w:tcPr>
          <w:p w14:paraId="242937DB">
            <w:pPr>
              <w:spacing w:line="440" w:lineRule="exact"/>
              <w:jc w:val="center"/>
              <w:rPr>
                <w:b/>
                <w:color w:val="auto"/>
                <w:szCs w:val="21"/>
                <w:highlight w:val="none"/>
              </w:rPr>
            </w:pPr>
            <w:r>
              <w:rPr>
                <w:rFonts w:hint="eastAsia"/>
                <w:b/>
                <w:color w:val="auto"/>
                <w:szCs w:val="21"/>
                <w:highlight w:val="none"/>
              </w:rPr>
              <w:t>资格要求</w:t>
            </w:r>
          </w:p>
        </w:tc>
      </w:tr>
      <w:tr w14:paraId="30477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42C0310C">
            <w:pPr>
              <w:spacing w:line="440" w:lineRule="exact"/>
              <w:rPr>
                <w:color w:val="auto"/>
                <w:sz w:val="18"/>
                <w:szCs w:val="18"/>
                <w:highlight w:val="none"/>
              </w:rPr>
            </w:pPr>
          </w:p>
        </w:tc>
        <w:tc>
          <w:tcPr>
            <w:tcW w:w="3254" w:type="dxa"/>
          </w:tcPr>
          <w:p w14:paraId="001A5499">
            <w:pPr>
              <w:spacing w:line="440" w:lineRule="exact"/>
              <w:rPr>
                <w:color w:val="auto"/>
                <w:sz w:val="18"/>
                <w:szCs w:val="18"/>
                <w:highlight w:val="none"/>
              </w:rPr>
            </w:pPr>
          </w:p>
        </w:tc>
        <w:tc>
          <w:tcPr>
            <w:tcW w:w="2793" w:type="dxa"/>
          </w:tcPr>
          <w:p w14:paraId="138D2767">
            <w:pPr>
              <w:spacing w:line="440" w:lineRule="exact"/>
              <w:rPr>
                <w:color w:val="auto"/>
                <w:sz w:val="18"/>
                <w:szCs w:val="18"/>
                <w:highlight w:val="none"/>
              </w:rPr>
            </w:pPr>
          </w:p>
        </w:tc>
      </w:tr>
      <w:tr w14:paraId="365C0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5448F802">
            <w:pPr>
              <w:spacing w:line="440" w:lineRule="exact"/>
              <w:rPr>
                <w:color w:val="auto"/>
                <w:sz w:val="18"/>
                <w:szCs w:val="18"/>
                <w:highlight w:val="none"/>
              </w:rPr>
            </w:pPr>
          </w:p>
        </w:tc>
        <w:tc>
          <w:tcPr>
            <w:tcW w:w="3254" w:type="dxa"/>
          </w:tcPr>
          <w:p w14:paraId="2D12B6B8">
            <w:pPr>
              <w:spacing w:line="440" w:lineRule="exact"/>
              <w:rPr>
                <w:color w:val="auto"/>
                <w:sz w:val="18"/>
                <w:szCs w:val="18"/>
                <w:highlight w:val="none"/>
              </w:rPr>
            </w:pPr>
          </w:p>
        </w:tc>
        <w:tc>
          <w:tcPr>
            <w:tcW w:w="2793" w:type="dxa"/>
          </w:tcPr>
          <w:p w14:paraId="3AE479CE">
            <w:pPr>
              <w:spacing w:line="440" w:lineRule="exact"/>
              <w:rPr>
                <w:color w:val="auto"/>
                <w:sz w:val="18"/>
                <w:szCs w:val="18"/>
                <w:highlight w:val="none"/>
              </w:rPr>
            </w:pPr>
          </w:p>
        </w:tc>
      </w:tr>
      <w:tr w14:paraId="1E7AB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03A25568">
            <w:pPr>
              <w:spacing w:line="440" w:lineRule="exact"/>
              <w:rPr>
                <w:color w:val="auto"/>
                <w:sz w:val="18"/>
                <w:szCs w:val="18"/>
                <w:highlight w:val="none"/>
              </w:rPr>
            </w:pPr>
          </w:p>
        </w:tc>
        <w:tc>
          <w:tcPr>
            <w:tcW w:w="3254" w:type="dxa"/>
          </w:tcPr>
          <w:p w14:paraId="501BAC78">
            <w:pPr>
              <w:spacing w:line="440" w:lineRule="exact"/>
              <w:rPr>
                <w:color w:val="auto"/>
                <w:sz w:val="18"/>
                <w:szCs w:val="18"/>
                <w:highlight w:val="none"/>
              </w:rPr>
            </w:pPr>
          </w:p>
        </w:tc>
        <w:tc>
          <w:tcPr>
            <w:tcW w:w="2793" w:type="dxa"/>
          </w:tcPr>
          <w:p w14:paraId="29254467">
            <w:pPr>
              <w:spacing w:line="440" w:lineRule="exact"/>
              <w:rPr>
                <w:color w:val="auto"/>
                <w:sz w:val="18"/>
                <w:szCs w:val="18"/>
                <w:highlight w:val="none"/>
              </w:rPr>
            </w:pPr>
          </w:p>
        </w:tc>
      </w:tr>
      <w:tr w14:paraId="7E30C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5B06C208">
            <w:pPr>
              <w:spacing w:line="440" w:lineRule="exact"/>
              <w:rPr>
                <w:color w:val="auto"/>
                <w:sz w:val="18"/>
                <w:szCs w:val="18"/>
                <w:highlight w:val="none"/>
              </w:rPr>
            </w:pPr>
          </w:p>
        </w:tc>
        <w:tc>
          <w:tcPr>
            <w:tcW w:w="3254" w:type="dxa"/>
          </w:tcPr>
          <w:p w14:paraId="44BF7DB1">
            <w:pPr>
              <w:spacing w:line="440" w:lineRule="exact"/>
              <w:rPr>
                <w:color w:val="auto"/>
                <w:sz w:val="18"/>
                <w:szCs w:val="18"/>
                <w:highlight w:val="none"/>
              </w:rPr>
            </w:pPr>
          </w:p>
        </w:tc>
        <w:tc>
          <w:tcPr>
            <w:tcW w:w="2793" w:type="dxa"/>
          </w:tcPr>
          <w:p w14:paraId="3CC210AB">
            <w:pPr>
              <w:spacing w:line="440" w:lineRule="exact"/>
              <w:rPr>
                <w:color w:val="auto"/>
                <w:sz w:val="18"/>
                <w:szCs w:val="18"/>
                <w:highlight w:val="none"/>
              </w:rPr>
            </w:pPr>
          </w:p>
        </w:tc>
      </w:tr>
      <w:tr w14:paraId="7FB78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3FF6FF1D">
            <w:pPr>
              <w:spacing w:line="440" w:lineRule="exact"/>
              <w:rPr>
                <w:color w:val="auto"/>
                <w:sz w:val="18"/>
                <w:szCs w:val="18"/>
                <w:highlight w:val="none"/>
              </w:rPr>
            </w:pPr>
          </w:p>
        </w:tc>
        <w:tc>
          <w:tcPr>
            <w:tcW w:w="3254" w:type="dxa"/>
          </w:tcPr>
          <w:p w14:paraId="654EDF6B">
            <w:pPr>
              <w:spacing w:line="440" w:lineRule="exact"/>
              <w:rPr>
                <w:color w:val="auto"/>
                <w:sz w:val="18"/>
                <w:szCs w:val="18"/>
                <w:highlight w:val="none"/>
              </w:rPr>
            </w:pPr>
          </w:p>
        </w:tc>
        <w:tc>
          <w:tcPr>
            <w:tcW w:w="2793" w:type="dxa"/>
          </w:tcPr>
          <w:p w14:paraId="4699090B">
            <w:pPr>
              <w:spacing w:line="440" w:lineRule="exact"/>
              <w:rPr>
                <w:color w:val="auto"/>
                <w:sz w:val="18"/>
                <w:szCs w:val="18"/>
                <w:highlight w:val="none"/>
              </w:rPr>
            </w:pPr>
          </w:p>
        </w:tc>
      </w:tr>
      <w:tr w14:paraId="1A450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47D77E34">
            <w:pPr>
              <w:spacing w:line="440" w:lineRule="exact"/>
              <w:rPr>
                <w:color w:val="auto"/>
                <w:sz w:val="18"/>
                <w:szCs w:val="18"/>
                <w:highlight w:val="none"/>
              </w:rPr>
            </w:pPr>
          </w:p>
        </w:tc>
        <w:tc>
          <w:tcPr>
            <w:tcW w:w="3254" w:type="dxa"/>
          </w:tcPr>
          <w:p w14:paraId="4684A92A">
            <w:pPr>
              <w:spacing w:line="440" w:lineRule="exact"/>
              <w:rPr>
                <w:color w:val="auto"/>
                <w:sz w:val="18"/>
                <w:szCs w:val="18"/>
                <w:highlight w:val="none"/>
              </w:rPr>
            </w:pPr>
          </w:p>
        </w:tc>
        <w:tc>
          <w:tcPr>
            <w:tcW w:w="2793" w:type="dxa"/>
          </w:tcPr>
          <w:p w14:paraId="59D853B3">
            <w:pPr>
              <w:spacing w:line="440" w:lineRule="exact"/>
              <w:rPr>
                <w:color w:val="auto"/>
                <w:sz w:val="18"/>
                <w:szCs w:val="18"/>
                <w:highlight w:val="none"/>
              </w:rPr>
            </w:pPr>
          </w:p>
        </w:tc>
      </w:tr>
      <w:tr w14:paraId="5E95D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161AFA1A">
            <w:pPr>
              <w:spacing w:line="440" w:lineRule="exact"/>
              <w:rPr>
                <w:color w:val="auto"/>
                <w:sz w:val="18"/>
                <w:szCs w:val="18"/>
                <w:highlight w:val="none"/>
              </w:rPr>
            </w:pPr>
          </w:p>
        </w:tc>
        <w:tc>
          <w:tcPr>
            <w:tcW w:w="3254" w:type="dxa"/>
          </w:tcPr>
          <w:p w14:paraId="177B8868">
            <w:pPr>
              <w:spacing w:line="440" w:lineRule="exact"/>
              <w:rPr>
                <w:color w:val="auto"/>
                <w:sz w:val="18"/>
                <w:szCs w:val="18"/>
                <w:highlight w:val="none"/>
              </w:rPr>
            </w:pPr>
          </w:p>
        </w:tc>
        <w:tc>
          <w:tcPr>
            <w:tcW w:w="2793" w:type="dxa"/>
          </w:tcPr>
          <w:p w14:paraId="37F53FFA">
            <w:pPr>
              <w:spacing w:line="440" w:lineRule="exact"/>
              <w:rPr>
                <w:color w:val="auto"/>
                <w:sz w:val="18"/>
                <w:szCs w:val="18"/>
                <w:highlight w:val="none"/>
              </w:rPr>
            </w:pPr>
          </w:p>
        </w:tc>
      </w:tr>
      <w:tr w14:paraId="6E2A1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552AABD1">
            <w:pPr>
              <w:spacing w:line="440" w:lineRule="exact"/>
              <w:rPr>
                <w:color w:val="auto"/>
                <w:sz w:val="18"/>
                <w:szCs w:val="18"/>
                <w:highlight w:val="none"/>
              </w:rPr>
            </w:pPr>
          </w:p>
        </w:tc>
        <w:tc>
          <w:tcPr>
            <w:tcW w:w="3254" w:type="dxa"/>
          </w:tcPr>
          <w:p w14:paraId="6B4CE254">
            <w:pPr>
              <w:spacing w:line="440" w:lineRule="exact"/>
              <w:rPr>
                <w:color w:val="auto"/>
                <w:sz w:val="18"/>
                <w:szCs w:val="18"/>
                <w:highlight w:val="none"/>
              </w:rPr>
            </w:pPr>
          </w:p>
        </w:tc>
        <w:tc>
          <w:tcPr>
            <w:tcW w:w="2793" w:type="dxa"/>
          </w:tcPr>
          <w:p w14:paraId="58EE5CC6">
            <w:pPr>
              <w:spacing w:line="440" w:lineRule="exact"/>
              <w:rPr>
                <w:color w:val="auto"/>
                <w:sz w:val="18"/>
                <w:szCs w:val="18"/>
                <w:highlight w:val="none"/>
              </w:rPr>
            </w:pPr>
          </w:p>
        </w:tc>
      </w:tr>
      <w:tr w14:paraId="46B8AF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5" w:type="dxa"/>
          </w:tcPr>
          <w:p w14:paraId="6FC2F87E">
            <w:pPr>
              <w:spacing w:line="440" w:lineRule="exact"/>
              <w:rPr>
                <w:color w:val="auto"/>
                <w:sz w:val="18"/>
                <w:szCs w:val="18"/>
                <w:highlight w:val="none"/>
              </w:rPr>
            </w:pPr>
          </w:p>
        </w:tc>
        <w:tc>
          <w:tcPr>
            <w:tcW w:w="3254" w:type="dxa"/>
          </w:tcPr>
          <w:p w14:paraId="3D1609B0">
            <w:pPr>
              <w:spacing w:line="440" w:lineRule="exact"/>
              <w:rPr>
                <w:color w:val="auto"/>
                <w:sz w:val="18"/>
                <w:szCs w:val="18"/>
                <w:highlight w:val="none"/>
              </w:rPr>
            </w:pPr>
          </w:p>
        </w:tc>
        <w:tc>
          <w:tcPr>
            <w:tcW w:w="2793" w:type="dxa"/>
          </w:tcPr>
          <w:p w14:paraId="415826D0">
            <w:pPr>
              <w:spacing w:line="440" w:lineRule="exact"/>
              <w:rPr>
                <w:color w:val="auto"/>
                <w:sz w:val="18"/>
                <w:szCs w:val="18"/>
                <w:highlight w:val="none"/>
              </w:rPr>
            </w:pPr>
          </w:p>
        </w:tc>
      </w:tr>
    </w:tbl>
    <w:p w14:paraId="77AAE605">
      <w:pPr>
        <w:spacing w:line="360" w:lineRule="auto"/>
        <w:ind w:firstLine="420"/>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其他主要专业负责人指总图负责人、结构专业负责人、装卸工艺负责人、水文地质专业负责人、给排水专业负责人、勘察专业负责人、航道专业负责人、导助航专业负责人、造价专业负责人等。招标人应根据工程实际在本表中列明有关人员的数量及资格要求，本表不作为资格审查条件，投标人无需提供上述人员名单和详细资料，也无需在投标文件中提交本表格；但投标人必须承诺中标后应按本表最低要求的数量和资格投入人员。</w:t>
      </w:r>
    </w:p>
    <w:p w14:paraId="471858CE">
      <w:pPr>
        <w:spacing w:line="360" w:lineRule="auto"/>
        <w:ind w:firstLine="420" w:firstLineChars="200"/>
        <w:rPr>
          <w:color w:val="auto"/>
          <w:szCs w:val="21"/>
          <w:highlight w:val="none"/>
        </w:rPr>
        <w:sectPr>
          <w:pgSz w:w="11920" w:h="16960"/>
          <w:pgMar w:top="1134" w:right="1134" w:bottom="1134" w:left="1418" w:header="720" w:footer="720" w:gutter="0"/>
          <w:cols w:space="720" w:num="1"/>
        </w:sectPr>
      </w:pPr>
      <w:r>
        <w:rPr>
          <w:rFonts w:hint="eastAsia" w:ascii="宋体" w:hAnsi="宋体"/>
          <w:color w:val="auto"/>
          <w:szCs w:val="21"/>
          <w:highlight w:val="none"/>
        </w:rPr>
        <w:t>2、</w:t>
      </w:r>
      <w:r>
        <w:rPr>
          <w:rFonts w:hint="eastAsia"/>
          <w:color w:val="auto"/>
          <w:szCs w:val="21"/>
          <w:highlight w:val="none"/>
        </w:rPr>
        <w:t>招标人将在合同签订前要求中标人按照本表的最低要求填报派任本标段的其他主要专业负责人，在经招标人审批后作为本标段的主要设计人员且不允许更换。若确需更换，应重新报招标人审批。</w:t>
      </w:r>
    </w:p>
    <w:p w14:paraId="0A335AEC">
      <w:pPr>
        <w:jc w:val="center"/>
        <w:rPr>
          <w:rFonts w:ascii="宋体" w:hAnsi="宋体"/>
          <w:b/>
          <w:snapToGrid w:val="0"/>
          <w:color w:val="auto"/>
          <w:kern w:val="0"/>
          <w:sz w:val="28"/>
          <w:szCs w:val="28"/>
          <w:highlight w:val="none"/>
        </w:rPr>
      </w:pPr>
      <w:bookmarkStart w:id="452" w:name="_Toc346269468"/>
      <w:bookmarkStart w:id="453" w:name="_Toc488649898"/>
    </w:p>
    <w:p w14:paraId="1193C399">
      <w:pPr>
        <w:spacing w:line="360" w:lineRule="auto"/>
        <w:ind w:firstLine="482" w:firstLineChars="200"/>
        <w:jc w:val="center"/>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u w:val="single"/>
        </w:rPr>
        <w:t xml:space="preserve">              </w:t>
      </w:r>
      <w:bookmarkStart w:id="454" w:name="_Toc336172149"/>
      <w:r>
        <w:rPr>
          <w:rFonts w:hint="eastAsia" w:ascii="宋体" w:hAnsi="宋体"/>
          <w:b/>
          <w:color w:val="auto"/>
          <w:sz w:val="24"/>
          <w:highlight w:val="none"/>
        </w:rPr>
        <w:t>（项目名称）</w:t>
      </w:r>
      <w:r>
        <w:rPr>
          <w:rFonts w:hint="eastAsia" w:ascii="宋体" w:hAnsi="宋体"/>
          <w:b/>
          <w:color w:val="auto"/>
          <w:sz w:val="24"/>
          <w:highlight w:val="none"/>
          <w:u w:val="single"/>
        </w:rPr>
        <w:t xml:space="preserve">    </w:t>
      </w:r>
      <w:r>
        <w:rPr>
          <w:rFonts w:hint="eastAsia" w:ascii="宋体" w:hAnsi="宋体"/>
          <w:b/>
          <w:color w:val="auto"/>
          <w:sz w:val="24"/>
          <w:highlight w:val="none"/>
        </w:rPr>
        <w:t>标段勘察设计开标记录表</w:t>
      </w:r>
      <w:bookmarkEnd w:id="454"/>
    </w:p>
    <w:p w14:paraId="36E499D6">
      <w:pPr>
        <w:spacing w:line="360" w:lineRule="auto"/>
        <w:ind w:firstLine="4599" w:firstLineChars="2190"/>
        <w:outlineLvl w:val="1"/>
        <w:rPr>
          <w:rFonts w:ascii="宋体" w:hAnsi="宋体"/>
          <w:color w:val="auto"/>
          <w:szCs w:val="21"/>
          <w:highlight w:val="none"/>
        </w:rPr>
      </w:pPr>
    </w:p>
    <w:p w14:paraId="1A0128FA">
      <w:pPr>
        <w:spacing w:line="360" w:lineRule="auto"/>
        <w:ind w:right="420" w:firstLine="3780" w:firstLineChars="1800"/>
        <w:jc w:val="right"/>
        <w:rPr>
          <w:rFonts w:ascii="宋体" w:hAnsi="宋体"/>
          <w:color w:val="auto"/>
          <w:szCs w:val="21"/>
          <w:highlight w:val="none"/>
        </w:rPr>
      </w:pPr>
      <w:bookmarkStart w:id="455" w:name="_Toc336172150"/>
      <w:r>
        <w:rPr>
          <w:rFonts w:hint="eastAsia" w:ascii="宋体" w:hAnsi="宋体"/>
          <w:color w:val="auto"/>
          <w:szCs w:val="21"/>
          <w:highlight w:val="none"/>
        </w:rPr>
        <w:t>开标时间：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bookmarkEnd w:id="455"/>
    </w:p>
    <w:tbl>
      <w:tblPr>
        <w:tblStyle w:val="42"/>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322"/>
        <w:gridCol w:w="1322"/>
        <w:gridCol w:w="1322"/>
        <w:gridCol w:w="1322"/>
        <w:gridCol w:w="1027"/>
        <w:gridCol w:w="1048"/>
        <w:gridCol w:w="1294"/>
        <w:gridCol w:w="1398"/>
        <w:gridCol w:w="898"/>
        <w:gridCol w:w="1105"/>
        <w:gridCol w:w="918"/>
        <w:gridCol w:w="634"/>
        <w:gridCol w:w="1122"/>
      </w:tblGrid>
      <w:tr w14:paraId="633A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6" w:type="pct"/>
            <w:vMerge w:val="restart"/>
            <w:vAlign w:val="center"/>
          </w:tcPr>
          <w:p w14:paraId="2EF6FBCA">
            <w:pPr>
              <w:jc w:val="center"/>
              <w:rPr>
                <w:rFonts w:ascii="宋体" w:hAnsi="宋体"/>
                <w:color w:val="auto"/>
                <w:szCs w:val="21"/>
                <w:highlight w:val="none"/>
              </w:rPr>
            </w:pPr>
            <w:bookmarkStart w:id="456" w:name="_Toc336172151"/>
            <w:r>
              <w:rPr>
                <w:rFonts w:hint="eastAsia" w:ascii="宋体" w:hAnsi="宋体"/>
                <w:color w:val="auto"/>
                <w:szCs w:val="21"/>
                <w:highlight w:val="none"/>
              </w:rPr>
              <w:t>序号</w:t>
            </w:r>
            <w:bookmarkEnd w:id="456"/>
          </w:p>
        </w:tc>
        <w:tc>
          <w:tcPr>
            <w:tcW w:w="421" w:type="pct"/>
            <w:vMerge w:val="restart"/>
            <w:vAlign w:val="center"/>
          </w:tcPr>
          <w:p w14:paraId="15FF4056">
            <w:pPr>
              <w:jc w:val="center"/>
              <w:rPr>
                <w:rFonts w:ascii="宋体" w:hAnsi="宋体"/>
                <w:color w:val="auto"/>
                <w:szCs w:val="21"/>
                <w:highlight w:val="none"/>
              </w:rPr>
            </w:pPr>
            <w:r>
              <w:rPr>
                <w:rFonts w:hint="eastAsia" w:ascii="宋体" w:hAnsi="宋体"/>
                <w:color w:val="auto"/>
                <w:szCs w:val="21"/>
                <w:highlight w:val="none"/>
              </w:rPr>
              <w:t>投标人名称</w:t>
            </w:r>
          </w:p>
        </w:tc>
        <w:tc>
          <w:tcPr>
            <w:tcW w:w="421" w:type="pct"/>
            <w:vMerge w:val="restart"/>
            <w:vAlign w:val="center"/>
          </w:tcPr>
          <w:p w14:paraId="63DBEDDB">
            <w:pPr>
              <w:jc w:val="center"/>
              <w:rPr>
                <w:rFonts w:ascii="宋体" w:hAnsi="宋体"/>
                <w:color w:val="auto"/>
                <w:szCs w:val="21"/>
                <w:highlight w:val="none"/>
              </w:rPr>
            </w:pPr>
            <w:r>
              <w:rPr>
                <w:rFonts w:hint="eastAsia" w:ascii="宋体" w:hAnsi="宋体"/>
                <w:color w:val="auto"/>
                <w:szCs w:val="21"/>
                <w:highlight w:val="none"/>
              </w:rPr>
              <w:t>投标保证金（元）</w:t>
            </w:r>
          </w:p>
        </w:tc>
        <w:tc>
          <w:tcPr>
            <w:tcW w:w="421" w:type="pct"/>
            <w:vMerge w:val="restart"/>
            <w:vAlign w:val="center"/>
          </w:tcPr>
          <w:p w14:paraId="63A63581">
            <w:pPr>
              <w:jc w:val="center"/>
              <w:rPr>
                <w:rFonts w:ascii="宋体" w:hAnsi="宋体"/>
                <w:color w:val="auto"/>
                <w:szCs w:val="21"/>
                <w:highlight w:val="none"/>
              </w:rPr>
            </w:pPr>
            <w:r>
              <w:rPr>
                <w:rFonts w:hint="eastAsia" w:ascii="宋体" w:hAnsi="宋体"/>
                <w:color w:val="auto"/>
                <w:szCs w:val="21"/>
                <w:highlight w:val="none"/>
              </w:rPr>
              <w:t>投标报价（元）</w:t>
            </w:r>
          </w:p>
        </w:tc>
        <w:tc>
          <w:tcPr>
            <w:tcW w:w="421" w:type="pct"/>
            <w:vMerge w:val="restart"/>
            <w:vAlign w:val="center"/>
          </w:tcPr>
          <w:p w14:paraId="6C0BF61C">
            <w:pPr>
              <w:jc w:val="center"/>
              <w:rPr>
                <w:rFonts w:hint="eastAsia" w:ascii="宋体" w:hAnsi="宋体"/>
                <w:color w:val="auto"/>
                <w:szCs w:val="21"/>
                <w:highlight w:val="none"/>
              </w:rPr>
            </w:pPr>
            <w:r>
              <w:rPr>
                <w:rFonts w:hint="eastAsia" w:ascii="宋体" w:hAnsi="宋体"/>
                <w:color w:val="auto"/>
                <w:szCs w:val="21"/>
                <w:highlight w:val="none"/>
                <w:lang w:val="en-US" w:eastAsia="zh-CN"/>
              </w:rPr>
              <w:t>是否超过最高投标限价</w:t>
            </w:r>
          </w:p>
        </w:tc>
        <w:tc>
          <w:tcPr>
            <w:tcW w:w="327" w:type="pct"/>
            <w:vMerge w:val="restart"/>
            <w:vAlign w:val="center"/>
          </w:tcPr>
          <w:p w14:paraId="43D1B46A">
            <w:pPr>
              <w:jc w:val="center"/>
              <w:rPr>
                <w:rFonts w:ascii="宋体" w:hAnsi="宋体"/>
                <w:color w:val="auto"/>
                <w:szCs w:val="21"/>
                <w:highlight w:val="none"/>
              </w:rPr>
            </w:pPr>
            <w:r>
              <w:rPr>
                <w:rFonts w:hint="eastAsia" w:ascii="宋体" w:hAnsi="宋体"/>
                <w:color w:val="auto"/>
                <w:szCs w:val="21"/>
                <w:highlight w:val="none"/>
              </w:rPr>
              <w:t>质量目标</w:t>
            </w:r>
          </w:p>
        </w:tc>
        <w:tc>
          <w:tcPr>
            <w:tcW w:w="333" w:type="pct"/>
            <w:vMerge w:val="restart"/>
            <w:vAlign w:val="center"/>
          </w:tcPr>
          <w:p w14:paraId="4A020BCF">
            <w:pPr>
              <w:jc w:val="center"/>
              <w:rPr>
                <w:rFonts w:ascii="宋体" w:hAnsi="宋体"/>
                <w:color w:val="auto"/>
                <w:szCs w:val="21"/>
                <w:highlight w:val="none"/>
              </w:rPr>
            </w:pPr>
            <w:r>
              <w:rPr>
                <w:rFonts w:hint="eastAsia" w:ascii="宋体" w:hAnsi="宋体"/>
                <w:color w:val="auto"/>
                <w:szCs w:val="21"/>
                <w:highlight w:val="none"/>
              </w:rPr>
              <w:t>工期</w:t>
            </w:r>
          </w:p>
        </w:tc>
        <w:tc>
          <w:tcPr>
            <w:tcW w:w="412" w:type="pct"/>
            <w:vMerge w:val="restart"/>
            <w:vAlign w:val="center"/>
          </w:tcPr>
          <w:p w14:paraId="0135E99E">
            <w:pPr>
              <w:jc w:val="center"/>
              <w:rPr>
                <w:rFonts w:ascii="宋体" w:hAnsi="宋体"/>
                <w:color w:val="auto"/>
                <w:szCs w:val="21"/>
                <w:highlight w:val="none"/>
              </w:rPr>
            </w:pPr>
            <w:r>
              <w:rPr>
                <w:rFonts w:hint="eastAsia" w:ascii="宋体" w:hAnsi="宋体"/>
                <w:color w:val="auto"/>
                <w:szCs w:val="21"/>
                <w:highlight w:val="none"/>
              </w:rPr>
              <w:t>项目负责人姓名及证书编号</w:t>
            </w:r>
          </w:p>
        </w:tc>
        <w:tc>
          <w:tcPr>
            <w:tcW w:w="445" w:type="pct"/>
            <w:vMerge w:val="restart"/>
            <w:vAlign w:val="center"/>
          </w:tcPr>
          <w:p w14:paraId="38E87C4E">
            <w:pPr>
              <w:jc w:val="left"/>
              <w:rPr>
                <w:rFonts w:ascii="宋体" w:hAnsi="宋体"/>
                <w:color w:val="auto"/>
                <w:szCs w:val="21"/>
                <w:highlight w:val="none"/>
              </w:rPr>
            </w:pPr>
            <w:r>
              <w:rPr>
                <w:rFonts w:hint="eastAsia"/>
                <w:color w:val="auto"/>
                <w:sz w:val="21"/>
                <w:szCs w:val="21"/>
                <w:highlight w:val="none"/>
                <w:lang w:val="en-US" w:eastAsia="zh-CN"/>
              </w:rPr>
              <w:t>最近期的福建省交通建设市场信用考核评价等级</w:t>
            </w:r>
          </w:p>
        </w:tc>
        <w:tc>
          <w:tcPr>
            <w:tcW w:w="1131" w:type="pct"/>
            <w:gridSpan w:val="4"/>
            <w:vAlign w:val="center"/>
          </w:tcPr>
          <w:p w14:paraId="367D10CB">
            <w:pPr>
              <w:wordWrap w:val="0"/>
              <w:adjustRightInd w:val="0"/>
              <w:spacing w:line="0" w:lineRule="atLeast"/>
              <w:jc w:val="center"/>
              <w:textAlignment w:val="baseline"/>
              <w:rPr>
                <w:rFonts w:hint="eastAsia"/>
                <w:color w:val="auto"/>
                <w:szCs w:val="21"/>
                <w:highlight w:val="none"/>
              </w:rPr>
            </w:pPr>
            <w:r>
              <w:rPr>
                <w:rFonts w:hint="eastAsia"/>
                <w:color w:val="auto"/>
                <w:szCs w:val="21"/>
                <w:highlight w:val="none"/>
              </w:rPr>
              <w:t>递交投标文件电脑的硬件信息</w:t>
            </w:r>
          </w:p>
        </w:tc>
        <w:tc>
          <w:tcPr>
            <w:tcW w:w="357" w:type="pct"/>
            <w:vAlign w:val="center"/>
          </w:tcPr>
          <w:p w14:paraId="2A4C0980">
            <w:pPr>
              <w:jc w:val="center"/>
              <w:rPr>
                <w:rFonts w:ascii="宋体" w:hAnsi="宋体"/>
                <w:color w:val="auto"/>
                <w:szCs w:val="21"/>
                <w:highlight w:val="none"/>
              </w:rPr>
            </w:pPr>
            <w:r>
              <w:rPr>
                <w:rFonts w:hint="eastAsia" w:ascii="宋体" w:hAnsi="宋体"/>
                <w:color w:val="auto"/>
                <w:szCs w:val="21"/>
                <w:highlight w:val="none"/>
              </w:rPr>
              <w:t>备注</w:t>
            </w:r>
          </w:p>
        </w:tc>
      </w:tr>
      <w:tr w14:paraId="32B3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6" w:type="pct"/>
            <w:vMerge w:val="continue"/>
            <w:vAlign w:val="center"/>
          </w:tcPr>
          <w:p w14:paraId="7328970F">
            <w:pPr>
              <w:jc w:val="center"/>
              <w:rPr>
                <w:color w:val="auto"/>
                <w:highlight w:val="none"/>
              </w:rPr>
            </w:pPr>
          </w:p>
        </w:tc>
        <w:tc>
          <w:tcPr>
            <w:tcW w:w="421" w:type="pct"/>
            <w:vMerge w:val="continue"/>
            <w:vAlign w:val="center"/>
          </w:tcPr>
          <w:p w14:paraId="0F56EC48">
            <w:pPr>
              <w:jc w:val="center"/>
              <w:rPr>
                <w:color w:val="auto"/>
                <w:highlight w:val="none"/>
              </w:rPr>
            </w:pPr>
          </w:p>
        </w:tc>
        <w:tc>
          <w:tcPr>
            <w:tcW w:w="421" w:type="pct"/>
            <w:vMerge w:val="continue"/>
            <w:vAlign w:val="center"/>
          </w:tcPr>
          <w:p w14:paraId="09F89DB0">
            <w:pPr>
              <w:jc w:val="center"/>
              <w:rPr>
                <w:color w:val="auto"/>
                <w:highlight w:val="none"/>
              </w:rPr>
            </w:pPr>
          </w:p>
        </w:tc>
        <w:tc>
          <w:tcPr>
            <w:tcW w:w="421" w:type="pct"/>
            <w:vMerge w:val="continue"/>
            <w:vAlign w:val="center"/>
          </w:tcPr>
          <w:p w14:paraId="2EF9D842">
            <w:pPr>
              <w:jc w:val="center"/>
              <w:rPr>
                <w:color w:val="auto"/>
                <w:highlight w:val="none"/>
              </w:rPr>
            </w:pPr>
          </w:p>
        </w:tc>
        <w:tc>
          <w:tcPr>
            <w:tcW w:w="421" w:type="pct"/>
            <w:vMerge w:val="continue"/>
            <w:vAlign w:val="center"/>
          </w:tcPr>
          <w:p w14:paraId="403B73A1">
            <w:pPr>
              <w:jc w:val="center"/>
              <w:rPr>
                <w:color w:val="auto"/>
                <w:highlight w:val="none"/>
              </w:rPr>
            </w:pPr>
          </w:p>
        </w:tc>
        <w:tc>
          <w:tcPr>
            <w:tcW w:w="327" w:type="pct"/>
            <w:vMerge w:val="continue"/>
            <w:vAlign w:val="center"/>
          </w:tcPr>
          <w:p w14:paraId="06F55581">
            <w:pPr>
              <w:jc w:val="center"/>
              <w:rPr>
                <w:color w:val="auto"/>
                <w:highlight w:val="none"/>
              </w:rPr>
            </w:pPr>
          </w:p>
        </w:tc>
        <w:tc>
          <w:tcPr>
            <w:tcW w:w="333" w:type="pct"/>
            <w:vMerge w:val="continue"/>
            <w:vAlign w:val="center"/>
          </w:tcPr>
          <w:p w14:paraId="7F99DC8E">
            <w:pPr>
              <w:jc w:val="center"/>
              <w:rPr>
                <w:color w:val="auto"/>
                <w:highlight w:val="none"/>
              </w:rPr>
            </w:pPr>
          </w:p>
        </w:tc>
        <w:tc>
          <w:tcPr>
            <w:tcW w:w="412" w:type="pct"/>
            <w:vMerge w:val="continue"/>
            <w:vAlign w:val="center"/>
          </w:tcPr>
          <w:p w14:paraId="38C2B614">
            <w:pPr>
              <w:jc w:val="center"/>
              <w:rPr>
                <w:color w:val="auto"/>
                <w:highlight w:val="none"/>
              </w:rPr>
            </w:pPr>
          </w:p>
        </w:tc>
        <w:tc>
          <w:tcPr>
            <w:tcW w:w="445" w:type="pct"/>
            <w:vMerge w:val="continue"/>
            <w:vAlign w:val="center"/>
          </w:tcPr>
          <w:p w14:paraId="6DCF6543">
            <w:pPr>
              <w:jc w:val="center"/>
              <w:rPr>
                <w:color w:val="auto"/>
                <w:highlight w:val="none"/>
              </w:rPr>
            </w:pPr>
          </w:p>
        </w:tc>
        <w:tc>
          <w:tcPr>
            <w:tcW w:w="285" w:type="pct"/>
            <w:vAlign w:val="center"/>
          </w:tcPr>
          <w:p w14:paraId="313C0E6A">
            <w:pPr>
              <w:wordWrap w:val="0"/>
              <w:adjustRightInd w:val="0"/>
              <w:spacing w:line="0" w:lineRule="atLeast"/>
              <w:jc w:val="center"/>
              <w:textAlignment w:val="baseline"/>
              <w:rPr>
                <w:rFonts w:ascii="宋体" w:hAnsi="宋体"/>
                <w:color w:val="auto"/>
                <w:szCs w:val="21"/>
                <w:highlight w:val="none"/>
              </w:rPr>
            </w:pPr>
            <w:r>
              <w:rPr>
                <w:rFonts w:hint="eastAsia" w:ascii="宋体" w:hAnsi="宋体" w:cs="宋体"/>
                <w:color w:val="auto"/>
                <w:sz w:val="18"/>
                <w:szCs w:val="18"/>
                <w:highlight w:val="none"/>
              </w:rPr>
              <w:t>MAC地址</w:t>
            </w:r>
          </w:p>
        </w:tc>
        <w:tc>
          <w:tcPr>
            <w:tcW w:w="351" w:type="pct"/>
            <w:vAlign w:val="center"/>
          </w:tcPr>
          <w:p w14:paraId="4E1473E6">
            <w:pPr>
              <w:pStyle w:val="111"/>
              <w:spacing w:before="120" w:beforeLines="50" w:line="300" w:lineRule="auto"/>
              <w:jc w:val="center"/>
              <w:rPr>
                <w:rFonts w:ascii="宋体" w:hAnsi="宋体" w:cs="宋体"/>
                <w:color w:val="auto"/>
                <w:sz w:val="18"/>
                <w:szCs w:val="18"/>
                <w:highlight w:val="none"/>
              </w:rPr>
            </w:pPr>
            <w:r>
              <w:rPr>
                <w:rFonts w:hint="eastAsia" w:ascii="宋体" w:hAnsi="宋体" w:cs="宋体"/>
                <w:color w:val="auto"/>
                <w:sz w:val="18"/>
                <w:szCs w:val="18"/>
                <w:highlight w:val="none"/>
              </w:rPr>
              <w:t>CPU序</w:t>
            </w:r>
          </w:p>
          <w:p w14:paraId="61674946">
            <w:pPr>
              <w:wordWrap w:val="0"/>
              <w:adjustRightInd w:val="0"/>
              <w:spacing w:line="0" w:lineRule="atLeast"/>
              <w:jc w:val="center"/>
              <w:textAlignment w:val="baseline"/>
              <w:rPr>
                <w:rFonts w:ascii="宋体" w:hAnsi="宋体"/>
                <w:color w:val="auto"/>
                <w:szCs w:val="21"/>
                <w:highlight w:val="none"/>
              </w:rPr>
            </w:pPr>
            <w:r>
              <w:rPr>
                <w:rFonts w:hint="eastAsia" w:ascii="宋体" w:hAnsi="宋体" w:cs="宋体"/>
                <w:color w:val="auto"/>
                <w:sz w:val="18"/>
                <w:szCs w:val="18"/>
                <w:highlight w:val="none"/>
              </w:rPr>
              <w:t>列号</w:t>
            </w:r>
          </w:p>
        </w:tc>
        <w:tc>
          <w:tcPr>
            <w:tcW w:w="292" w:type="pct"/>
            <w:vAlign w:val="center"/>
          </w:tcPr>
          <w:p w14:paraId="335C84D0">
            <w:pPr>
              <w:wordWrap w:val="0"/>
              <w:adjustRightInd w:val="0"/>
              <w:spacing w:line="0" w:lineRule="atLeast"/>
              <w:jc w:val="center"/>
              <w:textAlignment w:val="baseline"/>
              <w:rPr>
                <w:rFonts w:ascii="宋体" w:hAnsi="宋体"/>
                <w:color w:val="auto"/>
                <w:szCs w:val="21"/>
                <w:highlight w:val="none"/>
              </w:rPr>
            </w:pPr>
            <w:r>
              <w:rPr>
                <w:rFonts w:hint="eastAsia" w:ascii="宋体" w:hAnsi="宋体" w:cs="宋体"/>
                <w:color w:val="auto"/>
                <w:sz w:val="18"/>
                <w:szCs w:val="18"/>
                <w:highlight w:val="none"/>
              </w:rPr>
              <w:t>硬盘序列号</w:t>
            </w:r>
          </w:p>
        </w:tc>
        <w:tc>
          <w:tcPr>
            <w:tcW w:w="201" w:type="pct"/>
            <w:vAlign w:val="center"/>
          </w:tcPr>
          <w:p w14:paraId="3B64C656">
            <w:pPr>
              <w:wordWrap w:val="0"/>
              <w:adjustRightInd w:val="0"/>
              <w:spacing w:line="0" w:lineRule="atLeast"/>
              <w:jc w:val="center"/>
              <w:textAlignment w:val="baseline"/>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是否雷同</w:t>
            </w:r>
          </w:p>
        </w:tc>
        <w:tc>
          <w:tcPr>
            <w:tcW w:w="357" w:type="pct"/>
            <w:vAlign w:val="center"/>
          </w:tcPr>
          <w:p w14:paraId="09120E93">
            <w:pPr>
              <w:jc w:val="center"/>
              <w:rPr>
                <w:rFonts w:ascii="宋体" w:hAnsi="宋体"/>
                <w:color w:val="auto"/>
                <w:szCs w:val="21"/>
                <w:highlight w:val="none"/>
              </w:rPr>
            </w:pPr>
          </w:p>
        </w:tc>
      </w:tr>
      <w:tr w14:paraId="03CE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6" w:type="pct"/>
            <w:vAlign w:val="center"/>
          </w:tcPr>
          <w:p w14:paraId="3E687D63">
            <w:pPr>
              <w:jc w:val="center"/>
              <w:rPr>
                <w:color w:val="auto"/>
                <w:highlight w:val="none"/>
              </w:rPr>
            </w:pPr>
          </w:p>
        </w:tc>
        <w:tc>
          <w:tcPr>
            <w:tcW w:w="421" w:type="pct"/>
            <w:vAlign w:val="center"/>
          </w:tcPr>
          <w:p w14:paraId="7B2CA2F9">
            <w:pPr>
              <w:jc w:val="center"/>
              <w:rPr>
                <w:color w:val="auto"/>
                <w:highlight w:val="none"/>
              </w:rPr>
            </w:pPr>
          </w:p>
        </w:tc>
        <w:tc>
          <w:tcPr>
            <w:tcW w:w="421" w:type="pct"/>
            <w:vAlign w:val="center"/>
          </w:tcPr>
          <w:p w14:paraId="74B0EEF6">
            <w:pPr>
              <w:jc w:val="center"/>
              <w:rPr>
                <w:color w:val="auto"/>
                <w:highlight w:val="none"/>
              </w:rPr>
            </w:pPr>
          </w:p>
        </w:tc>
        <w:tc>
          <w:tcPr>
            <w:tcW w:w="421" w:type="pct"/>
            <w:vAlign w:val="center"/>
          </w:tcPr>
          <w:p w14:paraId="72B34844">
            <w:pPr>
              <w:jc w:val="center"/>
              <w:rPr>
                <w:color w:val="auto"/>
                <w:highlight w:val="none"/>
              </w:rPr>
            </w:pPr>
          </w:p>
        </w:tc>
        <w:tc>
          <w:tcPr>
            <w:tcW w:w="421" w:type="pct"/>
            <w:vAlign w:val="center"/>
          </w:tcPr>
          <w:p w14:paraId="1E54658C">
            <w:pPr>
              <w:jc w:val="center"/>
              <w:rPr>
                <w:color w:val="auto"/>
                <w:highlight w:val="none"/>
              </w:rPr>
            </w:pPr>
          </w:p>
        </w:tc>
        <w:tc>
          <w:tcPr>
            <w:tcW w:w="327" w:type="pct"/>
            <w:vAlign w:val="center"/>
          </w:tcPr>
          <w:p w14:paraId="3A05BE1C">
            <w:pPr>
              <w:jc w:val="center"/>
              <w:rPr>
                <w:color w:val="auto"/>
                <w:highlight w:val="none"/>
              </w:rPr>
            </w:pPr>
          </w:p>
        </w:tc>
        <w:tc>
          <w:tcPr>
            <w:tcW w:w="333" w:type="pct"/>
            <w:vAlign w:val="center"/>
          </w:tcPr>
          <w:p w14:paraId="79B8188C">
            <w:pPr>
              <w:jc w:val="center"/>
              <w:rPr>
                <w:color w:val="auto"/>
                <w:highlight w:val="none"/>
              </w:rPr>
            </w:pPr>
          </w:p>
        </w:tc>
        <w:tc>
          <w:tcPr>
            <w:tcW w:w="412" w:type="pct"/>
            <w:vAlign w:val="center"/>
          </w:tcPr>
          <w:p w14:paraId="5F315700">
            <w:pPr>
              <w:jc w:val="center"/>
              <w:rPr>
                <w:color w:val="auto"/>
                <w:highlight w:val="none"/>
              </w:rPr>
            </w:pPr>
          </w:p>
        </w:tc>
        <w:tc>
          <w:tcPr>
            <w:tcW w:w="445" w:type="pct"/>
            <w:vAlign w:val="center"/>
          </w:tcPr>
          <w:p w14:paraId="5AEC5B8A">
            <w:pPr>
              <w:jc w:val="center"/>
              <w:rPr>
                <w:color w:val="auto"/>
                <w:highlight w:val="none"/>
              </w:rPr>
            </w:pPr>
          </w:p>
        </w:tc>
        <w:tc>
          <w:tcPr>
            <w:tcW w:w="285" w:type="pct"/>
            <w:vAlign w:val="center"/>
          </w:tcPr>
          <w:p w14:paraId="37B4F6C2">
            <w:pPr>
              <w:wordWrap w:val="0"/>
              <w:adjustRightInd w:val="0"/>
              <w:spacing w:line="0" w:lineRule="atLeast"/>
              <w:jc w:val="center"/>
              <w:textAlignment w:val="baseline"/>
              <w:rPr>
                <w:rFonts w:ascii="宋体" w:hAnsi="宋体" w:cs="宋体"/>
                <w:color w:val="auto"/>
                <w:sz w:val="18"/>
                <w:szCs w:val="18"/>
                <w:highlight w:val="none"/>
              </w:rPr>
            </w:pPr>
          </w:p>
        </w:tc>
        <w:tc>
          <w:tcPr>
            <w:tcW w:w="351" w:type="pct"/>
            <w:vAlign w:val="center"/>
          </w:tcPr>
          <w:p w14:paraId="078F149A">
            <w:pPr>
              <w:wordWrap w:val="0"/>
              <w:adjustRightInd w:val="0"/>
              <w:spacing w:line="0" w:lineRule="atLeast"/>
              <w:jc w:val="center"/>
              <w:textAlignment w:val="baseline"/>
              <w:rPr>
                <w:rFonts w:ascii="宋体" w:hAnsi="宋体" w:cs="宋体"/>
                <w:color w:val="auto"/>
                <w:sz w:val="18"/>
                <w:szCs w:val="18"/>
                <w:highlight w:val="none"/>
              </w:rPr>
            </w:pPr>
          </w:p>
        </w:tc>
        <w:tc>
          <w:tcPr>
            <w:tcW w:w="292" w:type="pct"/>
            <w:vAlign w:val="center"/>
          </w:tcPr>
          <w:p w14:paraId="6CBAA775">
            <w:pPr>
              <w:wordWrap w:val="0"/>
              <w:adjustRightInd w:val="0"/>
              <w:spacing w:line="0" w:lineRule="atLeast"/>
              <w:jc w:val="center"/>
              <w:textAlignment w:val="baseline"/>
              <w:rPr>
                <w:rFonts w:ascii="宋体" w:hAnsi="宋体" w:cs="宋体"/>
                <w:color w:val="auto"/>
                <w:sz w:val="18"/>
                <w:szCs w:val="18"/>
                <w:highlight w:val="none"/>
              </w:rPr>
            </w:pPr>
          </w:p>
        </w:tc>
        <w:tc>
          <w:tcPr>
            <w:tcW w:w="201" w:type="pct"/>
            <w:vAlign w:val="center"/>
          </w:tcPr>
          <w:p w14:paraId="6EAACDA5">
            <w:pPr>
              <w:wordWrap w:val="0"/>
              <w:adjustRightInd w:val="0"/>
              <w:spacing w:line="0" w:lineRule="atLeast"/>
              <w:jc w:val="center"/>
              <w:textAlignment w:val="baseline"/>
              <w:rPr>
                <w:rFonts w:ascii="宋体" w:hAnsi="宋体" w:cs="宋体"/>
                <w:color w:val="auto"/>
                <w:sz w:val="18"/>
                <w:szCs w:val="18"/>
                <w:highlight w:val="none"/>
              </w:rPr>
            </w:pPr>
          </w:p>
        </w:tc>
        <w:tc>
          <w:tcPr>
            <w:tcW w:w="357" w:type="pct"/>
            <w:vAlign w:val="center"/>
          </w:tcPr>
          <w:p w14:paraId="67573821">
            <w:pPr>
              <w:jc w:val="center"/>
              <w:rPr>
                <w:rFonts w:ascii="宋体" w:hAnsi="宋体"/>
                <w:color w:val="auto"/>
                <w:szCs w:val="21"/>
                <w:highlight w:val="none"/>
              </w:rPr>
            </w:pPr>
          </w:p>
        </w:tc>
      </w:tr>
      <w:tr w14:paraId="20B8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6" w:type="pct"/>
            <w:vAlign w:val="center"/>
          </w:tcPr>
          <w:p w14:paraId="5892C34B">
            <w:pPr>
              <w:jc w:val="center"/>
              <w:rPr>
                <w:color w:val="auto"/>
                <w:highlight w:val="none"/>
              </w:rPr>
            </w:pPr>
          </w:p>
        </w:tc>
        <w:tc>
          <w:tcPr>
            <w:tcW w:w="421" w:type="pct"/>
            <w:vAlign w:val="center"/>
          </w:tcPr>
          <w:p w14:paraId="0289DFFA">
            <w:pPr>
              <w:jc w:val="center"/>
              <w:rPr>
                <w:color w:val="auto"/>
                <w:highlight w:val="none"/>
              </w:rPr>
            </w:pPr>
          </w:p>
        </w:tc>
        <w:tc>
          <w:tcPr>
            <w:tcW w:w="421" w:type="pct"/>
            <w:vAlign w:val="center"/>
          </w:tcPr>
          <w:p w14:paraId="6053F56A">
            <w:pPr>
              <w:jc w:val="center"/>
              <w:rPr>
                <w:color w:val="auto"/>
                <w:highlight w:val="none"/>
              </w:rPr>
            </w:pPr>
          </w:p>
        </w:tc>
        <w:tc>
          <w:tcPr>
            <w:tcW w:w="421" w:type="pct"/>
            <w:vAlign w:val="center"/>
          </w:tcPr>
          <w:p w14:paraId="3CEB987F">
            <w:pPr>
              <w:jc w:val="center"/>
              <w:rPr>
                <w:color w:val="auto"/>
                <w:highlight w:val="none"/>
              </w:rPr>
            </w:pPr>
          </w:p>
        </w:tc>
        <w:tc>
          <w:tcPr>
            <w:tcW w:w="421" w:type="pct"/>
            <w:vAlign w:val="center"/>
          </w:tcPr>
          <w:p w14:paraId="15AD41C3">
            <w:pPr>
              <w:jc w:val="center"/>
              <w:rPr>
                <w:color w:val="auto"/>
                <w:highlight w:val="none"/>
              </w:rPr>
            </w:pPr>
          </w:p>
        </w:tc>
        <w:tc>
          <w:tcPr>
            <w:tcW w:w="327" w:type="pct"/>
            <w:vAlign w:val="center"/>
          </w:tcPr>
          <w:p w14:paraId="27E1B435">
            <w:pPr>
              <w:jc w:val="center"/>
              <w:rPr>
                <w:color w:val="auto"/>
                <w:highlight w:val="none"/>
              </w:rPr>
            </w:pPr>
          </w:p>
        </w:tc>
        <w:tc>
          <w:tcPr>
            <w:tcW w:w="333" w:type="pct"/>
            <w:vAlign w:val="center"/>
          </w:tcPr>
          <w:p w14:paraId="31A5C205">
            <w:pPr>
              <w:jc w:val="center"/>
              <w:rPr>
                <w:color w:val="auto"/>
                <w:highlight w:val="none"/>
              </w:rPr>
            </w:pPr>
          </w:p>
        </w:tc>
        <w:tc>
          <w:tcPr>
            <w:tcW w:w="412" w:type="pct"/>
            <w:vAlign w:val="center"/>
          </w:tcPr>
          <w:p w14:paraId="2A0ACA7E">
            <w:pPr>
              <w:jc w:val="center"/>
              <w:rPr>
                <w:color w:val="auto"/>
                <w:highlight w:val="none"/>
              </w:rPr>
            </w:pPr>
          </w:p>
        </w:tc>
        <w:tc>
          <w:tcPr>
            <w:tcW w:w="445" w:type="pct"/>
            <w:vAlign w:val="center"/>
          </w:tcPr>
          <w:p w14:paraId="5F02F2B5">
            <w:pPr>
              <w:jc w:val="center"/>
              <w:rPr>
                <w:color w:val="auto"/>
                <w:highlight w:val="none"/>
              </w:rPr>
            </w:pPr>
          </w:p>
        </w:tc>
        <w:tc>
          <w:tcPr>
            <w:tcW w:w="285" w:type="pct"/>
            <w:vAlign w:val="center"/>
          </w:tcPr>
          <w:p w14:paraId="3DD36135">
            <w:pPr>
              <w:wordWrap w:val="0"/>
              <w:adjustRightInd w:val="0"/>
              <w:spacing w:line="0" w:lineRule="atLeast"/>
              <w:jc w:val="center"/>
              <w:textAlignment w:val="baseline"/>
              <w:rPr>
                <w:rFonts w:ascii="宋体" w:hAnsi="宋体" w:cs="宋体"/>
                <w:color w:val="auto"/>
                <w:sz w:val="18"/>
                <w:szCs w:val="18"/>
                <w:highlight w:val="none"/>
              </w:rPr>
            </w:pPr>
          </w:p>
        </w:tc>
        <w:tc>
          <w:tcPr>
            <w:tcW w:w="351" w:type="pct"/>
            <w:vAlign w:val="center"/>
          </w:tcPr>
          <w:p w14:paraId="5F1EE97A">
            <w:pPr>
              <w:wordWrap w:val="0"/>
              <w:adjustRightInd w:val="0"/>
              <w:spacing w:line="0" w:lineRule="atLeast"/>
              <w:jc w:val="center"/>
              <w:textAlignment w:val="baseline"/>
              <w:rPr>
                <w:rFonts w:ascii="宋体" w:hAnsi="宋体" w:cs="宋体"/>
                <w:color w:val="auto"/>
                <w:sz w:val="18"/>
                <w:szCs w:val="18"/>
                <w:highlight w:val="none"/>
              </w:rPr>
            </w:pPr>
          </w:p>
        </w:tc>
        <w:tc>
          <w:tcPr>
            <w:tcW w:w="292" w:type="pct"/>
            <w:vAlign w:val="center"/>
          </w:tcPr>
          <w:p w14:paraId="397832BF">
            <w:pPr>
              <w:wordWrap w:val="0"/>
              <w:adjustRightInd w:val="0"/>
              <w:spacing w:line="0" w:lineRule="atLeast"/>
              <w:jc w:val="center"/>
              <w:textAlignment w:val="baseline"/>
              <w:rPr>
                <w:rFonts w:ascii="宋体" w:hAnsi="宋体" w:cs="宋体"/>
                <w:color w:val="auto"/>
                <w:sz w:val="18"/>
                <w:szCs w:val="18"/>
                <w:highlight w:val="none"/>
              </w:rPr>
            </w:pPr>
          </w:p>
        </w:tc>
        <w:tc>
          <w:tcPr>
            <w:tcW w:w="201" w:type="pct"/>
            <w:vAlign w:val="center"/>
          </w:tcPr>
          <w:p w14:paraId="17B8F124">
            <w:pPr>
              <w:wordWrap w:val="0"/>
              <w:adjustRightInd w:val="0"/>
              <w:spacing w:line="0" w:lineRule="atLeast"/>
              <w:jc w:val="center"/>
              <w:textAlignment w:val="baseline"/>
              <w:rPr>
                <w:rFonts w:ascii="宋体" w:hAnsi="宋体" w:cs="宋体"/>
                <w:color w:val="auto"/>
                <w:sz w:val="18"/>
                <w:szCs w:val="18"/>
                <w:highlight w:val="none"/>
              </w:rPr>
            </w:pPr>
          </w:p>
        </w:tc>
        <w:tc>
          <w:tcPr>
            <w:tcW w:w="357" w:type="pct"/>
            <w:vAlign w:val="center"/>
          </w:tcPr>
          <w:p w14:paraId="356C2477">
            <w:pPr>
              <w:jc w:val="center"/>
              <w:rPr>
                <w:rFonts w:ascii="宋体" w:hAnsi="宋体"/>
                <w:color w:val="auto"/>
                <w:szCs w:val="21"/>
                <w:highlight w:val="none"/>
              </w:rPr>
            </w:pPr>
          </w:p>
        </w:tc>
      </w:tr>
      <w:tr w14:paraId="7F4A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6" w:type="pct"/>
            <w:vAlign w:val="center"/>
          </w:tcPr>
          <w:p w14:paraId="123698C7">
            <w:pPr>
              <w:jc w:val="center"/>
              <w:rPr>
                <w:color w:val="auto"/>
                <w:highlight w:val="none"/>
              </w:rPr>
            </w:pPr>
          </w:p>
        </w:tc>
        <w:tc>
          <w:tcPr>
            <w:tcW w:w="421" w:type="pct"/>
            <w:vAlign w:val="center"/>
          </w:tcPr>
          <w:p w14:paraId="16DE8AE6">
            <w:pPr>
              <w:jc w:val="center"/>
              <w:rPr>
                <w:color w:val="auto"/>
                <w:highlight w:val="none"/>
              </w:rPr>
            </w:pPr>
          </w:p>
        </w:tc>
        <w:tc>
          <w:tcPr>
            <w:tcW w:w="421" w:type="pct"/>
            <w:vAlign w:val="center"/>
          </w:tcPr>
          <w:p w14:paraId="34E48670">
            <w:pPr>
              <w:jc w:val="center"/>
              <w:rPr>
                <w:color w:val="auto"/>
                <w:highlight w:val="none"/>
              </w:rPr>
            </w:pPr>
          </w:p>
        </w:tc>
        <w:tc>
          <w:tcPr>
            <w:tcW w:w="421" w:type="pct"/>
            <w:vAlign w:val="center"/>
          </w:tcPr>
          <w:p w14:paraId="692C9E1E">
            <w:pPr>
              <w:jc w:val="center"/>
              <w:rPr>
                <w:color w:val="auto"/>
                <w:highlight w:val="none"/>
              </w:rPr>
            </w:pPr>
          </w:p>
        </w:tc>
        <w:tc>
          <w:tcPr>
            <w:tcW w:w="421" w:type="pct"/>
            <w:vAlign w:val="center"/>
          </w:tcPr>
          <w:p w14:paraId="462DE2AB">
            <w:pPr>
              <w:jc w:val="center"/>
              <w:rPr>
                <w:color w:val="auto"/>
                <w:highlight w:val="none"/>
              </w:rPr>
            </w:pPr>
          </w:p>
        </w:tc>
        <w:tc>
          <w:tcPr>
            <w:tcW w:w="327" w:type="pct"/>
            <w:vAlign w:val="center"/>
          </w:tcPr>
          <w:p w14:paraId="0311886D">
            <w:pPr>
              <w:jc w:val="center"/>
              <w:rPr>
                <w:color w:val="auto"/>
                <w:highlight w:val="none"/>
              </w:rPr>
            </w:pPr>
          </w:p>
        </w:tc>
        <w:tc>
          <w:tcPr>
            <w:tcW w:w="333" w:type="pct"/>
            <w:vAlign w:val="center"/>
          </w:tcPr>
          <w:p w14:paraId="1FB39422">
            <w:pPr>
              <w:jc w:val="center"/>
              <w:rPr>
                <w:color w:val="auto"/>
                <w:highlight w:val="none"/>
              </w:rPr>
            </w:pPr>
          </w:p>
        </w:tc>
        <w:tc>
          <w:tcPr>
            <w:tcW w:w="412" w:type="pct"/>
            <w:vAlign w:val="center"/>
          </w:tcPr>
          <w:p w14:paraId="7AC35FDD">
            <w:pPr>
              <w:jc w:val="center"/>
              <w:rPr>
                <w:color w:val="auto"/>
                <w:highlight w:val="none"/>
              </w:rPr>
            </w:pPr>
          </w:p>
        </w:tc>
        <w:tc>
          <w:tcPr>
            <w:tcW w:w="445" w:type="pct"/>
            <w:vAlign w:val="center"/>
          </w:tcPr>
          <w:p w14:paraId="3F5DA8FF">
            <w:pPr>
              <w:jc w:val="center"/>
              <w:rPr>
                <w:color w:val="auto"/>
                <w:highlight w:val="none"/>
              </w:rPr>
            </w:pPr>
          </w:p>
        </w:tc>
        <w:tc>
          <w:tcPr>
            <w:tcW w:w="285" w:type="pct"/>
            <w:vAlign w:val="center"/>
          </w:tcPr>
          <w:p w14:paraId="40ACADFA">
            <w:pPr>
              <w:wordWrap w:val="0"/>
              <w:adjustRightInd w:val="0"/>
              <w:spacing w:line="0" w:lineRule="atLeast"/>
              <w:jc w:val="center"/>
              <w:textAlignment w:val="baseline"/>
              <w:rPr>
                <w:rFonts w:ascii="宋体" w:hAnsi="宋体" w:cs="宋体"/>
                <w:color w:val="auto"/>
                <w:sz w:val="18"/>
                <w:szCs w:val="18"/>
                <w:highlight w:val="none"/>
              </w:rPr>
            </w:pPr>
          </w:p>
        </w:tc>
        <w:tc>
          <w:tcPr>
            <w:tcW w:w="351" w:type="pct"/>
            <w:vAlign w:val="center"/>
          </w:tcPr>
          <w:p w14:paraId="0B37039E">
            <w:pPr>
              <w:wordWrap w:val="0"/>
              <w:adjustRightInd w:val="0"/>
              <w:spacing w:line="0" w:lineRule="atLeast"/>
              <w:jc w:val="center"/>
              <w:textAlignment w:val="baseline"/>
              <w:rPr>
                <w:rFonts w:ascii="宋体" w:hAnsi="宋体" w:cs="宋体"/>
                <w:color w:val="auto"/>
                <w:sz w:val="18"/>
                <w:szCs w:val="18"/>
                <w:highlight w:val="none"/>
              </w:rPr>
            </w:pPr>
          </w:p>
        </w:tc>
        <w:tc>
          <w:tcPr>
            <w:tcW w:w="292" w:type="pct"/>
            <w:vAlign w:val="center"/>
          </w:tcPr>
          <w:p w14:paraId="0B7C7B75">
            <w:pPr>
              <w:wordWrap w:val="0"/>
              <w:adjustRightInd w:val="0"/>
              <w:spacing w:line="0" w:lineRule="atLeast"/>
              <w:jc w:val="center"/>
              <w:textAlignment w:val="baseline"/>
              <w:rPr>
                <w:rFonts w:ascii="宋体" w:hAnsi="宋体" w:cs="宋体"/>
                <w:color w:val="auto"/>
                <w:sz w:val="18"/>
                <w:szCs w:val="18"/>
                <w:highlight w:val="none"/>
              </w:rPr>
            </w:pPr>
          </w:p>
        </w:tc>
        <w:tc>
          <w:tcPr>
            <w:tcW w:w="201" w:type="pct"/>
            <w:vAlign w:val="center"/>
          </w:tcPr>
          <w:p w14:paraId="39ED2527">
            <w:pPr>
              <w:wordWrap w:val="0"/>
              <w:adjustRightInd w:val="0"/>
              <w:spacing w:line="0" w:lineRule="atLeast"/>
              <w:jc w:val="center"/>
              <w:textAlignment w:val="baseline"/>
              <w:rPr>
                <w:rFonts w:ascii="宋体" w:hAnsi="宋体" w:cs="宋体"/>
                <w:color w:val="auto"/>
                <w:sz w:val="18"/>
                <w:szCs w:val="18"/>
                <w:highlight w:val="none"/>
              </w:rPr>
            </w:pPr>
          </w:p>
        </w:tc>
        <w:tc>
          <w:tcPr>
            <w:tcW w:w="357" w:type="pct"/>
            <w:vAlign w:val="center"/>
          </w:tcPr>
          <w:p w14:paraId="0C222B91">
            <w:pPr>
              <w:jc w:val="center"/>
              <w:rPr>
                <w:rFonts w:ascii="宋体" w:hAnsi="宋体"/>
                <w:color w:val="auto"/>
                <w:szCs w:val="21"/>
                <w:highlight w:val="none"/>
              </w:rPr>
            </w:pPr>
          </w:p>
        </w:tc>
      </w:tr>
    </w:tbl>
    <w:p w14:paraId="5610C463">
      <w:pPr>
        <w:wordWrap w:val="0"/>
        <w:spacing w:line="620" w:lineRule="exact"/>
        <w:rPr>
          <w:color w:val="auto"/>
          <w:szCs w:val="21"/>
          <w:highlight w:val="none"/>
          <w:u w:val="single"/>
        </w:rPr>
      </w:pPr>
      <w:r>
        <w:rPr>
          <w:color w:val="auto"/>
          <w:szCs w:val="21"/>
          <w:highlight w:val="none"/>
        </w:rPr>
        <w:t>招标人代表：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招标代理机构</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14:paraId="1819187E">
      <w:pPr>
        <w:wordWrap w:val="0"/>
        <w:spacing w:line="620" w:lineRule="exact"/>
        <w:jc w:val="right"/>
        <w:rPr>
          <w:rFonts w:ascii="宋体" w:hAnsi="宋体"/>
          <w:color w:val="auto"/>
          <w:szCs w:val="21"/>
          <w:highlight w:val="none"/>
          <w:u w:val="single"/>
        </w:rPr>
        <w:sectPr>
          <w:headerReference r:id="rId10" w:type="default"/>
          <w:footerReference r:id="rId11" w:type="default"/>
          <w:pgSz w:w="16960" w:h="11920" w:orient="landscape"/>
          <w:pgMar w:top="1417" w:right="1134" w:bottom="1134" w:left="1134" w:header="720" w:footer="720" w:gutter="0"/>
          <w:cols w:space="0" w:num="1"/>
        </w:sectPr>
      </w:pP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w:t>
      </w:r>
      <w:bookmarkStart w:id="457" w:name="_Toc336172154"/>
      <w:r>
        <w:rPr>
          <w:rFonts w:hint="eastAsia" w:ascii="宋体" w:hAnsi="宋体"/>
          <w:color w:val="auto"/>
          <w:szCs w:val="21"/>
          <w:highlight w:val="none"/>
        </w:rPr>
        <w:t xml:space="preserve">  </w:t>
      </w:r>
      <w:bookmarkEnd w:id="457"/>
    </w:p>
    <w:p w14:paraId="76C175F3">
      <w:pPr>
        <w:jc w:val="center"/>
        <w:rPr>
          <w:rFonts w:ascii="宋体" w:hAnsi="宋体"/>
          <w:b/>
          <w:snapToGrid w:val="0"/>
          <w:color w:val="auto"/>
          <w:kern w:val="0"/>
          <w:sz w:val="28"/>
          <w:szCs w:val="28"/>
          <w:highlight w:val="none"/>
        </w:rPr>
      </w:pPr>
    </w:p>
    <w:p w14:paraId="02398728">
      <w:pPr>
        <w:jc w:val="center"/>
        <w:rPr>
          <w:rFonts w:ascii="黑体" w:eastAsia="黑体"/>
          <w:b/>
          <w:color w:val="auto"/>
          <w:sz w:val="28"/>
          <w:szCs w:val="28"/>
          <w:highlight w:val="none"/>
        </w:rPr>
      </w:pPr>
      <w:r>
        <w:rPr>
          <w:rFonts w:hint="eastAsia" w:ascii="宋体" w:hAnsi="宋体"/>
          <w:b/>
          <w:snapToGrid w:val="0"/>
          <w:color w:val="auto"/>
          <w:kern w:val="0"/>
          <w:sz w:val="28"/>
          <w:szCs w:val="28"/>
          <w:highlight w:val="none"/>
        </w:rPr>
        <w:t>问题澄清通知</w:t>
      </w:r>
    </w:p>
    <w:p w14:paraId="20278276">
      <w:pPr>
        <w:jc w:val="center"/>
        <w:rPr>
          <w:color w:val="auto"/>
          <w:szCs w:val="21"/>
          <w:highlight w:val="none"/>
        </w:rPr>
      </w:pPr>
      <w:r>
        <w:rPr>
          <w:rFonts w:hint="eastAsia"/>
          <w:color w:val="auto"/>
          <w:szCs w:val="21"/>
          <w:highlight w:val="none"/>
        </w:rPr>
        <w:t xml:space="preserve"> </w:t>
      </w:r>
    </w:p>
    <w:p w14:paraId="41A48477">
      <w:pPr>
        <w:ind w:firstLine="5880" w:firstLineChars="2800"/>
        <w:rPr>
          <w:color w:val="auto"/>
          <w:szCs w:val="21"/>
          <w:highlight w:val="none"/>
        </w:rPr>
      </w:pPr>
      <w:r>
        <w:rPr>
          <w:rFonts w:hint="eastAsia"/>
          <w:color w:val="auto"/>
          <w:szCs w:val="21"/>
          <w:highlight w:val="none"/>
        </w:rPr>
        <w:t>编号：</w:t>
      </w:r>
    </w:p>
    <w:p w14:paraId="66AC97D8">
      <w:pPr>
        <w:spacing w:line="500" w:lineRule="exact"/>
        <w:ind w:firstLine="3885" w:firstLineChars="1850"/>
        <w:rPr>
          <w:color w:val="auto"/>
          <w:szCs w:val="21"/>
          <w:highlight w:val="none"/>
        </w:rPr>
      </w:pPr>
    </w:p>
    <w:p w14:paraId="3F25DEA4">
      <w:pPr>
        <w:spacing w:line="500" w:lineRule="exact"/>
        <w:rPr>
          <w:color w:val="auto"/>
          <w:highlight w:val="none"/>
        </w:rPr>
      </w:pPr>
      <w:r>
        <w:rPr>
          <w:rFonts w:hint="eastAsia"/>
          <w:color w:val="auto"/>
          <w:highlight w:val="none"/>
          <w:u w:val="single"/>
        </w:rPr>
        <w:t xml:space="preserve">              </w:t>
      </w:r>
      <w:r>
        <w:rPr>
          <w:rFonts w:hint="eastAsia"/>
          <w:color w:val="auto"/>
          <w:highlight w:val="none"/>
        </w:rPr>
        <w:t>（投标人名称）：</w:t>
      </w:r>
    </w:p>
    <w:p w14:paraId="534D775E">
      <w:pPr>
        <w:spacing w:line="500" w:lineRule="exact"/>
        <w:ind w:firstLine="525" w:firstLineChars="250"/>
        <w:rPr>
          <w:color w:val="auto"/>
          <w:highlight w:val="none"/>
        </w:rPr>
      </w:pP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勘察设计招标的评标委员会，对你方的投标文件进行了仔细的审查，现需要你方对下列问题在线予以澄清：</w:t>
      </w:r>
    </w:p>
    <w:p w14:paraId="33167631">
      <w:pPr>
        <w:spacing w:line="500" w:lineRule="exact"/>
        <w:ind w:firstLine="420" w:firstLineChars="200"/>
        <w:rPr>
          <w:color w:val="auto"/>
          <w:highlight w:val="none"/>
        </w:rPr>
      </w:pPr>
      <w:r>
        <w:rPr>
          <w:rFonts w:hint="eastAsia"/>
          <w:color w:val="auto"/>
          <w:highlight w:val="none"/>
        </w:rPr>
        <w:t>1.</w:t>
      </w:r>
    </w:p>
    <w:p w14:paraId="3C135D6D">
      <w:pPr>
        <w:spacing w:line="500" w:lineRule="exact"/>
        <w:ind w:firstLine="420" w:firstLineChars="200"/>
        <w:rPr>
          <w:color w:val="auto"/>
          <w:highlight w:val="none"/>
        </w:rPr>
      </w:pPr>
      <w:r>
        <w:rPr>
          <w:rFonts w:hint="eastAsia"/>
          <w:color w:val="auto"/>
          <w:highlight w:val="none"/>
        </w:rPr>
        <w:t>2.</w:t>
      </w:r>
    </w:p>
    <w:p w14:paraId="537356C7">
      <w:pPr>
        <w:spacing w:line="500" w:lineRule="exact"/>
        <w:ind w:firstLine="420" w:firstLineChars="200"/>
        <w:rPr>
          <w:rFonts w:ascii="宋体" w:hAnsi="宋体"/>
          <w:color w:val="auto"/>
          <w:highlight w:val="none"/>
        </w:rPr>
      </w:pPr>
      <w:r>
        <w:rPr>
          <w:rFonts w:hint="eastAsia" w:ascii="宋体" w:hAnsi="宋体"/>
          <w:color w:val="auto"/>
          <w:highlight w:val="none"/>
        </w:rPr>
        <w:t>……</w:t>
      </w:r>
    </w:p>
    <w:p w14:paraId="7F4E1C32">
      <w:pPr>
        <w:spacing w:line="500" w:lineRule="exact"/>
        <w:ind w:firstLine="420" w:firstLineChars="200"/>
        <w:rPr>
          <w:rFonts w:ascii="宋体" w:hAnsi="宋体"/>
          <w:color w:val="auto"/>
          <w:highlight w:val="none"/>
        </w:rPr>
      </w:pPr>
    </w:p>
    <w:p w14:paraId="1E9646C3">
      <w:pPr>
        <w:spacing w:line="500" w:lineRule="exact"/>
        <w:ind w:left="105" w:leftChars="50" w:firstLine="315" w:firstLineChars="150"/>
        <w:rPr>
          <w:rFonts w:ascii="宋体" w:hAnsi="宋体"/>
          <w:color w:val="auto"/>
          <w:highlight w:val="none"/>
        </w:rPr>
      </w:pPr>
      <w:r>
        <w:rPr>
          <w:rFonts w:hint="eastAsia" w:ascii="宋体" w:hAnsi="宋体"/>
          <w:color w:val="auto"/>
          <w:highlight w:val="none"/>
        </w:rPr>
        <w:t>请将上述问题的澄清于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olor w:val="auto"/>
          <w:highlight w:val="none"/>
          <w:u w:val="single"/>
        </w:rPr>
        <w:t xml:space="preserve">   </w:t>
      </w:r>
      <w:r>
        <w:rPr>
          <w:rFonts w:hint="eastAsia" w:ascii="宋体" w:hAnsi="宋体"/>
          <w:color w:val="auto"/>
          <w:szCs w:val="21"/>
          <w:highlight w:val="none"/>
        </w:rPr>
        <w:t>分</w:t>
      </w:r>
      <w:r>
        <w:rPr>
          <w:rFonts w:hint="eastAsia" w:ascii="宋体" w:hAnsi="宋体"/>
          <w:color w:val="auto"/>
          <w:highlight w:val="none"/>
          <w:u w:val="single"/>
        </w:rPr>
        <w:t xml:space="preserve">   </w:t>
      </w:r>
      <w:r>
        <w:rPr>
          <w:rFonts w:hint="eastAsia" w:ascii="宋体" w:hAnsi="宋体"/>
          <w:color w:val="auto"/>
          <w:szCs w:val="21"/>
          <w:highlight w:val="none"/>
        </w:rPr>
        <w:t>秒</w:t>
      </w:r>
      <w:r>
        <w:rPr>
          <w:rFonts w:hint="eastAsia" w:ascii="宋体" w:hAnsi="宋体"/>
          <w:color w:val="auto"/>
          <w:highlight w:val="none"/>
        </w:rPr>
        <w:t>前在线回复。</w:t>
      </w:r>
    </w:p>
    <w:p w14:paraId="7C58C130">
      <w:pPr>
        <w:spacing w:line="500" w:lineRule="exact"/>
        <w:ind w:firstLine="420" w:firstLineChars="200"/>
        <w:rPr>
          <w:rFonts w:ascii="宋体" w:hAnsi="宋体"/>
          <w:color w:val="auto"/>
          <w:highlight w:val="none"/>
        </w:rPr>
      </w:pPr>
    </w:p>
    <w:p w14:paraId="53C5405B">
      <w:pPr>
        <w:spacing w:line="500" w:lineRule="exact"/>
        <w:ind w:firstLine="420" w:firstLineChars="200"/>
        <w:rPr>
          <w:rFonts w:ascii="宋体" w:hAnsi="宋体"/>
          <w:color w:val="auto"/>
          <w:highlight w:val="none"/>
        </w:rPr>
      </w:pPr>
    </w:p>
    <w:p w14:paraId="2B2036E8">
      <w:pPr>
        <w:spacing w:after="120" w:afterLines="50" w:line="360" w:lineRule="auto"/>
        <w:ind w:firstLine="5250" w:firstLineChars="2500"/>
        <w:rPr>
          <w:color w:val="auto"/>
          <w:szCs w:val="21"/>
          <w:highlight w:val="none"/>
        </w:rPr>
      </w:pPr>
      <w:r>
        <w:rPr>
          <w:rFonts w:hint="eastAsia"/>
          <w:color w:val="auto"/>
          <w:szCs w:val="21"/>
          <w:highlight w:val="none"/>
        </w:rPr>
        <w:t>评标工作组负责人：</w:t>
      </w:r>
      <w:r>
        <w:rPr>
          <w:rFonts w:hint="eastAsia"/>
          <w:color w:val="auto"/>
          <w:szCs w:val="21"/>
          <w:highlight w:val="none"/>
          <w:u w:val="single"/>
        </w:rPr>
        <w:t xml:space="preserve">           </w:t>
      </w:r>
      <w:r>
        <w:rPr>
          <w:rFonts w:hint="eastAsia"/>
          <w:color w:val="auto"/>
          <w:szCs w:val="21"/>
          <w:highlight w:val="none"/>
        </w:rPr>
        <w:t>（签字）</w:t>
      </w:r>
    </w:p>
    <w:p w14:paraId="538DCBB1">
      <w:pPr>
        <w:spacing w:line="360" w:lineRule="auto"/>
        <w:jc w:val="center"/>
        <w:rPr>
          <w:color w:val="auto"/>
          <w:szCs w:val="21"/>
          <w:highlight w:val="none"/>
        </w:rPr>
      </w:pPr>
      <w:r>
        <w:rPr>
          <w:rFonts w:hint="eastAsia"/>
          <w:color w:val="auto"/>
          <w:szCs w:val="21"/>
          <w:highlight w:val="none"/>
        </w:rPr>
        <w:t xml:space="preserve">                                               日  期：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59129D14">
      <w:pPr>
        <w:spacing w:line="500" w:lineRule="exact"/>
        <w:ind w:firstLine="420" w:firstLineChars="200"/>
        <w:rPr>
          <w:color w:val="auto"/>
          <w:highlight w:val="none"/>
        </w:rPr>
      </w:pPr>
    </w:p>
    <w:p w14:paraId="7E4C4965">
      <w:pPr>
        <w:spacing w:line="500" w:lineRule="exact"/>
        <w:ind w:firstLine="420" w:firstLineChars="200"/>
        <w:rPr>
          <w:color w:val="auto"/>
          <w:highlight w:val="none"/>
        </w:rPr>
      </w:pPr>
    </w:p>
    <w:p w14:paraId="7F287C29">
      <w:pPr>
        <w:spacing w:line="500" w:lineRule="exact"/>
        <w:ind w:firstLine="420" w:firstLineChars="200"/>
        <w:rPr>
          <w:color w:val="auto"/>
          <w:highlight w:val="none"/>
        </w:rPr>
      </w:pPr>
    </w:p>
    <w:p w14:paraId="724E023B">
      <w:pPr>
        <w:spacing w:line="500" w:lineRule="exact"/>
        <w:ind w:firstLine="420" w:firstLineChars="200"/>
        <w:rPr>
          <w:color w:val="auto"/>
          <w:highlight w:val="none"/>
        </w:rPr>
      </w:pPr>
    </w:p>
    <w:p w14:paraId="1FD4B45E">
      <w:pPr>
        <w:spacing w:line="500" w:lineRule="exact"/>
        <w:ind w:firstLine="420" w:firstLineChars="200"/>
        <w:rPr>
          <w:color w:val="auto"/>
          <w:highlight w:val="none"/>
        </w:rPr>
      </w:pPr>
    </w:p>
    <w:p w14:paraId="1DCCEBD7">
      <w:pPr>
        <w:spacing w:line="500" w:lineRule="exact"/>
        <w:ind w:firstLine="420" w:firstLineChars="200"/>
        <w:rPr>
          <w:color w:val="auto"/>
          <w:highlight w:val="none"/>
        </w:rPr>
      </w:pPr>
    </w:p>
    <w:p w14:paraId="7F69CDD6">
      <w:pPr>
        <w:jc w:val="center"/>
        <w:rPr>
          <w:rFonts w:ascii="黑体" w:eastAsia="黑体"/>
          <w:b/>
          <w:color w:val="auto"/>
          <w:sz w:val="24"/>
          <w:highlight w:val="none"/>
        </w:rPr>
      </w:pPr>
    </w:p>
    <w:p w14:paraId="09BF1C16">
      <w:pPr>
        <w:jc w:val="center"/>
        <w:rPr>
          <w:rFonts w:ascii="黑体" w:eastAsia="黑体"/>
          <w:b/>
          <w:color w:val="auto"/>
          <w:sz w:val="24"/>
          <w:highlight w:val="none"/>
        </w:rPr>
      </w:pPr>
    </w:p>
    <w:p w14:paraId="0B3BE890">
      <w:pPr>
        <w:jc w:val="center"/>
        <w:rPr>
          <w:rFonts w:ascii="黑体" w:eastAsia="黑体"/>
          <w:b/>
          <w:color w:val="auto"/>
          <w:sz w:val="24"/>
          <w:highlight w:val="none"/>
        </w:rPr>
      </w:pPr>
    </w:p>
    <w:p w14:paraId="3E563B88">
      <w:pPr>
        <w:pStyle w:val="5"/>
        <w:rPr>
          <w:rFonts w:ascii="黑体" w:hAnsi="宋体"/>
          <w:color w:val="auto"/>
          <w:szCs w:val="28"/>
          <w:highlight w:val="none"/>
        </w:rPr>
      </w:pPr>
    </w:p>
    <w:p w14:paraId="77A1B4F3">
      <w:pPr>
        <w:jc w:val="center"/>
        <w:rPr>
          <w:rFonts w:ascii="黑体" w:eastAsia="黑体"/>
          <w:b/>
          <w:color w:val="auto"/>
          <w:sz w:val="24"/>
          <w:highlight w:val="none"/>
        </w:rPr>
      </w:pPr>
    </w:p>
    <w:p w14:paraId="110FD73C">
      <w:pPr>
        <w:jc w:val="center"/>
        <w:rPr>
          <w:rFonts w:ascii="黑体" w:eastAsia="黑体"/>
          <w:b/>
          <w:color w:val="auto"/>
          <w:sz w:val="24"/>
          <w:highlight w:val="none"/>
        </w:rPr>
      </w:pPr>
    </w:p>
    <w:p w14:paraId="269083CD">
      <w:pPr>
        <w:jc w:val="center"/>
        <w:rPr>
          <w:rFonts w:ascii="宋体" w:hAnsi="宋体"/>
          <w:b/>
          <w:color w:val="auto"/>
          <w:sz w:val="24"/>
          <w:highlight w:val="none"/>
        </w:rPr>
      </w:pPr>
      <w:r>
        <w:rPr>
          <w:rFonts w:ascii="黑体" w:eastAsia="黑体"/>
          <w:b/>
          <w:color w:val="auto"/>
          <w:sz w:val="24"/>
          <w:highlight w:val="none"/>
        </w:rPr>
        <w:br w:type="page"/>
      </w:r>
      <w:r>
        <w:rPr>
          <w:rFonts w:hint="eastAsia" w:ascii="宋体" w:hAnsi="宋体"/>
          <w:b/>
          <w:color w:val="auto"/>
          <w:sz w:val="24"/>
          <w:highlight w:val="none"/>
        </w:rPr>
        <w:t xml:space="preserve"> 问题的澄清</w:t>
      </w:r>
    </w:p>
    <w:p w14:paraId="23F0CFEA">
      <w:pPr>
        <w:jc w:val="center"/>
        <w:rPr>
          <w:color w:val="auto"/>
          <w:szCs w:val="21"/>
          <w:highlight w:val="none"/>
        </w:rPr>
      </w:pPr>
      <w:r>
        <w:rPr>
          <w:rFonts w:hint="eastAsia"/>
          <w:color w:val="auto"/>
          <w:szCs w:val="21"/>
          <w:highlight w:val="none"/>
        </w:rPr>
        <w:t xml:space="preserve"> </w:t>
      </w:r>
    </w:p>
    <w:p w14:paraId="7F3BA876">
      <w:pPr>
        <w:ind w:firstLine="6510" w:firstLineChars="3100"/>
        <w:rPr>
          <w:color w:val="auto"/>
          <w:szCs w:val="21"/>
          <w:highlight w:val="none"/>
        </w:rPr>
      </w:pPr>
      <w:r>
        <w:rPr>
          <w:rFonts w:hint="eastAsia"/>
          <w:color w:val="auto"/>
          <w:szCs w:val="21"/>
          <w:highlight w:val="none"/>
        </w:rPr>
        <w:t>编号：</w:t>
      </w:r>
    </w:p>
    <w:p w14:paraId="2AC78FAB">
      <w:pPr>
        <w:spacing w:line="500" w:lineRule="exact"/>
        <w:rPr>
          <w:color w:val="auto"/>
          <w:highlight w:val="none"/>
          <w:u w:val="single"/>
        </w:rPr>
      </w:pPr>
    </w:p>
    <w:p w14:paraId="6F56A2E4">
      <w:pPr>
        <w:spacing w:line="500" w:lineRule="exact"/>
        <w:rPr>
          <w:color w:val="auto"/>
          <w:highlight w:val="none"/>
        </w:rPr>
      </w:pP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勘察设计招标评标委员会：</w:t>
      </w:r>
    </w:p>
    <w:p w14:paraId="214FB2E8">
      <w:pPr>
        <w:spacing w:line="500" w:lineRule="exact"/>
        <w:ind w:firstLine="435"/>
        <w:rPr>
          <w:color w:val="auto"/>
          <w:highlight w:val="none"/>
        </w:rPr>
      </w:pPr>
    </w:p>
    <w:p w14:paraId="7F1B0551">
      <w:pPr>
        <w:spacing w:line="500" w:lineRule="exact"/>
        <w:ind w:firstLine="435"/>
        <w:rPr>
          <w:color w:val="auto"/>
          <w:highlight w:val="none"/>
        </w:rPr>
      </w:pPr>
      <w:r>
        <w:rPr>
          <w:rFonts w:hint="eastAsia"/>
          <w:color w:val="auto"/>
          <w:highlight w:val="none"/>
        </w:rPr>
        <w:t>问题澄清通知（编号：</w:t>
      </w:r>
      <w:r>
        <w:rPr>
          <w:rFonts w:hint="eastAsia"/>
          <w:color w:val="auto"/>
          <w:highlight w:val="none"/>
          <w:u w:val="single"/>
        </w:rPr>
        <w:t xml:space="preserve">     </w:t>
      </w:r>
      <w:r>
        <w:rPr>
          <w:rFonts w:hint="eastAsia"/>
          <w:color w:val="auto"/>
          <w:highlight w:val="none"/>
        </w:rPr>
        <w:t>）已收悉，现澄清如下：</w:t>
      </w:r>
    </w:p>
    <w:p w14:paraId="033AD87F">
      <w:pPr>
        <w:spacing w:line="500" w:lineRule="exact"/>
        <w:ind w:firstLine="420" w:firstLineChars="200"/>
        <w:rPr>
          <w:color w:val="auto"/>
          <w:highlight w:val="none"/>
        </w:rPr>
      </w:pPr>
      <w:r>
        <w:rPr>
          <w:rFonts w:hint="eastAsia"/>
          <w:color w:val="auto"/>
          <w:highlight w:val="none"/>
        </w:rPr>
        <w:t>1.</w:t>
      </w:r>
    </w:p>
    <w:p w14:paraId="36527B3B">
      <w:pPr>
        <w:spacing w:line="500" w:lineRule="exact"/>
        <w:ind w:firstLine="420" w:firstLineChars="200"/>
        <w:rPr>
          <w:color w:val="auto"/>
          <w:highlight w:val="none"/>
        </w:rPr>
      </w:pPr>
      <w:r>
        <w:rPr>
          <w:rFonts w:hint="eastAsia"/>
          <w:color w:val="auto"/>
          <w:highlight w:val="none"/>
        </w:rPr>
        <w:t>2.</w:t>
      </w:r>
    </w:p>
    <w:p w14:paraId="617DF4EB">
      <w:pPr>
        <w:spacing w:line="500" w:lineRule="exact"/>
        <w:ind w:firstLine="420" w:firstLineChars="200"/>
        <w:rPr>
          <w:rFonts w:ascii="宋体" w:hAnsi="宋体"/>
          <w:color w:val="auto"/>
          <w:highlight w:val="none"/>
        </w:rPr>
      </w:pPr>
      <w:r>
        <w:rPr>
          <w:rFonts w:hint="eastAsia" w:ascii="宋体" w:hAnsi="宋体"/>
          <w:color w:val="auto"/>
          <w:highlight w:val="none"/>
        </w:rPr>
        <w:t>……</w:t>
      </w:r>
    </w:p>
    <w:p w14:paraId="45650B75">
      <w:pPr>
        <w:spacing w:line="500" w:lineRule="exact"/>
        <w:ind w:firstLine="420" w:firstLineChars="200"/>
        <w:rPr>
          <w:rFonts w:ascii="宋体" w:hAnsi="宋体"/>
          <w:color w:val="auto"/>
          <w:highlight w:val="none"/>
        </w:rPr>
      </w:pPr>
    </w:p>
    <w:p w14:paraId="0E1A1C18">
      <w:pPr>
        <w:spacing w:line="500" w:lineRule="exact"/>
        <w:ind w:firstLine="420" w:firstLineChars="200"/>
        <w:rPr>
          <w:rFonts w:ascii="宋体" w:hAnsi="宋体"/>
          <w:color w:val="auto"/>
          <w:highlight w:val="none"/>
        </w:rPr>
      </w:pPr>
    </w:p>
    <w:p w14:paraId="2A14BC50">
      <w:pPr>
        <w:spacing w:line="500" w:lineRule="exact"/>
        <w:ind w:firstLine="420" w:firstLineChars="200"/>
        <w:rPr>
          <w:rFonts w:ascii="宋体" w:hAnsi="宋体"/>
          <w:color w:val="auto"/>
          <w:highlight w:val="none"/>
        </w:rPr>
      </w:pPr>
    </w:p>
    <w:p w14:paraId="0CB1C81C">
      <w:pPr>
        <w:spacing w:line="500" w:lineRule="exact"/>
        <w:ind w:firstLine="420" w:firstLineChars="200"/>
        <w:rPr>
          <w:rFonts w:ascii="宋体" w:hAnsi="宋体"/>
          <w:color w:val="auto"/>
          <w:highlight w:val="none"/>
        </w:rPr>
      </w:pPr>
    </w:p>
    <w:p w14:paraId="72A82E75">
      <w:pPr>
        <w:spacing w:line="500" w:lineRule="exact"/>
        <w:ind w:firstLine="420" w:firstLineChars="200"/>
        <w:rPr>
          <w:rFonts w:ascii="宋体" w:hAnsi="宋体"/>
          <w:color w:val="auto"/>
          <w:highlight w:val="none"/>
        </w:rPr>
      </w:pPr>
    </w:p>
    <w:p w14:paraId="62FC7F2B">
      <w:pPr>
        <w:spacing w:line="500" w:lineRule="exact"/>
        <w:ind w:firstLine="420" w:firstLineChars="200"/>
        <w:rPr>
          <w:rFonts w:ascii="宋体" w:hAnsi="宋体"/>
          <w:color w:val="auto"/>
          <w:highlight w:val="none"/>
        </w:rPr>
      </w:pPr>
    </w:p>
    <w:p w14:paraId="1739DD76">
      <w:pPr>
        <w:spacing w:after="120" w:afterLines="50" w:line="360" w:lineRule="auto"/>
        <w:ind w:firstLine="4200" w:firstLineChars="2000"/>
        <w:rPr>
          <w:color w:val="auto"/>
          <w:szCs w:val="21"/>
          <w:highlight w:val="none"/>
          <w:u w:val="single"/>
        </w:rPr>
      </w:pPr>
      <w:r>
        <w:rPr>
          <w:rFonts w:hint="eastAsia"/>
          <w:color w:val="auto"/>
          <w:szCs w:val="21"/>
          <w:highlight w:val="none"/>
        </w:rPr>
        <w:t>投</w:t>
      </w:r>
      <w:r>
        <w:rPr>
          <w:color w:val="auto"/>
          <w:szCs w:val="21"/>
          <w:highlight w:val="none"/>
        </w:rPr>
        <w:t>标人：</w:t>
      </w:r>
      <w:r>
        <w:rPr>
          <w:rFonts w:hint="eastAsia"/>
          <w:color w:val="auto"/>
          <w:szCs w:val="21"/>
          <w:highlight w:val="none"/>
          <w:u w:val="single"/>
        </w:rPr>
        <w:t xml:space="preserve">                     </w:t>
      </w:r>
      <w:r>
        <w:rPr>
          <w:rFonts w:hint="eastAsia"/>
          <w:color w:val="auto"/>
          <w:szCs w:val="21"/>
          <w:highlight w:val="none"/>
        </w:rPr>
        <w:t xml:space="preserve">（ </w:t>
      </w:r>
      <w:r>
        <w:rPr>
          <w:color w:val="auto"/>
          <w:szCs w:val="21"/>
          <w:highlight w:val="none"/>
        </w:rPr>
        <w:t>全称并盖章）</w:t>
      </w:r>
    </w:p>
    <w:p w14:paraId="121E0E12">
      <w:pPr>
        <w:spacing w:after="120" w:afterLines="50" w:line="360" w:lineRule="auto"/>
        <w:ind w:firstLine="4200" w:firstLineChars="2000"/>
        <w:rPr>
          <w:color w:val="auto"/>
          <w:szCs w:val="21"/>
          <w:highlight w:val="none"/>
        </w:rPr>
      </w:pPr>
      <w:r>
        <w:rPr>
          <w:rFonts w:hint="eastAsia"/>
          <w:color w:val="auto"/>
          <w:szCs w:val="21"/>
          <w:highlight w:val="none"/>
        </w:rPr>
        <w:t>法定代表人或其</w:t>
      </w:r>
      <w:r>
        <w:rPr>
          <w:color w:val="auto"/>
          <w:szCs w:val="21"/>
          <w:highlight w:val="none"/>
        </w:rPr>
        <w:t>委托代理人</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（签字）</w:t>
      </w:r>
    </w:p>
    <w:p w14:paraId="7D25491B">
      <w:pPr>
        <w:spacing w:line="360" w:lineRule="auto"/>
        <w:jc w:val="center"/>
        <w:rPr>
          <w:color w:val="auto"/>
          <w:szCs w:val="21"/>
          <w:highlight w:val="none"/>
        </w:rPr>
      </w:pPr>
      <w:r>
        <w:rPr>
          <w:rFonts w:hint="eastAsia"/>
          <w:color w:val="auto"/>
          <w:szCs w:val="21"/>
          <w:highlight w:val="none"/>
        </w:rPr>
        <w:t xml:space="preserve">                                  日  期：  </w:t>
      </w: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3D14CFD6">
      <w:pPr>
        <w:pStyle w:val="92"/>
        <w:spacing w:before="240" w:beforeLines="100"/>
        <w:outlineLvl w:val="0"/>
        <w:rPr>
          <w:rFonts w:ascii="宋体" w:hAnsi="宋体" w:eastAsia="宋体"/>
          <w:b/>
          <w:snapToGrid w:val="0"/>
          <w:color w:val="auto"/>
          <w:kern w:val="0"/>
          <w:highlight w:val="none"/>
        </w:rPr>
      </w:pPr>
    </w:p>
    <w:p w14:paraId="5FBD18E5">
      <w:pPr>
        <w:wordWrap w:val="0"/>
        <w:spacing w:before="240" w:beforeLines="100" w:line="300" w:lineRule="auto"/>
        <w:jc w:val="center"/>
        <w:outlineLvl w:val="3"/>
        <w:rPr>
          <w:rFonts w:ascii="黑体" w:hAnsi="黑体" w:eastAsia="黑体" w:cs="黑体"/>
          <w:color w:val="auto"/>
          <w:sz w:val="28"/>
          <w:szCs w:val="28"/>
          <w:highlight w:val="none"/>
        </w:rPr>
      </w:pPr>
      <w:r>
        <w:rPr>
          <w:rFonts w:ascii="宋体" w:hAnsi="宋体"/>
          <w:b/>
          <w:snapToGrid w:val="0"/>
          <w:color w:val="auto"/>
          <w:kern w:val="0"/>
          <w:highlight w:val="none"/>
        </w:rPr>
        <w:br w:type="page"/>
      </w:r>
      <w:bookmarkEnd w:id="452"/>
      <w:bookmarkEnd w:id="453"/>
      <w:r>
        <w:rPr>
          <w:rFonts w:hint="eastAsia" w:ascii="黑体" w:hAnsi="黑体" w:eastAsia="黑体" w:cs="黑体"/>
          <w:color w:val="auto"/>
          <w:sz w:val="28"/>
          <w:szCs w:val="28"/>
          <w:highlight w:val="none"/>
        </w:rPr>
        <w:t>中标候选人公示</w:t>
      </w:r>
    </w:p>
    <w:p w14:paraId="1501B8FB">
      <w:pPr>
        <w:spacing w:line="400" w:lineRule="exact"/>
        <w:ind w:firstLine="480" w:firstLineChars="200"/>
        <w:rPr>
          <w:color w:val="auto"/>
          <w:sz w:val="24"/>
          <w:highlight w:val="none"/>
        </w:rPr>
      </w:pPr>
      <w:r>
        <w:rPr>
          <w:rFonts w:hint="eastAsia"/>
          <w:color w:val="auto"/>
          <w:sz w:val="24"/>
          <w:highlight w:val="none"/>
        </w:rPr>
        <w:t>招标编号为</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工程建设项目，该工程勘察设计招标于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依法公开开标后，资格审查委员会和评标委员会按照招标文件规定的评标标准和方法进行了评审，清标小组、定标委员会按照定标方案规定方法、规则、标准和程序完成了清标和定标工作。招标人根据评标报告、清标报告以及定标报告，现将评标结果、定标结果以及有关情况公示如下：</w:t>
      </w:r>
    </w:p>
    <w:p w14:paraId="4A0EAF5E">
      <w:pPr>
        <w:numPr>
          <w:ilvl w:val="0"/>
          <w:numId w:val="6"/>
        </w:numPr>
        <w:spacing w:line="40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评标结果</w:t>
      </w:r>
    </w:p>
    <w:p w14:paraId="7EE0B128">
      <w:pPr>
        <w:spacing w:line="360" w:lineRule="auto"/>
        <w:ind w:left="420"/>
        <w:rPr>
          <w:color w:val="auto"/>
          <w:szCs w:val="21"/>
          <w:highlight w:val="none"/>
        </w:rPr>
      </w:pPr>
      <w:r>
        <w:rPr>
          <w:rFonts w:hint="eastAsia"/>
          <w:color w:val="auto"/>
          <w:szCs w:val="21"/>
          <w:highlight w:val="none"/>
        </w:rPr>
        <w:t>1.1</w:t>
      </w:r>
      <w:r>
        <w:rPr>
          <w:rFonts w:hint="eastAsia" w:cs="宋体"/>
          <w:color w:val="auto"/>
          <w:sz w:val="21"/>
          <w:szCs w:val="21"/>
          <w:highlight w:val="none"/>
          <w:lang w:val="en-US" w:eastAsia="zh-CN"/>
        </w:rPr>
        <w:t>资格审查不合格结论情况表</w:t>
      </w:r>
    </w:p>
    <w:tbl>
      <w:tblPr>
        <w:tblStyle w:val="42"/>
        <w:tblW w:w="0" w:type="auto"/>
        <w:tblInd w:w="108" w:type="dxa"/>
        <w:tblLayout w:type="fixed"/>
        <w:tblCellMar>
          <w:top w:w="0" w:type="dxa"/>
          <w:left w:w="108" w:type="dxa"/>
          <w:bottom w:w="0" w:type="dxa"/>
          <w:right w:w="108" w:type="dxa"/>
        </w:tblCellMar>
      </w:tblPr>
      <w:tblGrid>
        <w:gridCol w:w="885"/>
        <w:gridCol w:w="3323"/>
        <w:gridCol w:w="5746"/>
      </w:tblGrid>
      <w:tr w14:paraId="06FDA31B">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902BAF3">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序号</w:t>
            </w:r>
            <w:r>
              <w:rPr>
                <w:rFonts w:ascii="Times New Roman" w:hAnsi="Times New Roman"/>
                <w:color w:val="auto"/>
                <w:sz w:val="21"/>
                <w:szCs w:val="21"/>
                <w:highlight w:val="none"/>
              </w:rPr>
              <w:t> </w:t>
            </w:r>
          </w:p>
        </w:tc>
        <w:tc>
          <w:tcPr>
            <w:tcW w:w="3323" w:type="dxa"/>
            <w:tcBorders>
              <w:top w:val="single" w:color="auto" w:sz="4" w:space="0"/>
              <w:left w:val="nil"/>
              <w:bottom w:val="single" w:color="auto" w:sz="4" w:space="0"/>
              <w:right w:val="single" w:color="auto" w:sz="4" w:space="0"/>
            </w:tcBorders>
            <w:noWrap w:val="0"/>
            <w:vAlign w:val="center"/>
          </w:tcPr>
          <w:p w14:paraId="344771B7">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投标人名称</w:t>
            </w:r>
          </w:p>
        </w:tc>
        <w:tc>
          <w:tcPr>
            <w:tcW w:w="5746" w:type="dxa"/>
            <w:tcBorders>
              <w:top w:val="single" w:color="auto" w:sz="4" w:space="0"/>
              <w:left w:val="nil"/>
              <w:bottom w:val="single" w:color="auto" w:sz="4" w:space="0"/>
              <w:right w:val="single" w:color="auto" w:sz="4" w:space="0"/>
            </w:tcBorders>
            <w:noWrap w:val="0"/>
            <w:vAlign w:val="center"/>
          </w:tcPr>
          <w:p w14:paraId="3E2B36DB">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资格审查</w:t>
            </w:r>
            <w:r>
              <w:rPr>
                <w:rFonts w:hint="eastAsia" w:hAnsi="Times New Roman"/>
                <w:color w:val="auto"/>
                <w:sz w:val="21"/>
                <w:szCs w:val="21"/>
                <w:highlight w:val="none"/>
                <w:lang w:val="en-US" w:eastAsia="zh-CN"/>
              </w:rPr>
              <w:t>不合格原因及依据</w:t>
            </w:r>
          </w:p>
        </w:tc>
      </w:tr>
      <w:tr w14:paraId="32F9B824">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35CE0593">
            <w:pPr>
              <w:adjustRightInd w:val="0"/>
              <w:snapToGrid w:val="0"/>
              <w:spacing w:line="240" w:lineRule="atLeast"/>
              <w:jc w:val="center"/>
              <w:rPr>
                <w:rFonts w:hAnsi="Times New Roman"/>
                <w:color w:val="auto"/>
                <w:sz w:val="21"/>
                <w:szCs w:val="21"/>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3D4FDB4C">
            <w:pPr>
              <w:adjustRightInd w:val="0"/>
              <w:snapToGrid w:val="0"/>
              <w:spacing w:line="360" w:lineRule="auto"/>
              <w:jc w:val="center"/>
              <w:rPr>
                <w:rFonts w:hAnsi="Times New Roman"/>
                <w:color w:val="auto"/>
                <w:sz w:val="21"/>
                <w:szCs w:val="21"/>
                <w:highlight w:val="none"/>
              </w:rPr>
            </w:pPr>
          </w:p>
        </w:tc>
        <w:tc>
          <w:tcPr>
            <w:tcW w:w="5746" w:type="dxa"/>
            <w:tcBorders>
              <w:top w:val="single" w:color="auto" w:sz="4" w:space="0"/>
              <w:left w:val="nil"/>
              <w:bottom w:val="single" w:color="auto" w:sz="4" w:space="0"/>
              <w:right w:val="single" w:color="auto" w:sz="4" w:space="0"/>
            </w:tcBorders>
            <w:noWrap w:val="0"/>
            <w:vAlign w:val="center"/>
          </w:tcPr>
          <w:p w14:paraId="48B9DD53">
            <w:pPr>
              <w:adjustRightInd w:val="0"/>
              <w:snapToGrid w:val="0"/>
              <w:spacing w:line="360" w:lineRule="auto"/>
              <w:jc w:val="center"/>
              <w:rPr>
                <w:rFonts w:hAnsi="Times New Roman"/>
                <w:color w:val="auto"/>
                <w:sz w:val="21"/>
                <w:szCs w:val="21"/>
                <w:highlight w:val="none"/>
              </w:rPr>
            </w:pPr>
          </w:p>
        </w:tc>
      </w:tr>
      <w:tr w14:paraId="65BE2531">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8AEB9FD">
            <w:pPr>
              <w:adjustRightInd w:val="0"/>
              <w:snapToGrid w:val="0"/>
              <w:spacing w:line="240" w:lineRule="atLeast"/>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3323" w:type="dxa"/>
            <w:tcBorders>
              <w:top w:val="single" w:color="auto" w:sz="4" w:space="0"/>
              <w:left w:val="nil"/>
              <w:bottom w:val="single" w:color="auto" w:sz="4" w:space="0"/>
              <w:right w:val="single" w:color="auto" w:sz="4" w:space="0"/>
            </w:tcBorders>
            <w:noWrap w:val="0"/>
            <w:vAlign w:val="center"/>
          </w:tcPr>
          <w:p w14:paraId="09A85A86">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5746" w:type="dxa"/>
            <w:tcBorders>
              <w:top w:val="single" w:color="auto" w:sz="4" w:space="0"/>
              <w:left w:val="nil"/>
              <w:bottom w:val="single" w:color="auto" w:sz="4" w:space="0"/>
              <w:right w:val="single" w:color="auto" w:sz="4" w:space="0"/>
            </w:tcBorders>
            <w:noWrap w:val="0"/>
            <w:vAlign w:val="center"/>
          </w:tcPr>
          <w:p w14:paraId="297F3432">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r>
    </w:tbl>
    <w:p w14:paraId="0537AAE2">
      <w:pPr>
        <w:spacing w:line="312" w:lineRule="auto"/>
        <w:ind w:left="420"/>
        <w:rPr>
          <w:color w:val="auto"/>
          <w:szCs w:val="21"/>
          <w:highlight w:val="none"/>
        </w:rPr>
      </w:pPr>
      <w:r>
        <w:rPr>
          <w:rFonts w:hint="eastAsia"/>
          <w:color w:val="auto"/>
          <w:szCs w:val="21"/>
          <w:highlight w:val="none"/>
        </w:rPr>
        <w:t>1.2未入围投标人名单</w:t>
      </w:r>
    </w:p>
    <w:tbl>
      <w:tblPr>
        <w:tblStyle w:val="42"/>
        <w:tblW w:w="0" w:type="auto"/>
        <w:tblInd w:w="108" w:type="dxa"/>
        <w:tblLayout w:type="fixed"/>
        <w:tblCellMar>
          <w:top w:w="0" w:type="dxa"/>
          <w:left w:w="108" w:type="dxa"/>
          <w:bottom w:w="0" w:type="dxa"/>
          <w:right w:w="108" w:type="dxa"/>
        </w:tblCellMar>
      </w:tblPr>
      <w:tblGrid>
        <w:gridCol w:w="885"/>
        <w:gridCol w:w="3323"/>
        <w:gridCol w:w="5738"/>
      </w:tblGrid>
      <w:tr w14:paraId="6611107E">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2FF8B95C">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序号 </w:t>
            </w:r>
          </w:p>
        </w:tc>
        <w:tc>
          <w:tcPr>
            <w:tcW w:w="3323" w:type="dxa"/>
            <w:tcBorders>
              <w:top w:val="single" w:color="auto" w:sz="4" w:space="0"/>
              <w:left w:val="nil"/>
              <w:bottom w:val="single" w:color="auto" w:sz="4" w:space="0"/>
              <w:right w:val="single" w:color="auto" w:sz="4" w:space="0"/>
            </w:tcBorders>
            <w:noWrap w:val="0"/>
            <w:vAlign w:val="center"/>
          </w:tcPr>
          <w:p w14:paraId="05410A73">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投标人名称</w:t>
            </w:r>
          </w:p>
        </w:tc>
        <w:tc>
          <w:tcPr>
            <w:tcW w:w="5738" w:type="dxa"/>
            <w:tcBorders>
              <w:top w:val="single" w:color="auto" w:sz="4" w:space="0"/>
              <w:left w:val="nil"/>
              <w:bottom w:val="single" w:color="auto" w:sz="4" w:space="0"/>
              <w:right w:val="single" w:color="auto" w:sz="4" w:space="0"/>
            </w:tcBorders>
            <w:noWrap w:val="0"/>
            <w:vAlign w:val="center"/>
          </w:tcPr>
          <w:p w14:paraId="5CA57088">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未入围原因</w:t>
            </w:r>
          </w:p>
        </w:tc>
      </w:tr>
      <w:tr w14:paraId="4E84C901">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1A141A12">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1BA02DBC">
            <w:pPr>
              <w:adjustRightInd w:val="0"/>
              <w:snapToGrid w:val="0"/>
              <w:spacing w:line="360" w:lineRule="auto"/>
              <w:jc w:val="center"/>
              <w:rPr>
                <w:rFonts w:hAnsi="Times New Roman"/>
                <w:color w:val="auto"/>
                <w:sz w:val="15"/>
                <w:szCs w:val="15"/>
                <w:highlight w:val="none"/>
              </w:rPr>
            </w:pPr>
          </w:p>
        </w:tc>
        <w:tc>
          <w:tcPr>
            <w:tcW w:w="5738" w:type="dxa"/>
            <w:tcBorders>
              <w:top w:val="single" w:color="auto" w:sz="4" w:space="0"/>
              <w:left w:val="nil"/>
              <w:bottom w:val="single" w:color="auto" w:sz="4" w:space="0"/>
              <w:right w:val="single" w:color="auto" w:sz="4" w:space="0"/>
            </w:tcBorders>
            <w:noWrap w:val="0"/>
            <w:vAlign w:val="center"/>
          </w:tcPr>
          <w:p w14:paraId="0602BC3B">
            <w:pPr>
              <w:adjustRightInd w:val="0"/>
              <w:snapToGrid w:val="0"/>
              <w:spacing w:line="360" w:lineRule="auto"/>
              <w:jc w:val="center"/>
              <w:rPr>
                <w:rFonts w:hAnsi="Times New Roman"/>
                <w:color w:val="auto"/>
                <w:sz w:val="15"/>
                <w:szCs w:val="15"/>
                <w:highlight w:val="none"/>
              </w:rPr>
            </w:pPr>
          </w:p>
        </w:tc>
      </w:tr>
      <w:tr w14:paraId="0F107277">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55726146">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418DFDB1">
            <w:pPr>
              <w:adjustRightInd w:val="0"/>
              <w:snapToGrid w:val="0"/>
              <w:spacing w:line="360" w:lineRule="auto"/>
              <w:jc w:val="center"/>
              <w:rPr>
                <w:rFonts w:hAnsi="Times New Roman"/>
                <w:color w:val="auto"/>
                <w:sz w:val="15"/>
                <w:szCs w:val="15"/>
                <w:highlight w:val="none"/>
              </w:rPr>
            </w:pPr>
          </w:p>
        </w:tc>
        <w:tc>
          <w:tcPr>
            <w:tcW w:w="5738" w:type="dxa"/>
            <w:tcBorders>
              <w:top w:val="single" w:color="auto" w:sz="4" w:space="0"/>
              <w:left w:val="nil"/>
              <w:bottom w:val="single" w:color="auto" w:sz="4" w:space="0"/>
              <w:right w:val="single" w:color="auto" w:sz="4" w:space="0"/>
            </w:tcBorders>
            <w:noWrap w:val="0"/>
            <w:vAlign w:val="center"/>
          </w:tcPr>
          <w:p w14:paraId="00458878">
            <w:pPr>
              <w:adjustRightInd w:val="0"/>
              <w:snapToGrid w:val="0"/>
              <w:spacing w:line="360" w:lineRule="auto"/>
              <w:jc w:val="center"/>
              <w:rPr>
                <w:rFonts w:hAnsi="Times New Roman"/>
                <w:color w:val="auto"/>
                <w:sz w:val="15"/>
                <w:szCs w:val="15"/>
                <w:highlight w:val="none"/>
              </w:rPr>
            </w:pPr>
          </w:p>
        </w:tc>
      </w:tr>
      <w:tr w14:paraId="11DB9E79">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1A08308B">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3F45FEC9">
            <w:pPr>
              <w:adjustRightInd w:val="0"/>
              <w:snapToGrid w:val="0"/>
              <w:spacing w:line="360" w:lineRule="auto"/>
              <w:jc w:val="center"/>
              <w:rPr>
                <w:rFonts w:hAnsi="Times New Roman"/>
                <w:color w:val="auto"/>
                <w:sz w:val="15"/>
                <w:szCs w:val="15"/>
                <w:highlight w:val="none"/>
              </w:rPr>
            </w:pPr>
          </w:p>
        </w:tc>
        <w:tc>
          <w:tcPr>
            <w:tcW w:w="5738" w:type="dxa"/>
            <w:tcBorders>
              <w:top w:val="single" w:color="auto" w:sz="4" w:space="0"/>
              <w:left w:val="nil"/>
              <w:bottom w:val="single" w:color="auto" w:sz="4" w:space="0"/>
              <w:right w:val="single" w:color="auto" w:sz="4" w:space="0"/>
            </w:tcBorders>
            <w:noWrap w:val="0"/>
            <w:vAlign w:val="center"/>
          </w:tcPr>
          <w:p w14:paraId="5DDD8B65">
            <w:pPr>
              <w:adjustRightInd w:val="0"/>
              <w:snapToGrid w:val="0"/>
              <w:spacing w:line="360" w:lineRule="auto"/>
              <w:jc w:val="center"/>
              <w:rPr>
                <w:rFonts w:hAnsi="Times New Roman"/>
                <w:color w:val="auto"/>
                <w:sz w:val="15"/>
                <w:szCs w:val="15"/>
                <w:highlight w:val="none"/>
              </w:rPr>
            </w:pPr>
          </w:p>
        </w:tc>
      </w:tr>
      <w:tr w14:paraId="1266570D">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20F4651">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4E4E3E41">
            <w:pPr>
              <w:adjustRightInd w:val="0"/>
              <w:snapToGrid w:val="0"/>
              <w:spacing w:line="360" w:lineRule="auto"/>
              <w:jc w:val="center"/>
              <w:rPr>
                <w:rFonts w:hAnsi="Times New Roman"/>
                <w:color w:val="auto"/>
                <w:sz w:val="15"/>
                <w:szCs w:val="15"/>
                <w:highlight w:val="none"/>
              </w:rPr>
            </w:pPr>
          </w:p>
        </w:tc>
        <w:tc>
          <w:tcPr>
            <w:tcW w:w="5738" w:type="dxa"/>
            <w:tcBorders>
              <w:top w:val="single" w:color="auto" w:sz="4" w:space="0"/>
              <w:left w:val="nil"/>
              <w:bottom w:val="single" w:color="auto" w:sz="4" w:space="0"/>
              <w:right w:val="single" w:color="auto" w:sz="4" w:space="0"/>
            </w:tcBorders>
            <w:noWrap w:val="0"/>
            <w:vAlign w:val="center"/>
          </w:tcPr>
          <w:p w14:paraId="26732F18">
            <w:pPr>
              <w:adjustRightInd w:val="0"/>
              <w:snapToGrid w:val="0"/>
              <w:spacing w:line="360" w:lineRule="auto"/>
              <w:jc w:val="center"/>
              <w:rPr>
                <w:rFonts w:hAnsi="Times New Roman"/>
                <w:color w:val="auto"/>
                <w:sz w:val="15"/>
                <w:szCs w:val="15"/>
                <w:highlight w:val="none"/>
              </w:rPr>
            </w:pPr>
          </w:p>
        </w:tc>
      </w:tr>
      <w:tr w14:paraId="5A0BE5CC">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68CE4469">
            <w:pPr>
              <w:adjustRightInd w:val="0"/>
              <w:snapToGrid w:val="0"/>
              <w:spacing w:line="240" w:lineRule="atLeast"/>
              <w:jc w:val="center"/>
              <w:rPr>
                <w:rFonts w:hAnsi="Times New Roman"/>
                <w:color w:val="auto"/>
                <w:sz w:val="15"/>
                <w:szCs w:val="15"/>
                <w:highlight w:val="none"/>
              </w:rPr>
            </w:pPr>
            <w:r>
              <w:rPr>
                <w:rFonts w:hint="eastAsia" w:hAnsi="Times New Roman"/>
                <w:color w:val="auto"/>
                <w:sz w:val="21"/>
                <w:szCs w:val="21"/>
                <w:highlight w:val="none"/>
                <w:lang w:eastAsia="zh-CN"/>
              </w:rPr>
              <w:t>……</w:t>
            </w:r>
          </w:p>
        </w:tc>
        <w:tc>
          <w:tcPr>
            <w:tcW w:w="3323" w:type="dxa"/>
            <w:tcBorders>
              <w:top w:val="single" w:color="auto" w:sz="4" w:space="0"/>
              <w:left w:val="nil"/>
              <w:bottom w:val="single" w:color="auto" w:sz="4" w:space="0"/>
              <w:right w:val="single" w:color="auto" w:sz="4" w:space="0"/>
            </w:tcBorders>
            <w:noWrap w:val="0"/>
            <w:vAlign w:val="center"/>
          </w:tcPr>
          <w:p w14:paraId="0CF58271">
            <w:pPr>
              <w:adjustRightInd w:val="0"/>
              <w:snapToGrid w:val="0"/>
              <w:spacing w:line="360" w:lineRule="auto"/>
              <w:jc w:val="center"/>
              <w:rPr>
                <w:rFonts w:hAnsi="Times New Roman"/>
                <w:color w:val="auto"/>
                <w:sz w:val="15"/>
                <w:szCs w:val="15"/>
                <w:highlight w:val="none"/>
              </w:rPr>
            </w:pPr>
            <w:r>
              <w:rPr>
                <w:rFonts w:hint="eastAsia" w:hAnsi="Times New Roman"/>
                <w:color w:val="auto"/>
                <w:sz w:val="21"/>
                <w:szCs w:val="21"/>
                <w:highlight w:val="none"/>
                <w:lang w:eastAsia="zh-CN"/>
              </w:rPr>
              <w:t>……</w:t>
            </w:r>
          </w:p>
        </w:tc>
        <w:tc>
          <w:tcPr>
            <w:tcW w:w="5738" w:type="dxa"/>
            <w:tcBorders>
              <w:top w:val="single" w:color="auto" w:sz="4" w:space="0"/>
              <w:left w:val="nil"/>
              <w:bottom w:val="single" w:color="auto" w:sz="4" w:space="0"/>
              <w:right w:val="single" w:color="auto" w:sz="4" w:space="0"/>
            </w:tcBorders>
            <w:noWrap w:val="0"/>
            <w:vAlign w:val="center"/>
          </w:tcPr>
          <w:p w14:paraId="501D7829">
            <w:pPr>
              <w:adjustRightInd w:val="0"/>
              <w:snapToGrid w:val="0"/>
              <w:spacing w:line="360" w:lineRule="auto"/>
              <w:jc w:val="center"/>
              <w:rPr>
                <w:rFonts w:hAnsi="Times New Roman"/>
                <w:color w:val="auto"/>
                <w:sz w:val="15"/>
                <w:szCs w:val="15"/>
                <w:highlight w:val="none"/>
              </w:rPr>
            </w:pPr>
            <w:r>
              <w:rPr>
                <w:rFonts w:hint="eastAsia" w:hAnsi="Times New Roman"/>
                <w:color w:val="auto"/>
                <w:sz w:val="21"/>
                <w:szCs w:val="21"/>
                <w:highlight w:val="none"/>
                <w:lang w:eastAsia="zh-CN"/>
              </w:rPr>
              <w:t>……</w:t>
            </w:r>
          </w:p>
        </w:tc>
      </w:tr>
    </w:tbl>
    <w:p w14:paraId="1060DD2A">
      <w:pPr>
        <w:tabs>
          <w:tab w:val="left" w:pos="1140"/>
        </w:tabs>
        <w:spacing w:line="360" w:lineRule="auto"/>
        <w:ind w:firstLine="426"/>
        <w:rPr>
          <w:rFonts w:hint="eastAsia" w:ascii="Times New Roman" w:hAnsi="Times New Roman"/>
          <w:color w:val="auto"/>
          <w:sz w:val="24"/>
          <w:highlight w:val="none"/>
        </w:rPr>
      </w:pP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rPr>
        <w:t>推荐的定标候选人及主要投标内容：</w:t>
      </w:r>
    </w:p>
    <w:p w14:paraId="37401E8D">
      <w:pPr>
        <w:pStyle w:val="2"/>
        <w:rPr>
          <w:rFonts w:hint="eastAsia" w:ascii="Times New Roman" w:hAnsi="Times New Roman"/>
          <w:color w:val="auto"/>
          <w:sz w:val="24"/>
          <w:highlight w:val="none"/>
        </w:rPr>
      </w:pPr>
    </w:p>
    <w:tbl>
      <w:tblPr>
        <w:tblStyle w:val="42"/>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88"/>
        <w:gridCol w:w="789"/>
        <w:gridCol w:w="1224"/>
        <w:gridCol w:w="1032"/>
        <w:gridCol w:w="1308"/>
        <w:gridCol w:w="900"/>
        <w:gridCol w:w="900"/>
        <w:gridCol w:w="953"/>
        <w:gridCol w:w="953"/>
      </w:tblGrid>
      <w:tr w14:paraId="5198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657" w:type="dxa"/>
            <w:tcBorders>
              <w:tl2br w:val="single" w:color="auto" w:sz="4" w:space="0"/>
            </w:tcBorders>
          </w:tcPr>
          <w:p w14:paraId="43DC8E26">
            <w:pPr>
              <w:tabs>
                <w:tab w:val="left" w:pos="1140"/>
              </w:tabs>
              <w:rPr>
                <w:color w:val="auto"/>
                <w:szCs w:val="21"/>
                <w:highlight w:val="none"/>
              </w:rPr>
            </w:pPr>
          </w:p>
          <w:p w14:paraId="7A8741A9">
            <w:pPr>
              <w:tabs>
                <w:tab w:val="left" w:pos="1140"/>
              </w:tabs>
              <w:ind w:firstLine="420" w:firstLineChars="200"/>
              <w:rPr>
                <w:color w:val="auto"/>
                <w:szCs w:val="21"/>
                <w:highlight w:val="none"/>
              </w:rPr>
            </w:pPr>
            <w:r>
              <w:rPr>
                <w:rFonts w:hint="eastAsia"/>
                <w:color w:val="auto"/>
                <w:szCs w:val="21"/>
                <w:highlight w:val="none"/>
              </w:rPr>
              <w:t>投标</w:t>
            </w:r>
          </w:p>
          <w:p w14:paraId="1433D9F5">
            <w:pPr>
              <w:tabs>
                <w:tab w:val="left" w:pos="1140"/>
              </w:tabs>
              <w:ind w:firstLine="420" w:firstLineChars="200"/>
              <w:rPr>
                <w:color w:val="auto"/>
                <w:szCs w:val="21"/>
                <w:highlight w:val="none"/>
              </w:rPr>
            </w:pPr>
            <w:r>
              <w:rPr>
                <w:rFonts w:hint="eastAsia"/>
                <w:color w:val="auto"/>
                <w:szCs w:val="21"/>
                <w:highlight w:val="none"/>
              </w:rPr>
              <w:t>主要内容</w:t>
            </w:r>
          </w:p>
          <w:p w14:paraId="0A1D5966">
            <w:pPr>
              <w:tabs>
                <w:tab w:val="left" w:pos="1140"/>
              </w:tabs>
              <w:rPr>
                <w:color w:val="auto"/>
                <w:szCs w:val="21"/>
                <w:highlight w:val="none"/>
              </w:rPr>
            </w:pPr>
          </w:p>
          <w:p w14:paraId="611049A3">
            <w:pPr>
              <w:tabs>
                <w:tab w:val="left" w:pos="1140"/>
              </w:tabs>
              <w:rPr>
                <w:color w:val="auto"/>
                <w:szCs w:val="21"/>
                <w:highlight w:val="none"/>
              </w:rPr>
            </w:pPr>
          </w:p>
          <w:p w14:paraId="3A5CE8FF">
            <w:pPr>
              <w:tabs>
                <w:tab w:val="left" w:pos="1140"/>
              </w:tabs>
              <w:rPr>
                <w:color w:val="auto"/>
                <w:szCs w:val="21"/>
                <w:highlight w:val="none"/>
              </w:rPr>
            </w:pPr>
          </w:p>
          <w:p w14:paraId="6205AC30">
            <w:pPr>
              <w:tabs>
                <w:tab w:val="left" w:pos="1140"/>
              </w:tabs>
              <w:rPr>
                <w:color w:val="auto"/>
                <w:szCs w:val="21"/>
                <w:highlight w:val="none"/>
              </w:rPr>
            </w:pPr>
            <w:r>
              <w:rPr>
                <w:rFonts w:hint="eastAsia"/>
                <w:color w:val="auto"/>
                <w:szCs w:val="21"/>
                <w:highlight w:val="none"/>
              </w:rPr>
              <w:t>定标候选人</w:t>
            </w:r>
          </w:p>
          <w:p w14:paraId="484BA086">
            <w:pPr>
              <w:tabs>
                <w:tab w:val="left" w:pos="1140"/>
              </w:tabs>
              <w:rPr>
                <w:color w:val="auto"/>
                <w:szCs w:val="21"/>
                <w:highlight w:val="none"/>
              </w:rPr>
            </w:pPr>
          </w:p>
        </w:tc>
        <w:tc>
          <w:tcPr>
            <w:tcW w:w="888" w:type="dxa"/>
            <w:vAlign w:val="center"/>
          </w:tcPr>
          <w:p w14:paraId="64D10BC0">
            <w:pPr>
              <w:tabs>
                <w:tab w:val="left" w:pos="1140"/>
              </w:tabs>
              <w:jc w:val="center"/>
              <w:rPr>
                <w:color w:val="auto"/>
                <w:szCs w:val="21"/>
                <w:highlight w:val="none"/>
              </w:rPr>
            </w:pPr>
            <w:r>
              <w:rPr>
                <w:rFonts w:hint="eastAsia"/>
                <w:color w:val="auto"/>
                <w:sz w:val="24"/>
                <w:highlight w:val="none"/>
              </w:rPr>
              <w:t>投标报价（元）</w:t>
            </w:r>
          </w:p>
        </w:tc>
        <w:tc>
          <w:tcPr>
            <w:tcW w:w="789" w:type="dxa"/>
            <w:vAlign w:val="center"/>
          </w:tcPr>
          <w:p w14:paraId="732664B7">
            <w:pPr>
              <w:tabs>
                <w:tab w:val="left" w:pos="1140"/>
              </w:tabs>
              <w:jc w:val="center"/>
              <w:rPr>
                <w:color w:val="auto"/>
                <w:szCs w:val="21"/>
                <w:highlight w:val="none"/>
              </w:rPr>
            </w:pPr>
            <w:r>
              <w:rPr>
                <w:rFonts w:hint="eastAsia"/>
                <w:color w:val="auto"/>
                <w:sz w:val="24"/>
                <w:highlight w:val="none"/>
              </w:rPr>
              <w:t>设计负责人姓名</w:t>
            </w:r>
          </w:p>
        </w:tc>
        <w:tc>
          <w:tcPr>
            <w:tcW w:w="1224" w:type="dxa"/>
            <w:vAlign w:val="center"/>
          </w:tcPr>
          <w:p w14:paraId="34F01FB0">
            <w:pPr>
              <w:tabs>
                <w:tab w:val="left" w:pos="1140"/>
              </w:tabs>
              <w:jc w:val="center"/>
              <w:rPr>
                <w:rFonts w:ascii="宋体" w:hAnsi="宋体"/>
                <w:color w:val="auto"/>
                <w:szCs w:val="21"/>
                <w:highlight w:val="none"/>
              </w:rPr>
            </w:pPr>
            <w:r>
              <w:rPr>
                <w:rFonts w:hint="eastAsia"/>
                <w:color w:val="auto"/>
                <w:sz w:val="24"/>
                <w:highlight w:val="none"/>
              </w:rPr>
              <w:t>设计负责人相关个人工程业绩（如有时）</w:t>
            </w:r>
          </w:p>
        </w:tc>
        <w:tc>
          <w:tcPr>
            <w:tcW w:w="1032" w:type="dxa"/>
            <w:vAlign w:val="center"/>
          </w:tcPr>
          <w:p w14:paraId="1892B813">
            <w:pPr>
              <w:tabs>
                <w:tab w:val="left" w:pos="1140"/>
              </w:tabs>
              <w:jc w:val="center"/>
              <w:rPr>
                <w:color w:val="auto"/>
                <w:szCs w:val="21"/>
                <w:highlight w:val="none"/>
              </w:rPr>
            </w:pPr>
            <w:r>
              <w:rPr>
                <w:rFonts w:hint="eastAsia"/>
                <w:color w:val="auto"/>
                <w:sz w:val="24"/>
                <w:highlight w:val="none"/>
              </w:rPr>
              <w:t>设计负责人相关证书</w:t>
            </w:r>
          </w:p>
        </w:tc>
        <w:tc>
          <w:tcPr>
            <w:tcW w:w="1308" w:type="dxa"/>
            <w:vAlign w:val="center"/>
          </w:tcPr>
          <w:p w14:paraId="613E90E5">
            <w:pPr>
              <w:tabs>
                <w:tab w:val="left" w:pos="1140"/>
              </w:tabs>
              <w:jc w:val="center"/>
              <w:rPr>
                <w:color w:val="auto"/>
                <w:szCs w:val="21"/>
                <w:highlight w:val="none"/>
              </w:rPr>
            </w:pPr>
            <w:r>
              <w:rPr>
                <w:rFonts w:hint="eastAsia"/>
                <w:color w:val="auto"/>
                <w:sz w:val="24"/>
                <w:highlight w:val="none"/>
              </w:rPr>
              <w:t>定标候选人同类同等工程业绩（如有时）</w:t>
            </w:r>
          </w:p>
        </w:tc>
        <w:tc>
          <w:tcPr>
            <w:tcW w:w="900" w:type="dxa"/>
            <w:vAlign w:val="center"/>
          </w:tcPr>
          <w:p w14:paraId="2C4B1969">
            <w:pPr>
              <w:tabs>
                <w:tab w:val="left" w:pos="1140"/>
              </w:tabs>
              <w:jc w:val="center"/>
              <w:rPr>
                <w:color w:val="auto"/>
                <w:sz w:val="24"/>
                <w:highlight w:val="none"/>
              </w:rPr>
            </w:pPr>
            <w:r>
              <w:rPr>
                <w:rFonts w:hint="eastAsia"/>
                <w:color w:val="auto"/>
                <w:sz w:val="24"/>
                <w:highlight w:val="none"/>
              </w:rPr>
              <w:t>企业及人员信用分享用情况（如有）</w:t>
            </w:r>
          </w:p>
        </w:tc>
        <w:tc>
          <w:tcPr>
            <w:tcW w:w="900" w:type="dxa"/>
            <w:vAlign w:val="center"/>
          </w:tcPr>
          <w:p w14:paraId="1A7663A6">
            <w:pPr>
              <w:tabs>
                <w:tab w:val="left" w:pos="1140"/>
              </w:tabs>
              <w:jc w:val="center"/>
              <w:rPr>
                <w:color w:val="auto"/>
                <w:szCs w:val="21"/>
                <w:highlight w:val="none"/>
              </w:rPr>
            </w:pPr>
            <w:r>
              <w:rPr>
                <w:rFonts w:hint="eastAsia"/>
                <w:color w:val="auto"/>
                <w:sz w:val="24"/>
                <w:highlight w:val="none"/>
              </w:rPr>
              <w:t>设计服务期</w:t>
            </w:r>
          </w:p>
        </w:tc>
        <w:tc>
          <w:tcPr>
            <w:tcW w:w="953" w:type="dxa"/>
            <w:vAlign w:val="center"/>
          </w:tcPr>
          <w:p w14:paraId="175ECDFA">
            <w:pPr>
              <w:tabs>
                <w:tab w:val="left" w:pos="1140"/>
              </w:tabs>
              <w:jc w:val="center"/>
              <w:rPr>
                <w:color w:val="auto"/>
                <w:szCs w:val="21"/>
                <w:highlight w:val="none"/>
              </w:rPr>
            </w:pPr>
            <w:r>
              <w:rPr>
                <w:rFonts w:hint="eastAsia"/>
                <w:color w:val="auto"/>
                <w:sz w:val="24"/>
                <w:highlight w:val="none"/>
              </w:rPr>
              <w:t>质量标准</w:t>
            </w:r>
          </w:p>
        </w:tc>
        <w:tc>
          <w:tcPr>
            <w:tcW w:w="953" w:type="dxa"/>
            <w:vAlign w:val="center"/>
          </w:tcPr>
          <w:p w14:paraId="14CC7A11">
            <w:pPr>
              <w:tabs>
                <w:tab w:val="left" w:pos="1140"/>
              </w:tabs>
              <w:jc w:val="center"/>
              <w:rPr>
                <w:rFonts w:hint="eastAsia"/>
                <w:color w:val="auto"/>
                <w:sz w:val="24"/>
                <w:highlight w:val="none"/>
              </w:rPr>
            </w:pPr>
            <w:r>
              <w:rPr>
                <w:rFonts w:hint="eastAsia"/>
                <w:color w:val="auto"/>
                <w:sz w:val="24"/>
                <w:highlight w:val="none"/>
                <w:lang w:val="en-US" w:eastAsia="zh-CN"/>
              </w:rPr>
              <w:t>最近期的福建省交通建设市场信用考核评价等级</w:t>
            </w:r>
          </w:p>
        </w:tc>
      </w:tr>
      <w:tr w14:paraId="5F30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vAlign w:val="center"/>
          </w:tcPr>
          <w:p w14:paraId="0F00D113">
            <w:pPr>
              <w:tabs>
                <w:tab w:val="left" w:pos="1140"/>
              </w:tabs>
              <w:jc w:val="center"/>
              <w:rPr>
                <w:rFonts w:ascii="宋体" w:hAnsi="宋体"/>
                <w:color w:val="auto"/>
                <w:szCs w:val="21"/>
                <w:highlight w:val="none"/>
              </w:rPr>
            </w:pPr>
          </w:p>
        </w:tc>
        <w:tc>
          <w:tcPr>
            <w:tcW w:w="888" w:type="dxa"/>
          </w:tcPr>
          <w:p w14:paraId="5F26DDDC">
            <w:pPr>
              <w:spacing w:line="400" w:lineRule="exact"/>
              <w:jc w:val="center"/>
              <w:rPr>
                <w:rFonts w:ascii="宋体" w:hAnsi="宋体"/>
                <w:color w:val="auto"/>
                <w:szCs w:val="21"/>
                <w:highlight w:val="none"/>
              </w:rPr>
            </w:pPr>
          </w:p>
        </w:tc>
        <w:tc>
          <w:tcPr>
            <w:tcW w:w="789" w:type="dxa"/>
          </w:tcPr>
          <w:p w14:paraId="4DB62D5A">
            <w:pPr>
              <w:spacing w:line="400" w:lineRule="exact"/>
              <w:jc w:val="center"/>
              <w:rPr>
                <w:rFonts w:ascii="宋体" w:hAnsi="宋体"/>
                <w:color w:val="auto"/>
                <w:szCs w:val="21"/>
                <w:highlight w:val="none"/>
              </w:rPr>
            </w:pPr>
          </w:p>
        </w:tc>
        <w:tc>
          <w:tcPr>
            <w:tcW w:w="1224" w:type="dxa"/>
          </w:tcPr>
          <w:p w14:paraId="7EA8E58D">
            <w:pPr>
              <w:spacing w:line="400" w:lineRule="exact"/>
              <w:jc w:val="center"/>
              <w:rPr>
                <w:rFonts w:ascii="宋体" w:hAnsi="宋体"/>
                <w:color w:val="auto"/>
                <w:szCs w:val="21"/>
                <w:highlight w:val="none"/>
              </w:rPr>
            </w:pPr>
          </w:p>
        </w:tc>
        <w:tc>
          <w:tcPr>
            <w:tcW w:w="1032" w:type="dxa"/>
          </w:tcPr>
          <w:p w14:paraId="087505D6">
            <w:pPr>
              <w:spacing w:line="400" w:lineRule="exact"/>
              <w:jc w:val="center"/>
              <w:rPr>
                <w:rFonts w:ascii="宋体" w:hAnsi="宋体"/>
                <w:color w:val="auto"/>
                <w:szCs w:val="21"/>
                <w:highlight w:val="none"/>
              </w:rPr>
            </w:pPr>
          </w:p>
        </w:tc>
        <w:tc>
          <w:tcPr>
            <w:tcW w:w="1308" w:type="dxa"/>
          </w:tcPr>
          <w:p w14:paraId="3646EB54">
            <w:pPr>
              <w:spacing w:line="400" w:lineRule="exact"/>
              <w:jc w:val="center"/>
              <w:rPr>
                <w:rFonts w:ascii="宋体" w:hAnsi="宋体"/>
                <w:color w:val="auto"/>
                <w:szCs w:val="21"/>
                <w:highlight w:val="none"/>
              </w:rPr>
            </w:pPr>
          </w:p>
        </w:tc>
        <w:tc>
          <w:tcPr>
            <w:tcW w:w="900" w:type="dxa"/>
          </w:tcPr>
          <w:p w14:paraId="58067055">
            <w:pPr>
              <w:spacing w:line="400" w:lineRule="exact"/>
              <w:jc w:val="center"/>
              <w:rPr>
                <w:rFonts w:ascii="宋体" w:hAnsi="宋体"/>
                <w:color w:val="auto"/>
                <w:szCs w:val="21"/>
                <w:highlight w:val="none"/>
              </w:rPr>
            </w:pPr>
          </w:p>
        </w:tc>
        <w:tc>
          <w:tcPr>
            <w:tcW w:w="900" w:type="dxa"/>
          </w:tcPr>
          <w:p w14:paraId="542FBA51">
            <w:pPr>
              <w:spacing w:line="400" w:lineRule="exact"/>
              <w:jc w:val="center"/>
              <w:rPr>
                <w:rFonts w:ascii="宋体" w:hAnsi="宋体"/>
                <w:color w:val="auto"/>
                <w:szCs w:val="21"/>
                <w:highlight w:val="none"/>
              </w:rPr>
            </w:pPr>
          </w:p>
        </w:tc>
        <w:tc>
          <w:tcPr>
            <w:tcW w:w="953" w:type="dxa"/>
          </w:tcPr>
          <w:p w14:paraId="038D82B5">
            <w:pPr>
              <w:spacing w:line="400" w:lineRule="exact"/>
              <w:jc w:val="center"/>
              <w:rPr>
                <w:rFonts w:ascii="宋体" w:hAnsi="宋体"/>
                <w:color w:val="auto"/>
                <w:szCs w:val="21"/>
                <w:highlight w:val="none"/>
              </w:rPr>
            </w:pPr>
          </w:p>
        </w:tc>
        <w:tc>
          <w:tcPr>
            <w:tcW w:w="953" w:type="dxa"/>
          </w:tcPr>
          <w:p w14:paraId="72199A39">
            <w:pPr>
              <w:spacing w:line="400" w:lineRule="exact"/>
              <w:jc w:val="center"/>
              <w:rPr>
                <w:rFonts w:ascii="宋体" w:hAnsi="宋体"/>
                <w:color w:val="auto"/>
                <w:szCs w:val="21"/>
                <w:highlight w:val="none"/>
              </w:rPr>
            </w:pPr>
          </w:p>
        </w:tc>
      </w:tr>
      <w:tr w14:paraId="5AA5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vAlign w:val="center"/>
          </w:tcPr>
          <w:p w14:paraId="203E3AF0">
            <w:pPr>
              <w:tabs>
                <w:tab w:val="left" w:pos="1140"/>
              </w:tabs>
              <w:jc w:val="center"/>
              <w:rPr>
                <w:color w:val="auto"/>
                <w:szCs w:val="21"/>
                <w:highlight w:val="none"/>
              </w:rPr>
            </w:pPr>
          </w:p>
        </w:tc>
        <w:tc>
          <w:tcPr>
            <w:tcW w:w="888" w:type="dxa"/>
            <w:vAlign w:val="center"/>
          </w:tcPr>
          <w:p w14:paraId="0893063F">
            <w:pPr>
              <w:spacing w:before="100" w:after="100"/>
              <w:jc w:val="center"/>
              <w:rPr>
                <w:rFonts w:ascii="宋体" w:hAnsi="宋体"/>
                <w:color w:val="auto"/>
                <w:highlight w:val="none"/>
              </w:rPr>
            </w:pPr>
          </w:p>
        </w:tc>
        <w:tc>
          <w:tcPr>
            <w:tcW w:w="789" w:type="dxa"/>
            <w:vAlign w:val="center"/>
          </w:tcPr>
          <w:p w14:paraId="43B0DF43">
            <w:pPr>
              <w:tabs>
                <w:tab w:val="left" w:pos="1140"/>
              </w:tabs>
              <w:jc w:val="center"/>
              <w:rPr>
                <w:rFonts w:ascii="宋体" w:hAnsi="宋体"/>
                <w:color w:val="auto"/>
                <w:szCs w:val="21"/>
                <w:highlight w:val="none"/>
              </w:rPr>
            </w:pPr>
          </w:p>
        </w:tc>
        <w:tc>
          <w:tcPr>
            <w:tcW w:w="1224" w:type="dxa"/>
            <w:vAlign w:val="center"/>
          </w:tcPr>
          <w:p w14:paraId="4DC844B3">
            <w:pPr>
              <w:tabs>
                <w:tab w:val="left" w:pos="1140"/>
              </w:tabs>
              <w:jc w:val="center"/>
              <w:rPr>
                <w:rFonts w:ascii="宋体" w:hAnsi="宋体"/>
                <w:color w:val="auto"/>
                <w:szCs w:val="21"/>
                <w:highlight w:val="none"/>
              </w:rPr>
            </w:pPr>
          </w:p>
        </w:tc>
        <w:tc>
          <w:tcPr>
            <w:tcW w:w="1032" w:type="dxa"/>
            <w:vAlign w:val="center"/>
          </w:tcPr>
          <w:p w14:paraId="3306FA04">
            <w:pPr>
              <w:tabs>
                <w:tab w:val="left" w:pos="1140"/>
              </w:tabs>
              <w:jc w:val="center"/>
              <w:rPr>
                <w:rFonts w:ascii="宋体" w:hAnsi="宋体"/>
                <w:color w:val="auto"/>
                <w:szCs w:val="21"/>
                <w:highlight w:val="none"/>
              </w:rPr>
            </w:pPr>
          </w:p>
        </w:tc>
        <w:tc>
          <w:tcPr>
            <w:tcW w:w="1308" w:type="dxa"/>
            <w:vAlign w:val="center"/>
          </w:tcPr>
          <w:p w14:paraId="7F3F7E95">
            <w:pPr>
              <w:tabs>
                <w:tab w:val="left" w:pos="1140"/>
              </w:tabs>
              <w:jc w:val="center"/>
              <w:rPr>
                <w:rFonts w:ascii="宋体" w:hAnsi="宋体"/>
                <w:color w:val="auto"/>
                <w:szCs w:val="21"/>
                <w:highlight w:val="none"/>
              </w:rPr>
            </w:pPr>
          </w:p>
        </w:tc>
        <w:tc>
          <w:tcPr>
            <w:tcW w:w="900" w:type="dxa"/>
            <w:vAlign w:val="center"/>
          </w:tcPr>
          <w:p w14:paraId="0CE8CF40">
            <w:pPr>
              <w:tabs>
                <w:tab w:val="left" w:pos="1140"/>
              </w:tabs>
              <w:jc w:val="center"/>
              <w:rPr>
                <w:rFonts w:ascii="宋体" w:hAnsi="宋体"/>
                <w:color w:val="auto"/>
                <w:szCs w:val="21"/>
                <w:highlight w:val="none"/>
              </w:rPr>
            </w:pPr>
          </w:p>
        </w:tc>
        <w:tc>
          <w:tcPr>
            <w:tcW w:w="900" w:type="dxa"/>
            <w:vAlign w:val="center"/>
          </w:tcPr>
          <w:p w14:paraId="71793E92">
            <w:pPr>
              <w:tabs>
                <w:tab w:val="left" w:pos="1140"/>
              </w:tabs>
              <w:jc w:val="center"/>
              <w:rPr>
                <w:rFonts w:ascii="宋体" w:hAnsi="宋体"/>
                <w:color w:val="auto"/>
                <w:szCs w:val="21"/>
                <w:highlight w:val="none"/>
              </w:rPr>
            </w:pPr>
          </w:p>
        </w:tc>
        <w:tc>
          <w:tcPr>
            <w:tcW w:w="953" w:type="dxa"/>
            <w:vAlign w:val="center"/>
          </w:tcPr>
          <w:p w14:paraId="3FA01799">
            <w:pPr>
              <w:tabs>
                <w:tab w:val="left" w:pos="1140"/>
              </w:tabs>
              <w:jc w:val="center"/>
              <w:rPr>
                <w:rFonts w:ascii="宋体" w:hAnsi="宋体"/>
                <w:color w:val="auto"/>
                <w:szCs w:val="21"/>
                <w:highlight w:val="none"/>
              </w:rPr>
            </w:pPr>
          </w:p>
        </w:tc>
        <w:tc>
          <w:tcPr>
            <w:tcW w:w="953" w:type="dxa"/>
            <w:vAlign w:val="center"/>
          </w:tcPr>
          <w:p w14:paraId="5537F666">
            <w:pPr>
              <w:tabs>
                <w:tab w:val="left" w:pos="1140"/>
              </w:tabs>
              <w:jc w:val="center"/>
              <w:rPr>
                <w:rFonts w:ascii="宋体" w:hAnsi="宋体"/>
                <w:color w:val="auto"/>
                <w:szCs w:val="21"/>
                <w:highlight w:val="none"/>
              </w:rPr>
            </w:pPr>
          </w:p>
        </w:tc>
      </w:tr>
      <w:tr w14:paraId="302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vAlign w:val="center"/>
          </w:tcPr>
          <w:p w14:paraId="3EA43904">
            <w:pPr>
              <w:tabs>
                <w:tab w:val="left" w:pos="1140"/>
              </w:tabs>
              <w:jc w:val="center"/>
              <w:rPr>
                <w:rFonts w:ascii="宋体" w:hAnsi="宋体"/>
                <w:color w:val="auto"/>
                <w:szCs w:val="21"/>
                <w:highlight w:val="none"/>
              </w:rPr>
            </w:pPr>
          </w:p>
        </w:tc>
        <w:tc>
          <w:tcPr>
            <w:tcW w:w="888" w:type="dxa"/>
            <w:vAlign w:val="center"/>
          </w:tcPr>
          <w:p w14:paraId="3A73DD2D">
            <w:pPr>
              <w:tabs>
                <w:tab w:val="left" w:pos="1140"/>
              </w:tabs>
              <w:spacing w:before="100" w:after="100"/>
              <w:jc w:val="center"/>
              <w:rPr>
                <w:rFonts w:ascii="宋体" w:hAnsi="宋体"/>
                <w:color w:val="auto"/>
                <w:szCs w:val="21"/>
                <w:highlight w:val="none"/>
              </w:rPr>
            </w:pPr>
          </w:p>
        </w:tc>
        <w:tc>
          <w:tcPr>
            <w:tcW w:w="789" w:type="dxa"/>
            <w:vAlign w:val="center"/>
          </w:tcPr>
          <w:p w14:paraId="174C2F23">
            <w:pPr>
              <w:tabs>
                <w:tab w:val="left" w:pos="1140"/>
              </w:tabs>
              <w:jc w:val="center"/>
              <w:rPr>
                <w:rFonts w:ascii="宋体" w:hAnsi="宋体"/>
                <w:color w:val="auto"/>
                <w:szCs w:val="21"/>
                <w:highlight w:val="none"/>
              </w:rPr>
            </w:pPr>
          </w:p>
        </w:tc>
        <w:tc>
          <w:tcPr>
            <w:tcW w:w="1224" w:type="dxa"/>
            <w:vAlign w:val="center"/>
          </w:tcPr>
          <w:p w14:paraId="2E832824">
            <w:pPr>
              <w:tabs>
                <w:tab w:val="left" w:pos="1140"/>
              </w:tabs>
              <w:jc w:val="center"/>
              <w:rPr>
                <w:rFonts w:ascii="宋体" w:hAnsi="宋体"/>
                <w:color w:val="auto"/>
                <w:szCs w:val="21"/>
                <w:highlight w:val="none"/>
              </w:rPr>
            </w:pPr>
          </w:p>
        </w:tc>
        <w:tc>
          <w:tcPr>
            <w:tcW w:w="1032" w:type="dxa"/>
            <w:vAlign w:val="center"/>
          </w:tcPr>
          <w:p w14:paraId="6D9B06EE">
            <w:pPr>
              <w:tabs>
                <w:tab w:val="left" w:pos="1140"/>
              </w:tabs>
              <w:jc w:val="center"/>
              <w:rPr>
                <w:rFonts w:ascii="宋体" w:hAnsi="宋体"/>
                <w:color w:val="auto"/>
                <w:szCs w:val="21"/>
                <w:highlight w:val="none"/>
              </w:rPr>
            </w:pPr>
          </w:p>
        </w:tc>
        <w:tc>
          <w:tcPr>
            <w:tcW w:w="1308" w:type="dxa"/>
            <w:vAlign w:val="center"/>
          </w:tcPr>
          <w:p w14:paraId="2D75FA03">
            <w:pPr>
              <w:tabs>
                <w:tab w:val="left" w:pos="1140"/>
              </w:tabs>
              <w:jc w:val="center"/>
              <w:rPr>
                <w:rFonts w:ascii="宋体" w:hAnsi="宋体"/>
                <w:color w:val="auto"/>
                <w:szCs w:val="21"/>
                <w:highlight w:val="none"/>
              </w:rPr>
            </w:pPr>
          </w:p>
        </w:tc>
        <w:tc>
          <w:tcPr>
            <w:tcW w:w="900" w:type="dxa"/>
            <w:vAlign w:val="center"/>
          </w:tcPr>
          <w:p w14:paraId="37CA4B2F">
            <w:pPr>
              <w:tabs>
                <w:tab w:val="left" w:pos="1140"/>
              </w:tabs>
              <w:jc w:val="center"/>
              <w:rPr>
                <w:rFonts w:ascii="宋体" w:hAnsi="宋体"/>
                <w:color w:val="auto"/>
                <w:szCs w:val="21"/>
                <w:highlight w:val="none"/>
              </w:rPr>
            </w:pPr>
          </w:p>
        </w:tc>
        <w:tc>
          <w:tcPr>
            <w:tcW w:w="900" w:type="dxa"/>
            <w:vAlign w:val="center"/>
          </w:tcPr>
          <w:p w14:paraId="5743AC59">
            <w:pPr>
              <w:tabs>
                <w:tab w:val="left" w:pos="1140"/>
              </w:tabs>
              <w:jc w:val="center"/>
              <w:rPr>
                <w:rFonts w:ascii="宋体" w:hAnsi="宋体"/>
                <w:color w:val="auto"/>
                <w:szCs w:val="21"/>
                <w:highlight w:val="none"/>
              </w:rPr>
            </w:pPr>
          </w:p>
        </w:tc>
        <w:tc>
          <w:tcPr>
            <w:tcW w:w="953" w:type="dxa"/>
            <w:vAlign w:val="center"/>
          </w:tcPr>
          <w:p w14:paraId="077175B0">
            <w:pPr>
              <w:tabs>
                <w:tab w:val="left" w:pos="1140"/>
              </w:tabs>
              <w:jc w:val="center"/>
              <w:rPr>
                <w:rFonts w:ascii="宋体" w:hAnsi="宋体"/>
                <w:color w:val="auto"/>
                <w:szCs w:val="21"/>
                <w:highlight w:val="none"/>
              </w:rPr>
            </w:pPr>
          </w:p>
        </w:tc>
        <w:tc>
          <w:tcPr>
            <w:tcW w:w="953" w:type="dxa"/>
            <w:vAlign w:val="center"/>
          </w:tcPr>
          <w:p w14:paraId="49E46698">
            <w:pPr>
              <w:tabs>
                <w:tab w:val="left" w:pos="1140"/>
              </w:tabs>
              <w:jc w:val="center"/>
              <w:rPr>
                <w:rFonts w:ascii="宋体" w:hAnsi="宋体"/>
                <w:color w:val="auto"/>
                <w:szCs w:val="21"/>
                <w:highlight w:val="none"/>
              </w:rPr>
            </w:pPr>
          </w:p>
        </w:tc>
      </w:tr>
      <w:tr w14:paraId="2953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vAlign w:val="center"/>
          </w:tcPr>
          <w:p w14:paraId="613524BC">
            <w:pPr>
              <w:tabs>
                <w:tab w:val="left" w:pos="1140"/>
              </w:tabs>
              <w:jc w:val="center"/>
              <w:rPr>
                <w:rFonts w:ascii="宋体" w:hAnsi="宋体"/>
                <w:color w:val="auto"/>
                <w:szCs w:val="21"/>
                <w:highlight w:val="none"/>
              </w:rPr>
            </w:pPr>
          </w:p>
        </w:tc>
        <w:tc>
          <w:tcPr>
            <w:tcW w:w="888" w:type="dxa"/>
            <w:vAlign w:val="center"/>
          </w:tcPr>
          <w:p w14:paraId="13087701">
            <w:pPr>
              <w:spacing w:line="400" w:lineRule="exact"/>
              <w:jc w:val="center"/>
              <w:rPr>
                <w:rFonts w:ascii="宋体" w:hAnsi="宋体"/>
                <w:color w:val="auto"/>
                <w:sz w:val="24"/>
                <w:highlight w:val="none"/>
              </w:rPr>
            </w:pPr>
          </w:p>
        </w:tc>
        <w:tc>
          <w:tcPr>
            <w:tcW w:w="789" w:type="dxa"/>
            <w:vAlign w:val="center"/>
          </w:tcPr>
          <w:p w14:paraId="007B86BB">
            <w:pPr>
              <w:spacing w:line="400" w:lineRule="exact"/>
              <w:jc w:val="center"/>
              <w:rPr>
                <w:rFonts w:ascii="Arial" w:hAnsi="Arial" w:cs="Arial"/>
                <w:color w:val="auto"/>
                <w:sz w:val="25"/>
                <w:szCs w:val="25"/>
                <w:highlight w:val="none"/>
              </w:rPr>
            </w:pPr>
          </w:p>
        </w:tc>
        <w:tc>
          <w:tcPr>
            <w:tcW w:w="1224" w:type="dxa"/>
            <w:vAlign w:val="center"/>
          </w:tcPr>
          <w:p w14:paraId="66ECA97D">
            <w:pPr>
              <w:spacing w:line="400" w:lineRule="exact"/>
              <w:jc w:val="center"/>
              <w:rPr>
                <w:rFonts w:ascii="Arial" w:hAnsi="Arial" w:cs="Arial"/>
                <w:color w:val="auto"/>
                <w:sz w:val="25"/>
                <w:szCs w:val="25"/>
                <w:highlight w:val="none"/>
              </w:rPr>
            </w:pPr>
          </w:p>
        </w:tc>
        <w:tc>
          <w:tcPr>
            <w:tcW w:w="1032" w:type="dxa"/>
            <w:vAlign w:val="center"/>
          </w:tcPr>
          <w:p w14:paraId="2E28279D">
            <w:pPr>
              <w:spacing w:line="400" w:lineRule="exact"/>
              <w:jc w:val="center"/>
              <w:rPr>
                <w:rFonts w:ascii="宋体" w:hAnsi="宋体"/>
                <w:color w:val="auto"/>
                <w:sz w:val="24"/>
                <w:highlight w:val="none"/>
              </w:rPr>
            </w:pPr>
          </w:p>
        </w:tc>
        <w:tc>
          <w:tcPr>
            <w:tcW w:w="1308" w:type="dxa"/>
            <w:vAlign w:val="center"/>
          </w:tcPr>
          <w:p w14:paraId="456CFED1">
            <w:pPr>
              <w:spacing w:line="400" w:lineRule="exact"/>
              <w:jc w:val="center"/>
              <w:rPr>
                <w:rFonts w:ascii="宋体" w:hAnsi="宋体"/>
                <w:color w:val="auto"/>
                <w:sz w:val="24"/>
                <w:highlight w:val="none"/>
              </w:rPr>
            </w:pPr>
          </w:p>
        </w:tc>
        <w:tc>
          <w:tcPr>
            <w:tcW w:w="900" w:type="dxa"/>
            <w:vAlign w:val="center"/>
          </w:tcPr>
          <w:p w14:paraId="16B920DC">
            <w:pPr>
              <w:spacing w:line="400" w:lineRule="exact"/>
              <w:jc w:val="center"/>
              <w:rPr>
                <w:rFonts w:ascii="宋体" w:hAnsi="宋体"/>
                <w:color w:val="auto"/>
                <w:sz w:val="24"/>
                <w:highlight w:val="none"/>
              </w:rPr>
            </w:pPr>
          </w:p>
        </w:tc>
        <w:tc>
          <w:tcPr>
            <w:tcW w:w="900" w:type="dxa"/>
            <w:vAlign w:val="center"/>
          </w:tcPr>
          <w:p w14:paraId="274B80A1">
            <w:pPr>
              <w:spacing w:line="400" w:lineRule="exact"/>
              <w:jc w:val="center"/>
              <w:rPr>
                <w:rFonts w:ascii="宋体" w:hAnsi="宋体"/>
                <w:color w:val="auto"/>
                <w:sz w:val="24"/>
                <w:highlight w:val="none"/>
              </w:rPr>
            </w:pPr>
          </w:p>
        </w:tc>
        <w:tc>
          <w:tcPr>
            <w:tcW w:w="953" w:type="dxa"/>
            <w:vAlign w:val="center"/>
          </w:tcPr>
          <w:p w14:paraId="37D83DBB">
            <w:pPr>
              <w:spacing w:line="400" w:lineRule="exact"/>
              <w:jc w:val="center"/>
              <w:rPr>
                <w:rFonts w:ascii="宋体" w:hAnsi="宋体"/>
                <w:color w:val="auto"/>
                <w:sz w:val="24"/>
                <w:highlight w:val="none"/>
              </w:rPr>
            </w:pPr>
          </w:p>
        </w:tc>
        <w:tc>
          <w:tcPr>
            <w:tcW w:w="953" w:type="dxa"/>
            <w:vAlign w:val="center"/>
          </w:tcPr>
          <w:p w14:paraId="26AC252E">
            <w:pPr>
              <w:spacing w:line="400" w:lineRule="exact"/>
              <w:jc w:val="center"/>
              <w:rPr>
                <w:rFonts w:ascii="宋体" w:hAnsi="宋体"/>
                <w:color w:val="auto"/>
                <w:sz w:val="24"/>
                <w:highlight w:val="none"/>
              </w:rPr>
            </w:pPr>
          </w:p>
        </w:tc>
      </w:tr>
      <w:tr w14:paraId="5E0C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vAlign w:val="center"/>
          </w:tcPr>
          <w:p w14:paraId="4EBB827E">
            <w:pPr>
              <w:tabs>
                <w:tab w:val="left" w:pos="1140"/>
              </w:tabs>
              <w:jc w:val="center"/>
              <w:rPr>
                <w:rFonts w:ascii="宋体" w:hAnsi="宋体"/>
                <w:color w:val="auto"/>
                <w:szCs w:val="21"/>
                <w:highlight w:val="none"/>
              </w:rPr>
            </w:pPr>
          </w:p>
        </w:tc>
        <w:tc>
          <w:tcPr>
            <w:tcW w:w="888" w:type="dxa"/>
            <w:vAlign w:val="center"/>
          </w:tcPr>
          <w:p w14:paraId="6B2C129B">
            <w:pPr>
              <w:spacing w:line="400" w:lineRule="exact"/>
              <w:jc w:val="center"/>
              <w:rPr>
                <w:rFonts w:ascii="宋体" w:hAnsi="宋体"/>
                <w:color w:val="auto"/>
                <w:sz w:val="24"/>
                <w:highlight w:val="none"/>
              </w:rPr>
            </w:pPr>
          </w:p>
        </w:tc>
        <w:tc>
          <w:tcPr>
            <w:tcW w:w="789" w:type="dxa"/>
            <w:vAlign w:val="center"/>
          </w:tcPr>
          <w:p w14:paraId="61600DE8">
            <w:pPr>
              <w:spacing w:line="400" w:lineRule="exact"/>
              <w:jc w:val="center"/>
              <w:rPr>
                <w:rFonts w:ascii="宋体" w:hAnsi="宋体"/>
                <w:color w:val="auto"/>
                <w:highlight w:val="none"/>
              </w:rPr>
            </w:pPr>
          </w:p>
        </w:tc>
        <w:tc>
          <w:tcPr>
            <w:tcW w:w="1224" w:type="dxa"/>
            <w:vAlign w:val="center"/>
          </w:tcPr>
          <w:p w14:paraId="649A30BC">
            <w:pPr>
              <w:spacing w:line="400" w:lineRule="exact"/>
              <w:jc w:val="center"/>
              <w:rPr>
                <w:rFonts w:ascii="宋体" w:hAnsi="宋体"/>
                <w:color w:val="auto"/>
                <w:highlight w:val="none"/>
              </w:rPr>
            </w:pPr>
          </w:p>
        </w:tc>
        <w:tc>
          <w:tcPr>
            <w:tcW w:w="1032" w:type="dxa"/>
            <w:vAlign w:val="center"/>
          </w:tcPr>
          <w:p w14:paraId="26B7878F">
            <w:pPr>
              <w:spacing w:before="100" w:after="100" w:line="360" w:lineRule="exact"/>
              <w:jc w:val="center"/>
              <w:rPr>
                <w:rFonts w:ascii="宋体" w:hAnsi="宋体"/>
                <w:color w:val="auto"/>
                <w:highlight w:val="none"/>
              </w:rPr>
            </w:pPr>
          </w:p>
        </w:tc>
        <w:tc>
          <w:tcPr>
            <w:tcW w:w="1308" w:type="dxa"/>
            <w:vAlign w:val="center"/>
          </w:tcPr>
          <w:p w14:paraId="5FEC0FEC">
            <w:pPr>
              <w:spacing w:before="100" w:after="100" w:line="360" w:lineRule="exact"/>
              <w:jc w:val="center"/>
              <w:rPr>
                <w:rFonts w:ascii="宋体" w:hAnsi="宋体"/>
                <w:color w:val="auto"/>
                <w:highlight w:val="none"/>
              </w:rPr>
            </w:pPr>
          </w:p>
        </w:tc>
        <w:tc>
          <w:tcPr>
            <w:tcW w:w="900" w:type="dxa"/>
            <w:vAlign w:val="center"/>
          </w:tcPr>
          <w:p w14:paraId="07236E43">
            <w:pPr>
              <w:spacing w:before="100" w:after="100" w:line="360" w:lineRule="exact"/>
              <w:jc w:val="center"/>
              <w:rPr>
                <w:rFonts w:ascii="宋体" w:hAnsi="宋体"/>
                <w:color w:val="auto"/>
                <w:highlight w:val="none"/>
              </w:rPr>
            </w:pPr>
          </w:p>
        </w:tc>
        <w:tc>
          <w:tcPr>
            <w:tcW w:w="900" w:type="dxa"/>
            <w:vAlign w:val="center"/>
          </w:tcPr>
          <w:p w14:paraId="703C2664">
            <w:pPr>
              <w:spacing w:before="100" w:after="100" w:line="360" w:lineRule="exact"/>
              <w:jc w:val="center"/>
              <w:rPr>
                <w:rFonts w:ascii="宋体" w:hAnsi="宋体"/>
                <w:color w:val="auto"/>
                <w:highlight w:val="none"/>
              </w:rPr>
            </w:pPr>
          </w:p>
        </w:tc>
        <w:tc>
          <w:tcPr>
            <w:tcW w:w="953" w:type="dxa"/>
            <w:vAlign w:val="center"/>
          </w:tcPr>
          <w:p w14:paraId="7FF57A75">
            <w:pPr>
              <w:spacing w:before="100" w:after="100" w:line="360" w:lineRule="exact"/>
              <w:jc w:val="center"/>
              <w:rPr>
                <w:rFonts w:ascii="宋体" w:hAnsi="宋体"/>
                <w:color w:val="auto"/>
                <w:highlight w:val="none"/>
              </w:rPr>
            </w:pPr>
          </w:p>
        </w:tc>
        <w:tc>
          <w:tcPr>
            <w:tcW w:w="953" w:type="dxa"/>
            <w:vAlign w:val="center"/>
          </w:tcPr>
          <w:p w14:paraId="38A8B819">
            <w:pPr>
              <w:spacing w:before="100" w:after="100" w:line="360" w:lineRule="exact"/>
              <w:jc w:val="center"/>
              <w:rPr>
                <w:rFonts w:ascii="宋体" w:hAnsi="宋体"/>
                <w:color w:val="auto"/>
                <w:highlight w:val="none"/>
              </w:rPr>
            </w:pPr>
          </w:p>
        </w:tc>
      </w:tr>
      <w:tr w14:paraId="4AD0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vAlign w:val="center"/>
          </w:tcPr>
          <w:p w14:paraId="2C85AA1D">
            <w:pPr>
              <w:tabs>
                <w:tab w:val="left" w:pos="1140"/>
              </w:tabs>
              <w:jc w:val="center"/>
              <w:rPr>
                <w:color w:val="auto"/>
                <w:szCs w:val="21"/>
                <w:highlight w:val="none"/>
              </w:rPr>
            </w:pPr>
          </w:p>
        </w:tc>
        <w:tc>
          <w:tcPr>
            <w:tcW w:w="888" w:type="dxa"/>
            <w:vAlign w:val="center"/>
          </w:tcPr>
          <w:p w14:paraId="70C4B38C">
            <w:pPr>
              <w:spacing w:line="400" w:lineRule="exact"/>
              <w:jc w:val="center"/>
              <w:rPr>
                <w:rFonts w:ascii="宋体" w:hAnsi="宋体"/>
                <w:color w:val="auto"/>
                <w:highlight w:val="none"/>
              </w:rPr>
            </w:pPr>
          </w:p>
        </w:tc>
        <w:tc>
          <w:tcPr>
            <w:tcW w:w="789" w:type="dxa"/>
            <w:vAlign w:val="center"/>
          </w:tcPr>
          <w:p w14:paraId="1BC5D90F">
            <w:pPr>
              <w:spacing w:line="400" w:lineRule="exact"/>
              <w:jc w:val="center"/>
              <w:rPr>
                <w:rFonts w:ascii="宋体" w:hAnsi="宋体"/>
                <w:color w:val="auto"/>
                <w:highlight w:val="none"/>
              </w:rPr>
            </w:pPr>
          </w:p>
        </w:tc>
        <w:tc>
          <w:tcPr>
            <w:tcW w:w="1224" w:type="dxa"/>
            <w:vAlign w:val="center"/>
          </w:tcPr>
          <w:p w14:paraId="732E8CE0">
            <w:pPr>
              <w:spacing w:line="400" w:lineRule="exact"/>
              <w:jc w:val="center"/>
              <w:rPr>
                <w:rFonts w:ascii="宋体" w:hAnsi="宋体"/>
                <w:color w:val="auto"/>
                <w:highlight w:val="none"/>
              </w:rPr>
            </w:pPr>
          </w:p>
        </w:tc>
        <w:tc>
          <w:tcPr>
            <w:tcW w:w="1032" w:type="dxa"/>
            <w:vAlign w:val="center"/>
          </w:tcPr>
          <w:p w14:paraId="5A1A8BE7">
            <w:pPr>
              <w:spacing w:line="400" w:lineRule="exact"/>
              <w:jc w:val="center"/>
              <w:rPr>
                <w:rFonts w:ascii="宋体" w:hAnsi="宋体"/>
                <w:color w:val="auto"/>
                <w:highlight w:val="none"/>
              </w:rPr>
            </w:pPr>
          </w:p>
        </w:tc>
        <w:tc>
          <w:tcPr>
            <w:tcW w:w="1308" w:type="dxa"/>
            <w:vAlign w:val="center"/>
          </w:tcPr>
          <w:p w14:paraId="5760A2A7">
            <w:pPr>
              <w:spacing w:line="400" w:lineRule="exact"/>
              <w:jc w:val="center"/>
              <w:rPr>
                <w:rFonts w:ascii="宋体" w:hAnsi="宋体"/>
                <w:color w:val="auto"/>
                <w:highlight w:val="none"/>
              </w:rPr>
            </w:pPr>
          </w:p>
        </w:tc>
        <w:tc>
          <w:tcPr>
            <w:tcW w:w="900" w:type="dxa"/>
            <w:vAlign w:val="center"/>
          </w:tcPr>
          <w:p w14:paraId="3D4E9C11">
            <w:pPr>
              <w:spacing w:line="400" w:lineRule="exact"/>
              <w:jc w:val="center"/>
              <w:rPr>
                <w:rFonts w:ascii="宋体" w:hAnsi="宋体"/>
                <w:color w:val="auto"/>
                <w:highlight w:val="none"/>
              </w:rPr>
            </w:pPr>
          </w:p>
        </w:tc>
        <w:tc>
          <w:tcPr>
            <w:tcW w:w="900" w:type="dxa"/>
            <w:vAlign w:val="center"/>
          </w:tcPr>
          <w:p w14:paraId="6A0E99AF">
            <w:pPr>
              <w:spacing w:line="400" w:lineRule="exact"/>
              <w:jc w:val="center"/>
              <w:rPr>
                <w:rFonts w:ascii="宋体" w:hAnsi="宋体"/>
                <w:color w:val="auto"/>
                <w:highlight w:val="none"/>
              </w:rPr>
            </w:pPr>
          </w:p>
        </w:tc>
        <w:tc>
          <w:tcPr>
            <w:tcW w:w="953" w:type="dxa"/>
            <w:vAlign w:val="center"/>
          </w:tcPr>
          <w:p w14:paraId="39178129">
            <w:pPr>
              <w:spacing w:line="400" w:lineRule="exact"/>
              <w:jc w:val="center"/>
              <w:rPr>
                <w:rFonts w:ascii="宋体" w:hAnsi="宋体"/>
                <w:color w:val="auto"/>
                <w:highlight w:val="none"/>
              </w:rPr>
            </w:pPr>
          </w:p>
        </w:tc>
        <w:tc>
          <w:tcPr>
            <w:tcW w:w="953" w:type="dxa"/>
            <w:vAlign w:val="center"/>
          </w:tcPr>
          <w:p w14:paraId="675570AA">
            <w:pPr>
              <w:spacing w:line="400" w:lineRule="exact"/>
              <w:jc w:val="center"/>
              <w:rPr>
                <w:rFonts w:ascii="宋体" w:hAnsi="宋体"/>
                <w:color w:val="auto"/>
                <w:highlight w:val="none"/>
              </w:rPr>
            </w:pPr>
          </w:p>
        </w:tc>
      </w:tr>
      <w:tr w14:paraId="778F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vAlign w:val="center"/>
          </w:tcPr>
          <w:p w14:paraId="33777574">
            <w:pPr>
              <w:tabs>
                <w:tab w:val="left" w:pos="1140"/>
              </w:tabs>
              <w:jc w:val="center"/>
              <w:rPr>
                <w:rFonts w:ascii="宋体" w:hAnsi="宋体"/>
                <w:color w:val="auto"/>
                <w:szCs w:val="21"/>
                <w:highlight w:val="none"/>
              </w:rPr>
            </w:pPr>
          </w:p>
        </w:tc>
        <w:tc>
          <w:tcPr>
            <w:tcW w:w="888" w:type="dxa"/>
            <w:vAlign w:val="center"/>
          </w:tcPr>
          <w:p w14:paraId="7CC0C255">
            <w:pPr>
              <w:spacing w:before="100" w:after="100" w:line="360" w:lineRule="exact"/>
              <w:jc w:val="center"/>
              <w:rPr>
                <w:rFonts w:ascii="宋体" w:hAnsi="宋体"/>
                <w:color w:val="auto"/>
                <w:highlight w:val="none"/>
              </w:rPr>
            </w:pPr>
          </w:p>
        </w:tc>
        <w:tc>
          <w:tcPr>
            <w:tcW w:w="789" w:type="dxa"/>
            <w:vAlign w:val="center"/>
          </w:tcPr>
          <w:p w14:paraId="620199D8">
            <w:pPr>
              <w:spacing w:line="400" w:lineRule="exact"/>
              <w:jc w:val="center"/>
              <w:rPr>
                <w:rFonts w:ascii="宋体" w:hAnsi="宋体"/>
                <w:color w:val="auto"/>
                <w:highlight w:val="none"/>
              </w:rPr>
            </w:pPr>
          </w:p>
        </w:tc>
        <w:tc>
          <w:tcPr>
            <w:tcW w:w="1224" w:type="dxa"/>
            <w:vAlign w:val="center"/>
          </w:tcPr>
          <w:p w14:paraId="610F7B2B">
            <w:pPr>
              <w:spacing w:line="400" w:lineRule="exact"/>
              <w:jc w:val="center"/>
              <w:rPr>
                <w:rFonts w:ascii="宋体" w:hAnsi="宋体"/>
                <w:color w:val="auto"/>
                <w:highlight w:val="none"/>
              </w:rPr>
            </w:pPr>
          </w:p>
        </w:tc>
        <w:tc>
          <w:tcPr>
            <w:tcW w:w="1032" w:type="dxa"/>
            <w:vAlign w:val="center"/>
          </w:tcPr>
          <w:p w14:paraId="27FCE3B4">
            <w:pPr>
              <w:spacing w:line="400" w:lineRule="exact"/>
              <w:jc w:val="center"/>
              <w:rPr>
                <w:rFonts w:ascii="宋体" w:hAnsi="宋体"/>
                <w:color w:val="auto"/>
                <w:highlight w:val="none"/>
              </w:rPr>
            </w:pPr>
          </w:p>
        </w:tc>
        <w:tc>
          <w:tcPr>
            <w:tcW w:w="1308" w:type="dxa"/>
            <w:vAlign w:val="center"/>
          </w:tcPr>
          <w:p w14:paraId="50C247C1">
            <w:pPr>
              <w:spacing w:line="400" w:lineRule="exact"/>
              <w:jc w:val="center"/>
              <w:rPr>
                <w:rFonts w:ascii="宋体" w:hAnsi="宋体"/>
                <w:color w:val="auto"/>
                <w:highlight w:val="none"/>
              </w:rPr>
            </w:pPr>
          </w:p>
        </w:tc>
        <w:tc>
          <w:tcPr>
            <w:tcW w:w="900" w:type="dxa"/>
            <w:vAlign w:val="center"/>
          </w:tcPr>
          <w:p w14:paraId="60A25D63">
            <w:pPr>
              <w:spacing w:line="400" w:lineRule="exact"/>
              <w:jc w:val="center"/>
              <w:rPr>
                <w:rFonts w:ascii="宋体" w:hAnsi="宋体"/>
                <w:color w:val="auto"/>
                <w:highlight w:val="none"/>
              </w:rPr>
            </w:pPr>
          </w:p>
        </w:tc>
        <w:tc>
          <w:tcPr>
            <w:tcW w:w="900" w:type="dxa"/>
            <w:vAlign w:val="center"/>
          </w:tcPr>
          <w:p w14:paraId="2A3D7287">
            <w:pPr>
              <w:spacing w:line="400" w:lineRule="exact"/>
              <w:jc w:val="center"/>
              <w:rPr>
                <w:rFonts w:ascii="宋体" w:hAnsi="宋体"/>
                <w:color w:val="auto"/>
                <w:highlight w:val="none"/>
              </w:rPr>
            </w:pPr>
          </w:p>
        </w:tc>
        <w:tc>
          <w:tcPr>
            <w:tcW w:w="953" w:type="dxa"/>
            <w:vAlign w:val="center"/>
          </w:tcPr>
          <w:p w14:paraId="25C7072C">
            <w:pPr>
              <w:spacing w:line="400" w:lineRule="exact"/>
              <w:jc w:val="center"/>
              <w:rPr>
                <w:rFonts w:ascii="宋体" w:hAnsi="宋体"/>
                <w:color w:val="auto"/>
                <w:highlight w:val="none"/>
              </w:rPr>
            </w:pPr>
          </w:p>
        </w:tc>
        <w:tc>
          <w:tcPr>
            <w:tcW w:w="953" w:type="dxa"/>
            <w:vAlign w:val="center"/>
          </w:tcPr>
          <w:p w14:paraId="44864DDB">
            <w:pPr>
              <w:spacing w:line="400" w:lineRule="exact"/>
              <w:jc w:val="center"/>
              <w:rPr>
                <w:rFonts w:ascii="宋体" w:hAnsi="宋体"/>
                <w:color w:val="auto"/>
                <w:highlight w:val="none"/>
              </w:rPr>
            </w:pPr>
          </w:p>
        </w:tc>
      </w:tr>
    </w:tbl>
    <w:p w14:paraId="63924C09">
      <w:pPr>
        <w:tabs>
          <w:tab w:val="left" w:pos="1140"/>
        </w:tabs>
        <w:spacing w:line="360" w:lineRule="auto"/>
        <w:ind w:firstLine="426"/>
        <w:rPr>
          <w:rFonts w:ascii="宋体" w:hAnsi="宋体" w:cs="宋体"/>
          <w:b/>
          <w:color w:val="auto"/>
          <w:kern w:val="1"/>
          <w:szCs w:val="21"/>
          <w:highlight w:val="none"/>
        </w:rPr>
      </w:pPr>
    </w:p>
    <w:p w14:paraId="4042E063">
      <w:pPr>
        <w:numPr>
          <w:ilvl w:val="0"/>
          <w:numId w:val="0"/>
        </w:numPr>
        <w:adjustRightIn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1.4</w:t>
      </w:r>
      <w:r>
        <w:rPr>
          <w:rFonts w:hint="eastAsia" w:ascii="宋体" w:hAnsi="宋体" w:eastAsia="宋体" w:cs="宋体"/>
          <w:color w:val="auto"/>
          <w:kern w:val="2"/>
          <w:sz w:val="21"/>
          <w:szCs w:val="21"/>
          <w:highlight w:val="none"/>
        </w:rPr>
        <w:t>否决其投标</w:t>
      </w:r>
      <w:r>
        <w:rPr>
          <w:rFonts w:hint="eastAsia" w:ascii="宋体" w:hAnsi="宋体" w:eastAsia="宋体" w:cs="宋体"/>
          <w:color w:val="auto"/>
          <w:kern w:val="2"/>
          <w:sz w:val="21"/>
          <w:szCs w:val="21"/>
          <w:highlight w:val="none"/>
          <w:lang w:val="en-US" w:eastAsia="zh-CN"/>
        </w:rPr>
        <w:t>以及</w:t>
      </w:r>
      <w:r>
        <w:rPr>
          <w:rFonts w:hint="eastAsia" w:ascii="宋体" w:hAnsi="宋体" w:eastAsia="宋体" w:cs="宋体"/>
          <w:color w:val="auto"/>
          <w:kern w:val="2"/>
          <w:sz w:val="21"/>
          <w:szCs w:val="21"/>
          <w:highlight w:val="none"/>
          <w:lang w:val="en-US" w:eastAsia="zh-CN" w:bidi="ar-SA"/>
        </w:rPr>
        <w:t>未被推荐为定标候选人的</w:t>
      </w:r>
      <w:r>
        <w:rPr>
          <w:rFonts w:hint="eastAsia" w:ascii="宋体" w:hAnsi="宋体" w:eastAsia="宋体" w:cs="宋体"/>
          <w:color w:val="auto"/>
          <w:kern w:val="2"/>
          <w:sz w:val="21"/>
          <w:szCs w:val="21"/>
          <w:highlight w:val="none"/>
        </w:rPr>
        <w:t>投标人及原因：</w:t>
      </w:r>
    </w:p>
    <w:tbl>
      <w:tblPr>
        <w:tblStyle w:val="42"/>
        <w:tblW w:w="9078" w:type="dxa"/>
        <w:tblInd w:w="108" w:type="dxa"/>
        <w:tblLayout w:type="fixed"/>
        <w:tblCellMar>
          <w:top w:w="0" w:type="dxa"/>
          <w:left w:w="108" w:type="dxa"/>
          <w:bottom w:w="0" w:type="dxa"/>
          <w:right w:w="108" w:type="dxa"/>
        </w:tblCellMar>
      </w:tblPr>
      <w:tblGrid>
        <w:gridCol w:w="885"/>
        <w:gridCol w:w="2718"/>
        <w:gridCol w:w="5475"/>
      </w:tblGrid>
      <w:tr w14:paraId="461489A8">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E07A4E0">
            <w:pPr>
              <w:adjustRightInd w:val="0"/>
              <w:snapToGrid w:val="0"/>
              <w:spacing w:line="240" w:lineRule="atLeast"/>
              <w:jc w:val="center"/>
              <w:textAlignment w:val="auto"/>
              <w:rPr>
                <w:rFonts w:hAnsi="Times New Roman"/>
                <w:color w:val="auto"/>
                <w:kern w:val="2"/>
                <w:sz w:val="21"/>
                <w:szCs w:val="21"/>
                <w:highlight w:val="none"/>
              </w:rPr>
            </w:pPr>
            <w:r>
              <w:rPr>
                <w:rFonts w:hint="eastAsia" w:hAnsi="Times New Roman"/>
                <w:color w:val="auto"/>
                <w:kern w:val="2"/>
                <w:sz w:val="21"/>
                <w:szCs w:val="21"/>
                <w:highlight w:val="none"/>
              </w:rPr>
              <w:t>序号</w:t>
            </w:r>
            <w:r>
              <w:rPr>
                <w:rFonts w:ascii="Times New Roman" w:hAnsi="Times New Roman"/>
                <w:color w:val="auto"/>
                <w:kern w:val="2"/>
                <w:sz w:val="21"/>
                <w:szCs w:val="21"/>
                <w:highlight w:val="none"/>
              </w:rPr>
              <w:t> </w:t>
            </w:r>
          </w:p>
        </w:tc>
        <w:tc>
          <w:tcPr>
            <w:tcW w:w="2718" w:type="dxa"/>
            <w:tcBorders>
              <w:top w:val="single" w:color="auto" w:sz="4" w:space="0"/>
              <w:left w:val="nil"/>
              <w:bottom w:val="single" w:color="auto" w:sz="4" w:space="0"/>
              <w:right w:val="single" w:color="auto" w:sz="4" w:space="0"/>
            </w:tcBorders>
            <w:noWrap w:val="0"/>
            <w:vAlign w:val="center"/>
          </w:tcPr>
          <w:p w14:paraId="5B1142F0">
            <w:pPr>
              <w:adjustRightInd w:val="0"/>
              <w:snapToGrid w:val="0"/>
              <w:spacing w:line="240" w:lineRule="atLeast"/>
              <w:jc w:val="center"/>
              <w:textAlignment w:val="auto"/>
              <w:rPr>
                <w:rFonts w:hAnsi="Times New Roman"/>
                <w:color w:val="auto"/>
                <w:kern w:val="2"/>
                <w:sz w:val="21"/>
                <w:szCs w:val="21"/>
                <w:highlight w:val="none"/>
              </w:rPr>
            </w:pPr>
            <w:r>
              <w:rPr>
                <w:rFonts w:hint="eastAsia" w:hAnsi="Times New Roman"/>
                <w:color w:val="auto"/>
                <w:kern w:val="2"/>
                <w:sz w:val="21"/>
                <w:szCs w:val="21"/>
                <w:highlight w:val="none"/>
              </w:rPr>
              <w:t>投标人名称</w:t>
            </w:r>
          </w:p>
        </w:tc>
        <w:tc>
          <w:tcPr>
            <w:tcW w:w="5475" w:type="dxa"/>
            <w:tcBorders>
              <w:top w:val="single" w:color="auto" w:sz="4" w:space="0"/>
              <w:left w:val="nil"/>
              <w:bottom w:val="single" w:color="auto" w:sz="4" w:space="0"/>
              <w:right w:val="single" w:color="auto" w:sz="4" w:space="0"/>
            </w:tcBorders>
            <w:noWrap w:val="0"/>
            <w:vAlign w:val="center"/>
          </w:tcPr>
          <w:p w14:paraId="4315C2D8">
            <w:pPr>
              <w:adjustRightInd w:val="0"/>
              <w:snapToGrid w:val="0"/>
              <w:spacing w:line="240" w:lineRule="atLeast"/>
              <w:jc w:val="center"/>
              <w:textAlignment w:val="auto"/>
              <w:rPr>
                <w:rFonts w:hAnsi="Times New Roman"/>
                <w:color w:val="auto"/>
                <w:kern w:val="2"/>
                <w:sz w:val="21"/>
                <w:szCs w:val="21"/>
                <w:highlight w:val="none"/>
              </w:rPr>
            </w:pPr>
            <w:r>
              <w:rPr>
                <w:rFonts w:hint="eastAsia" w:cs="宋体"/>
                <w:color w:val="auto"/>
                <w:kern w:val="2"/>
                <w:sz w:val="21"/>
                <w:szCs w:val="21"/>
                <w:highlight w:val="none"/>
                <w:lang w:val="en-US" w:eastAsia="zh-CN" w:bidi="ar-SA"/>
              </w:rPr>
              <w:t>否决其投标以及未被推荐为定标候选人的原因</w:t>
            </w:r>
            <w:r>
              <w:rPr>
                <w:rFonts w:hint="eastAsia" w:hAnsi="Times New Roman"/>
                <w:color w:val="auto"/>
                <w:kern w:val="2"/>
                <w:sz w:val="21"/>
                <w:szCs w:val="21"/>
                <w:highlight w:val="none"/>
                <w:lang w:val="en-US" w:eastAsia="zh-CN"/>
              </w:rPr>
              <w:t>及依据</w:t>
            </w:r>
          </w:p>
        </w:tc>
      </w:tr>
      <w:tr w14:paraId="725B0797">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270DFB36">
            <w:pPr>
              <w:adjustRightInd w:val="0"/>
              <w:snapToGrid w:val="0"/>
              <w:spacing w:line="240" w:lineRule="atLeast"/>
              <w:jc w:val="center"/>
              <w:textAlignment w:val="auto"/>
              <w:rPr>
                <w:rFonts w:hAnsi="Times New Roman"/>
                <w:color w:val="auto"/>
                <w:kern w:val="2"/>
                <w:sz w:val="21"/>
                <w:szCs w:val="21"/>
                <w:highlight w:val="none"/>
              </w:rPr>
            </w:pPr>
          </w:p>
        </w:tc>
        <w:tc>
          <w:tcPr>
            <w:tcW w:w="2718" w:type="dxa"/>
            <w:tcBorders>
              <w:top w:val="single" w:color="auto" w:sz="4" w:space="0"/>
              <w:left w:val="nil"/>
              <w:bottom w:val="single" w:color="auto" w:sz="4" w:space="0"/>
              <w:right w:val="single" w:color="auto" w:sz="4" w:space="0"/>
            </w:tcBorders>
            <w:noWrap w:val="0"/>
            <w:vAlign w:val="center"/>
          </w:tcPr>
          <w:p w14:paraId="21C1BDF9">
            <w:pPr>
              <w:adjustRightInd w:val="0"/>
              <w:snapToGrid w:val="0"/>
              <w:spacing w:line="360" w:lineRule="auto"/>
              <w:jc w:val="center"/>
              <w:textAlignment w:val="auto"/>
              <w:rPr>
                <w:rFonts w:hAnsi="Times New Roman"/>
                <w:color w:val="auto"/>
                <w:kern w:val="2"/>
                <w:sz w:val="21"/>
                <w:szCs w:val="21"/>
                <w:highlight w:val="none"/>
              </w:rPr>
            </w:pPr>
          </w:p>
        </w:tc>
        <w:tc>
          <w:tcPr>
            <w:tcW w:w="5475" w:type="dxa"/>
            <w:tcBorders>
              <w:top w:val="single" w:color="auto" w:sz="4" w:space="0"/>
              <w:left w:val="nil"/>
              <w:bottom w:val="single" w:color="auto" w:sz="4" w:space="0"/>
              <w:right w:val="single" w:color="auto" w:sz="4" w:space="0"/>
            </w:tcBorders>
            <w:noWrap w:val="0"/>
            <w:vAlign w:val="center"/>
          </w:tcPr>
          <w:p w14:paraId="55CE4D36">
            <w:pPr>
              <w:adjustRightInd w:val="0"/>
              <w:snapToGrid w:val="0"/>
              <w:spacing w:line="360" w:lineRule="auto"/>
              <w:jc w:val="center"/>
              <w:textAlignment w:val="auto"/>
              <w:rPr>
                <w:rFonts w:hAnsi="Times New Roman"/>
                <w:color w:val="auto"/>
                <w:kern w:val="2"/>
                <w:sz w:val="21"/>
                <w:szCs w:val="21"/>
                <w:highlight w:val="none"/>
              </w:rPr>
            </w:pPr>
          </w:p>
        </w:tc>
      </w:tr>
      <w:tr w14:paraId="7139DF2C">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FF4F068">
            <w:pPr>
              <w:adjustRightInd w:val="0"/>
              <w:snapToGrid w:val="0"/>
              <w:spacing w:line="240" w:lineRule="atLeast"/>
              <w:jc w:val="center"/>
              <w:textAlignment w:val="auto"/>
              <w:rPr>
                <w:rFonts w:hint="eastAsia" w:hAnsi="Times New Roman" w:eastAsia="宋体"/>
                <w:color w:val="auto"/>
                <w:kern w:val="2"/>
                <w:sz w:val="21"/>
                <w:szCs w:val="21"/>
                <w:highlight w:val="none"/>
                <w:lang w:eastAsia="zh-CN"/>
              </w:rPr>
            </w:pPr>
            <w:r>
              <w:rPr>
                <w:rFonts w:hint="eastAsia" w:hAnsi="Times New Roman"/>
                <w:color w:val="auto"/>
                <w:kern w:val="2"/>
                <w:sz w:val="21"/>
                <w:szCs w:val="21"/>
                <w:highlight w:val="none"/>
                <w:lang w:eastAsia="zh-CN"/>
              </w:rPr>
              <w:t>……</w:t>
            </w:r>
          </w:p>
        </w:tc>
        <w:tc>
          <w:tcPr>
            <w:tcW w:w="2718" w:type="dxa"/>
            <w:tcBorders>
              <w:top w:val="single" w:color="auto" w:sz="4" w:space="0"/>
              <w:left w:val="nil"/>
              <w:bottom w:val="single" w:color="auto" w:sz="4" w:space="0"/>
              <w:right w:val="single" w:color="auto" w:sz="4" w:space="0"/>
            </w:tcBorders>
            <w:noWrap w:val="0"/>
            <w:vAlign w:val="center"/>
          </w:tcPr>
          <w:p w14:paraId="6429F24C">
            <w:pPr>
              <w:adjustRightInd w:val="0"/>
              <w:snapToGrid w:val="0"/>
              <w:spacing w:line="360" w:lineRule="auto"/>
              <w:jc w:val="center"/>
              <w:textAlignment w:val="auto"/>
              <w:rPr>
                <w:rFonts w:hint="eastAsia" w:hAnsi="Times New Roman" w:eastAsia="宋体"/>
                <w:color w:val="auto"/>
                <w:kern w:val="2"/>
                <w:sz w:val="21"/>
                <w:szCs w:val="21"/>
                <w:highlight w:val="none"/>
                <w:lang w:eastAsia="zh-CN"/>
              </w:rPr>
            </w:pPr>
            <w:r>
              <w:rPr>
                <w:rFonts w:hint="eastAsia" w:hAnsi="Times New Roman"/>
                <w:color w:val="auto"/>
                <w:kern w:val="2"/>
                <w:sz w:val="21"/>
                <w:szCs w:val="21"/>
                <w:highlight w:val="none"/>
                <w:lang w:eastAsia="zh-CN"/>
              </w:rPr>
              <w:t>……</w:t>
            </w:r>
          </w:p>
        </w:tc>
        <w:tc>
          <w:tcPr>
            <w:tcW w:w="5475" w:type="dxa"/>
            <w:tcBorders>
              <w:top w:val="single" w:color="auto" w:sz="4" w:space="0"/>
              <w:left w:val="nil"/>
              <w:bottom w:val="single" w:color="auto" w:sz="4" w:space="0"/>
              <w:right w:val="single" w:color="auto" w:sz="4" w:space="0"/>
            </w:tcBorders>
            <w:noWrap w:val="0"/>
            <w:vAlign w:val="center"/>
          </w:tcPr>
          <w:p w14:paraId="533401C2">
            <w:pPr>
              <w:adjustRightInd w:val="0"/>
              <w:snapToGrid w:val="0"/>
              <w:spacing w:line="360" w:lineRule="auto"/>
              <w:jc w:val="center"/>
              <w:textAlignment w:val="auto"/>
              <w:rPr>
                <w:rFonts w:hint="eastAsia" w:hAnsi="Times New Roman" w:eastAsia="宋体"/>
                <w:color w:val="auto"/>
                <w:kern w:val="2"/>
                <w:sz w:val="21"/>
                <w:szCs w:val="21"/>
                <w:highlight w:val="none"/>
                <w:lang w:eastAsia="zh-CN"/>
              </w:rPr>
            </w:pPr>
            <w:r>
              <w:rPr>
                <w:rFonts w:hint="eastAsia" w:hAnsi="Times New Roman"/>
                <w:color w:val="auto"/>
                <w:kern w:val="2"/>
                <w:sz w:val="21"/>
                <w:szCs w:val="21"/>
                <w:highlight w:val="none"/>
                <w:lang w:eastAsia="zh-CN"/>
              </w:rPr>
              <w:t>……</w:t>
            </w:r>
          </w:p>
        </w:tc>
      </w:tr>
    </w:tbl>
    <w:p w14:paraId="5D38E337">
      <w:pPr>
        <w:numPr>
          <w:ilvl w:val="255"/>
          <w:numId w:val="0"/>
        </w:numPr>
        <w:spacing w:line="360" w:lineRule="auto"/>
        <w:ind w:firstLine="480" w:firstLineChars="200"/>
        <w:rPr>
          <w:color w:val="auto"/>
          <w:sz w:val="24"/>
          <w:highlight w:val="none"/>
        </w:rPr>
      </w:pPr>
      <w:r>
        <w:rPr>
          <w:rFonts w:hint="eastAsia" w:ascii="Times New Roman" w:hAnsi="Times New Roman"/>
          <w:color w:val="auto"/>
          <w:sz w:val="24"/>
          <w:highlight w:val="none"/>
        </w:rPr>
        <w:t xml:space="preserve"> </w:t>
      </w:r>
      <w:r>
        <w:rPr>
          <w:rFonts w:hint="eastAsia" w:ascii="Times New Roman" w:hAnsi="Times New Roman"/>
          <w:color w:val="auto"/>
          <w:sz w:val="24"/>
          <w:highlight w:val="none"/>
        </w:rPr>
        <w:tab/>
      </w:r>
      <w:r>
        <w:rPr>
          <w:rFonts w:hint="eastAsia" w:ascii="Times New Roman" w:hAnsi="Times New Roman"/>
          <w:color w:val="auto"/>
          <w:sz w:val="24"/>
          <w:highlight w:val="none"/>
        </w:rPr>
        <w:t xml:space="preserve"> </w:t>
      </w:r>
    </w:p>
    <w:p w14:paraId="6AA033F7">
      <w:pPr>
        <w:numPr>
          <w:ilvl w:val="255"/>
          <w:numId w:val="0"/>
        </w:numPr>
        <w:spacing w:line="360" w:lineRule="auto"/>
        <w:ind w:firstLine="480" w:firstLineChars="200"/>
        <w:rPr>
          <w:color w:val="auto"/>
          <w:sz w:val="24"/>
          <w:highlight w:val="none"/>
        </w:rPr>
      </w:pPr>
      <w:r>
        <w:rPr>
          <w:rFonts w:hint="eastAsia" w:ascii="Times New Roman" w:hAnsi="Times New Roman"/>
          <w:color w:val="auto"/>
          <w:sz w:val="24"/>
          <w:highlight w:val="none"/>
        </w:rPr>
        <w:t>1.</w:t>
      </w:r>
      <w:r>
        <w:rPr>
          <w:rFonts w:hint="eastAsia" w:ascii="Times New Roman" w:hAnsi="Times New Roman"/>
          <w:color w:val="auto"/>
          <w:sz w:val="24"/>
          <w:highlight w:val="none"/>
          <w:lang w:val="en-US" w:eastAsia="zh-CN"/>
        </w:rPr>
        <w:t>5</w:t>
      </w:r>
      <w:r>
        <w:rPr>
          <w:rFonts w:hint="eastAsia" w:ascii="Times New Roman" w:hAnsi="Times New Roman"/>
          <w:color w:val="auto"/>
          <w:sz w:val="24"/>
          <w:highlight w:val="none"/>
        </w:rPr>
        <w:t xml:space="preserve"> 评标委员会对投标报价给予修正的原因、依据和修正结果（如有时）：</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 xml:space="preserve"> </w:t>
      </w:r>
    </w:p>
    <w:p w14:paraId="2977C208">
      <w:pPr>
        <w:numPr>
          <w:ilvl w:val="255"/>
          <w:numId w:val="0"/>
        </w:numPr>
        <w:spacing w:line="360" w:lineRule="auto"/>
        <w:rPr>
          <w:rFonts w:ascii="Times New Roman" w:hAnsi="Times New Roman"/>
          <w:color w:val="auto"/>
          <w:sz w:val="24"/>
          <w:highlight w:val="none"/>
        </w:rPr>
      </w:pPr>
      <w:r>
        <w:rPr>
          <w:rFonts w:hint="eastAsia" w:ascii="Times New Roman" w:hAnsi="Times New Roman"/>
          <w:color w:val="auto"/>
          <w:sz w:val="24"/>
          <w:highlight w:val="none"/>
        </w:rPr>
        <w:t>二、定标结果</w:t>
      </w:r>
    </w:p>
    <w:p w14:paraId="27EF20E6">
      <w:pPr>
        <w:widowControl/>
        <w:numPr>
          <w:ilvl w:val="0"/>
          <w:numId w:val="0"/>
        </w:numPr>
        <w:adjustRightInd/>
        <w:spacing w:after="0" w:line="360"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2.1定标候选人</w:t>
      </w:r>
      <w:r>
        <w:rPr>
          <w:rFonts w:hint="eastAsia" w:ascii="宋体" w:hAnsi="宋体" w:cs="宋体"/>
          <w:color w:val="auto"/>
          <w:kern w:val="0"/>
          <w:sz w:val="21"/>
          <w:szCs w:val="21"/>
          <w:highlight w:val="none"/>
          <w:lang w:val="en-US" w:eastAsia="zh-CN" w:bidi="ar-SA"/>
        </w:rPr>
        <w:t>名单</w:t>
      </w:r>
    </w:p>
    <w:tbl>
      <w:tblPr>
        <w:tblStyle w:val="42"/>
        <w:tblW w:w="91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970"/>
      </w:tblGrid>
      <w:tr w14:paraId="3FA382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0" w:type="dxa"/>
            <w:tcBorders>
              <w:tl2br w:val="nil"/>
              <w:tr2bl w:val="nil"/>
            </w:tcBorders>
            <w:vAlign w:val="center"/>
          </w:tcPr>
          <w:p w14:paraId="6950F5EB">
            <w:pPr>
              <w:adjustRightInd w:val="0"/>
              <w:snapToGrid w:val="0"/>
              <w:spacing w:line="240" w:lineRule="atLeas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 </w:t>
            </w:r>
          </w:p>
        </w:tc>
        <w:tc>
          <w:tcPr>
            <w:tcW w:w="7970" w:type="dxa"/>
            <w:tcBorders>
              <w:tl2br w:val="nil"/>
              <w:tr2bl w:val="nil"/>
            </w:tcBorders>
            <w:vAlign w:val="center"/>
          </w:tcPr>
          <w:p w14:paraId="63C70988">
            <w:pPr>
              <w:adjustRightInd w:val="0"/>
              <w:snapToGrid w:val="0"/>
              <w:spacing w:line="240" w:lineRule="atLeas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定标候选人</w:t>
            </w:r>
            <w:r>
              <w:rPr>
                <w:rFonts w:hint="eastAsia" w:ascii="宋体" w:hAnsi="宋体" w:eastAsia="宋体" w:cs="宋体"/>
                <w:color w:val="auto"/>
                <w:sz w:val="21"/>
                <w:szCs w:val="21"/>
                <w:highlight w:val="none"/>
              </w:rPr>
              <w:t>名称</w:t>
            </w:r>
          </w:p>
        </w:tc>
      </w:tr>
      <w:tr w14:paraId="3B7BA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0" w:type="dxa"/>
            <w:tcBorders>
              <w:tl2br w:val="nil"/>
              <w:tr2bl w:val="nil"/>
            </w:tcBorders>
            <w:vAlign w:val="center"/>
          </w:tcPr>
          <w:p w14:paraId="1E88F627">
            <w:pPr>
              <w:adjustRightInd w:val="0"/>
              <w:snapToGrid w:val="0"/>
              <w:spacing w:line="240" w:lineRule="atLeast"/>
              <w:jc w:val="center"/>
              <w:textAlignment w:val="auto"/>
              <w:rPr>
                <w:rFonts w:hint="eastAsia" w:ascii="宋体" w:hAnsi="宋体" w:eastAsia="宋体" w:cs="宋体"/>
                <w:color w:val="auto"/>
                <w:sz w:val="21"/>
                <w:szCs w:val="21"/>
                <w:highlight w:val="none"/>
              </w:rPr>
            </w:pPr>
          </w:p>
        </w:tc>
        <w:tc>
          <w:tcPr>
            <w:tcW w:w="7970" w:type="dxa"/>
            <w:tcBorders>
              <w:tl2br w:val="nil"/>
              <w:tr2bl w:val="nil"/>
            </w:tcBorders>
            <w:vAlign w:val="center"/>
          </w:tcPr>
          <w:p w14:paraId="0DB7F852">
            <w:pPr>
              <w:adjustRightInd w:val="0"/>
              <w:snapToGrid w:val="0"/>
              <w:spacing w:line="360" w:lineRule="auto"/>
              <w:jc w:val="center"/>
              <w:textAlignment w:val="auto"/>
              <w:rPr>
                <w:rFonts w:hint="eastAsia" w:ascii="宋体" w:hAnsi="宋体" w:eastAsia="宋体" w:cs="宋体"/>
                <w:color w:val="auto"/>
                <w:sz w:val="21"/>
                <w:szCs w:val="21"/>
                <w:highlight w:val="none"/>
              </w:rPr>
            </w:pPr>
          </w:p>
        </w:tc>
      </w:tr>
      <w:tr w14:paraId="19B65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0" w:type="dxa"/>
            <w:tcBorders>
              <w:tl2br w:val="nil"/>
              <w:tr2bl w:val="nil"/>
            </w:tcBorders>
            <w:vAlign w:val="center"/>
          </w:tcPr>
          <w:p w14:paraId="6767CD48">
            <w:pPr>
              <w:adjustRightInd w:val="0"/>
              <w:snapToGrid w:val="0"/>
              <w:spacing w:line="240" w:lineRule="atLeast"/>
              <w:jc w:val="center"/>
              <w:textAlignment w:val="auto"/>
              <w:rPr>
                <w:rFonts w:hint="eastAsia" w:ascii="宋体" w:hAnsi="宋体" w:eastAsia="宋体" w:cs="宋体"/>
                <w:color w:val="auto"/>
                <w:sz w:val="21"/>
                <w:szCs w:val="21"/>
                <w:highlight w:val="none"/>
              </w:rPr>
            </w:pPr>
            <w:r>
              <w:rPr>
                <w:rFonts w:hint="eastAsia" w:ascii="宋体" w:hAnsi="Times New Roman"/>
                <w:color w:val="auto"/>
                <w:sz w:val="21"/>
                <w:szCs w:val="21"/>
                <w:highlight w:val="none"/>
                <w:lang w:eastAsia="zh-CN"/>
              </w:rPr>
              <w:t>……</w:t>
            </w:r>
          </w:p>
        </w:tc>
        <w:tc>
          <w:tcPr>
            <w:tcW w:w="7970" w:type="dxa"/>
            <w:tcBorders>
              <w:tl2br w:val="nil"/>
              <w:tr2bl w:val="nil"/>
            </w:tcBorders>
            <w:vAlign w:val="center"/>
          </w:tcPr>
          <w:p w14:paraId="4B3C9372">
            <w:pPr>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Times New Roman"/>
                <w:color w:val="auto"/>
                <w:sz w:val="21"/>
                <w:szCs w:val="21"/>
                <w:highlight w:val="none"/>
                <w:lang w:eastAsia="zh-CN"/>
              </w:rPr>
              <w:t>……</w:t>
            </w:r>
          </w:p>
        </w:tc>
      </w:tr>
    </w:tbl>
    <w:p w14:paraId="658761FD">
      <w:pPr>
        <w:numPr>
          <w:ilvl w:val="255"/>
          <w:numId w:val="0"/>
        </w:numPr>
        <w:spacing w:line="360" w:lineRule="auto"/>
        <w:ind w:firstLine="480" w:firstLineChars="200"/>
        <w:rPr>
          <w:rFonts w:ascii="Times New Roman" w:hAnsi="Times New Roman"/>
          <w:color w:val="auto"/>
          <w:sz w:val="24"/>
          <w:highlight w:val="none"/>
          <w:u w:val="single"/>
        </w:rPr>
      </w:pPr>
      <w:r>
        <w:rPr>
          <w:rFonts w:hint="eastAsia" w:ascii="Times New Roman" w:hAnsi="Times New Roman"/>
          <w:color w:val="auto"/>
          <w:sz w:val="24"/>
          <w:highlight w:val="none"/>
        </w:rPr>
        <w:t>2.2报价评审标准（如有）：</w:t>
      </w:r>
      <w:r>
        <w:rPr>
          <w:rFonts w:hint="eastAsia" w:ascii="Times New Roman" w:hAnsi="Times New Roman"/>
          <w:color w:val="auto"/>
          <w:sz w:val="24"/>
          <w:highlight w:val="none"/>
          <w:u w:val="single"/>
        </w:rPr>
        <w:t xml:space="preserve">                           。</w:t>
      </w:r>
    </w:p>
    <w:p w14:paraId="1EAB8EB0">
      <w:pPr>
        <w:numPr>
          <w:ilvl w:val="255"/>
          <w:numId w:val="0"/>
        </w:num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2.3定标委员会推荐的中标人：</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 xml:space="preserve">                                                                      </w:t>
      </w:r>
    </w:p>
    <w:p w14:paraId="0860CD1E">
      <w:pPr>
        <w:numPr>
          <w:ilvl w:val="255"/>
          <w:numId w:val="0"/>
        </w:numPr>
        <w:spacing w:line="360" w:lineRule="auto"/>
        <w:rPr>
          <w:color w:val="auto"/>
          <w:sz w:val="24"/>
          <w:highlight w:val="none"/>
        </w:rPr>
      </w:pPr>
      <w:r>
        <w:rPr>
          <w:rFonts w:hint="eastAsia" w:ascii="Times New Roman" w:hAnsi="Times New Roman"/>
          <w:color w:val="auto"/>
          <w:sz w:val="24"/>
          <w:highlight w:val="none"/>
        </w:rPr>
        <w:t>三、公示时间：</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 xml:space="preserve">年 </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日至</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 xml:space="preserve">年 </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hint="eastAsia" w:ascii="Times New Roman" w:hAnsi="Times New Roman"/>
          <w:color w:val="auto"/>
          <w:sz w:val="24"/>
          <w:highlight w:val="none"/>
          <w:u w:val="single"/>
        </w:rPr>
        <w:t xml:space="preserve">     </w:t>
      </w:r>
      <w:r>
        <w:rPr>
          <w:rFonts w:hint="eastAsia" w:ascii="Times New Roman" w:hAnsi="Times New Roman"/>
          <w:color w:val="auto"/>
          <w:sz w:val="24"/>
          <w:highlight w:val="none"/>
        </w:rPr>
        <w:t>日。投标人或者其他利害关系人对评标结果有异议的，应当在公示期间书面向招标人提出。</w:t>
      </w:r>
      <w:r>
        <w:rPr>
          <w:rFonts w:hint="eastAsia" w:ascii="Times New Roman" w:hAnsi="Times New Roman"/>
          <w:color w:val="auto"/>
          <w:sz w:val="24"/>
          <w:highlight w:val="none"/>
        </w:rPr>
        <w:tab/>
      </w:r>
    </w:p>
    <w:p w14:paraId="1B6537D1">
      <w:pPr>
        <w:spacing w:line="360" w:lineRule="auto"/>
        <w:rPr>
          <w:color w:val="auto"/>
          <w:sz w:val="24"/>
          <w:highlight w:val="none"/>
        </w:rPr>
      </w:pPr>
      <w:r>
        <w:rPr>
          <w:rFonts w:hint="eastAsia"/>
          <w:color w:val="auto"/>
          <w:sz w:val="24"/>
          <w:highlight w:val="none"/>
        </w:rPr>
        <w:t xml:space="preserve">四、异议的渠道和方式：                                       </w:t>
      </w:r>
    </w:p>
    <w:p w14:paraId="57CF6C12">
      <w:pPr>
        <w:spacing w:line="360" w:lineRule="auto"/>
        <w:rPr>
          <w:color w:val="auto"/>
          <w:sz w:val="24"/>
          <w:highlight w:val="none"/>
        </w:rPr>
      </w:pPr>
    </w:p>
    <w:p w14:paraId="63DD446E">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14:paraId="3D4B0550">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14:paraId="4D8AD66B">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14:paraId="3F62BC76">
      <w:pPr>
        <w:spacing w:line="360" w:lineRule="auto"/>
        <w:rPr>
          <w:color w:val="auto"/>
          <w:highlight w:val="none"/>
        </w:rPr>
      </w:pPr>
    </w:p>
    <w:p w14:paraId="6B51240F">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（电子签名专用章）</w:t>
      </w:r>
      <w:r>
        <w:rPr>
          <w:rFonts w:hint="eastAsia"/>
          <w:color w:val="auto"/>
          <w:sz w:val="24"/>
          <w:highlight w:val="none"/>
        </w:rPr>
        <w:t xml:space="preserve"> 招标代理机构：</w:t>
      </w:r>
      <w:r>
        <w:rPr>
          <w:rFonts w:hint="eastAsia"/>
          <w:color w:val="auto"/>
          <w:sz w:val="24"/>
          <w:highlight w:val="none"/>
          <w:u w:val="single"/>
        </w:rPr>
        <w:t xml:space="preserve">     （电子签名专用章）</w:t>
      </w:r>
    </w:p>
    <w:p w14:paraId="08A7BC2F">
      <w:pPr>
        <w:spacing w:line="360" w:lineRule="auto"/>
        <w:rPr>
          <w:color w:val="auto"/>
          <w:sz w:val="24"/>
          <w:highlight w:val="none"/>
        </w:rPr>
      </w:pPr>
      <w:r>
        <w:rPr>
          <w:rFonts w:hint="eastAsia"/>
          <w:color w:val="auto"/>
          <w:sz w:val="24"/>
          <w:highlight w:val="none"/>
        </w:rPr>
        <w:t>法定代表人或                    法定代表人或</w:t>
      </w:r>
    </w:p>
    <w:p w14:paraId="6633B5AC">
      <w:pPr>
        <w:spacing w:line="360" w:lineRule="auto"/>
        <w:rPr>
          <w:color w:val="auto"/>
          <w:highlight w:val="none"/>
        </w:rPr>
      </w:pPr>
      <w:r>
        <w:rPr>
          <w:rFonts w:hint="eastAsia"/>
          <w:color w:val="auto"/>
          <w:sz w:val="24"/>
          <w:highlight w:val="none"/>
        </w:rPr>
        <w:t>其委托代理人：</w:t>
      </w:r>
      <w:r>
        <w:rPr>
          <w:rFonts w:hint="eastAsia"/>
          <w:color w:val="auto"/>
          <w:sz w:val="24"/>
          <w:highlight w:val="none"/>
          <w:u w:val="single"/>
        </w:rPr>
        <w:t>（电子签名专用章）</w:t>
      </w:r>
      <w:r>
        <w:rPr>
          <w:rFonts w:hint="eastAsia"/>
          <w:color w:val="auto"/>
          <w:sz w:val="24"/>
          <w:highlight w:val="none"/>
        </w:rPr>
        <w:t xml:space="preserve"> 其委托代理人：</w:t>
      </w:r>
      <w:r>
        <w:rPr>
          <w:rFonts w:hint="eastAsia"/>
          <w:color w:val="auto"/>
          <w:sz w:val="24"/>
          <w:highlight w:val="none"/>
          <w:u w:val="single"/>
        </w:rPr>
        <w:t xml:space="preserve">     （电子签名专用章）</w:t>
      </w:r>
    </w:p>
    <w:p w14:paraId="18FB2467">
      <w:pPr>
        <w:wordWrap w:val="0"/>
        <w:adjustRightInd w:val="0"/>
        <w:snapToGrid w:val="0"/>
        <w:spacing w:line="360" w:lineRule="auto"/>
        <w:outlineLvl w:val="1"/>
        <w:rPr>
          <w:rFonts w:cs="Arial Unicode MS"/>
          <w:color w:val="auto"/>
          <w:position w:val="-3"/>
          <w:sz w:val="24"/>
          <w:highlight w:val="none"/>
        </w:rPr>
      </w:pPr>
    </w:p>
    <w:p w14:paraId="1F8953A6">
      <w:pPr>
        <w:wordWrap w:val="0"/>
        <w:adjustRightInd w:val="0"/>
        <w:snapToGrid w:val="0"/>
        <w:spacing w:line="360" w:lineRule="auto"/>
        <w:outlineLvl w:val="1"/>
        <w:rPr>
          <w:rFonts w:cs="Arial Unicode MS"/>
          <w:color w:val="auto"/>
          <w:position w:val="-3"/>
          <w:sz w:val="24"/>
          <w:highlight w:val="none"/>
        </w:rPr>
      </w:pPr>
    </w:p>
    <w:p w14:paraId="3268C704">
      <w:pPr>
        <w:rPr>
          <w:rFonts w:eastAsia="黑体"/>
          <w:b/>
          <w:bCs/>
          <w:color w:val="auto"/>
          <w:szCs w:val="21"/>
          <w:highlight w:val="none"/>
          <w:lang w:val="zh-CN"/>
        </w:rPr>
        <w:sectPr>
          <w:pgSz w:w="11920" w:h="16960"/>
          <w:pgMar w:top="1134" w:right="1134" w:bottom="1134" w:left="1418" w:header="720" w:footer="720" w:gutter="0"/>
          <w:cols w:space="720" w:num="1"/>
        </w:sectPr>
      </w:pPr>
    </w:p>
    <w:p w14:paraId="3DD5CFD7">
      <w:pPr>
        <w:tabs>
          <w:tab w:val="left" w:pos="1440"/>
        </w:tabs>
        <w:spacing w:line="360" w:lineRule="auto"/>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中标结果公示</w:t>
      </w:r>
    </w:p>
    <w:p w14:paraId="360C60B1">
      <w:pPr>
        <w:spacing w:line="360" w:lineRule="auto"/>
        <w:ind w:firstLine="480" w:firstLineChars="200"/>
        <w:rPr>
          <w:color w:val="auto"/>
          <w:sz w:val="24"/>
          <w:highlight w:val="none"/>
        </w:rPr>
      </w:pPr>
      <w:r>
        <w:rPr>
          <w:rFonts w:hint="eastAsia"/>
          <w:color w:val="auto"/>
          <w:sz w:val="24"/>
          <w:highlight w:val="none"/>
        </w:rPr>
        <w:t>招标项目编号：</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建设项目的招标，招标人根据定标委员会的中标人推荐结果确定了中标人，现将中标人有关情况公布如下：</w:t>
      </w:r>
    </w:p>
    <w:p w14:paraId="06CA9869">
      <w:pPr>
        <w:spacing w:line="360" w:lineRule="auto"/>
        <w:rPr>
          <w:color w:val="auto"/>
          <w:highlight w:val="none"/>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39"/>
        <w:gridCol w:w="2141"/>
        <w:gridCol w:w="2141"/>
      </w:tblGrid>
      <w:tr w14:paraId="0A06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vAlign w:val="center"/>
          </w:tcPr>
          <w:p w14:paraId="13651E8F">
            <w:pPr>
              <w:spacing w:line="360" w:lineRule="auto"/>
              <w:jc w:val="center"/>
              <w:rPr>
                <w:color w:val="auto"/>
                <w:sz w:val="24"/>
                <w:highlight w:val="none"/>
              </w:rPr>
            </w:pPr>
            <w:r>
              <w:rPr>
                <w:rFonts w:hint="eastAsia"/>
                <w:color w:val="auto"/>
                <w:sz w:val="24"/>
                <w:highlight w:val="none"/>
              </w:rPr>
              <w:t>中标人</w:t>
            </w:r>
          </w:p>
        </w:tc>
        <w:tc>
          <w:tcPr>
            <w:tcW w:w="6421" w:type="dxa"/>
            <w:gridSpan w:val="3"/>
            <w:vAlign w:val="center"/>
          </w:tcPr>
          <w:p w14:paraId="2FEC107F">
            <w:pPr>
              <w:spacing w:line="360" w:lineRule="auto"/>
              <w:jc w:val="center"/>
              <w:rPr>
                <w:color w:val="auto"/>
                <w:sz w:val="24"/>
                <w:highlight w:val="none"/>
              </w:rPr>
            </w:pPr>
          </w:p>
        </w:tc>
      </w:tr>
      <w:tr w14:paraId="4268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vAlign w:val="center"/>
          </w:tcPr>
          <w:p w14:paraId="62110849">
            <w:pPr>
              <w:spacing w:line="360" w:lineRule="auto"/>
              <w:jc w:val="center"/>
              <w:rPr>
                <w:color w:val="auto"/>
                <w:sz w:val="24"/>
                <w:highlight w:val="none"/>
              </w:rPr>
            </w:pPr>
            <w:r>
              <w:rPr>
                <w:rFonts w:hint="eastAsia"/>
                <w:color w:val="auto"/>
                <w:sz w:val="24"/>
                <w:highlight w:val="none"/>
              </w:rPr>
              <w:t>中标费</w:t>
            </w:r>
          </w:p>
          <w:p w14:paraId="1200B440">
            <w:pPr>
              <w:spacing w:line="360" w:lineRule="auto"/>
              <w:jc w:val="center"/>
              <w:rPr>
                <w:color w:val="auto"/>
                <w:sz w:val="24"/>
                <w:highlight w:val="none"/>
              </w:rPr>
            </w:pPr>
            <w:r>
              <w:rPr>
                <w:rFonts w:hint="eastAsia"/>
                <w:color w:val="auto"/>
                <w:sz w:val="24"/>
                <w:highlight w:val="none"/>
              </w:rPr>
              <w:t>（元）</w:t>
            </w:r>
          </w:p>
        </w:tc>
        <w:tc>
          <w:tcPr>
            <w:tcW w:w="2139" w:type="dxa"/>
            <w:vAlign w:val="center"/>
          </w:tcPr>
          <w:p w14:paraId="694D1DEF">
            <w:pPr>
              <w:spacing w:line="360" w:lineRule="auto"/>
              <w:jc w:val="center"/>
              <w:rPr>
                <w:color w:val="auto"/>
                <w:sz w:val="24"/>
                <w:highlight w:val="none"/>
              </w:rPr>
            </w:pPr>
          </w:p>
        </w:tc>
        <w:tc>
          <w:tcPr>
            <w:tcW w:w="2141" w:type="dxa"/>
            <w:vAlign w:val="center"/>
          </w:tcPr>
          <w:p w14:paraId="2DC1D32A">
            <w:pPr>
              <w:spacing w:line="360" w:lineRule="auto"/>
              <w:jc w:val="center"/>
              <w:rPr>
                <w:color w:val="auto"/>
                <w:sz w:val="24"/>
                <w:highlight w:val="none"/>
              </w:rPr>
            </w:pPr>
            <w:r>
              <w:rPr>
                <w:rFonts w:hint="eastAsia"/>
                <w:color w:val="auto"/>
                <w:sz w:val="24"/>
                <w:highlight w:val="none"/>
              </w:rPr>
              <w:t>项目负责人</w:t>
            </w:r>
          </w:p>
        </w:tc>
        <w:tc>
          <w:tcPr>
            <w:tcW w:w="2141" w:type="dxa"/>
            <w:vAlign w:val="center"/>
          </w:tcPr>
          <w:p w14:paraId="4B1CF100">
            <w:pPr>
              <w:spacing w:line="360" w:lineRule="auto"/>
              <w:jc w:val="center"/>
              <w:rPr>
                <w:color w:val="auto"/>
                <w:sz w:val="24"/>
                <w:highlight w:val="none"/>
              </w:rPr>
            </w:pPr>
          </w:p>
        </w:tc>
      </w:tr>
      <w:tr w14:paraId="04EE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vAlign w:val="center"/>
          </w:tcPr>
          <w:p w14:paraId="1CC4070D">
            <w:pPr>
              <w:spacing w:line="360" w:lineRule="auto"/>
              <w:jc w:val="center"/>
              <w:rPr>
                <w:color w:val="auto"/>
                <w:sz w:val="24"/>
                <w:highlight w:val="none"/>
              </w:rPr>
            </w:pPr>
            <w:r>
              <w:rPr>
                <w:rFonts w:hint="eastAsia"/>
                <w:color w:val="auto"/>
                <w:sz w:val="24"/>
                <w:highlight w:val="none"/>
              </w:rPr>
              <w:t>设计（勘察）服务期</w:t>
            </w:r>
          </w:p>
        </w:tc>
        <w:tc>
          <w:tcPr>
            <w:tcW w:w="2139" w:type="dxa"/>
            <w:vAlign w:val="center"/>
          </w:tcPr>
          <w:p w14:paraId="767D4E6F">
            <w:pPr>
              <w:spacing w:line="360" w:lineRule="auto"/>
              <w:jc w:val="center"/>
              <w:rPr>
                <w:color w:val="auto"/>
                <w:sz w:val="24"/>
                <w:highlight w:val="none"/>
              </w:rPr>
            </w:pPr>
          </w:p>
        </w:tc>
        <w:tc>
          <w:tcPr>
            <w:tcW w:w="2141" w:type="dxa"/>
            <w:vAlign w:val="center"/>
          </w:tcPr>
          <w:p w14:paraId="461AB179">
            <w:pPr>
              <w:spacing w:line="360" w:lineRule="auto"/>
              <w:jc w:val="center"/>
              <w:rPr>
                <w:color w:val="auto"/>
                <w:sz w:val="24"/>
                <w:highlight w:val="none"/>
              </w:rPr>
            </w:pPr>
            <w:r>
              <w:rPr>
                <w:rFonts w:hint="eastAsia"/>
                <w:color w:val="auto"/>
                <w:sz w:val="24"/>
                <w:highlight w:val="none"/>
              </w:rPr>
              <w:t>质量标准</w:t>
            </w:r>
          </w:p>
        </w:tc>
        <w:tc>
          <w:tcPr>
            <w:tcW w:w="2141" w:type="dxa"/>
            <w:vAlign w:val="center"/>
          </w:tcPr>
          <w:p w14:paraId="494DF022">
            <w:pPr>
              <w:spacing w:line="360" w:lineRule="auto"/>
              <w:jc w:val="center"/>
              <w:rPr>
                <w:color w:val="auto"/>
                <w:sz w:val="24"/>
                <w:highlight w:val="none"/>
              </w:rPr>
            </w:pPr>
          </w:p>
        </w:tc>
      </w:tr>
      <w:tr w14:paraId="76C0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vAlign w:val="center"/>
          </w:tcPr>
          <w:p w14:paraId="601FDFE0">
            <w:pPr>
              <w:spacing w:line="360" w:lineRule="auto"/>
              <w:jc w:val="center"/>
              <w:rPr>
                <w:color w:val="auto"/>
                <w:sz w:val="24"/>
                <w:highlight w:val="none"/>
              </w:rPr>
            </w:pPr>
            <w:r>
              <w:rPr>
                <w:rFonts w:hint="eastAsia"/>
                <w:color w:val="auto"/>
                <w:sz w:val="24"/>
                <w:highlight w:val="none"/>
              </w:rPr>
              <w:t>企业及人员信用分享用情况（如有）</w:t>
            </w:r>
          </w:p>
        </w:tc>
        <w:tc>
          <w:tcPr>
            <w:tcW w:w="6421" w:type="dxa"/>
            <w:gridSpan w:val="3"/>
            <w:vAlign w:val="center"/>
          </w:tcPr>
          <w:p w14:paraId="495B77C1">
            <w:pPr>
              <w:spacing w:line="360" w:lineRule="auto"/>
              <w:jc w:val="center"/>
              <w:rPr>
                <w:color w:val="auto"/>
                <w:sz w:val="24"/>
                <w:highlight w:val="none"/>
              </w:rPr>
            </w:pPr>
          </w:p>
        </w:tc>
      </w:tr>
    </w:tbl>
    <w:p w14:paraId="71DECFF6">
      <w:pPr>
        <w:spacing w:line="360" w:lineRule="auto"/>
        <w:rPr>
          <w:color w:val="auto"/>
          <w:sz w:val="24"/>
          <w:highlight w:val="none"/>
        </w:rPr>
      </w:pPr>
    </w:p>
    <w:p w14:paraId="52EEA077">
      <w:pPr>
        <w:spacing w:line="360" w:lineRule="auto"/>
        <w:rPr>
          <w:color w:val="auto"/>
          <w:sz w:val="24"/>
          <w:highlight w:val="none"/>
          <w:u w:val="single"/>
        </w:rPr>
      </w:pPr>
      <w:r>
        <w:rPr>
          <w:rFonts w:hint="eastAsia"/>
          <w:color w:val="auto"/>
          <w:sz w:val="24"/>
          <w:highlight w:val="none"/>
        </w:rPr>
        <w:t>评标委员会成员名单：</w:t>
      </w:r>
      <w:r>
        <w:rPr>
          <w:rFonts w:hint="eastAsia"/>
          <w:color w:val="auto"/>
          <w:sz w:val="24"/>
          <w:highlight w:val="none"/>
          <w:u w:val="single"/>
        </w:rPr>
        <w:t xml:space="preserve">                                                 </w:t>
      </w:r>
    </w:p>
    <w:p w14:paraId="20F558E4">
      <w:pPr>
        <w:spacing w:line="360" w:lineRule="auto"/>
        <w:rPr>
          <w:color w:val="auto"/>
          <w:highlight w:val="none"/>
        </w:rPr>
      </w:pPr>
    </w:p>
    <w:p w14:paraId="03F390B5">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14:paraId="72DCD9AB">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14:paraId="277F2126">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14:paraId="3AE6F730">
      <w:pPr>
        <w:spacing w:line="360" w:lineRule="auto"/>
        <w:rPr>
          <w:color w:val="auto"/>
          <w:highlight w:val="none"/>
        </w:rPr>
      </w:pPr>
    </w:p>
    <w:p w14:paraId="1DF3008C">
      <w:pPr>
        <w:spacing w:line="360" w:lineRule="auto"/>
        <w:rPr>
          <w:color w:val="auto"/>
          <w:highlight w:val="none"/>
        </w:rPr>
      </w:pPr>
    </w:p>
    <w:p w14:paraId="09C8D1A9">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rPr>
        <w:t xml:space="preserve">  招标代理机构：</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u w:val="single"/>
        </w:rPr>
        <w:t xml:space="preserve"> </w:t>
      </w:r>
    </w:p>
    <w:p w14:paraId="7C3F3693">
      <w:pPr>
        <w:pStyle w:val="92"/>
        <w:spacing w:before="240" w:beforeLines="100"/>
        <w:outlineLvl w:val="0"/>
        <w:rPr>
          <w:rFonts w:ascii="宋体" w:hAnsi="宋体" w:eastAsia="宋体"/>
          <w:b/>
          <w:snapToGrid w:val="0"/>
          <w:color w:val="auto"/>
          <w:kern w:val="0"/>
          <w:highlight w:val="none"/>
        </w:rPr>
      </w:pPr>
    </w:p>
    <w:p w14:paraId="254ACC27">
      <w:pPr>
        <w:pStyle w:val="92"/>
        <w:spacing w:before="240" w:beforeLines="100"/>
        <w:outlineLvl w:val="0"/>
        <w:rPr>
          <w:rFonts w:ascii="宋体" w:hAnsi="宋体" w:eastAsia="宋体"/>
          <w:b/>
          <w:snapToGrid w:val="0"/>
          <w:color w:val="auto"/>
          <w:kern w:val="0"/>
          <w:highlight w:val="none"/>
        </w:rPr>
      </w:pPr>
    </w:p>
    <w:p w14:paraId="32BF7D3C">
      <w:pPr>
        <w:pStyle w:val="92"/>
        <w:spacing w:before="240" w:beforeLines="100"/>
        <w:outlineLvl w:val="0"/>
        <w:rPr>
          <w:rFonts w:ascii="宋体" w:hAnsi="宋体" w:eastAsia="宋体"/>
          <w:b/>
          <w:snapToGrid w:val="0"/>
          <w:color w:val="auto"/>
          <w:kern w:val="0"/>
          <w:highlight w:val="none"/>
        </w:rPr>
      </w:pPr>
    </w:p>
    <w:p w14:paraId="68B79242">
      <w:pPr>
        <w:pStyle w:val="92"/>
        <w:spacing w:before="240" w:beforeLines="100"/>
        <w:outlineLvl w:val="0"/>
        <w:rPr>
          <w:rFonts w:ascii="宋体" w:hAnsi="宋体" w:eastAsia="宋体"/>
          <w:b/>
          <w:snapToGrid w:val="0"/>
          <w:color w:val="auto"/>
          <w:kern w:val="0"/>
          <w:highlight w:val="none"/>
        </w:rPr>
      </w:pPr>
    </w:p>
    <w:p w14:paraId="0C28415C">
      <w:pPr>
        <w:pStyle w:val="92"/>
        <w:spacing w:before="240" w:beforeLines="100"/>
        <w:outlineLvl w:val="0"/>
        <w:rPr>
          <w:rFonts w:ascii="宋体" w:hAnsi="宋体" w:eastAsia="宋体"/>
          <w:b/>
          <w:snapToGrid w:val="0"/>
          <w:color w:val="auto"/>
          <w:kern w:val="0"/>
          <w:highlight w:val="none"/>
        </w:rPr>
      </w:pPr>
    </w:p>
    <w:p w14:paraId="78944297">
      <w:pPr>
        <w:pStyle w:val="92"/>
        <w:spacing w:before="240" w:beforeLines="100"/>
        <w:outlineLvl w:val="0"/>
        <w:rPr>
          <w:rFonts w:ascii="宋体" w:hAnsi="宋体" w:eastAsia="宋体"/>
          <w:b/>
          <w:snapToGrid w:val="0"/>
          <w:color w:val="auto"/>
          <w:kern w:val="0"/>
          <w:highlight w:val="none"/>
        </w:rPr>
      </w:pPr>
    </w:p>
    <w:p w14:paraId="5953F90C">
      <w:pPr>
        <w:pStyle w:val="5"/>
        <w:rPr>
          <w:rFonts w:ascii="宋体" w:hAnsi="宋体"/>
          <w:snapToGrid w:val="0"/>
          <w:color w:val="auto"/>
          <w:kern w:val="0"/>
          <w:highlight w:val="none"/>
        </w:rPr>
      </w:pPr>
    </w:p>
    <w:p w14:paraId="665FCDCB">
      <w:pPr>
        <w:snapToGrid w:val="0"/>
        <w:spacing w:line="360" w:lineRule="auto"/>
        <w:jc w:val="center"/>
        <w:rPr>
          <w:rFonts w:ascii="宋体" w:hAnsi="宋体"/>
          <w:b/>
          <w:snapToGrid w:val="0"/>
          <w:color w:val="auto"/>
          <w:kern w:val="0"/>
          <w:sz w:val="24"/>
          <w:highlight w:val="none"/>
        </w:rPr>
      </w:pPr>
      <w:r>
        <w:rPr>
          <w:rFonts w:ascii="宋体" w:hAnsi="宋体"/>
          <w:b/>
          <w:snapToGrid w:val="0"/>
          <w:color w:val="auto"/>
          <w:kern w:val="0"/>
          <w:sz w:val="24"/>
          <w:highlight w:val="none"/>
        </w:rPr>
        <w:t>中标通知书</w:t>
      </w:r>
    </w:p>
    <w:p w14:paraId="383BE66B">
      <w:pPr>
        <w:snapToGrid w:val="0"/>
        <w:spacing w:line="360" w:lineRule="auto"/>
        <w:rPr>
          <w:rFonts w:ascii="宋体" w:hAnsi="宋体"/>
          <w:snapToGrid w:val="0"/>
          <w:color w:val="auto"/>
          <w:kern w:val="0"/>
          <w:sz w:val="24"/>
          <w:highlight w:val="none"/>
        </w:rPr>
      </w:pPr>
    </w:p>
    <w:p w14:paraId="7AF72BC6">
      <w:p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（中标人名称）</w:t>
      </w:r>
    </w:p>
    <w:p w14:paraId="110AFA18">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你方于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日（投标日期）所递交的</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（项目名称）</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设计</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勘察设计</w:t>
      </w:r>
      <w:r>
        <w:rPr>
          <w:rFonts w:ascii="宋体" w:hAnsi="宋体"/>
          <w:snapToGrid w:val="0"/>
          <w:color w:val="auto"/>
          <w:kern w:val="0"/>
          <w:sz w:val="24"/>
          <w:highlight w:val="none"/>
        </w:rPr>
        <w:t>招标的投标文件已被我方接受，</w:t>
      </w:r>
      <w:r>
        <w:rPr>
          <w:rFonts w:hint="eastAsia" w:ascii="宋体" w:hAnsi="宋体"/>
          <w:snapToGrid w:val="0"/>
          <w:color w:val="auto"/>
          <w:kern w:val="0"/>
          <w:sz w:val="24"/>
          <w:highlight w:val="none"/>
        </w:rPr>
        <w:t>经公示</w:t>
      </w:r>
      <w:r>
        <w:rPr>
          <w:rFonts w:ascii="宋体" w:hAnsi="宋体"/>
          <w:snapToGrid w:val="0"/>
          <w:color w:val="auto"/>
          <w:kern w:val="0"/>
          <w:sz w:val="24"/>
          <w:highlight w:val="none"/>
        </w:rPr>
        <w:t>被确定为中标人。</w:t>
      </w:r>
    </w:p>
    <w:p w14:paraId="62A824D7">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中标价：</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元</w:t>
      </w:r>
      <w:r>
        <w:rPr>
          <w:rFonts w:hint="eastAsia" w:ascii="宋体" w:hAnsi="宋体"/>
          <w:snapToGrid w:val="0"/>
          <w:color w:val="auto"/>
          <w:kern w:val="0"/>
          <w:sz w:val="24"/>
          <w:highlight w:val="none"/>
        </w:rPr>
        <w:t>（大写：</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4B462F75">
      <w:pPr>
        <w:snapToGrid w:val="0"/>
        <w:spacing w:line="360" w:lineRule="auto"/>
        <w:ind w:firstLine="480" w:firstLineChars="200"/>
        <w:rPr>
          <w:rFonts w:ascii="宋体" w:hAnsi="宋体"/>
          <w:snapToGrid w:val="0"/>
          <w:color w:val="auto"/>
          <w:kern w:val="0"/>
          <w:sz w:val="24"/>
          <w:highlight w:val="none"/>
          <w:u w:val="single"/>
        </w:rPr>
      </w:pPr>
      <w:r>
        <w:rPr>
          <w:rFonts w:hint="eastAsia" w:ascii="宋体" w:hAnsi="宋体"/>
          <w:snapToGrid w:val="0"/>
          <w:color w:val="auto"/>
          <w:kern w:val="0"/>
          <w:sz w:val="24"/>
          <w:highlight w:val="none"/>
        </w:rPr>
        <w:t>项目负责人：</w:t>
      </w:r>
      <w:r>
        <w:rPr>
          <w:rFonts w:hint="eastAsia" w:ascii="宋体" w:hAnsi="宋体"/>
          <w:snapToGrid w:val="0"/>
          <w:color w:val="auto"/>
          <w:kern w:val="0"/>
          <w:sz w:val="24"/>
          <w:highlight w:val="none"/>
          <w:u w:val="single"/>
        </w:rPr>
        <w:t xml:space="preserve">               </w:t>
      </w:r>
    </w:p>
    <w:p w14:paraId="74557CB9">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工</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日历天。</w:t>
      </w:r>
    </w:p>
    <w:p w14:paraId="7C72CEBC">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请你方在接到本通知书后的</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日内到</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（指定地点）与我方签订</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勘察</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设计</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勘察设计</w:t>
      </w:r>
      <w:r>
        <w:rPr>
          <w:rFonts w:ascii="宋体" w:hAnsi="宋体"/>
          <w:snapToGrid w:val="0"/>
          <w:color w:val="auto"/>
          <w:kern w:val="0"/>
          <w:sz w:val="24"/>
          <w:highlight w:val="none"/>
        </w:rPr>
        <w:t>合同。</w:t>
      </w:r>
    </w:p>
    <w:p w14:paraId="14C539C9">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特此通知。</w:t>
      </w:r>
    </w:p>
    <w:p w14:paraId="1C48E371">
      <w:pPr>
        <w:snapToGrid w:val="0"/>
        <w:spacing w:line="360" w:lineRule="auto"/>
        <w:ind w:firstLine="480" w:firstLineChars="200"/>
        <w:rPr>
          <w:rFonts w:ascii="宋体" w:hAnsi="宋体"/>
          <w:snapToGrid w:val="0"/>
          <w:color w:val="auto"/>
          <w:kern w:val="0"/>
          <w:sz w:val="24"/>
          <w:highlight w:val="none"/>
        </w:rPr>
      </w:pPr>
    </w:p>
    <w:p w14:paraId="4D2AF2AD">
      <w:pPr>
        <w:snapToGrid w:val="0"/>
        <w:spacing w:line="360" w:lineRule="auto"/>
        <w:ind w:firstLine="5102" w:firstLineChars="2126"/>
        <w:rPr>
          <w:rFonts w:ascii="宋体" w:hAnsi="宋体"/>
          <w:snapToGrid w:val="0"/>
          <w:color w:val="auto"/>
          <w:kern w:val="0"/>
          <w:sz w:val="24"/>
          <w:highlight w:val="none"/>
        </w:rPr>
      </w:pPr>
      <w:r>
        <w:rPr>
          <w:rFonts w:ascii="宋体" w:hAnsi="宋体"/>
          <w:snapToGrid w:val="0"/>
          <w:color w:val="auto"/>
          <w:kern w:val="0"/>
          <w:sz w:val="24"/>
          <w:highlight w:val="none"/>
        </w:rPr>
        <w:t>招标人</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r>
        <w:rPr>
          <w:rFonts w:hint="eastAsia" w:ascii="宋体" w:hAnsi="宋体"/>
          <w:snapToGrid w:val="0"/>
          <w:color w:val="auto"/>
          <w:kern w:val="0"/>
          <w:szCs w:val="21"/>
          <w:highlight w:val="none"/>
          <w:u w:val="single"/>
        </w:rPr>
        <w:t xml:space="preserve">              </w:t>
      </w:r>
    </w:p>
    <w:p w14:paraId="6CB12B89">
      <w:pPr>
        <w:snapToGrid w:val="0"/>
        <w:spacing w:line="360" w:lineRule="auto"/>
        <w:ind w:firstLine="5102" w:firstLineChars="2126"/>
        <w:rPr>
          <w:rFonts w:ascii="宋体" w:hAnsi="宋体"/>
          <w:snapToGrid w:val="0"/>
          <w:color w:val="auto"/>
          <w:kern w:val="0"/>
          <w:sz w:val="24"/>
          <w:highlight w:val="none"/>
        </w:rPr>
      </w:pPr>
      <w:r>
        <w:rPr>
          <w:rFonts w:ascii="宋体" w:hAnsi="宋体"/>
          <w:snapToGrid w:val="0"/>
          <w:color w:val="auto"/>
          <w:kern w:val="0"/>
          <w:sz w:val="24"/>
          <w:highlight w:val="none"/>
        </w:rPr>
        <w:t>法定代表人：</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（签字）</w:t>
      </w:r>
    </w:p>
    <w:p w14:paraId="48EE3D66">
      <w:pPr>
        <w:snapToGrid w:val="0"/>
        <w:spacing w:line="360" w:lineRule="auto"/>
        <w:ind w:firstLine="5102" w:firstLineChars="2126"/>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日期： </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 w:val="24"/>
          <w:highlight w:val="none"/>
        </w:rPr>
        <w:t>日</w:t>
      </w:r>
    </w:p>
    <w:p w14:paraId="6D9A45BB">
      <w:pPr>
        <w:snapToGrid w:val="0"/>
        <w:spacing w:line="360" w:lineRule="auto"/>
        <w:rPr>
          <w:rFonts w:ascii="宋体" w:hAnsi="宋体"/>
          <w:snapToGrid w:val="0"/>
          <w:color w:val="auto"/>
          <w:kern w:val="0"/>
          <w:sz w:val="24"/>
          <w:highlight w:val="none"/>
        </w:rPr>
      </w:pPr>
    </w:p>
    <w:p w14:paraId="39330359">
      <w:pPr>
        <w:snapToGrid w:val="0"/>
        <w:spacing w:line="360" w:lineRule="auto"/>
        <w:rPr>
          <w:rFonts w:ascii="宋体" w:hAnsi="宋体"/>
          <w:snapToGrid w:val="0"/>
          <w:color w:val="auto"/>
          <w:kern w:val="0"/>
          <w:sz w:val="2"/>
          <w:highlight w:val="none"/>
        </w:rPr>
      </w:pPr>
      <w:r>
        <w:rPr>
          <w:rFonts w:ascii="宋体" w:hAnsi="宋体"/>
          <w:snapToGrid w:val="0"/>
          <w:color w:val="auto"/>
          <w:kern w:val="0"/>
          <w:sz w:val="24"/>
          <w:highlight w:val="none"/>
        </w:rPr>
        <w:br w:type="page"/>
      </w:r>
    </w:p>
    <w:p w14:paraId="41AA2CD1">
      <w:pPr>
        <w:pStyle w:val="4"/>
        <w:ind w:left="643" w:hanging="643"/>
        <w:jc w:val="center"/>
        <w:rPr>
          <w:rFonts w:cs="Times New Roman"/>
          <w:color w:val="auto"/>
          <w:sz w:val="32"/>
          <w:szCs w:val="32"/>
          <w:highlight w:val="none"/>
        </w:rPr>
      </w:pPr>
      <w:bookmarkStart w:id="458" w:name="_Toc488649899"/>
      <w:bookmarkStart w:id="459" w:name="_Toc346269471"/>
      <w:bookmarkStart w:id="460" w:name="_Toc144974551"/>
      <w:bookmarkStart w:id="461" w:name="_Toc152042361"/>
      <w:bookmarkStart w:id="462" w:name="_Toc247527609"/>
      <w:bookmarkStart w:id="463" w:name="_Toc300835005"/>
      <w:bookmarkStart w:id="464" w:name="_Toc152045584"/>
      <w:bookmarkStart w:id="465" w:name="_Toc247514008"/>
      <w:r>
        <w:rPr>
          <w:rFonts w:hint="eastAsia"/>
          <w:color w:val="auto"/>
          <w:sz w:val="32"/>
          <w:szCs w:val="32"/>
          <w:highlight w:val="none"/>
        </w:rPr>
        <w:t>第三章</w:t>
      </w:r>
      <w:r>
        <w:rPr>
          <w:color w:val="auto"/>
          <w:sz w:val="32"/>
          <w:szCs w:val="32"/>
          <w:highlight w:val="none"/>
        </w:rPr>
        <w:t xml:space="preserve">  </w:t>
      </w:r>
      <w:r>
        <w:rPr>
          <w:rFonts w:hint="eastAsia"/>
          <w:color w:val="auto"/>
          <w:sz w:val="32"/>
          <w:szCs w:val="32"/>
          <w:highlight w:val="none"/>
        </w:rPr>
        <w:t>评标办法</w:t>
      </w:r>
      <w:bookmarkEnd w:id="458"/>
      <w:bookmarkEnd w:id="459"/>
    </w:p>
    <w:p w14:paraId="744D8069">
      <w:pPr>
        <w:pStyle w:val="3"/>
        <w:rPr>
          <w:rFonts w:eastAsia="宋体"/>
          <w:b w:val="0"/>
          <w:snapToGrid w:val="0"/>
          <w:color w:val="auto"/>
          <w:kern w:val="0"/>
          <w:highlight w:val="none"/>
        </w:rPr>
      </w:pPr>
      <w:bookmarkStart w:id="466" w:name="_Toc346269472"/>
      <w:bookmarkStart w:id="467" w:name="_Toc488649901"/>
      <w:bookmarkStart w:id="468" w:name="_Toc488649902"/>
      <w:r>
        <w:rPr>
          <w:rFonts w:hint="eastAsia" w:ascii="黑体" w:hAnsi="Times New Roman" w:eastAsia="宋体"/>
          <w:snapToGrid w:val="0"/>
          <w:color w:val="auto"/>
          <w:spacing w:val="0"/>
          <w:kern w:val="0"/>
          <w:sz w:val="24"/>
          <w:szCs w:val="24"/>
          <w:highlight w:val="none"/>
        </w:rPr>
        <w:t>评标办法前附表</w:t>
      </w:r>
      <w:bookmarkEnd w:id="466"/>
      <w:r>
        <w:rPr>
          <w:rStyle w:val="49"/>
          <w:rFonts w:hint="eastAsia" w:ascii="黑体" w:hAnsi="Times New Roman" w:eastAsia="宋体"/>
          <w:snapToGrid w:val="0"/>
          <w:color w:val="auto"/>
          <w:spacing w:val="0"/>
          <w:kern w:val="0"/>
          <w:sz w:val="24"/>
          <w:szCs w:val="24"/>
          <w:highlight w:val="none"/>
        </w:rPr>
        <w:footnoteReference w:id="2"/>
      </w:r>
      <w:bookmarkEnd w:id="467"/>
      <w:bookmarkEnd w:id="468"/>
    </w:p>
    <w:tbl>
      <w:tblPr>
        <w:tblStyle w:val="4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03"/>
        <w:gridCol w:w="2409"/>
        <w:gridCol w:w="5245"/>
      </w:tblGrid>
      <w:tr w14:paraId="4F9C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560" w:type="dxa"/>
            <w:gridSpan w:val="2"/>
            <w:vAlign w:val="center"/>
          </w:tcPr>
          <w:p w14:paraId="392470F3">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条款号</w:t>
            </w:r>
          </w:p>
        </w:tc>
        <w:tc>
          <w:tcPr>
            <w:tcW w:w="2409" w:type="dxa"/>
            <w:vAlign w:val="center"/>
          </w:tcPr>
          <w:p w14:paraId="1E8272B0">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评审因素</w:t>
            </w:r>
          </w:p>
        </w:tc>
        <w:tc>
          <w:tcPr>
            <w:tcW w:w="5245" w:type="dxa"/>
            <w:vAlign w:val="center"/>
          </w:tcPr>
          <w:p w14:paraId="3FEA545A">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评审标准</w:t>
            </w:r>
          </w:p>
        </w:tc>
      </w:tr>
      <w:tr w14:paraId="41C0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60" w:type="dxa"/>
            <w:gridSpan w:val="2"/>
            <w:vAlign w:val="center"/>
          </w:tcPr>
          <w:p w14:paraId="34D60C4C">
            <w:pPr>
              <w:adjustRightInd w:val="0"/>
              <w:snapToGrid w:val="0"/>
              <w:spacing w:before="60" w:beforeLines="25" w:after="60" w:afterLines="25"/>
              <w:ind w:firstLine="630" w:firstLineChars="300"/>
              <w:jc w:val="left"/>
              <w:rPr>
                <w:rFonts w:ascii="宋体" w:hAnsi="宋体"/>
                <w:snapToGrid w:val="0"/>
                <w:color w:val="auto"/>
                <w:kern w:val="0"/>
                <w:szCs w:val="21"/>
                <w:highlight w:val="none"/>
              </w:rPr>
            </w:pPr>
            <w:r>
              <w:rPr>
                <w:rFonts w:hint="eastAsia" w:ascii="宋体" w:hAnsi="宋体" w:cs="宋体"/>
                <w:color w:val="auto"/>
                <w:szCs w:val="21"/>
                <w:highlight w:val="none"/>
              </w:rPr>
              <w:t>1</w:t>
            </w:r>
          </w:p>
          <w:p w14:paraId="57040736">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4EB9C49E">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cs="宋体"/>
                <w:color w:val="auto"/>
                <w:szCs w:val="21"/>
                <w:highlight w:val="none"/>
              </w:rPr>
              <w:t>评标方法</w:t>
            </w:r>
          </w:p>
          <w:p w14:paraId="3DB89E8F">
            <w:pPr>
              <w:adjustRightInd w:val="0"/>
              <w:snapToGrid w:val="0"/>
              <w:spacing w:before="60" w:beforeLines="25" w:after="60" w:afterLines="25"/>
              <w:jc w:val="left"/>
              <w:rPr>
                <w:rFonts w:ascii="宋体" w:hAnsi="宋体"/>
                <w:snapToGrid w:val="0"/>
                <w:color w:val="auto"/>
                <w:kern w:val="0"/>
                <w:szCs w:val="21"/>
                <w:highlight w:val="none"/>
              </w:rPr>
            </w:pPr>
          </w:p>
          <w:p w14:paraId="4D25B3D1">
            <w:pPr>
              <w:adjustRightInd w:val="0"/>
              <w:snapToGrid w:val="0"/>
              <w:spacing w:before="60" w:beforeLines="25" w:after="60" w:afterLines="25"/>
              <w:jc w:val="left"/>
              <w:rPr>
                <w:rFonts w:ascii="宋体" w:hAnsi="宋体"/>
                <w:snapToGrid w:val="0"/>
                <w:color w:val="auto"/>
                <w:kern w:val="0"/>
                <w:szCs w:val="21"/>
                <w:highlight w:val="none"/>
              </w:rPr>
            </w:pPr>
          </w:p>
        </w:tc>
        <w:tc>
          <w:tcPr>
            <w:tcW w:w="5245" w:type="dxa"/>
          </w:tcPr>
          <w:p w14:paraId="322D970A">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本次评标采用“</w:t>
            </w:r>
            <w:r>
              <w:rPr>
                <w:rFonts w:hint="eastAsia" w:ascii="宋体" w:hAnsi="宋体"/>
                <w:snapToGrid w:val="0"/>
                <w:color w:val="auto"/>
                <w:kern w:val="0"/>
                <w:szCs w:val="21"/>
                <w:highlight w:val="none"/>
                <w:lang w:eastAsia="zh-CN"/>
              </w:rPr>
              <w:t>定性评审法</w:t>
            </w:r>
            <w:r>
              <w:rPr>
                <w:rFonts w:hint="eastAsia" w:ascii="宋体" w:hAnsi="宋体"/>
                <w:snapToGrid w:val="0"/>
                <w:color w:val="auto"/>
                <w:kern w:val="0"/>
                <w:szCs w:val="21"/>
                <w:highlight w:val="none"/>
              </w:rPr>
              <w:t>”。评标委员会对通过资格性评审、符合性检查和响应性评审的投标文件进行详细评审后，根据综合得分结果推荐出5名定标候选人（不排序，少于5名的全部推荐为定标候选人）。</w:t>
            </w:r>
          </w:p>
        </w:tc>
      </w:tr>
      <w:tr w14:paraId="7DE6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7" w:type="dxa"/>
            <w:vMerge w:val="restart"/>
            <w:vAlign w:val="center"/>
          </w:tcPr>
          <w:p w14:paraId="274B9480">
            <w:pPr>
              <w:adjustRightInd w:val="0"/>
              <w:snapToGrid w:val="0"/>
              <w:spacing w:before="60" w:beforeLines="25" w:after="60" w:afterLines="25"/>
              <w:jc w:val="left"/>
              <w:rPr>
                <w:rFonts w:ascii="宋体" w:hAnsi="宋体"/>
                <w:snapToGrid w:val="0"/>
                <w:color w:val="auto"/>
                <w:kern w:val="0"/>
                <w:szCs w:val="21"/>
                <w:highlight w:val="none"/>
              </w:rPr>
            </w:pPr>
            <w:r>
              <w:rPr>
                <w:rFonts w:ascii="宋体" w:hAnsi="宋体"/>
                <w:snapToGrid w:val="0"/>
                <w:color w:val="auto"/>
                <w:kern w:val="0"/>
                <w:szCs w:val="21"/>
                <w:highlight w:val="none"/>
              </w:rPr>
              <w:t>2.1.</w:t>
            </w:r>
            <w:r>
              <w:rPr>
                <w:rFonts w:hint="eastAsia" w:ascii="宋体" w:hAnsi="宋体"/>
                <w:snapToGrid w:val="0"/>
                <w:color w:val="auto"/>
                <w:kern w:val="0"/>
                <w:szCs w:val="21"/>
                <w:highlight w:val="none"/>
              </w:rPr>
              <w:t>1</w:t>
            </w:r>
          </w:p>
        </w:tc>
        <w:tc>
          <w:tcPr>
            <w:tcW w:w="903" w:type="dxa"/>
            <w:vMerge w:val="restart"/>
            <w:vAlign w:val="center"/>
          </w:tcPr>
          <w:p w14:paraId="11849D9F">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资格</w:t>
            </w:r>
          </w:p>
          <w:p w14:paraId="1EEC22F8">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w:t>
            </w:r>
          </w:p>
          <w:p w14:paraId="394B5C1A">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标准</w:t>
            </w:r>
          </w:p>
        </w:tc>
        <w:tc>
          <w:tcPr>
            <w:tcW w:w="2409" w:type="dxa"/>
            <w:vAlign w:val="center"/>
          </w:tcPr>
          <w:p w14:paraId="49E23F3C">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营业执照</w:t>
            </w:r>
          </w:p>
        </w:tc>
        <w:tc>
          <w:tcPr>
            <w:tcW w:w="5245" w:type="dxa"/>
          </w:tcPr>
          <w:p w14:paraId="50769E18">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具备有效的营业执照</w:t>
            </w:r>
          </w:p>
        </w:tc>
      </w:tr>
      <w:tr w14:paraId="6CD8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7" w:type="dxa"/>
            <w:vMerge w:val="continue"/>
            <w:vAlign w:val="center"/>
          </w:tcPr>
          <w:p w14:paraId="4E91D749">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0B1BDA13">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6F3A6CE0">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资质要求</w:t>
            </w:r>
          </w:p>
        </w:tc>
        <w:tc>
          <w:tcPr>
            <w:tcW w:w="5245" w:type="dxa"/>
          </w:tcPr>
          <w:p w14:paraId="2BCE24DB">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rPr>
              <w:t>款规定</w:t>
            </w:r>
          </w:p>
        </w:tc>
      </w:tr>
      <w:tr w14:paraId="51F1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0E28E40D">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76E39AF7">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467EC4FD">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业绩要求</w:t>
            </w:r>
          </w:p>
        </w:tc>
        <w:tc>
          <w:tcPr>
            <w:tcW w:w="5245" w:type="dxa"/>
          </w:tcPr>
          <w:p w14:paraId="77C706E6">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u w:val="single"/>
              </w:rPr>
              <w:t>款</w:t>
            </w:r>
            <w:r>
              <w:rPr>
                <w:rFonts w:hint="eastAsia" w:ascii="宋体" w:hAnsi="宋体"/>
                <w:snapToGrid w:val="0"/>
                <w:color w:val="auto"/>
                <w:kern w:val="0"/>
                <w:szCs w:val="21"/>
                <w:highlight w:val="none"/>
              </w:rPr>
              <w:t>规定</w:t>
            </w:r>
          </w:p>
        </w:tc>
      </w:tr>
      <w:tr w14:paraId="1ECA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0F71C80F">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011A9283">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4159A3A6">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信誉要求</w:t>
            </w:r>
          </w:p>
        </w:tc>
        <w:tc>
          <w:tcPr>
            <w:tcW w:w="5245" w:type="dxa"/>
          </w:tcPr>
          <w:p w14:paraId="36ED1624">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rPr>
              <w:t>款规定</w:t>
            </w:r>
          </w:p>
        </w:tc>
      </w:tr>
      <w:tr w14:paraId="54DC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3CA65C8B">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36A52B3C">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6244256C">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财务状况</w:t>
            </w:r>
          </w:p>
        </w:tc>
        <w:tc>
          <w:tcPr>
            <w:tcW w:w="5245" w:type="dxa"/>
          </w:tcPr>
          <w:p w14:paraId="6F2AC9EB">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rPr>
              <w:t>款规定</w:t>
            </w:r>
          </w:p>
        </w:tc>
      </w:tr>
      <w:tr w14:paraId="5AE9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4EBEC2D1">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61DF37ED">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73271E43">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人员要求</w:t>
            </w:r>
          </w:p>
        </w:tc>
        <w:tc>
          <w:tcPr>
            <w:tcW w:w="5245" w:type="dxa"/>
          </w:tcPr>
          <w:p w14:paraId="7272A8B8">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1.4.1</w:t>
            </w:r>
            <w:r>
              <w:rPr>
                <w:rFonts w:hint="eastAsia" w:ascii="宋体" w:hAnsi="宋体"/>
                <w:snapToGrid w:val="0"/>
                <w:color w:val="auto"/>
                <w:kern w:val="0"/>
                <w:szCs w:val="21"/>
                <w:highlight w:val="none"/>
              </w:rPr>
              <w:t>款规定</w:t>
            </w:r>
          </w:p>
        </w:tc>
      </w:tr>
      <w:tr w14:paraId="0E0E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0645DD09">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5598DDC1">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6E3B64B4">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其它要求</w:t>
            </w:r>
          </w:p>
        </w:tc>
        <w:tc>
          <w:tcPr>
            <w:tcW w:w="5245" w:type="dxa"/>
          </w:tcPr>
          <w:p w14:paraId="78990855">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1.4.2</w:t>
            </w:r>
            <w:r>
              <w:rPr>
                <w:rFonts w:hint="eastAsia" w:ascii="宋体" w:hAnsi="宋体"/>
                <w:snapToGrid w:val="0"/>
                <w:color w:val="auto"/>
                <w:kern w:val="0"/>
                <w:szCs w:val="21"/>
                <w:highlight w:val="none"/>
              </w:rPr>
              <w:t>款规定</w:t>
            </w:r>
          </w:p>
        </w:tc>
      </w:tr>
      <w:tr w14:paraId="7FA8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7C36DD62">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7A013132">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6B29BACB">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联合体投标人（如果有）</w:t>
            </w:r>
          </w:p>
        </w:tc>
        <w:tc>
          <w:tcPr>
            <w:tcW w:w="5245" w:type="dxa"/>
          </w:tcPr>
          <w:p w14:paraId="30E92328">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符合第二章“投标人须知”第1.4.2款规定</w:t>
            </w:r>
          </w:p>
        </w:tc>
      </w:tr>
      <w:tr w14:paraId="60D8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33766D04">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74AD3E3C">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2224DBBD">
            <w:pPr>
              <w:adjustRightInd w:val="0"/>
              <w:snapToGrid w:val="0"/>
              <w:jc w:val="center"/>
              <w:rPr>
                <w:rFonts w:ascii="宋体" w:hAnsi="宋体"/>
                <w:snapToGrid w:val="0"/>
                <w:color w:val="auto"/>
                <w:kern w:val="0"/>
                <w:szCs w:val="21"/>
                <w:highlight w:val="none"/>
              </w:rPr>
            </w:pPr>
            <w:r>
              <w:rPr>
                <w:rFonts w:hint="eastAsia" w:ascii="宋体" w:hAnsi="宋体"/>
                <w:color w:val="auto"/>
                <w:szCs w:val="21"/>
                <w:highlight w:val="none"/>
              </w:rPr>
              <w:t>投标文件软硬件信息不得出现的情形</w:t>
            </w:r>
          </w:p>
        </w:tc>
        <w:tc>
          <w:tcPr>
            <w:tcW w:w="5245" w:type="dxa"/>
            <w:vAlign w:val="center"/>
          </w:tcPr>
          <w:p w14:paraId="0C50D3DF">
            <w:pPr>
              <w:spacing w:line="300" w:lineRule="auto"/>
              <w:rPr>
                <w:rFonts w:ascii="宋体" w:hAnsi="宋体"/>
                <w:snapToGrid w:val="0"/>
                <w:color w:val="auto"/>
                <w:kern w:val="0"/>
                <w:szCs w:val="21"/>
                <w:highlight w:val="none"/>
              </w:rPr>
            </w:pPr>
            <w:r>
              <w:rPr>
                <w:rFonts w:hint="eastAsia" w:ascii="Times New Roman" w:hAnsi="Times New Roman"/>
                <w:color w:val="auto"/>
                <w:highlight w:val="none"/>
              </w:rPr>
              <w:t>电子投标文件记录的计算机硬件信息中，不得存在一条及以上的计算机的MAC地址、CPU序列号、硬盘序列号空值的情形。</w:t>
            </w:r>
          </w:p>
        </w:tc>
      </w:tr>
      <w:tr w14:paraId="23D4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154531C7">
            <w:pPr>
              <w:adjustRightInd w:val="0"/>
              <w:snapToGrid w:val="0"/>
              <w:spacing w:before="60" w:beforeLines="25" w:after="60" w:afterLines="25"/>
              <w:jc w:val="left"/>
              <w:rPr>
                <w:rFonts w:ascii="宋体" w:hAnsi="宋体"/>
                <w:snapToGrid w:val="0"/>
                <w:color w:val="auto"/>
                <w:kern w:val="0"/>
                <w:szCs w:val="21"/>
                <w:highlight w:val="none"/>
              </w:rPr>
            </w:pPr>
            <w:r>
              <w:rPr>
                <w:rFonts w:ascii="宋体" w:hAnsi="宋体"/>
                <w:snapToGrid w:val="0"/>
                <w:color w:val="auto"/>
                <w:kern w:val="0"/>
                <w:szCs w:val="21"/>
                <w:highlight w:val="none"/>
              </w:rPr>
              <w:t>2.1.</w:t>
            </w:r>
            <w:r>
              <w:rPr>
                <w:rFonts w:hint="eastAsia" w:ascii="宋体" w:hAnsi="宋体"/>
                <w:snapToGrid w:val="0"/>
                <w:color w:val="auto"/>
                <w:kern w:val="0"/>
                <w:szCs w:val="21"/>
                <w:highlight w:val="none"/>
              </w:rPr>
              <w:t>2</w:t>
            </w:r>
          </w:p>
        </w:tc>
        <w:tc>
          <w:tcPr>
            <w:tcW w:w="903" w:type="dxa"/>
            <w:vMerge w:val="restart"/>
            <w:vAlign w:val="center"/>
          </w:tcPr>
          <w:p w14:paraId="31604457">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形式</w:t>
            </w:r>
          </w:p>
          <w:p w14:paraId="39104417">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w:t>
            </w:r>
          </w:p>
          <w:p w14:paraId="2E8DBAE4">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标准</w:t>
            </w:r>
          </w:p>
        </w:tc>
        <w:tc>
          <w:tcPr>
            <w:tcW w:w="2409" w:type="dxa"/>
            <w:vAlign w:val="center"/>
          </w:tcPr>
          <w:p w14:paraId="6F380F5B">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投标人名称</w:t>
            </w:r>
          </w:p>
        </w:tc>
        <w:tc>
          <w:tcPr>
            <w:tcW w:w="5245" w:type="dxa"/>
          </w:tcPr>
          <w:p w14:paraId="5F8FEBAA">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与营业执照、资质证书一致</w:t>
            </w:r>
          </w:p>
        </w:tc>
      </w:tr>
      <w:tr w14:paraId="5579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59D65CFD">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34BECFA1">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368C5A62">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投标函签字盖章</w:t>
            </w:r>
          </w:p>
        </w:tc>
        <w:tc>
          <w:tcPr>
            <w:tcW w:w="5245" w:type="dxa"/>
          </w:tcPr>
          <w:p w14:paraId="55D46093">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加盖单位电子公章</w:t>
            </w:r>
          </w:p>
        </w:tc>
      </w:tr>
      <w:tr w14:paraId="0F6D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3B19639D">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432679F2">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1CAF001A">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投标文件格式</w:t>
            </w:r>
          </w:p>
        </w:tc>
        <w:tc>
          <w:tcPr>
            <w:tcW w:w="5245" w:type="dxa"/>
          </w:tcPr>
          <w:p w14:paraId="7B82622D">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符合第八章“投标文件格式”的要求</w:t>
            </w:r>
          </w:p>
        </w:tc>
      </w:tr>
      <w:tr w14:paraId="194B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02B69AFF">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585F5D71">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26E7CA05">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联合体投标人（如果有）</w:t>
            </w:r>
          </w:p>
        </w:tc>
        <w:tc>
          <w:tcPr>
            <w:tcW w:w="5245" w:type="dxa"/>
          </w:tcPr>
          <w:p w14:paraId="4C2B001F">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提交联合体协议书，并明确联合体牵头人</w:t>
            </w:r>
          </w:p>
        </w:tc>
      </w:tr>
      <w:tr w14:paraId="1AD1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1AD062EB">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22550504">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7CCF0184">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报价唯一</w:t>
            </w:r>
          </w:p>
        </w:tc>
        <w:tc>
          <w:tcPr>
            <w:tcW w:w="5245" w:type="dxa"/>
          </w:tcPr>
          <w:p w14:paraId="02DB136C">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只能有一个有效报价</w:t>
            </w:r>
          </w:p>
        </w:tc>
      </w:tr>
      <w:tr w14:paraId="037B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restart"/>
            <w:vAlign w:val="center"/>
          </w:tcPr>
          <w:p w14:paraId="1D3F62E0">
            <w:pPr>
              <w:adjustRightInd w:val="0"/>
              <w:snapToGrid w:val="0"/>
              <w:spacing w:before="60" w:beforeLines="25" w:after="60" w:afterLines="25"/>
              <w:jc w:val="left"/>
              <w:rPr>
                <w:rFonts w:ascii="宋体" w:hAnsi="宋体"/>
                <w:snapToGrid w:val="0"/>
                <w:color w:val="auto"/>
                <w:kern w:val="0"/>
                <w:szCs w:val="21"/>
                <w:highlight w:val="none"/>
              </w:rPr>
            </w:pPr>
            <w:r>
              <w:rPr>
                <w:rFonts w:ascii="宋体" w:hAnsi="宋体"/>
                <w:snapToGrid w:val="0"/>
                <w:color w:val="auto"/>
                <w:kern w:val="0"/>
                <w:szCs w:val="21"/>
                <w:highlight w:val="none"/>
              </w:rPr>
              <w:t>2.1.</w:t>
            </w:r>
            <w:r>
              <w:rPr>
                <w:rFonts w:hint="eastAsia" w:ascii="宋体" w:hAnsi="宋体"/>
                <w:snapToGrid w:val="0"/>
                <w:color w:val="auto"/>
                <w:kern w:val="0"/>
                <w:szCs w:val="21"/>
                <w:highlight w:val="none"/>
              </w:rPr>
              <w:t>3</w:t>
            </w:r>
          </w:p>
        </w:tc>
        <w:tc>
          <w:tcPr>
            <w:tcW w:w="903" w:type="dxa"/>
            <w:vMerge w:val="restart"/>
            <w:vAlign w:val="center"/>
          </w:tcPr>
          <w:p w14:paraId="6299EB51">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响应性</w:t>
            </w:r>
          </w:p>
          <w:p w14:paraId="277A7EC9">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评审</w:t>
            </w:r>
          </w:p>
          <w:p w14:paraId="704936A2">
            <w:pPr>
              <w:adjustRightInd w:val="0"/>
              <w:snapToGrid w:val="0"/>
              <w:spacing w:before="60" w:beforeLines="25" w:after="60" w:afterLines="25"/>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标准</w:t>
            </w:r>
          </w:p>
          <w:p w14:paraId="5401A4B9">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3B1F2953">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投标报价</w:t>
            </w:r>
          </w:p>
        </w:tc>
        <w:tc>
          <w:tcPr>
            <w:tcW w:w="5245" w:type="dxa"/>
          </w:tcPr>
          <w:p w14:paraId="72E5EA0A">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不得超过最高限价</w:t>
            </w:r>
          </w:p>
        </w:tc>
      </w:tr>
      <w:tr w14:paraId="3747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vAlign w:val="center"/>
          </w:tcPr>
          <w:p w14:paraId="2CF03B2C">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vAlign w:val="center"/>
          </w:tcPr>
          <w:p w14:paraId="7AE6BE09">
            <w:pPr>
              <w:adjustRightInd w:val="0"/>
              <w:snapToGrid w:val="0"/>
              <w:spacing w:before="60" w:beforeLines="25" w:after="60" w:afterLines="25"/>
              <w:jc w:val="center"/>
              <w:rPr>
                <w:rFonts w:ascii="宋体" w:hAnsi="宋体"/>
                <w:snapToGrid w:val="0"/>
                <w:color w:val="auto"/>
                <w:kern w:val="0"/>
                <w:szCs w:val="21"/>
                <w:highlight w:val="none"/>
              </w:rPr>
            </w:pPr>
          </w:p>
        </w:tc>
        <w:tc>
          <w:tcPr>
            <w:tcW w:w="2409" w:type="dxa"/>
            <w:vAlign w:val="center"/>
          </w:tcPr>
          <w:p w14:paraId="22B92099">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投标内容</w:t>
            </w:r>
          </w:p>
        </w:tc>
        <w:tc>
          <w:tcPr>
            <w:tcW w:w="5245" w:type="dxa"/>
          </w:tcPr>
          <w:p w14:paraId="0AE2F88F">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符合第二章“投标人须知”第1.</w:t>
            </w:r>
            <w:r>
              <w:rPr>
                <w:rFonts w:ascii="宋体" w:hAnsi="宋体"/>
                <w:snapToGrid w:val="0"/>
                <w:color w:val="auto"/>
                <w:kern w:val="0"/>
                <w:szCs w:val="21"/>
                <w:highlight w:val="none"/>
              </w:rPr>
              <w:t>3</w:t>
            </w:r>
            <w:r>
              <w:rPr>
                <w:rFonts w:hint="eastAsia" w:ascii="宋体" w:hAnsi="宋体"/>
                <w:snapToGrid w:val="0"/>
                <w:color w:val="auto"/>
                <w:kern w:val="0"/>
                <w:szCs w:val="21"/>
                <w:highlight w:val="none"/>
              </w:rPr>
              <w:t>条规定</w:t>
            </w:r>
          </w:p>
        </w:tc>
      </w:tr>
      <w:tr w14:paraId="1F76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tcPr>
          <w:p w14:paraId="4D75CFB5">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tcPr>
          <w:p w14:paraId="662BBC36">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vAlign w:val="center"/>
          </w:tcPr>
          <w:p w14:paraId="53CF1D0A">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勘察设计周期</w:t>
            </w:r>
          </w:p>
        </w:tc>
        <w:tc>
          <w:tcPr>
            <w:tcW w:w="5245" w:type="dxa"/>
          </w:tcPr>
          <w:p w14:paraId="6D94E09F">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1.3</w:t>
            </w:r>
            <w:r>
              <w:rPr>
                <w:rFonts w:hint="eastAsia" w:ascii="宋体" w:hAnsi="宋体"/>
                <w:snapToGrid w:val="0"/>
                <w:color w:val="auto"/>
                <w:kern w:val="0"/>
                <w:szCs w:val="21"/>
                <w:highlight w:val="none"/>
              </w:rPr>
              <w:t>条规定</w:t>
            </w:r>
          </w:p>
        </w:tc>
      </w:tr>
      <w:tr w14:paraId="0B93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tcPr>
          <w:p w14:paraId="173E1212">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tcPr>
          <w:p w14:paraId="04706322">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vAlign w:val="center"/>
          </w:tcPr>
          <w:p w14:paraId="44D02CE4">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质量要求</w:t>
            </w:r>
          </w:p>
        </w:tc>
        <w:tc>
          <w:tcPr>
            <w:tcW w:w="5245" w:type="dxa"/>
          </w:tcPr>
          <w:p w14:paraId="2303C5CC">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1.3</w:t>
            </w:r>
            <w:r>
              <w:rPr>
                <w:rFonts w:hint="eastAsia" w:ascii="宋体" w:hAnsi="宋体"/>
                <w:snapToGrid w:val="0"/>
                <w:color w:val="auto"/>
                <w:kern w:val="0"/>
                <w:szCs w:val="21"/>
                <w:highlight w:val="none"/>
              </w:rPr>
              <w:t>条规定</w:t>
            </w:r>
          </w:p>
        </w:tc>
      </w:tr>
      <w:tr w14:paraId="31D7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tcPr>
          <w:p w14:paraId="56E6DAE9">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tcPr>
          <w:p w14:paraId="05F30DF1">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vAlign w:val="center"/>
          </w:tcPr>
          <w:p w14:paraId="68947AA9">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投标有效期</w:t>
            </w:r>
          </w:p>
        </w:tc>
        <w:tc>
          <w:tcPr>
            <w:tcW w:w="5245" w:type="dxa"/>
          </w:tcPr>
          <w:p w14:paraId="069DD9B9">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3.3.1</w:t>
            </w:r>
            <w:r>
              <w:rPr>
                <w:rFonts w:hint="eastAsia" w:ascii="宋体" w:hAnsi="宋体"/>
                <w:snapToGrid w:val="0"/>
                <w:color w:val="auto"/>
                <w:kern w:val="0"/>
                <w:szCs w:val="21"/>
                <w:highlight w:val="none"/>
              </w:rPr>
              <w:t>款规定</w:t>
            </w:r>
          </w:p>
        </w:tc>
      </w:tr>
      <w:tr w14:paraId="446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tcPr>
          <w:p w14:paraId="4276A3AE">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tcPr>
          <w:p w14:paraId="3F89F179">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vAlign w:val="center"/>
          </w:tcPr>
          <w:p w14:paraId="73F3FCC1">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投标保证金</w:t>
            </w:r>
          </w:p>
        </w:tc>
        <w:tc>
          <w:tcPr>
            <w:tcW w:w="5245" w:type="dxa"/>
          </w:tcPr>
          <w:p w14:paraId="5817A4C3">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符合第二章“投标人须知”第</w:t>
            </w:r>
            <w:r>
              <w:rPr>
                <w:rFonts w:ascii="宋体" w:hAnsi="宋体"/>
                <w:snapToGrid w:val="0"/>
                <w:color w:val="auto"/>
                <w:kern w:val="0"/>
                <w:szCs w:val="21"/>
                <w:highlight w:val="none"/>
              </w:rPr>
              <w:t>3.4.1</w:t>
            </w:r>
            <w:r>
              <w:rPr>
                <w:rFonts w:hint="eastAsia" w:ascii="宋体" w:hAnsi="宋体"/>
                <w:snapToGrid w:val="0"/>
                <w:color w:val="auto"/>
                <w:kern w:val="0"/>
                <w:szCs w:val="21"/>
                <w:highlight w:val="none"/>
              </w:rPr>
              <w:t>款规定</w:t>
            </w:r>
          </w:p>
        </w:tc>
      </w:tr>
      <w:tr w14:paraId="19B1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 w:type="dxa"/>
            <w:vMerge w:val="continue"/>
          </w:tcPr>
          <w:p w14:paraId="045ECBC2">
            <w:pPr>
              <w:adjustRightInd w:val="0"/>
              <w:snapToGrid w:val="0"/>
              <w:spacing w:before="60" w:beforeLines="25" w:after="60" w:afterLines="25"/>
              <w:jc w:val="left"/>
              <w:rPr>
                <w:rFonts w:ascii="宋体" w:hAnsi="宋体"/>
                <w:snapToGrid w:val="0"/>
                <w:color w:val="auto"/>
                <w:kern w:val="0"/>
                <w:szCs w:val="21"/>
                <w:highlight w:val="none"/>
              </w:rPr>
            </w:pPr>
          </w:p>
        </w:tc>
        <w:tc>
          <w:tcPr>
            <w:tcW w:w="903" w:type="dxa"/>
            <w:vMerge w:val="continue"/>
          </w:tcPr>
          <w:p w14:paraId="5B5A00BA">
            <w:pPr>
              <w:adjustRightInd w:val="0"/>
              <w:snapToGrid w:val="0"/>
              <w:spacing w:before="60" w:beforeLines="25" w:after="60" w:afterLines="25"/>
              <w:jc w:val="left"/>
              <w:rPr>
                <w:rFonts w:ascii="宋体" w:hAnsi="宋体"/>
                <w:snapToGrid w:val="0"/>
                <w:color w:val="auto"/>
                <w:kern w:val="0"/>
                <w:szCs w:val="21"/>
                <w:highlight w:val="none"/>
              </w:rPr>
            </w:pPr>
          </w:p>
        </w:tc>
        <w:tc>
          <w:tcPr>
            <w:tcW w:w="2409" w:type="dxa"/>
            <w:vAlign w:val="center"/>
          </w:tcPr>
          <w:p w14:paraId="65B50EF2">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权利义务</w:t>
            </w:r>
          </w:p>
        </w:tc>
        <w:tc>
          <w:tcPr>
            <w:tcW w:w="5245" w:type="dxa"/>
          </w:tcPr>
          <w:p w14:paraId="044A9337">
            <w:pPr>
              <w:adjustRightInd w:val="0"/>
              <w:snapToGrid w:val="0"/>
              <w:spacing w:before="60" w:beforeLines="25" w:after="60" w:afterLines="25"/>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符合招标文件第五章“合同条款及格式”规定</w:t>
            </w:r>
          </w:p>
        </w:tc>
      </w:tr>
      <w:tr w14:paraId="711C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60" w:type="dxa"/>
            <w:gridSpan w:val="2"/>
            <w:vAlign w:val="center"/>
          </w:tcPr>
          <w:p w14:paraId="3D360B82">
            <w:pPr>
              <w:spacing w:line="360" w:lineRule="auto"/>
              <w:jc w:val="center"/>
              <w:rPr>
                <w:rFonts w:ascii="宋体" w:hAnsi="宋体"/>
                <w:color w:val="auto"/>
                <w:szCs w:val="21"/>
                <w:highlight w:val="none"/>
              </w:rPr>
            </w:pPr>
            <w:r>
              <w:rPr>
                <w:rFonts w:hint="eastAsia" w:ascii="宋体" w:hAnsi="宋体"/>
                <w:color w:val="auto"/>
                <w:szCs w:val="21"/>
                <w:highlight w:val="none"/>
              </w:rPr>
              <w:t>2.2.1</w:t>
            </w:r>
          </w:p>
        </w:tc>
        <w:tc>
          <w:tcPr>
            <w:tcW w:w="2409" w:type="dxa"/>
            <w:vAlign w:val="center"/>
          </w:tcPr>
          <w:p w14:paraId="1160BF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分值构成</w:t>
            </w:r>
          </w:p>
          <w:p w14:paraId="3A95FB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(总分100分)</w:t>
            </w:r>
          </w:p>
        </w:tc>
        <w:tc>
          <w:tcPr>
            <w:tcW w:w="5245" w:type="dxa"/>
            <w:vAlign w:val="center"/>
          </w:tcPr>
          <w:p w14:paraId="55A8ED33">
            <w:pPr>
              <w:rPr>
                <w:color w:val="auto"/>
                <w:highlight w:val="none"/>
              </w:rPr>
            </w:pPr>
            <w:r>
              <w:rPr>
                <w:rFonts w:hint="eastAsia"/>
                <w:color w:val="auto"/>
                <w:highlight w:val="none"/>
              </w:rPr>
              <w:t>商务部分：</w:t>
            </w:r>
            <w:r>
              <w:rPr>
                <w:rFonts w:hint="eastAsia"/>
                <w:color w:val="auto"/>
                <w:highlight w:val="none"/>
                <w:u w:val="single"/>
              </w:rPr>
              <w:t>40</w:t>
            </w:r>
            <w:r>
              <w:rPr>
                <w:rFonts w:hint="eastAsia"/>
                <w:color w:val="auto"/>
                <w:highlight w:val="none"/>
              </w:rPr>
              <w:t>分</w:t>
            </w:r>
          </w:p>
          <w:p w14:paraId="6685189E">
            <w:pPr>
              <w:ind w:firstLine="420" w:firstLineChars="200"/>
              <w:rPr>
                <w:color w:val="auto"/>
                <w:highlight w:val="none"/>
              </w:rPr>
            </w:pPr>
            <w:r>
              <w:rPr>
                <w:rFonts w:hint="eastAsia"/>
                <w:color w:val="auto"/>
                <w:highlight w:val="none"/>
              </w:rPr>
              <w:t>（1）投标报价    25分</w:t>
            </w:r>
          </w:p>
          <w:p w14:paraId="19667B6A">
            <w:pPr>
              <w:ind w:firstLine="420" w:firstLineChars="200"/>
              <w:rPr>
                <w:color w:val="auto"/>
                <w:highlight w:val="none"/>
              </w:rPr>
            </w:pPr>
            <w:r>
              <w:rPr>
                <w:rFonts w:hint="eastAsia"/>
                <w:color w:val="auto"/>
                <w:highlight w:val="none"/>
              </w:rPr>
              <w:t>（2）信用考核    10分</w:t>
            </w:r>
          </w:p>
          <w:p w14:paraId="7F4409E1">
            <w:pPr>
              <w:ind w:firstLine="420" w:firstLineChars="200"/>
              <w:rPr>
                <w:color w:val="auto"/>
                <w:highlight w:val="none"/>
              </w:rPr>
            </w:pPr>
            <w:r>
              <w:rPr>
                <w:rFonts w:hint="eastAsia"/>
                <w:color w:val="auto"/>
                <w:highlight w:val="none"/>
              </w:rPr>
              <w:t>（3）业绩分      5分</w:t>
            </w:r>
          </w:p>
          <w:p w14:paraId="27215115">
            <w:pPr>
              <w:rPr>
                <w:color w:val="auto"/>
                <w:highlight w:val="none"/>
              </w:rPr>
            </w:pPr>
            <w:r>
              <w:rPr>
                <w:rFonts w:hint="eastAsia"/>
                <w:color w:val="auto"/>
                <w:highlight w:val="none"/>
              </w:rPr>
              <w:t>技术部分：</w:t>
            </w:r>
            <w:r>
              <w:rPr>
                <w:rFonts w:hint="eastAsia"/>
                <w:color w:val="auto"/>
                <w:highlight w:val="none"/>
                <w:u w:val="single"/>
              </w:rPr>
              <w:t>60</w:t>
            </w:r>
            <w:r>
              <w:rPr>
                <w:rFonts w:hint="eastAsia"/>
                <w:color w:val="auto"/>
                <w:highlight w:val="none"/>
              </w:rPr>
              <w:t>分</w:t>
            </w:r>
          </w:p>
        </w:tc>
      </w:tr>
    </w:tbl>
    <w:p w14:paraId="6F049AD1">
      <w:pPr>
        <w:snapToGrid w:val="0"/>
        <w:spacing w:line="360" w:lineRule="auto"/>
        <w:rPr>
          <w:rFonts w:ascii="宋体" w:hAnsi="宋体"/>
          <w:snapToGrid w:val="0"/>
          <w:color w:val="auto"/>
          <w:kern w:val="0"/>
          <w:sz w:val="10"/>
          <w:highlight w:val="none"/>
        </w:rPr>
      </w:pPr>
      <w:r>
        <w:rPr>
          <w:rFonts w:ascii="宋体" w:hAnsi="宋体"/>
          <w:snapToGrid w:val="0"/>
          <w:color w:val="auto"/>
          <w:kern w:val="0"/>
          <w:sz w:val="24"/>
          <w:highlight w:val="none"/>
        </w:rPr>
        <w:br w:type="page"/>
      </w:r>
    </w:p>
    <w:tbl>
      <w:tblPr>
        <w:tblStyle w:val="42"/>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29"/>
        <w:gridCol w:w="539"/>
        <w:gridCol w:w="1560"/>
        <w:gridCol w:w="708"/>
        <w:gridCol w:w="5161"/>
      </w:tblGrid>
      <w:tr w14:paraId="74B9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70" w:type="dxa"/>
            <w:gridSpan w:val="2"/>
            <w:vAlign w:val="center"/>
          </w:tcPr>
          <w:p w14:paraId="1A437DBE">
            <w:pPr>
              <w:adjustRightInd w:val="0"/>
              <w:snapToGrid w:val="0"/>
              <w:spacing w:line="360" w:lineRule="auto"/>
              <w:jc w:val="center"/>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条款号</w:t>
            </w:r>
          </w:p>
        </w:tc>
        <w:tc>
          <w:tcPr>
            <w:tcW w:w="539" w:type="dxa"/>
            <w:vAlign w:val="center"/>
          </w:tcPr>
          <w:p w14:paraId="58E8415B">
            <w:pPr>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序号</w:t>
            </w:r>
          </w:p>
        </w:tc>
        <w:tc>
          <w:tcPr>
            <w:tcW w:w="1560" w:type="dxa"/>
            <w:vAlign w:val="center"/>
          </w:tcPr>
          <w:p w14:paraId="6DFD0D1B">
            <w:pPr>
              <w:adjustRightInd w:val="0"/>
              <w:snapToGrid w:val="0"/>
              <w:spacing w:line="360" w:lineRule="auto"/>
              <w:jc w:val="center"/>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评分因素</w:t>
            </w:r>
          </w:p>
        </w:tc>
        <w:tc>
          <w:tcPr>
            <w:tcW w:w="708" w:type="dxa"/>
            <w:vAlign w:val="center"/>
          </w:tcPr>
          <w:p w14:paraId="5E1A29D0">
            <w:pPr>
              <w:jc w:val="center"/>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评分值</w:t>
            </w:r>
          </w:p>
        </w:tc>
        <w:tc>
          <w:tcPr>
            <w:tcW w:w="5161" w:type="dxa"/>
            <w:vAlign w:val="center"/>
          </w:tcPr>
          <w:p w14:paraId="6048D7B2">
            <w:pPr>
              <w:adjustRightInd w:val="0"/>
              <w:snapToGrid w:val="0"/>
              <w:spacing w:line="360" w:lineRule="auto"/>
              <w:jc w:val="center"/>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评分标准</w:t>
            </w:r>
          </w:p>
        </w:tc>
      </w:tr>
      <w:tr w14:paraId="063C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41" w:type="dxa"/>
            <w:vMerge w:val="restart"/>
            <w:vAlign w:val="center"/>
          </w:tcPr>
          <w:p w14:paraId="2FCB7995">
            <w:pPr>
              <w:adjustRightInd w:val="0"/>
              <w:snapToGrid w:val="0"/>
              <w:spacing w:line="360" w:lineRule="auto"/>
              <w:rPr>
                <w:rFonts w:hint="eastAsia" w:ascii="宋体" w:hAnsi="宋体" w:eastAsia="宋体"/>
                <w:snapToGrid w:val="0"/>
                <w:color w:val="auto"/>
                <w:kern w:val="0"/>
                <w:szCs w:val="21"/>
                <w:highlight w:val="none"/>
                <w:lang w:val="en-US" w:eastAsia="zh-CN"/>
              </w:rPr>
            </w:pPr>
            <w:r>
              <w:rPr>
                <w:rFonts w:ascii="宋体" w:hAnsi="宋体"/>
                <w:snapToGrid w:val="0"/>
                <w:color w:val="auto"/>
                <w:kern w:val="0"/>
                <w:szCs w:val="21"/>
                <w:highlight w:val="none"/>
              </w:rPr>
              <w:t>2.2.</w:t>
            </w:r>
            <w:r>
              <w:rPr>
                <w:rFonts w:hint="eastAsia" w:ascii="宋体" w:hAnsi="宋体"/>
                <w:snapToGrid w:val="0"/>
                <w:color w:val="auto"/>
                <w:kern w:val="0"/>
                <w:szCs w:val="21"/>
                <w:highlight w:val="none"/>
                <w:lang w:val="en-US" w:eastAsia="zh-CN"/>
              </w:rPr>
              <w:t>2</w:t>
            </w:r>
          </w:p>
        </w:tc>
        <w:tc>
          <w:tcPr>
            <w:tcW w:w="529" w:type="dxa"/>
            <w:vMerge w:val="restart"/>
            <w:vAlign w:val="center"/>
          </w:tcPr>
          <w:p w14:paraId="68DEE626">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商务部分评分标准</w:t>
            </w:r>
          </w:p>
        </w:tc>
        <w:tc>
          <w:tcPr>
            <w:tcW w:w="539" w:type="dxa"/>
            <w:vAlign w:val="center"/>
          </w:tcPr>
          <w:p w14:paraId="0E46D1A9">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1</w:t>
            </w:r>
          </w:p>
        </w:tc>
        <w:tc>
          <w:tcPr>
            <w:tcW w:w="1560" w:type="dxa"/>
            <w:vAlign w:val="center"/>
          </w:tcPr>
          <w:p w14:paraId="5D7579E0">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投标报价</w:t>
            </w:r>
          </w:p>
        </w:tc>
        <w:tc>
          <w:tcPr>
            <w:tcW w:w="708" w:type="dxa"/>
            <w:vAlign w:val="center"/>
          </w:tcPr>
          <w:p w14:paraId="6C9B5C27">
            <w:pPr>
              <w:wordWrap w:val="0"/>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25分</w:t>
            </w:r>
          </w:p>
        </w:tc>
        <w:tc>
          <w:tcPr>
            <w:tcW w:w="5161" w:type="dxa"/>
            <w:vAlign w:val="center"/>
          </w:tcPr>
          <w:p w14:paraId="708DA538">
            <w:pPr>
              <w:wordWrap w:val="0"/>
              <w:adjustRightInd w:val="0"/>
              <w:snapToGrid w:val="0"/>
              <w:spacing w:line="300" w:lineRule="auto"/>
              <w:rPr>
                <w:rFonts w:ascii="宋体" w:hAnsi="宋体"/>
                <w:snapToGrid w:val="0"/>
                <w:color w:val="auto"/>
                <w:kern w:val="0"/>
                <w:szCs w:val="21"/>
                <w:highlight w:val="none"/>
              </w:rPr>
            </w:pPr>
            <w:r>
              <w:rPr>
                <w:rFonts w:hint="eastAsia"/>
                <w:color w:val="auto"/>
                <w:highlight w:val="none"/>
              </w:rPr>
              <w:t>不超过最高投标限价得满分。</w:t>
            </w:r>
          </w:p>
        </w:tc>
      </w:tr>
      <w:tr w14:paraId="1FE4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41" w:type="dxa"/>
            <w:vMerge w:val="continue"/>
            <w:vAlign w:val="center"/>
          </w:tcPr>
          <w:p w14:paraId="7E47C458">
            <w:pPr>
              <w:adjustRightInd w:val="0"/>
              <w:snapToGrid w:val="0"/>
              <w:spacing w:line="360" w:lineRule="auto"/>
              <w:rPr>
                <w:rFonts w:ascii="宋体" w:hAnsi="宋体"/>
                <w:snapToGrid w:val="0"/>
                <w:color w:val="auto"/>
                <w:kern w:val="0"/>
                <w:szCs w:val="21"/>
                <w:highlight w:val="none"/>
              </w:rPr>
            </w:pPr>
          </w:p>
        </w:tc>
        <w:tc>
          <w:tcPr>
            <w:tcW w:w="529" w:type="dxa"/>
            <w:vMerge w:val="continue"/>
            <w:vAlign w:val="center"/>
          </w:tcPr>
          <w:p w14:paraId="740A05FB">
            <w:pPr>
              <w:adjustRightInd w:val="0"/>
              <w:snapToGrid w:val="0"/>
              <w:spacing w:line="360" w:lineRule="auto"/>
              <w:jc w:val="center"/>
              <w:rPr>
                <w:rFonts w:ascii="宋体" w:hAnsi="宋体"/>
                <w:snapToGrid w:val="0"/>
                <w:color w:val="auto"/>
                <w:kern w:val="0"/>
                <w:szCs w:val="21"/>
                <w:highlight w:val="none"/>
              </w:rPr>
            </w:pPr>
          </w:p>
        </w:tc>
        <w:tc>
          <w:tcPr>
            <w:tcW w:w="539" w:type="dxa"/>
            <w:vAlign w:val="center"/>
          </w:tcPr>
          <w:p w14:paraId="36C78C59">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2</w:t>
            </w:r>
          </w:p>
        </w:tc>
        <w:tc>
          <w:tcPr>
            <w:tcW w:w="1560" w:type="dxa"/>
            <w:vAlign w:val="center"/>
          </w:tcPr>
          <w:p w14:paraId="4DC121A7">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业绩分</w:t>
            </w:r>
          </w:p>
        </w:tc>
        <w:tc>
          <w:tcPr>
            <w:tcW w:w="708" w:type="dxa"/>
            <w:vAlign w:val="center"/>
          </w:tcPr>
          <w:p w14:paraId="3BDCCB9A">
            <w:pPr>
              <w:wordWrap w:val="0"/>
              <w:adjustRightInd w:val="0"/>
              <w:snapToGrid w:val="0"/>
              <w:spacing w:line="360" w:lineRule="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5分</w:t>
            </w:r>
          </w:p>
        </w:tc>
        <w:tc>
          <w:tcPr>
            <w:tcW w:w="5161" w:type="dxa"/>
            <w:vAlign w:val="center"/>
          </w:tcPr>
          <w:p w14:paraId="1CE69C1F">
            <w:pPr>
              <w:wordWrap w:val="0"/>
              <w:spacing w:line="300" w:lineRule="auto"/>
              <w:rPr>
                <w:color w:val="auto"/>
                <w:highlight w:val="none"/>
              </w:rPr>
            </w:pPr>
            <w:r>
              <w:rPr>
                <w:rFonts w:hint="eastAsia"/>
                <w:color w:val="auto"/>
                <w:highlight w:val="none"/>
              </w:rPr>
              <w:t>满足资格要求得基本分4.5分，</w:t>
            </w:r>
            <w:r>
              <w:rPr>
                <w:rFonts w:hint="eastAsia"/>
                <w:bCs/>
                <w:color w:val="auto"/>
                <w:highlight w:val="none"/>
              </w:rPr>
              <w:t>每增加一项</w:t>
            </w:r>
            <w:r>
              <w:rPr>
                <w:rFonts w:hint="eastAsia"/>
                <w:bCs/>
                <w:color w:val="auto"/>
                <w:highlight w:val="none"/>
                <w:u w:val="single"/>
              </w:rPr>
              <w:t xml:space="preserve"> （最高可设与拟建项目同等建设规模等级）</w:t>
            </w:r>
            <w:r>
              <w:rPr>
                <w:rFonts w:hint="eastAsia"/>
                <w:bCs/>
                <w:color w:val="auto"/>
                <w:highlight w:val="none"/>
              </w:rPr>
              <w:t>设计</w:t>
            </w:r>
            <w:r>
              <w:rPr>
                <w:rFonts w:hint="eastAsia"/>
                <w:color w:val="auto"/>
                <w:highlight w:val="none"/>
              </w:rPr>
              <w:t>业绩加0.5分，本项最高得5分。</w:t>
            </w:r>
          </w:p>
          <w:p w14:paraId="5C3FA0EF">
            <w:pPr>
              <w:numPr>
                <w:ilvl w:val="0"/>
                <w:numId w:val="7"/>
              </w:numPr>
              <w:wordWrap w:val="0"/>
              <w:spacing w:line="300" w:lineRule="auto"/>
              <w:rPr>
                <w:color w:val="auto"/>
                <w:highlight w:val="none"/>
              </w:rPr>
            </w:pPr>
            <w:r>
              <w:rPr>
                <w:rFonts w:hint="eastAsia"/>
                <w:color w:val="auto"/>
                <w:highlight w:val="none"/>
              </w:rPr>
              <w:t>业绩证明材料：</w:t>
            </w:r>
            <w:r>
              <w:rPr>
                <w:rFonts w:hint="eastAsia" w:ascii="宋体" w:hAnsi="宋体"/>
                <w:color w:val="auto"/>
                <w:szCs w:val="21"/>
                <w:highlight w:val="none"/>
              </w:rPr>
              <w:t>在交通运输部“全国水运建设市场信用信息管理系统”（https://wtis.mot.gov.cn/credit/index.html）中查询到的企业“业绩信息”相关项目网页截图扫描件，或在“福建省交通公路水运建设与运输市场信用信息管理系统（信用交通·福建）”（http://220.160.53.3:30050/gzwz）中查询到的网页截图（并注明查询路径）；或提供</w:t>
            </w:r>
            <w:r>
              <w:rPr>
                <w:rFonts w:hint="eastAsia" w:ascii="汉仪书宋二S" w:hAnsi="汉仪书宋二S" w:eastAsia="汉仪书宋二S" w:cs="汉仪书宋二S"/>
                <w:color w:val="auto"/>
                <w:szCs w:val="21"/>
                <w:highlight w:val="none"/>
              </w:rPr>
              <w:t>①</w:t>
            </w:r>
            <w:r>
              <w:rPr>
                <w:rFonts w:hint="eastAsia" w:ascii="宋体" w:hAnsi="宋体" w:cs="宋体"/>
                <w:bCs/>
                <w:color w:val="auto"/>
                <w:szCs w:val="21"/>
                <w:highlight w:val="none"/>
              </w:rPr>
              <w:t>合同文件扫描件，</w:t>
            </w:r>
            <w:r>
              <w:rPr>
                <w:rFonts w:hint="eastAsia" w:ascii="汉仪书宋二S" w:hAnsi="汉仪书宋二S" w:eastAsia="汉仪书宋二S" w:cs="汉仪书宋二S"/>
                <w:color w:val="auto"/>
                <w:szCs w:val="21"/>
                <w:highlight w:val="none"/>
              </w:rPr>
              <w:t>②</w:t>
            </w:r>
            <w:r>
              <w:rPr>
                <w:rFonts w:hint="eastAsia" w:ascii="宋体" w:hAnsi="宋体" w:cs="宋体"/>
                <w:bCs/>
                <w:color w:val="auto"/>
                <w:szCs w:val="21"/>
                <w:highlight w:val="none"/>
              </w:rPr>
              <w:t>行业主管部门出具的初步设计批复或施工图设计批复（审核意见）或</w:t>
            </w:r>
            <w:r>
              <w:rPr>
                <w:rFonts w:hint="eastAsia" w:ascii="宋体" w:hAnsi="宋体"/>
                <w:bCs/>
                <w:color w:val="auto"/>
                <w:szCs w:val="21"/>
                <w:highlight w:val="none"/>
              </w:rPr>
              <w:t>项目业主出具的施工图设计审定意见</w:t>
            </w:r>
            <w:r>
              <w:rPr>
                <w:rFonts w:hint="eastAsia" w:ascii="宋体" w:hAnsi="宋体" w:cs="宋体"/>
                <w:bCs/>
                <w:color w:val="auto"/>
                <w:szCs w:val="21"/>
                <w:highlight w:val="none"/>
              </w:rPr>
              <w:t>扫描件。航道工程还需提供单独立项的</w:t>
            </w:r>
            <w:r>
              <w:rPr>
                <w:rFonts w:hint="eastAsia" w:ascii="宋体" w:hAnsi="宋体" w:cs="宋体"/>
                <w:bCs/>
                <w:color w:val="auto"/>
                <w:szCs w:val="21"/>
                <w:highlight w:val="none"/>
                <w:lang w:val="en-US" w:eastAsia="zh-CN"/>
              </w:rPr>
              <w:t>工可</w:t>
            </w:r>
            <w:r>
              <w:rPr>
                <w:rFonts w:hint="eastAsia" w:ascii="宋体" w:hAnsi="宋体" w:cs="宋体"/>
                <w:bCs/>
                <w:color w:val="auto"/>
                <w:szCs w:val="21"/>
                <w:highlight w:val="none"/>
              </w:rPr>
              <w:t>批复文件</w:t>
            </w:r>
            <w:r>
              <w:rPr>
                <w:rFonts w:hint="eastAsia" w:ascii="宋体" w:hAnsi="宋体" w:cs="宋体"/>
                <w:bCs/>
                <w:color w:val="auto"/>
                <w:szCs w:val="21"/>
                <w:highlight w:val="none"/>
                <w:lang w:val="en-US" w:eastAsia="zh-CN"/>
              </w:rPr>
              <w:t>扫描件</w:t>
            </w:r>
            <w:r>
              <w:rPr>
                <w:rFonts w:hint="eastAsia" w:ascii="宋体" w:hAnsi="宋体" w:cs="宋体"/>
                <w:bCs/>
                <w:color w:val="auto"/>
                <w:szCs w:val="21"/>
                <w:highlight w:val="none"/>
              </w:rPr>
              <w:t>。</w:t>
            </w:r>
          </w:p>
          <w:p w14:paraId="0311AECA">
            <w:pPr>
              <w:wordWrap w:val="0"/>
              <w:spacing w:line="300" w:lineRule="auto"/>
              <w:rPr>
                <w:color w:val="auto"/>
                <w:highlight w:val="none"/>
              </w:rPr>
            </w:pPr>
            <w:r>
              <w:rPr>
                <w:rFonts w:hint="eastAsia"/>
                <w:color w:val="auto"/>
                <w:highlight w:val="none"/>
              </w:rPr>
              <w:t>（2）</w:t>
            </w:r>
            <w:r>
              <w:rPr>
                <w:color w:val="auto"/>
                <w:highlight w:val="none"/>
              </w:rPr>
              <w:t>如近年来，投标人法人机构发生合法变更或重组或法人名称变更时，应提供相关部门的合法批件或其他相关证明材料来证明其所附业绩的继承性。</w:t>
            </w:r>
          </w:p>
        </w:tc>
      </w:tr>
      <w:tr w14:paraId="4FF2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741" w:type="dxa"/>
            <w:vMerge w:val="continue"/>
            <w:vAlign w:val="center"/>
          </w:tcPr>
          <w:p w14:paraId="685B19C3">
            <w:pPr>
              <w:adjustRightInd w:val="0"/>
              <w:snapToGrid w:val="0"/>
              <w:spacing w:line="360" w:lineRule="auto"/>
              <w:rPr>
                <w:rFonts w:ascii="宋体" w:hAnsi="宋体"/>
                <w:snapToGrid w:val="0"/>
                <w:color w:val="auto"/>
                <w:kern w:val="0"/>
                <w:szCs w:val="21"/>
                <w:highlight w:val="none"/>
              </w:rPr>
            </w:pPr>
          </w:p>
        </w:tc>
        <w:tc>
          <w:tcPr>
            <w:tcW w:w="529" w:type="dxa"/>
            <w:vMerge w:val="continue"/>
            <w:vAlign w:val="center"/>
          </w:tcPr>
          <w:p w14:paraId="279D3CEA">
            <w:pPr>
              <w:adjustRightInd w:val="0"/>
              <w:snapToGrid w:val="0"/>
              <w:spacing w:line="360" w:lineRule="auto"/>
              <w:jc w:val="center"/>
              <w:rPr>
                <w:rFonts w:ascii="宋体" w:hAnsi="宋体"/>
                <w:snapToGrid w:val="0"/>
                <w:color w:val="auto"/>
                <w:kern w:val="0"/>
                <w:szCs w:val="21"/>
                <w:highlight w:val="none"/>
              </w:rPr>
            </w:pPr>
          </w:p>
        </w:tc>
        <w:tc>
          <w:tcPr>
            <w:tcW w:w="539" w:type="dxa"/>
            <w:vMerge w:val="restart"/>
            <w:vAlign w:val="center"/>
          </w:tcPr>
          <w:p w14:paraId="6FB34D2D">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3</w:t>
            </w:r>
          </w:p>
        </w:tc>
        <w:tc>
          <w:tcPr>
            <w:tcW w:w="1560" w:type="dxa"/>
            <w:vMerge w:val="restart"/>
            <w:vAlign w:val="center"/>
          </w:tcPr>
          <w:p w14:paraId="7A310CA4">
            <w:pPr>
              <w:adjustRightInd w:val="0"/>
              <w:snapToGrid w:val="0"/>
              <w:spacing w:line="334"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信用分</w:t>
            </w:r>
          </w:p>
        </w:tc>
        <w:tc>
          <w:tcPr>
            <w:tcW w:w="708" w:type="dxa"/>
            <w:vMerge w:val="restart"/>
            <w:vAlign w:val="center"/>
          </w:tcPr>
          <w:p w14:paraId="1F737577">
            <w:pPr>
              <w:wordWrap w:val="0"/>
              <w:adjustRightInd w:val="0"/>
              <w:snapToGrid w:val="0"/>
              <w:spacing w:line="360" w:lineRule="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10分</w:t>
            </w:r>
          </w:p>
        </w:tc>
        <w:tc>
          <w:tcPr>
            <w:tcW w:w="5161" w:type="dxa"/>
            <w:vAlign w:val="center"/>
          </w:tcPr>
          <w:p w14:paraId="0CCEF2B4">
            <w:pPr>
              <w:wordWrap w:val="0"/>
              <w:rPr>
                <w:rFonts w:ascii="宋体" w:hAnsi="宋体"/>
                <w:color w:val="auto"/>
                <w:szCs w:val="21"/>
                <w:highlight w:val="none"/>
              </w:rPr>
            </w:pPr>
            <w:r>
              <w:rPr>
                <w:rFonts w:hint="eastAsia" w:ascii="宋体" w:hAnsi="宋体"/>
                <w:color w:val="auto"/>
                <w:szCs w:val="21"/>
                <w:highlight w:val="none"/>
              </w:rPr>
              <w:t>企业：投标人</w:t>
            </w:r>
            <w:r>
              <w:rPr>
                <w:rFonts w:hint="eastAsia"/>
                <w:color w:val="auto"/>
                <w:sz w:val="21"/>
                <w:szCs w:val="21"/>
                <w:highlight w:val="none"/>
                <w:lang w:val="en-US" w:eastAsia="zh-CN"/>
              </w:rPr>
              <w:t>最近期的福建省交通建设市场信用考核</w:t>
            </w:r>
            <w:r>
              <w:rPr>
                <w:rFonts w:hint="eastAsia" w:ascii="宋体" w:hAnsi="宋体"/>
                <w:color w:val="auto"/>
                <w:szCs w:val="21"/>
                <w:highlight w:val="none"/>
              </w:rPr>
              <w:t>为水运工程设计类等级AA级且仍然有效的从业单位得6分（信用分满分），A级者得5.7分（信用分得分为满分的95%），B级者得5.1分（信用分得分为满分的85%），C级及以下者得0分。未参评的得5.1分（信用分得分为满分的85%）。本项最高得6分。</w:t>
            </w:r>
          </w:p>
        </w:tc>
      </w:tr>
      <w:tr w14:paraId="69F7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741" w:type="dxa"/>
            <w:vMerge w:val="continue"/>
            <w:vAlign w:val="center"/>
          </w:tcPr>
          <w:p w14:paraId="3642CC8B">
            <w:pPr>
              <w:adjustRightInd w:val="0"/>
              <w:snapToGrid w:val="0"/>
              <w:spacing w:line="360" w:lineRule="auto"/>
              <w:rPr>
                <w:rFonts w:ascii="宋体" w:hAnsi="宋体"/>
                <w:snapToGrid w:val="0"/>
                <w:color w:val="auto"/>
                <w:kern w:val="0"/>
                <w:szCs w:val="21"/>
                <w:highlight w:val="none"/>
              </w:rPr>
            </w:pPr>
          </w:p>
        </w:tc>
        <w:tc>
          <w:tcPr>
            <w:tcW w:w="529" w:type="dxa"/>
            <w:vMerge w:val="continue"/>
            <w:vAlign w:val="center"/>
          </w:tcPr>
          <w:p w14:paraId="2C86025B">
            <w:pPr>
              <w:adjustRightInd w:val="0"/>
              <w:snapToGrid w:val="0"/>
              <w:spacing w:line="360" w:lineRule="auto"/>
              <w:rPr>
                <w:rFonts w:ascii="宋体" w:hAnsi="宋体"/>
                <w:snapToGrid w:val="0"/>
                <w:color w:val="auto"/>
                <w:kern w:val="0"/>
                <w:szCs w:val="21"/>
                <w:highlight w:val="none"/>
              </w:rPr>
            </w:pPr>
          </w:p>
        </w:tc>
        <w:tc>
          <w:tcPr>
            <w:tcW w:w="539" w:type="dxa"/>
            <w:vMerge w:val="continue"/>
            <w:vAlign w:val="center"/>
          </w:tcPr>
          <w:p w14:paraId="4B4DD577">
            <w:pPr>
              <w:adjustRightInd w:val="0"/>
              <w:snapToGrid w:val="0"/>
              <w:spacing w:line="360" w:lineRule="auto"/>
              <w:rPr>
                <w:rFonts w:ascii="宋体" w:hAnsi="宋体"/>
                <w:snapToGrid w:val="0"/>
                <w:color w:val="auto"/>
                <w:kern w:val="0"/>
                <w:szCs w:val="21"/>
                <w:highlight w:val="none"/>
              </w:rPr>
            </w:pPr>
          </w:p>
        </w:tc>
        <w:tc>
          <w:tcPr>
            <w:tcW w:w="1560" w:type="dxa"/>
            <w:vMerge w:val="continue"/>
            <w:vAlign w:val="center"/>
          </w:tcPr>
          <w:p w14:paraId="5DB58B87">
            <w:pPr>
              <w:adjustRightInd w:val="0"/>
              <w:snapToGrid w:val="0"/>
              <w:spacing w:line="334" w:lineRule="auto"/>
              <w:rPr>
                <w:rFonts w:ascii="宋体" w:hAnsi="宋体"/>
                <w:snapToGrid w:val="0"/>
                <w:color w:val="auto"/>
                <w:kern w:val="0"/>
                <w:szCs w:val="21"/>
                <w:highlight w:val="none"/>
              </w:rPr>
            </w:pPr>
          </w:p>
        </w:tc>
        <w:tc>
          <w:tcPr>
            <w:tcW w:w="708" w:type="dxa"/>
            <w:vMerge w:val="continue"/>
            <w:vAlign w:val="center"/>
          </w:tcPr>
          <w:p w14:paraId="10152B46">
            <w:pPr>
              <w:wordWrap w:val="0"/>
              <w:adjustRightInd w:val="0"/>
              <w:snapToGrid w:val="0"/>
              <w:spacing w:line="360" w:lineRule="auto"/>
              <w:rPr>
                <w:rFonts w:ascii="宋体" w:hAnsi="宋体"/>
                <w:snapToGrid w:val="0"/>
                <w:color w:val="auto"/>
                <w:kern w:val="0"/>
                <w:szCs w:val="21"/>
                <w:highlight w:val="none"/>
                <w:u w:val="single"/>
              </w:rPr>
            </w:pPr>
          </w:p>
        </w:tc>
        <w:tc>
          <w:tcPr>
            <w:tcW w:w="5161" w:type="dxa"/>
            <w:vAlign w:val="center"/>
          </w:tcPr>
          <w:p w14:paraId="5122D0B0">
            <w:pPr>
              <w:wordWrap w:val="0"/>
              <w:rPr>
                <w:rFonts w:ascii="宋体" w:hAnsi="宋体"/>
                <w:color w:val="auto"/>
                <w:szCs w:val="21"/>
                <w:highlight w:val="none"/>
              </w:rPr>
            </w:pPr>
            <w:r>
              <w:rPr>
                <w:rFonts w:hint="eastAsia" w:ascii="宋体" w:hAnsi="宋体"/>
                <w:color w:val="auto"/>
                <w:szCs w:val="21"/>
                <w:highlight w:val="none"/>
              </w:rPr>
              <w:t>设计负责人：投标人</w:t>
            </w:r>
            <w:r>
              <w:rPr>
                <w:rFonts w:hint="eastAsia"/>
                <w:color w:val="auto"/>
                <w:sz w:val="21"/>
                <w:szCs w:val="21"/>
                <w:highlight w:val="none"/>
                <w:lang w:val="en-US" w:eastAsia="zh-CN"/>
              </w:rPr>
              <w:t>最近期的福建省交通建设市场信用考核</w:t>
            </w:r>
            <w:r>
              <w:rPr>
                <w:rFonts w:hint="eastAsia" w:ascii="宋体" w:hAnsi="宋体"/>
                <w:color w:val="auto"/>
                <w:szCs w:val="21"/>
                <w:highlight w:val="none"/>
              </w:rPr>
              <w:t>为水运工程设计类等级AA级且仍然有效的项目设计负责人得4分（信用分满分），A级者得3.8分（信用分得分为满分的95%），B级者得3.4分（信用分得分为满分的85%），C级及以下者得0分。未参评的得3.</w:t>
            </w:r>
            <w:r>
              <w:rPr>
                <w:rFonts w:hint="eastAsia" w:ascii="宋体" w:hAnsi="宋体"/>
                <w:color w:val="auto"/>
                <w:szCs w:val="21"/>
                <w:highlight w:val="none"/>
                <w:lang w:val="en-US" w:eastAsia="zh-CN"/>
              </w:rPr>
              <w:t>4</w:t>
            </w:r>
            <w:r>
              <w:rPr>
                <w:rFonts w:hint="eastAsia" w:ascii="宋体" w:hAnsi="宋体"/>
                <w:color w:val="auto"/>
                <w:szCs w:val="21"/>
                <w:highlight w:val="none"/>
              </w:rPr>
              <w:t>分（信用分得分为满分的85%）。本项最高得4分。</w:t>
            </w:r>
          </w:p>
        </w:tc>
      </w:tr>
      <w:tr w14:paraId="597E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41" w:type="dxa"/>
            <w:vMerge w:val="continue"/>
            <w:vAlign w:val="center"/>
          </w:tcPr>
          <w:p w14:paraId="3019600A">
            <w:pPr>
              <w:adjustRightInd w:val="0"/>
              <w:snapToGrid w:val="0"/>
              <w:spacing w:line="360" w:lineRule="auto"/>
              <w:rPr>
                <w:rFonts w:ascii="宋体" w:hAnsi="宋体"/>
                <w:snapToGrid w:val="0"/>
                <w:color w:val="auto"/>
                <w:kern w:val="0"/>
                <w:szCs w:val="21"/>
                <w:highlight w:val="none"/>
              </w:rPr>
            </w:pPr>
          </w:p>
        </w:tc>
        <w:tc>
          <w:tcPr>
            <w:tcW w:w="529" w:type="dxa"/>
            <w:vMerge w:val="restart"/>
            <w:vAlign w:val="center"/>
          </w:tcPr>
          <w:p w14:paraId="787DA2E4">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技术</w:t>
            </w:r>
          </w:p>
          <w:p w14:paraId="57AC29DA">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部分评分</w:t>
            </w:r>
          </w:p>
          <w:p w14:paraId="27C96B3F">
            <w:pPr>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标准</w:t>
            </w:r>
          </w:p>
        </w:tc>
        <w:tc>
          <w:tcPr>
            <w:tcW w:w="539" w:type="dxa"/>
            <w:vAlign w:val="center"/>
          </w:tcPr>
          <w:p w14:paraId="61EF645B">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4</w:t>
            </w:r>
          </w:p>
        </w:tc>
        <w:tc>
          <w:tcPr>
            <w:tcW w:w="1560" w:type="dxa"/>
            <w:vAlign w:val="center"/>
          </w:tcPr>
          <w:p w14:paraId="3FD13FF9">
            <w:pPr>
              <w:spacing w:line="300" w:lineRule="auto"/>
              <w:rPr>
                <w:rFonts w:ascii="宋体" w:hAnsi="宋体"/>
                <w:color w:val="auto"/>
                <w:szCs w:val="21"/>
                <w:highlight w:val="none"/>
              </w:rPr>
            </w:pPr>
            <w:r>
              <w:rPr>
                <w:rFonts w:hint="eastAsia" w:ascii="宋体" w:hAnsi="宋体"/>
                <w:color w:val="auto"/>
                <w:szCs w:val="21"/>
                <w:highlight w:val="none"/>
              </w:rPr>
              <w:t>对招标项目的理解、总体思路、特点及关键技术问题的初步认识和对策措施</w:t>
            </w:r>
          </w:p>
        </w:tc>
        <w:tc>
          <w:tcPr>
            <w:tcW w:w="708" w:type="dxa"/>
            <w:vAlign w:val="center"/>
          </w:tcPr>
          <w:p w14:paraId="4D2771B3">
            <w:pPr>
              <w:wordWrap w:val="0"/>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20分</w:t>
            </w:r>
          </w:p>
        </w:tc>
        <w:tc>
          <w:tcPr>
            <w:tcW w:w="5161" w:type="dxa"/>
            <w:vAlign w:val="center"/>
          </w:tcPr>
          <w:p w14:paraId="549D25BD">
            <w:pPr>
              <w:pStyle w:val="41"/>
              <w:ind w:left="0" w:leftChars="0" w:firstLine="0" w:firstLineChars="0"/>
              <w:rPr>
                <w:color w:val="auto"/>
                <w:highlight w:val="none"/>
              </w:rPr>
            </w:pPr>
            <w:r>
              <w:rPr>
                <w:rFonts w:hint="eastAsia" w:ascii="宋体" w:hAnsi="宋体"/>
                <w:snapToGrid w:val="0"/>
                <w:color w:val="auto"/>
                <w:kern w:val="0"/>
                <w:highlight w:val="none"/>
              </w:rPr>
              <w:t>根据投标人</w:t>
            </w:r>
            <w:r>
              <w:rPr>
                <w:rFonts w:hint="eastAsia" w:ascii="宋体" w:hAnsi="宋体"/>
                <w:color w:val="auto"/>
                <w:highlight w:val="none"/>
              </w:rPr>
              <w:t>对招标项目的理解、总体思路、特点及关键技术问题的初步认识和对策措施</w:t>
            </w:r>
            <w:r>
              <w:rPr>
                <w:rFonts w:hint="eastAsia" w:ascii="宋体" w:hAnsi="宋体"/>
                <w:snapToGrid w:val="0"/>
                <w:color w:val="auto"/>
                <w:kern w:val="0"/>
                <w:highlight w:val="none"/>
              </w:rPr>
              <w:t>酌情打19.0-20.0分</w:t>
            </w:r>
          </w:p>
        </w:tc>
      </w:tr>
      <w:tr w14:paraId="480A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1" w:type="dxa"/>
            <w:vMerge w:val="continue"/>
            <w:vAlign w:val="center"/>
          </w:tcPr>
          <w:p w14:paraId="53FF165F">
            <w:pPr>
              <w:adjustRightInd w:val="0"/>
              <w:snapToGrid w:val="0"/>
              <w:spacing w:line="360" w:lineRule="auto"/>
              <w:rPr>
                <w:rFonts w:ascii="宋体" w:hAnsi="宋体"/>
                <w:snapToGrid w:val="0"/>
                <w:color w:val="auto"/>
                <w:kern w:val="0"/>
                <w:szCs w:val="21"/>
                <w:highlight w:val="none"/>
              </w:rPr>
            </w:pPr>
          </w:p>
        </w:tc>
        <w:tc>
          <w:tcPr>
            <w:tcW w:w="529" w:type="dxa"/>
            <w:vMerge w:val="continue"/>
            <w:vAlign w:val="center"/>
          </w:tcPr>
          <w:p w14:paraId="5399F6B6">
            <w:pPr>
              <w:adjustRightInd w:val="0"/>
              <w:snapToGrid w:val="0"/>
              <w:spacing w:line="360" w:lineRule="auto"/>
              <w:rPr>
                <w:rFonts w:ascii="宋体" w:hAnsi="宋体"/>
                <w:snapToGrid w:val="0"/>
                <w:color w:val="auto"/>
                <w:kern w:val="0"/>
                <w:szCs w:val="21"/>
                <w:highlight w:val="none"/>
              </w:rPr>
            </w:pPr>
          </w:p>
        </w:tc>
        <w:tc>
          <w:tcPr>
            <w:tcW w:w="539" w:type="dxa"/>
            <w:vAlign w:val="center"/>
          </w:tcPr>
          <w:p w14:paraId="7D771F91">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5</w:t>
            </w:r>
          </w:p>
        </w:tc>
        <w:tc>
          <w:tcPr>
            <w:tcW w:w="1560" w:type="dxa"/>
            <w:vAlign w:val="center"/>
          </w:tcPr>
          <w:p w14:paraId="0FB8AD6B">
            <w:pPr>
              <w:spacing w:line="300" w:lineRule="auto"/>
              <w:rPr>
                <w:rFonts w:ascii="宋体" w:hAnsi="宋体"/>
                <w:color w:val="auto"/>
                <w:szCs w:val="21"/>
                <w:highlight w:val="none"/>
              </w:rPr>
            </w:pPr>
            <w:r>
              <w:rPr>
                <w:rFonts w:hint="eastAsia" w:ascii="宋体" w:hAnsi="宋体"/>
                <w:color w:val="auto"/>
                <w:szCs w:val="21"/>
                <w:highlight w:val="none"/>
              </w:rPr>
              <w:t>工程设计方案及相关工作建议</w:t>
            </w:r>
          </w:p>
        </w:tc>
        <w:tc>
          <w:tcPr>
            <w:tcW w:w="708" w:type="dxa"/>
            <w:vAlign w:val="center"/>
          </w:tcPr>
          <w:p w14:paraId="6615BBE9">
            <w:pPr>
              <w:wordWrap w:val="0"/>
              <w:adjustRightInd w:val="0"/>
              <w:snapToGrid w:val="0"/>
              <w:spacing w:line="360" w:lineRule="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20分</w:t>
            </w:r>
          </w:p>
        </w:tc>
        <w:tc>
          <w:tcPr>
            <w:tcW w:w="5161" w:type="dxa"/>
            <w:vAlign w:val="center"/>
          </w:tcPr>
          <w:p w14:paraId="57C9EDDF">
            <w:pPr>
              <w:pStyle w:val="41"/>
              <w:ind w:left="0" w:leftChars="0" w:firstLine="0" w:firstLineChars="0"/>
              <w:rPr>
                <w:color w:val="auto"/>
                <w:highlight w:val="none"/>
              </w:rPr>
            </w:pPr>
            <w:r>
              <w:rPr>
                <w:rFonts w:hint="eastAsia" w:ascii="宋体" w:hAnsi="宋体"/>
                <w:color w:val="auto"/>
                <w:highlight w:val="none"/>
              </w:rPr>
              <w:t>根据投标人的工程设计方案</w:t>
            </w:r>
            <w:r>
              <w:rPr>
                <w:rFonts w:hint="eastAsia" w:ascii="宋体" w:hAnsi="宋体"/>
                <w:snapToGrid w:val="0"/>
                <w:color w:val="auto"/>
                <w:kern w:val="0"/>
                <w:highlight w:val="none"/>
              </w:rPr>
              <w:t>（含工程造价预测）及相关工作建议酌情打19.0-20.0分</w:t>
            </w:r>
          </w:p>
        </w:tc>
      </w:tr>
      <w:tr w14:paraId="4B14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41" w:type="dxa"/>
            <w:vMerge w:val="continue"/>
            <w:vAlign w:val="center"/>
          </w:tcPr>
          <w:p w14:paraId="3912EF6B">
            <w:pPr>
              <w:adjustRightInd w:val="0"/>
              <w:snapToGrid w:val="0"/>
              <w:spacing w:line="360" w:lineRule="auto"/>
              <w:rPr>
                <w:rFonts w:ascii="宋体" w:hAnsi="宋体"/>
                <w:snapToGrid w:val="0"/>
                <w:color w:val="auto"/>
                <w:kern w:val="0"/>
                <w:szCs w:val="21"/>
                <w:highlight w:val="none"/>
              </w:rPr>
            </w:pPr>
          </w:p>
        </w:tc>
        <w:tc>
          <w:tcPr>
            <w:tcW w:w="529" w:type="dxa"/>
            <w:vMerge w:val="continue"/>
            <w:vAlign w:val="center"/>
          </w:tcPr>
          <w:p w14:paraId="7BC8A493">
            <w:pPr>
              <w:adjustRightInd w:val="0"/>
              <w:snapToGrid w:val="0"/>
              <w:spacing w:line="360" w:lineRule="auto"/>
              <w:rPr>
                <w:rFonts w:ascii="宋体" w:hAnsi="宋体"/>
                <w:snapToGrid w:val="0"/>
                <w:color w:val="auto"/>
                <w:kern w:val="0"/>
                <w:szCs w:val="21"/>
                <w:highlight w:val="none"/>
              </w:rPr>
            </w:pPr>
          </w:p>
        </w:tc>
        <w:tc>
          <w:tcPr>
            <w:tcW w:w="539" w:type="dxa"/>
            <w:vAlign w:val="center"/>
          </w:tcPr>
          <w:p w14:paraId="7BA749B7">
            <w:pPr>
              <w:adjustRightInd w:val="0"/>
              <w:snapToGrid w:val="0"/>
              <w:spacing w:line="36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6</w:t>
            </w:r>
          </w:p>
        </w:tc>
        <w:tc>
          <w:tcPr>
            <w:tcW w:w="1560" w:type="dxa"/>
            <w:vAlign w:val="center"/>
          </w:tcPr>
          <w:p w14:paraId="130F232B">
            <w:pPr>
              <w:spacing w:line="300" w:lineRule="auto"/>
              <w:rPr>
                <w:rFonts w:ascii="宋体" w:hAnsi="宋体"/>
                <w:color w:val="auto"/>
                <w:szCs w:val="21"/>
                <w:highlight w:val="none"/>
              </w:rPr>
            </w:pPr>
            <w:r>
              <w:rPr>
                <w:rFonts w:hint="eastAsia" w:ascii="宋体" w:hAnsi="宋体"/>
                <w:color w:val="auto"/>
                <w:szCs w:val="21"/>
                <w:highlight w:val="none"/>
              </w:rPr>
              <w:t>勘察设计工作内容及计划，质量及进度保证措施，后续服务计划及措施</w:t>
            </w:r>
          </w:p>
        </w:tc>
        <w:tc>
          <w:tcPr>
            <w:tcW w:w="708" w:type="dxa"/>
            <w:vAlign w:val="center"/>
          </w:tcPr>
          <w:p w14:paraId="6DB65B35">
            <w:pPr>
              <w:wordWrap w:val="0"/>
              <w:adjustRightInd w:val="0"/>
              <w:snapToGrid w:val="0"/>
              <w:spacing w:line="360" w:lineRule="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20分</w:t>
            </w:r>
          </w:p>
        </w:tc>
        <w:tc>
          <w:tcPr>
            <w:tcW w:w="5161" w:type="dxa"/>
            <w:vAlign w:val="center"/>
          </w:tcPr>
          <w:p w14:paraId="163E6151">
            <w:pPr>
              <w:pStyle w:val="41"/>
              <w:ind w:left="0" w:leftChars="0" w:firstLine="0" w:firstLineChars="0"/>
              <w:rPr>
                <w:color w:val="auto"/>
                <w:highlight w:val="none"/>
              </w:rPr>
            </w:pPr>
            <w:r>
              <w:rPr>
                <w:rFonts w:hint="eastAsia" w:ascii="宋体" w:hAnsi="宋体"/>
                <w:color w:val="auto"/>
                <w:highlight w:val="none"/>
              </w:rPr>
              <w:t>根据投标人的勘察设计工作内容及计划，质量及进度保证措施，后续服务计划及措施酌情打1</w:t>
            </w:r>
            <w:r>
              <w:rPr>
                <w:rFonts w:hint="eastAsia" w:ascii="宋体" w:hAnsi="宋体"/>
                <w:snapToGrid w:val="0"/>
                <w:color w:val="auto"/>
                <w:kern w:val="0"/>
                <w:highlight w:val="none"/>
              </w:rPr>
              <w:t>9.0-20.0分</w:t>
            </w:r>
          </w:p>
        </w:tc>
      </w:tr>
      <w:tr w14:paraId="2455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70" w:type="dxa"/>
            <w:gridSpan w:val="2"/>
            <w:vAlign w:val="center"/>
          </w:tcPr>
          <w:p w14:paraId="17983403">
            <w:pPr>
              <w:adjustRightInd w:val="0"/>
              <w:snapToGrid w:val="0"/>
              <w:spacing w:line="360" w:lineRule="auto"/>
              <w:rPr>
                <w:rFonts w:hint="default" w:ascii="宋体" w:hAnsi="宋体" w:eastAsia="宋体"/>
                <w:snapToGrid w:val="0"/>
                <w:color w:val="auto"/>
                <w:kern w:val="0"/>
                <w:szCs w:val="21"/>
                <w:highlight w:val="none"/>
                <w:lang w:val="en-US" w:eastAsia="zh-CN"/>
              </w:rPr>
            </w:pPr>
            <w:bookmarkStart w:id="469" w:name="_Toc346269473"/>
            <w:r>
              <w:rPr>
                <w:rFonts w:hint="eastAsia" w:ascii="宋体" w:hAnsi="宋体"/>
                <w:snapToGrid w:val="0"/>
                <w:color w:val="auto"/>
                <w:kern w:val="0"/>
                <w:szCs w:val="21"/>
                <w:highlight w:val="none"/>
                <w:lang w:val="en-US" w:eastAsia="zh-CN"/>
              </w:rPr>
              <w:t>6.3.1</w:t>
            </w:r>
          </w:p>
        </w:tc>
        <w:tc>
          <w:tcPr>
            <w:tcW w:w="2807" w:type="dxa"/>
            <w:gridSpan w:val="3"/>
            <w:vAlign w:val="center"/>
          </w:tcPr>
          <w:p w14:paraId="251702DA">
            <w:pPr>
              <w:keepNext w:val="0"/>
              <w:keepLines w:val="0"/>
              <w:pageBreakBefore w:val="0"/>
              <w:widowControl w:val="0"/>
              <w:kinsoku/>
              <w:wordWrap w:val="0"/>
              <w:overflowPunct/>
              <w:topLinePunct w:val="0"/>
              <w:autoSpaceDE/>
              <w:autoSpaceDN/>
              <w:bidi w:val="0"/>
              <w:adjustRightInd w:val="0"/>
              <w:snapToGrid w:val="0"/>
              <w:spacing w:line="360" w:lineRule="auto"/>
              <w:ind w:firstLine="105" w:firstLineChars="50"/>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投标人回复澄清、说明、补正的时限</w:t>
            </w:r>
          </w:p>
        </w:tc>
        <w:tc>
          <w:tcPr>
            <w:tcW w:w="5161" w:type="dxa"/>
            <w:vAlign w:val="center"/>
          </w:tcPr>
          <w:p w14:paraId="1BE3FCC5">
            <w:pPr>
              <w:pStyle w:val="41"/>
              <w:ind w:left="0" w:leftChars="0" w:firstLine="0" w:firstLineChars="0"/>
              <w:rPr>
                <w:rFonts w:hint="eastAsia" w:ascii="宋体" w:hAnsi="宋体"/>
                <w:color w:val="auto"/>
                <w:highlight w:val="none"/>
              </w:rPr>
            </w:pPr>
            <w:r>
              <w:rPr>
                <w:rFonts w:hint="eastAsia" w:ascii="宋体" w:hAnsi="宋体" w:cs="宋体"/>
                <w:color w:val="auto"/>
                <w:szCs w:val="21"/>
                <w:highlight w:val="none"/>
              </w:rPr>
              <w:t>评标委员会通过电子交易平台发出通知后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分钟内</w:t>
            </w:r>
          </w:p>
        </w:tc>
      </w:tr>
    </w:tbl>
    <w:p w14:paraId="53CF4C27">
      <w:pPr>
        <w:pStyle w:val="92"/>
        <w:pageBreakBefore w:val="0"/>
        <w:kinsoku/>
        <w:overflowPunct/>
        <w:topLinePunct w:val="0"/>
        <w:autoSpaceDE/>
        <w:autoSpaceDN/>
        <w:bidi w:val="0"/>
        <w:adjustRightInd w:val="0"/>
        <w:snapToGrid w:val="0"/>
        <w:spacing w:before="0" w:beforeLines="0" w:after="0" w:afterLines="0" w:line="360" w:lineRule="auto"/>
        <w:textAlignment w:val="auto"/>
        <w:outlineLvl w:val="0"/>
        <w:rPr>
          <w:rFonts w:ascii="宋体" w:hAnsi="宋体" w:eastAsia="宋体"/>
          <w:b/>
          <w:snapToGrid w:val="0"/>
          <w:color w:val="auto"/>
          <w:kern w:val="0"/>
          <w:highlight w:val="none"/>
        </w:rPr>
      </w:pPr>
      <w:r>
        <w:rPr>
          <w:rFonts w:ascii="宋体" w:hAnsi="宋体" w:eastAsia="宋体"/>
          <w:b/>
          <w:snapToGrid w:val="0"/>
          <w:color w:val="auto"/>
          <w:kern w:val="0"/>
          <w:highlight w:val="none"/>
        </w:rPr>
        <w:br w:type="page"/>
      </w:r>
      <w:bookmarkStart w:id="470" w:name="_Toc361993607"/>
      <w:bookmarkStart w:id="471" w:name="_Toc362613881"/>
      <w:bookmarkStart w:id="472" w:name="_Toc368338558"/>
      <w:bookmarkStart w:id="473" w:name="_Toc8201"/>
      <w:bookmarkStart w:id="474" w:name="_Toc19593"/>
      <w:bookmarkStart w:id="475" w:name="_Toc362617992"/>
      <w:bookmarkStart w:id="476" w:name="_Toc6678"/>
      <w:bookmarkStart w:id="477" w:name="_Toc362614253"/>
      <w:bookmarkStart w:id="478" w:name="_Toc3037"/>
      <w:bookmarkStart w:id="479" w:name="_Toc368320231"/>
      <w:bookmarkStart w:id="480" w:name="_Toc488649903"/>
      <w:bookmarkStart w:id="481" w:name="_Toc245379330"/>
      <w:r>
        <w:rPr>
          <w:rFonts w:hint="eastAsia"/>
          <w:color w:val="auto"/>
          <w:sz w:val="30"/>
          <w:szCs w:val="30"/>
          <w:highlight w:val="none"/>
        </w:rPr>
        <w:t>评标办法正文</w:t>
      </w:r>
      <w:bookmarkEnd w:id="469"/>
      <w:bookmarkEnd w:id="470"/>
      <w:bookmarkEnd w:id="471"/>
      <w:bookmarkEnd w:id="472"/>
      <w:bookmarkEnd w:id="473"/>
      <w:bookmarkEnd w:id="474"/>
      <w:bookmarkEnd w:id="475"/>
      <w:bookmarkEnd w:id="476"/>
      <w:bookmarkEnd w:id="477"/>
      <w:bookmarkEnd w:id="478"/>
      <w:bookmarkEnd w:id="479"/>
      <w:bookmarkEnd w:id="480"/>
      <w:bookmarkEnd w:id="481"/>
    </w:p>
    <w:p w14:paraId="7FC2B770">
      <w:pPr>
        <w:pageBreakBefore w:val="0"/>
        <w:kinsoku/>
        <w:overflowPunct/>
        <w:topLinePunct w:val="0"/>
        <w:autoSpaceDE/>
        <w:autoSpaceDN/>
        <w:bidi w:val="0"/>
        <w:adjustRightInd w:val="0"/>
        <w:snapToGrid w:val="0"/>
        <w:spacing w:line="360" w:lineRule="auto"/>
        <w:ind w:firstLine="420" w:firstLineChars="175"/>
        <w:textAlignment w:val="auto"/>
        <w:rPr>
          <w:rFonts w:ascii="宋体" w:hAnsi="宋体"/>
          <w:snapToGrid w:val="0"/>
          <w:color w:val="auto"/>
          <w:kern w:val="0"/>
          <w:sz w:val="24"/>
          <w:highlight w:val="none"/>
        </w:rPr>
      </w:pPr>
      <w:r>
        <w:rPr>
          <w:rFonts w:hint="eastAsia" w:ascii="宋体" w:hAnsi="宋体"/>
          <w:snapToGrid w:val="0"/>
          <w:color w:val="auto"/>
          <w:kern w:val="0"/>
          <w:sz w:val="24"/>
          <w:highlight w:val="none"/>
        </w:rPr>
        <w:t>本评标办法正文若有与本范本评标办法前附表不一致之处，以评标办法前附表为准。</w:t>
      </w:r>
    </w:p>
    <w:p w14:paraId="02F8F067">
      <w:pPr>
        <w:pageBreakBefore w:val="0"/>
        <w:kinsoku/>
        <w:overflowPunct/>
        <w:topLinePunct w:val="0"/>
        <w:autoSpaceDE/>
        <w:autoSpaceDN/>
        <w:bidi w:val="0"/>
        <w:adjustRightInd w:val="0"/>
        <w:snapToGrid w:val="0"/>
        <w:spacing w:line="360" w:lineRule="auto"/>
        <w:jc w:val="center"/>
        <w:textAlignment w:val="auto"/>
        <w:rPr>
          <w:rFonts w:ascii="宋体" w:hAnsi="宋体"/>
          <w:b/>
          <w:snapToGrid w:val="0"/>
          <w:color w:val="auto"/>
          <w:kern w:val="0"/>
          <w:sz w:val="28"/>
          <w:highlight w:val="none"/>
        </w:rPr>
      </w:pPr>
      <w:r>
        <w:rPr>
          <w:rFonts w:hint="eastAsia" w:ascii="宋体" w:hAnsi="宋体"/>
          <w:b/>
          <w:snapToGrid w:val="0"/>
          <w:color w:val="auto"/>
          <w:kern w:val="0"/>
          <w:sz w:val="28"/>
          <w:highlight w:val="none"/>
        </w:rPr>
        <w:t>1.评标办法</w:t>
      </w:r>
    </w:p>
    <w:p w14:paraId="480E84AF">
      <w:pPr>
        <w:pageBreakBefore w:val="0"/>
        <w:kinsoku/>
        <w:overflowPunct/>
        <w:topLinePunct w:val="0"/>
        <w:autoSpaceDE/>
        <w:autoSpaceDN/>
        <w:bidi w:val="0"/>
        <w:adjustRightInd w:val="0"/>
        <w:snapToGrid w:val="0"/>
        <w:spacing w:line="360" w:lineRule="auto"/>
        <w:ind w:firstLine="480" w:firstLineChars="200"/>
        <w:textAlignment w:val="auto"/>
        <w:rPr>
          <w:rFonts w:ascii="宋体" w:hAnsi="宋体"/>
          <w:snapToGrid w:val="0"/>
          <w:color w:val="auto"/>
          <w:kern w:val="0"/>
          <w:sz w:val="24"/>
          <w:highlight w:val="none"/>
        </w:rPr>
      </w:pPr>
      <w:r>
        <w:rPr>
          <w:rFonts w:hint="eastAsia" w:ascii="宋体" w:hAnsi="宋体"/>
          <w:snapToGrid w:val="0"/>
          <w:color w:val="auto"/>
          <w:kern w:val="0"/>
          <w:sz w:val="24"/>
          <w:highlight w:val="none"/>
        </w:rPr>
        <w:t>1.1本次评标采用</w:t>
      </w:r>
      <w:r>
        <w:rPr>
          <w:rFonts w:hint="eastAsia" w:ascii="宋体" w:hAnsi="宋体"/>
          <w:snapToGrid w:val="0"/>
          <w:color w:val="auto"/>
          <w:kern w:val="0"/>
          <w:sz w:val="24"/>
          <w:highlight w:val="none"/>
          <w:lang w:eastAsia="zh-CN"/>
        </w:rPr>
        <w:t>定性评审法</w:t>
      </w:r>
      <w:r>
        <w:rPr>
          <w:rFonts w:hint="eastAsia" w:ascii="宋体" w:hAnsi="宋体"/>
          <w:snapToGrid w:val="0"/>
          <w:color w:val="auto"/>
          <w:kern w:val="0"/>
          <w:sz w:val="24"/>
          <w:highlight w:val="none"/>
        </w:rPr>
        <w:t>。评标委员会对满足招标文件实质性要求的投标文件，按照本章第2.2款规定的评分标准进行打分，根据综合得分结果推荐出5名定标候选人（不排序，少于5名的全部推荐为定标候选人）。</w:t>
      </w:r>
    </w:p>
    <w:p w14:paraId="03641722">
      <w:pPr>
        <w:pageBreakBefore w:val="0"/>
        <w:kinsoku/>
        <w:overflowPunct/>
        <w:topLinePunct w:val="0"/>
        <w:autoSpaceDE/>
        <w:autoSpaceDN/>
        <w:bidi w:val="0"/>
        <w:adjustRightInd w:val="0"/>
        <w:snapToGrid w:val="0"/>
        <w:spacing w:line="360" w:lineRule="auto"/>
        <w:ind w:firstLine="480" w:firstLineChars="200"/>
        <w:textAlignment w:val="auto"/>
        <w:rPr>
          <w:rStyle w:val="48"/>
          <w:rFonts w:ascii="Myriad Pro Light" w:hAnsi="Myriad Pro Light"/>
          <w:snapToGrid w:val="0"/>
          <w:color w:val="auto"/>
          <w:kern w:val="0"/>
          <w:highlight w:val="none"/>
        </w:rPr>
      </w:pPr>
      <w:r>
        <w:rPr>
          <w:rFonts w:hint="eastAsia" w:ascii="宋体" w:hAnsi="宋体"/>
          <w:snapToGrid w:val="0"/>
          <w:color w:val="auto"/>
          <w:kern w:val="0"/>
          <w:sz w:val="24"/>
          <w:highlight w:val="none"/>
        </w:rPr>
        <w:t>1.2</w:t>
      </w:r>
      <w:r>
        <w:rPr>
          <w:rFonts w:hint="eastAsia" w:ascii="宋体" w:hAnsi="宋体" w:eastAsia="宋体" w:cs="宋体"/>
          <w:color w:val="auto"/>
          <w:sz w:val="24"/>
          <w:szCs w:val="24"/>
          <w:highlight w:val="none"/>
        </w:rPr>
        <w:t>评标委员会由招标人组建，负责资格审查、确定入围投标人、对入围投标人的投标文件进行定性评审，将未被否决投标的入围投标人</w:t>
      </w:r>
      <w:r>
        <w:rPr>
          <w:rFonts w:hint="eastAsia" w:ascii="宋体" w:hAnsi="宋体" w:eastAsia="宋体" w:cs="宋体"/>
          <w:color w:val="auto"/>
          <w:sz w:val="24"/>
          <w:szCs w:val="24"/>
          <w:highlight w:val="none"/>
          <w:lang w:val="en-US" w:eastAsia="zh-CN"/>
        </w:rPr>
        <w:t>推荐</w:t>
      </w:r>
      <w:r>
        <w:rPr>
          <w:rFonts w:hint="eastAsia" w:ascii="宋体" w:hAnsi="宋体" w:eastAsia="宋体" w:cs="宋体"/>
          <w:color w:val="auto"/>
          <w:sz w:val="24"/>
          <w:szCs w:val="24"/>
          <w:highlight w:val="none"/>
        </w:rPr>
        <w:t>为定标候选人</w:t>
      </w:r>
      <w:r>
        <w:rPr>
          <w:rFonts w:hint="eastAsia" w:ascii="宋体" w:hAnsi="宋体" w:cs="宋体"/>
          <w:color w:val="auto"/>
          <w:sz w:val="24"/>
          <w:highlight w:val="none"/>
          <w:shd w:val="clear" w:color="auto" w:fill="auto"/>
          <w:lang w:val="en-US" w:eastAsia="zh-CN"/>
        </w:rPr>
        <w:t>。</w:t>
      </w:r>
    </w:p>
    <w:p w14:paraId="2D5891D1">
      <w:pPr>
        <w:pageBreakBefore w:val="0"/>
        <w:widowControl/>
        <w:kinsoku/>
        <w:overflowPunct/>
        <w:topLinePunct w:val="0"/>
        <w:autoSpaceDE/>
        <w:autoSpaceDN/>
        <w:bidi w:val="0"/>
        <w:adjustRightInd w:val="0"/>
        <w:snapToGrid w:val="0"/>
        <w:spacing w:line="360" w:lineRule="auto"/>
        <w:jc w:val="center"/>
        <w:textAlignment w:val="auto"/>
        <w:rPr>
          <w:rFonts w:ascii="宋体" w:hAnsi="宋体"/>
          <w:b/>
          <w:snapToGrid w:val="0"/>
          <w:color w:val="auto"/>
          <w:kern w:val="0"/>
          <w:sz w:val="28"/>
          <w:highlight w:val="none"/>
        </w:rPr>
      </w:pPr>
      <w:r>
        <w:rPr>
          <w:rFonts w:hint="eastAsia" w:ascii="宋体" w:hAnsi="宋体"/>
          <w:b/>
          <w:snapToGrid w:val="0"/>
          <w:color w:val="auto"/>
          <w:kern w:val="0"/>
          <w:sz w:val="28"/>
          <w:highlight w:val="none"/>
        </w:rPr>
        <w:t>2. 评标程序和标准</w:t>
      </w:r>
    </w:p>
    <w:p w14:paraId="447D5286">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评标按以下程序进行。</w:t>
      </w:r>
    </w:p>
    <w:p w14:paraId="382FF58F">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2.1组建评标委员会</w:t>
      </w:r>
    </w:p>
    <w:p w14:paraId="003BFC68">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2.2评</w:t>
      </w:r>
      <w:r>
        <w:rPr>
          <w:rFonts w:hint="eastAsia" w:ascii="宋体" w:hAnsi="宋体" w:cs="宋体"/>
          <w:color w:val="auto"/>
          <w:sz w:val="24"/>
          <w:highlight w:val="none"/>
          <w:lang w:val="en-US" w:eastAsia="zh-CN"/>
        </w:rPr>
        <w:t>标</w:t>
      </w:r>
      <w:r>
        <w:rPr>
          <w:rFonts w:hint="eastAsia" w:ascii="宋体" w:hAnsi="宋体" w:cs="宋体"/>
          <w:color w:val="auto"/>
          <w:sz w:val="24"/>
          <w:highlight w:val="none"/>
        </w:rPr>
        <w:t>前的准备</w:t>
      </w:r>
    </w:p>
    <w:p w14:paraId="42614B2C">
      <w:pPr>
        <w:pageBreakBefore w:val="0"/>
        <w:kinsoku/>
        <w:wordWrap w:val="0"/>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2.3资格审查及确定入围投标人</w:t>
      </w:r>
    </w:p>
    <w:p w14:paraId="2168129B">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（1）资格审查</w:t>
      </w:r>
    </w:p>
    <w:p w14:paraId="664CE2AE">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（2）资格文件的澄清、说明和补正</w:t>
      </w:r>
    </w:p>
    <w:p w14:paraId="6DE0B227">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（3）确定入围投标人</w:t>
      </w:r>
    </w:p>
    <w:p w14:paraId="2368D721">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2.4定性评审</w:t>
      </w:r>
    </w:p>
    <w:p w14:paraId="2A63CC6F">
      <w:pPr>
        <w:pageBreakBefore w:val="0"/>
        <w:numPr>
          <w:ilvl w:val="0"/>
          <w:numId w:val="8"/>
        </w:numPr>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形式评审与响应性评审</w:t>
      </w:r>
    </w:p>
    <w:p w14:paraId="22266917">
      <w:pPr>
        <w:pageBreakBefore w:val="0"/>
        <w:numPr>
          <w:ilvl w:val="0"/>
          <w:numId w:val="8"/>
        </w:numPr>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详细评审</w:t>
      </w:r>
    </w:p>
    <w:p w14:paraId="61D2BFB9">
      <w:pPr>
        <w:pageBreakBefore w:val="0"/>
        <w:numPr>
          <w:ilvl w:val="0"/>
          <w:numId w:val="8"/>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eastAsia="宋体" w:cs="宋体"/>
          <w:color w:val="auto"/>
          <w:sz w:val="24"/>
          <w:highlight w:val="none"/>
        </w:rPr>
        <w:t>投标文件的澄清、说明和补正</w:t>
      </w:r>
    </w:p>
    <w:p w14:paraId="4D14292E">
      <w:pPr>
        <w:pageBreakBefore w:val="0"/>
        <w:numPr>
          <w:ilvl w:val="0"/>
          <w:numId w:val="8"/>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投标文件的修正</w:t>
      </w:r>
    </w:p>
    <w:p w14:paraId="452E193F">
      <w:pPr>
        <w:pageBreakBefore w:val="0"/>
        <w:numPr>
          <w:ilvl w:val="0"/>
          <w:numId w:val="8"/>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推荐</w:t>
      </w:r>
      <w:r>
        <w:rPr>
          <w:rFonts w:hint="eastAsia" w:ascii="宋体" w:hAnsi="宋体" w:cs="宋体"/>
          <w:color w:val="auto"/>
          <w:sz w:val="24"/>
          <w:highlight w:val="none"/>
        </w:rPr>
        <w:t>定标候选人</w:t>
      </w:r>
    </w:p>
    <w:p w14:paraId="218ACC3C">
      <w:pPr>
        <w:pageBreakBefore w:val="0"/>
        <w:widowControl/>
        <w:kinsoku/>
        <w:overflowPunct/>
        <w:topLinePunct w:val="0"/>
        <w:autoSpaceDE/>
        <w:autoSpaceDN/>
        <w:bidi w:val="0"/>
        <w:adjustRightInd w:val="0"/>
        <w:snapToGrid w:val="0"/>
        <w:spacing w:line="360" w:lineRule="auto"/>
        <w:jc w:val="center"/>
        <w:textAlignment w:val="auto"/>
        <w:rPr>
          <w:rFonts w:ascii="宋体" w:hAnsi="宋体"/>
          <w:b/>
          <w:snapToGrid w:val="0"/>
          <w:color w:val="auto"/>
          <w:kern w:val="0"/>
          <w:sz w:val="28"/>
          <w:highlight w:val="none"/>
        </w:rPr>
      </w:pPr>
      <w:r>
        <w:rPr>
          <w:rFonts w:hint="eastAsia" w:ascii="宋体" w:hAnsi="宋体"/>
          <w:b/>
          <w:snapToGrid w:val="0"/>
          <w:color w:val="auto"/>
          <w:kern w:val="0"/>
          <w:sz w:val="28"/>
          <w:highlight w:val="none"/>
          <w:lang w:val="en-US" w:eastAsia="zh-CN"/>
        </w:rPr>
        <w:t>3</w:t>
      </w:r>
      <w:r>
        <w:rPr>
          <w:rFonts w:hint="eastAsia" w:ascii="宋体" w:hAnsi="宋体"/>
          <w:b/>
          <w:snapToGrid w:val="0"/>
          <w:color w:val="auto"/>
          <w:kern w:val="0"/>
          <w:sz w:val="28"/>
          <w:highlight w:val="none"/>
        </w:rPr>
        <w:t>. 资格审查与确定入围投标人</w:t>
      </w:r>
    </w:p>
    <w:p w14:paraId="2FA8084C">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.1 资格审查</w:t>
      </w:r>
    </w:p>
    <w:p w14:paraId="60C3E92D">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3.1.1</w:t>
      </w:r>
      <w:r>
        <w:rPr>
          <w:rFonts w:hint="eastAsia" w:ascii="宋体" w:hAnsi="宋体" w:cs="宋体"/>
          <w:color w:val="auto"/>
          <w:sz w:val="24"/>
          <w:highlight w:val="none"/>
        </w:rPr>
        <w:t>资格审查委员会依据评标办法前附表第2.1.1项规定的标准对投标人进行资格审查，有一项不符合评审标准的，资格审查不合格，作否决投标处理，不得进入确定入围投标人程序。</w:t>
      </w:r>
    </w:p>
    <w:p w14:paraId="147E512D">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3.1.2评标委员会未按照招标文件规定的程序或审查办法进行评审且影响入围投标人结果的，应当按照招标文件规定的程序或审查办法进行纠正。</w:t>
      </w:r>
    </w:p>
    <w:p w14:paraId="16978C51">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3.1.3</w:t>
      </w:r>
      <w:r>
        <w:rPr>
          <w:rFonts w:hint="eastAsia" w:ascii="宋体" w:hAnsi="宋体" w:cs="宋体"/>
          <w:color w:val="auto"/>
          <w:sz w:val="24"/>
          <w:highlight w:val="none"/>
        </w:rPr>
        <w:t>资格审查合格的投标人数量少于3家的，招标人应当重新招标。</w:t>
      </w:r>
    </w:p>
    <w:p w14:paraId="6092A2D2">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资格文件的澄清、说明和补正</w:t>
      </w:r>
    </w:p>
    <w:p w14:paraId="091B1D43">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在资格审查过程中，评标委员会可以通过电子交易平台要求投标人对所提交的投标文件中不明确的内容进行书面澄清或说明，或者对细微偏差进行补正。投标人通过电子交易平台回复澄清、说明、补正，时限要求详见评标办法前附表，评标委员会不接受投标人主动提出的澄清、说明或补正。</w:t>
      </w:r>
    </w:p>
    <w:p w14:paraId="489CD987">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0D96C98B">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（2）澄清、说明和补正不得改变资格文件的实质性内容。投标人的书面澄清、说明和补正属于资格文件的组成部分。</w:t>
      </w:r>
    </w:p>
    <w:p w14:paraId="41CABAC7">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（3）评标委员会对投标人提交的澄清、说明或补正有疑问的，可以要求投标人进一步澄清、说明或补正，直至满足评标委员会的要求。</w:t>
      </w:r>
    </w:p>
    <w:p w14:paraId="0108CC0D">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（4）投标人不按评标委员会要求对资格文件澄清、说明或补正的，评标委员会应当作出资格审查不合格的审查结论。</w:t>
      </w:r>
    </w:p>
    <w:p w14:paraId="559A2217">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确定入围投标人</w:t>
      </w:r>
    </w:p>
    <w:p w14:paraId="6314A175">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本招标项目采用合格制方式确定入围投标人。评标委员会对投标人是否满足招标文件的资格条件要求进行审查，满足资格条件要求的投标人均确定为入围投标人。</w:t>
      </w:r>
    </w:p>
    <w:p w14:paraId="1BC4A77D">
      <w:pPr>
        <w:pageBreakBefore w:val="0"/>
        <w:widowControl/>
        <w:kinsoku/>
        <w:overflowPunct/>
        <w:topLinePunct w:val="0"/>
        <w:autoSpaceDE/>
        <w:autoSpaceDN/>
        <w:bidi w:val="0"/>
        <w:adjustRightInd w:val="0"/>
        <w:snapToGrid w:val="0"/>
        <w:spacing w:line="360" w:lineRule="auto"/>
        <w:jc w:val="center"/>
        <w:textAlignment w:val="auto"/>
        <w:rPr>
          <w:rFonts w:hint="eastAsia" w:ascii="宋体" w:hAnsi="宋体"/>
          <w:b/>
          <w:snapToGrid w:val="0"/>
          <w:color w:val="auto"/>
          <w:kern w:val="0"/>
          <w:sz w:val="28"/>
          <w:highlight w:val="none"/>
        </w:rPr>
      </w:pPr>
    </w:p>
    <w:p w14:paraId="3834F6B3">
      <w:pPr>
        <w:pageBreakBefore w:val="0"/>
        <w:widowControl/>
        <w:kinsoku/>
        <w:overflowPunct/>
        <w:topLinePunct w:val="0"/>
        <w:autoSpaceDE/>
        <w:autoSpaceDN/>
        <w:bidi w:val="0"/>
        <w:adjustRightInd w:val="0"/>
        <w:snapToGrid w:val="0"/>
        <w:spacing w:line="360" w:lineRule="auto"/>
        <w:jc w:val="center"/>
        <w:textAlignment w:val="auto"/>
        <w:rPr>
          <w:rFonts w:ascii="宋体" w:hAnsi="宋体"/>
          <w:b/>
          <w:snapToGrid w:val="0"/>
          <w:color w:val="auto"/>
          <w:kern w:val="0"/>
          <w:sz w:val="28"/>
          <w:highlight w:val="none"/>
        </w:rPr>
      </w:pPr>
      <w:r>
        <w:rPr>
          <w:rFonts w:hint="eastAsia" w:ascii="宋体" w:hAnsi="宋体"/>
          <w:b/>
          <w:snapToGrid w:val="0"/>
          <w:color w:val="auto"/>
          <w:kern w:val="0"/>
          <w:sz w:val="28"/>
          <w:highlight w:val="none"/>
        </w:rPr>
        <w:t>3. 组建评标委员会</w:t>
      </w:r>
    </w:p>
    <w:p w14:paraId="308F86C7">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3.1评标委员会由有关技术、经济等方面的专家组成，成员人数见第二章“投标人须知”。技术、经济等方面专家全部从福建省综合性评标专家库中抽取。</w:t>
      </w:r>
    </w:p>
    <w:p w14:paraId="35537028">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3.2评标委员会成员有下列情形之一的，应当回避：</w:t>
      </w:r>
    </w:p>
    <w:p w14:paraId="7E08E0F2">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①招标人或投标人的主要负责人的近亲属；</w:t>
      </w:r>
    </w:p>
    <w:p w14:paraId="047BCD35">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②项目主管部门或者行政监督部门的人员；</w:t>
      </w:r>
    </w:p>
    <w:p w14:paraId="3CE6FC05">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③与投标人有利害关系的；</w:t>
      </w:r>
    </w:p>
    <w:p w14:paraId="38102FCB">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④与投标人有经济利益关系，可能影响对投标公正评审的；</w:t>
      </w:r>
    </w:p>
    <w:p w14:paraId="5063236D">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⑤曾因在招标、评标以及其他与招标投标有关活动中从事违法行为而受过行政处罚或刑事处罚的。</w:t>
      </w:r>
    </w:p>
    <w:p w14:paraId="2057D84F">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p>
    <w:p w14:paraId="1CFACB7D">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highlight w:val="none"/>
        </w:rPr>
      </w:pPr>
    </w:p>
    <w:p w14:paraId="683DAC1E">
      <w:pPr>
        <w:pageBreakBefore w:val="0"/>
        <w:widowControl/>
        <w:kinsoku/>
        <w:overflowPunct/>
        <w:topLinePunct w:val="0"/>
        <w:autoSpaceDE/>
        <w:autoSpaceDN/>
        <w:bidi w:val="0"/>
        <w:adjustRightInd w:val="0"/>
        <w:snapToGrid w:val="0"/>
        <w:spacing w:line="360" w:lineRule="auto"/>
        <w:jc w:val="center"/>
        <w:textAlignment w:val="auto"/>
        <w:rPr>
          <w:rFonts w:ascii="宋体" w:hAnsi="宋体"/>
          <w:b/>
          <w:snapToGrid w:val="0"/>
          <w:color w:val="auto"/>
          <w:kern w:val="0"/>
          <w:sz w:val="28"/>
          <w:highlight w:val="none"/>
        </w:rPr>
      </w:pPr>
      <w:r>
        <w:rPr>
          <w:rFonts w:hint="eastAsia" w:ascii="宋体" w:hAnsi="宋体"/>
          <w:b/>
          <w:snapToGrid w:val="0"/>
          <w:color w:val="auto"/>
          <w:kern w:val="0"/>
          <w:sz w:val="28"/>
          <w:highlight w:val="none"/>
          <w:lang w:val="en-US" w:eastAsia="zh-CN"/>
        </w:rPr>
        <w:t>4</w:t>
      </w:r>
      <w:r>
        <w:rPr>
          <w:rFonts w:hint="eastAsia" w:ascii="宋体" w:hAnsi="宋体"/>
          <w:b/>
          <w:snapToGrid w:val="0"/>
          <w:color w:val="auto"/>
          <w:kern w:val="0"/>
          <w:sz w:val="28"/>
          <w:highlight w:val="none"/>
        </w:rPr>
        <w:t>. 定性评审</w:t>
      </w:r>
    </w:p>
    <w:p w14:paraId="73C811B5">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4.1定性评审工作规则</w:t>
      </w:r>
    </w:p>
    <w:p w14:paraId="5F6C9F11">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4.1.1评标委员会应当按照本章规定的方法、评审因素、标准和程序，客观、公正地对投标文件提出评审意见。本章没有规定的方法、评审因素和标准，不得作为评标的依据。</w:t>
      </w:r>
    </w:p>
    <w:p w14:paraId="1F67C7E1">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4.1.2招标人应当根据项目规模和技术复杂程度等因素合理确定评标时间。超过三分之一的评标委员会成员认为评标时间不够的，招标人应当适当延长。</w:t>
      </w:r>
    </w:p>
    <w:p w14:paraId="3BE60321">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4.1.3评标过程中，评标委员会成员有回避事由、擅离职守或者因健康等原因不能继续评标的，应当及时更换。被更换的评标委员会成员作出的评审结论无效，由更换后的评标委员会成员重新进行评审。</w:t>
      </w:r>
    </w:p>
    <w:p w14:paraId="1A520311">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4.1.4招标文件条款存在含义不清或者相互矛盾的，评标委员会应当针对相应条款作出有利于相应投标人的结论。</w:t>
      </w:r>
    </w:p>
    <w:p w14:paraId="4CEE5D60">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14:paraId="169EC68D">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4.1.6对否决的投标或不采信投标人说明的情况，评标委员会应当在评标报告中作详细说明。</w:t>
      </w:r>
    </w:p>
    <w:p w14:paraId="46045D4A">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4.1.7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14:paraId="02230DA7">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4.1.8评标结束后，由招标人向评标委员会成员支付劳务费。除此之外，评标委员会成员不得接受该项目招投标相关单位和个人的任何其他礼物、现金或者有价证券等财物。</w:t>
      </w:r>
    </w:p>
    <w:p w14:paraId="795EE137">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4.2组建评标委员会</w:t>
      </w:r>
    </w:p>
    <w:p w14:paraId="08E634F1">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（1）评标委员会由有关技术、经济等方面的专家组成，成员人数见第二章“投标人须知”。技术、经济等方面专家全部从福建省综合性评标专家库中抽取。</w:t>
      </w:r>
    </w:p>
    <w:p w14:paraId="133382EB">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（2）评标委员会成员有下列情形之一的，应当回避：</w:t>
      </w:r>
    </w:p>
    <w:p w14:paraId="3847BC16">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①招标人或投标人的主要负责人的近亲属；</w:t>
      </w:r>
    </w:p>
    <w:p w14:paraId="116F7983">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②项目主管部门或者行政监督部门的人员；</w:t>
      </w:r>
    </w:p>
    <w:p w14:paraId="12EF8EA3">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③与投标人有利害关系的；</w:t>
      </w:r>
    </w:p>
    <w:p w14:paraId="57423532">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④与投标人有经济利益关系，可能影响对投标公正评审的；</w:t>
      </w:r>
    </w:p>
    <w:p w14:paraId="125CB468">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⑤曾因在招标、评标以及其他与招标投标有关活动中从事违法行为而受过行政处罚或刑事处罚的。</w:t>
      </w:r>
    </w:p>
    <w:p w14:paraId="42D8A8D5">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（3）评标委员会采用推举或者随机抽取方式确定一名专家评委担任评标委员会负责人。评标委员会负责人负责组织开展评标活动，对在评标过程中产生的问题提请评标委员会讨论、表决，组织编写评标报告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评标委员会负责人与评标委员会的其他成员享有同等表决权。</w:t>
      </w:r>
    </w:p>
    <w:p w14:paraId="7A616B5B">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前的准备</w:t>
      </w:r>
    </w:p>
    <w:p w14:paraId="6E498590">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14:paraId="0BD95FDB">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14:paraId="6CAFAF4B">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ascii="宋体" w:hAnsi="宋体" w:cs="宋体"/>
          <w:color w:val="auto"/>
          <w:sz w:val="24"/>
          <w:highlight w:val="none"/>
        </w:rPr>
        <w:t xml:space="preserve"> 形式评审与响应性评审</w:t>
      </w:r>
    </w:p>
    <w:p w14:paraId="25EFFE37">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ascii="宋体" w:hAnsi="宋体" w:cs="宋体"/>
          <w:color w:val="auto"/>
          <w:sz w:val="24"/>
          <w:highlight w:val="none"/>
        </w:rPr>
        <w:t>.1评标委员会依据评标办法前附表第 2.1.2及2.1.3项规定的标准对入围投标人的投标文件进行形式评审与响应性评审，有一项不符合评审标准的，评标委员会应当否决其投标。</w:t>
      </w:r>
    </w:p>
    <w:p w14:paraId="01031A5B">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4.4</w:t>
      </w:r>
      <w:r>
        <w:rPr>
          <w:rFonts w:hint="eastAsia" w:ascii="宋体" w:hAnsi="宋体" w:cs="宋体"/>
          <w:color w:val="auto"/>
          <w:sz w:val="24"/>
          <w:highlight w:val="none"/>
        </w:rPr>
        <w:t>.2投标人有下列情形之一的，其投标作废标处理：</w:t>
      </w:r>
    </w:p>
    <w:p w14:paraId="5B6E6A04">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 第二章“投标人须知”第1.12.1款规定的任何一种情形的；</w:t>
      </w:r>
    </w:p>
    <w:p w14:paraId="5ED41891">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（2）不按评标委员会要求澄清、说明或补正的。</w:t>
      </w:r>
    </w:p>
    <w:p w14:paraId="28E07D1E">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4.5</w:t>
      </w:r>
      <w:r>
        <w:rPr>
          <w:rFonts w:hint="eastAsia" w:ascii="宋体" w:hAnsi="宋体" w:cs="宋体"/>
          <w:color w:val="auto"/>
          <w:sz w:val="24"/>
          <w:highlight w:val="none"/>
        </w:rPr>
        <w:t>详细评审</w:t>
      </w:r>
    </w:p>
    <w:p w14:paraId="206F8DAB">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4.5.1</w:t>
      </w:r>
      <w:r>
        <w:rPr>
          <w:rFonts w:hint="eastAsia" w:ascii="宋体" w:hAnsi="宋体" w:cs="宋体"/>
          <w:color w:val="auto"/>
          <w:sz w:val="24"/>
          <w:highlight w:val="none"/>
        </w:rPr>
        <w:t>分值构成</w:t>
      </w:r>
    </w:p>
    <w:p w14:paraId="1C9E7EC6">
      <w:pPr>
        <w:pageBreakBefore w:val="0"/>
        <w:kinsoku/>
        <w:wordWrap w:val="0"/>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各项分值构成</w:t>
      </w:r>
      <w:r>
        <w:rPr>
          <w:rFonts w:hint="eastAsia" w:ascii="宋体" w:hAnsi="宋体" w:cs="宋体"/>
          <w:color w:val="auto"/>
          <w:sz w:val="24"/>
          <w:highlight w:val="none"/>
          <w:lang w:val="en-US" w:eastAsia="zh-CN"/>
        </w:rPr>
        <w:t>及评分标准</w:t>
      </w:r>
      <w:r>
        <w:rPr>
          <w:rFonts w:hint="eastAsia" w:ascii="宋体" w:hAnsi="宋体" w:cs="宋体"/>
          <w:color w:val="auto"/>
          <w:sz w:val="24"/>
          <w:highlight w:val="none"/>
        </w:rPr>
        <w:t>见本章评标办法前附表。</w:t>
      </w:r>
    </w:p>
    <w:p w14:paraId="51DA5CB1">
      <w:pPr>
        <w:pageBreakBefore w:val="0"/>
        <w:kinsoku/>
        <w:wordWrap w:val="0"/>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各项评审因素及其细分项目按较好满足项目要求、一般满足项目要求、基本满足项目要求和不满足项目要求等不同的档次制定评分标准，并进行评分。各评审因素得分应以评标委员会各成员的有效评分中去掉一个最高分和一个最低分后计算平均值确定，该平均值取小数点后两位（小数点后第三位四舍五入计入第二位）。</w:t>
      </w:r>
    </w:p>
    <w:p w14:paraId="25BF18AD">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4.5.2</w:t>
      </w:r>
      <w:r>
        <w:rPr>
          <w:rFonts w:hint="eastAsia" w:ascii="宋体" w:hAnsi="宋体" w:cs="宋体"/>
          <w:color w:val="auto"/>
          <w:sz w:val="24"/>
          <w:highlight w:val="none"/>
        </w:rPr>
        <w:t>评标委员会按本章第2.2条规定的评审因素和分值进行打分，并计算出综合评估得分。</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为后续建设单位定标、签订合同提供技术咨询意见，技术咨询意见不得少于50字</w:t>
      </w:r>
      <w:r>
        <w:rPr>
          <w:rFonts w:hint="eastAsia" w:ascii="宋体" w:hAnsi="宋体" w:cs="宋体"/>
          <w:color w:val="auto"/>
          <w:sz w:val="24"/>
          <w:highlight w:val="none"/>
          <w:lang w:eastAsia="zh-CN"/>
        </w:rPr>
        <w:t>。</w:t>
      </w:r>
    </w:p>
    <w:p w14:paraId="6D7B69DB">
      <w:pPr>
        <w:pageBreakBefore w:val="0"/>
        <w:numPr>
          <w:ilvl w:val="0"/>
          <w:numId w:val="9"/>
        </w:numPr>
        <w:kinsoku/>
        <w:wordWrap w:val="0"/>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按本章第2.2.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款商务部分规定的评审因素和分值对商务部分计算出得分A；</w:t>
      </w:r>
    </w:p>
    <w:p w14:paraId="2F0B36DF">
      <w:pPr>
        <w:pageBreakBefore w:val="0"/>
        <w:numPr>
          <w:ilvl w:val="0"/>
          <w:numId w:val="9"/>
        </w:numPr>
        <w:kinsoku/>
        <w:wordWrap w:val="0"/>
        <w:overflowPunct/>
        <w:topLinePunct w:val="0"/>
        <w:autoSpaceDE/>
        <w:autoSpaceDN/>
        <w:bidi w:val="0"/>
        <w:adjustRightInd w:val="0"/>
        <w:snapToGrid w:val="0"/>
        <w:spacing w:line="360" w:lineRule="auto"/>
        <w:ind w:left="0" w:leftChars="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按本章第2.2.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款技术部分规定的评审因素和分值对技术部分计算出得分B。</w:t>
      </w:r>
    </w:p>
    <w:p w14:paraId="4BAC18FC">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4.5.3</w:t>
      </w:r>
      <w:r>
        <w:rPr>
          <w:rFonts w:hint="eastAsia" w:ascii="宋体" w:hAnsi="宋体" w:cs="宋体"/>
          <w:color w:val="auto"/>
          <w:sz w:val="24"/>
          <w:highlight w:val="none"/>
        </w:rPr>
        <w:t>评分分值计算保留小数点后两位，小数点后第三位四舍五入。</w:t>
      </w:r>
    </w:p>
    <w:p w14:paraId="69C87D27">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4.5.4</w:t>
      </w:r>
      <w:r>
        <w:rPr>
          <w:rFonts w:hint="eastAsia" w:ascii="宋体" w:hAnsi="宋体" w:cs="宋体"/>
          <w:color w:val="auto"/>
          <w:sz w:val="24"/>
          <w:highlight w:val="none"/>
        </w:rPr>
        <w:t>投标人得分＝A＋B。</w:t>
      </w:r>
    </w:p>
    <w:p w14:paraId="2A39C5EA">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4.6</w:t>
      </w:r>
      <w:r>
        <w:rPr>
          <w:rFonts w:hint="eastAsia" w:ascii="宋体" w:hAnsi="宋体" w:cs="宋体"/>
          <w:color w:val="auto"/>
          <w:sz w:val="24"/>
          <w:highlight w:val="none"/>
        </w:rPr>
        <w:t xml:space="preserve"> 投标文件的澄清、说明和补正</w:t>
      </w:r>
    </w:p>
    <w:p w14:paraId="7BB9E822">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评标过程中，评标委员会可以通过电子交易平台要求投标人对所提交的投标文件中不明确的内容进行书面澄清或说明，或者对细微偏差进行补正。投标人通过电子交易平台回复澄清、说明、补正，时限要求详见评标办法前附表第 4 项，评标委员会不接受投标人主动提出的澄清、说明或补正。</w:t>
      </w:r>
    </w:p>
    <w:p w14:paraId="26665B1F">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14:paraId="474ACAE7">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（2）澄清、说明和补正不得改变投标文件的实质性内容。投标人的书面澄清、说明和补正属于投标文件的组成部分。</w:t>
      </w:r>
    </w:p>
    <w:p w14:paraId="65EDB8E4">
      <w:pPr>
        <w:pageBreakBefore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（3）评标委员会对投标人提交的澄清、说明或补正有疑问的，可以要求投标人进一步澄清、说明或补正，直至满足评标委员会的要求。不按评标委员会要求澄清、说明或补正的，评标委员会应当否决其投标</w:t>
      </w:r>
      <w:r>
        <w:rPr>
          <w:rFonts w:hint="eastAsia" w:ascii="宋体" w:hAnsi="宋体" w:eastAsia="宋体" w:cs="宋体"/>
          <w:color w:val="auto"/>
          <w:sz w:val="24"/>
          <w:szCs w:val="24"/>
          <w:highlight w:val="none"/>
          <w:lang w:eastAsia="zh-CN"/>
        </w:rPr>
        <w:t>。</w:t>
      </w:r>
    </w:p>
    <w:p w14:paraId="5416796F">
      <w:pPr>
        <w:pageBreakBefore w:val="0"/>
        <w:kinsoku/>
        <w:overflowPunct/>
        <w:topLinePunct w:val="0"/>
        <w:autoSpaceDE/>
        <w:autoSpaceDN/>
        <w:bidi w:val="0"/>
        <w:adjustRightInd w:val="0"/>
        <w:snapToGrid w:val="0"/>
        <w:spacing w:line="360" w:lineRule="auto"/>
        <w:ind w:firstLine="420" w:firstLineChars="175"/>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4.7</w:t>
      </w:r>
      <w:r>
        <w:rPr>
          <w:rFonts w:hint="eastAsia" w:ascii="宋体" w:hAnsi="宋体" w:cs="宋体"/>
          <w:color w:val="auto"/>
          <w:sz w:val="24"/>
          <w:highlight w:val="none"/>
        </w:rPr>
        <w:t>投标文件的修正</w:t>
      </w:r>
    </w:p>
    <w:p w14:paraId="020BC81D">
      <w:pPr>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4.7.1投标报价有算术错误的，评标委员会按以下原则对投标报价进行修正，修正的价格经投标人确认后具有约束力。投标人不接受修正价格的，评标委员会应否决其投标。</w:t>
      </w:r>
    </w:p>
    <w:p w14:paraId="0FC81323">
      <w:pPr>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（1）投标文件中的大写金额与小写金额不一致的，以大写金额为准；</w:t>
      </w:r>
    </w:p>
    <w:p w14:paraId="3A0740AC">
      <w:pPr>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（2）总价金额与依据单价计算出的结果不一致的，以单价金额为准修正总价，但单价金额小数点有明显错误的除外；（如有）</w:t>
      </w:r>
    </w:p>
    <w:p w14:paraId="0175673A">
      <w:pPr>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（3）当单价与数量相乘不等于合价时，以单价计算为准，如果单价有明显的小数点位置差错，应以标出的合价为准，同时对单价予以修正；（如有）</w:t>
      </w:r>
    </w:p>
    <w:p w14:paraId="2EF4EA79">
      <w:pPr>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（4）当各子目的合价累计不等于总价时，应以各子目合价累计数为准，修正总价。（如有）</w:t>
      </w:r>
    </w:p>
    <w:p w14:paraId="2C9E709D">
      <w:pPr>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（5）漏报暂列金额、暂估价或填报的暂列金额比例、暂估价与招标文件要求不一致时，以招标人规定的暂列金额比例、暂估价为准对投标总价进行修正。</w:t>
      </w:r>
    </w:p>
    <w:p w14:paraId="2C9B2F51">
      <w:pPr>
        <w:pageBreakBefore w:val="0"/>
        <w:kinsoku/>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4.7.2修正后的最终投标报价若超过最高投标限价（如有），评标委员会应否决其投标。</w:t>
      </w:r>
    </w:p>
    <w:p w14:paraId="69C5B407">
      <w:pPr>
        <w:pageBreakBefore w:val="0"/>
        <w:kinsoku/>
        <w:overflowPunct/>
        <w:topLinePunct w:val="0"/>
        <w:autoSpaceDE/>
        <w:autoSpaceDN/>
        <w:bidi w:val="0"/>
        <w:adjustRightInd w:val="0"/>
        <w:snapToGrid w:val="0"/>
        <w:spacing w:line="360" w:lineRule="auto"/>
        <w:ind w:firstLine="480" w:firstLineChars="200"/>
        <w:textAlignment w:val="auto"/>
        <w:rPr>
          <w:rFonts w:hint="eastAsia"/>
          <w:color w:val="auto"/>
          <w:highlight w:val="none"/>
          <w:lang w:val="en-US" w:eastAsia="zh-CN"/>
        </w:rPr>
      </w:pPr>
      <w:r>
        <w:rPr>
          <w:rFonts w:hint="eastAsia" w:ascii="宋体" w:hAnsi="宋体" w:eastAsia="宋体" w:cs="宋体"/>
          <w:color w:val="auto"/>
          <w:sz w:val="24"/>
          <w:highlight w:val="none"/>
          <w:shd w:val="clear" w:color="auto" w:fill="auto"/>
          <w:lang w:val="en-US" w:eastAsia="zh-CN"/>
        </w:rPr>
        <w:t>4.7.3修正后的最终投标报价作为签订合同的一个依据。</w:t>
      </w:r>
    </w:p>
    <w:p w14:paraId="1210F948">
      <w:pPr>
        <w:pageBreakBefore w:val="0"/>
        <w:kinsoku/>
        <w:wordWrap w:val="0"/>
        <w:overflowPunct/>
        <w:topLinePunct w:val="0"/>
        <w:autoSpaceDE/>
        <w:autoSpaceDN/>
        <w:bidi w:val="0"/>
        <w:adjustRightInd w:val="0"/>
        <w:snapToGrid w:val="0"/>
        <w:spacing w:line="360" w:lineRule="auto"/>
        <w:ind w:firstLine="420" w:firstLineChars="175"/>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4.8</w:t>
      </w:r>
      <w:r>
        <w:rPr>
          <w:rFonts w:hint="eastAsia" w:ascii="宋体" w:hAnsi="宋体" w:cs="宋体"/>
          <w:color w:val="auto"/>
          <w:sz w:val="24"/>
          <w:highlight w:val="none"/>
        </w:rPr>
        <w:t>投标文件相关信息的核查</w:t>
      </w:r>
    </w:p>
    <w:p w14:paraId="0824DC6E">
      <w:pPr>
        <w:pageBreakBefore w:val="0"/>
        <w:kinsoku/>
        <w:wordWrap w:val="0"/>
        <w:overflowPunct/>
        <w:topLinePunct w:val="0"/>
        <w:autoSpaceDE/>
        <w:autoSpaceDN/>
        <w:bidi w:val="0"/>
        <w:adjustRightInd w:val="0"/>
        <w:snapToGrid w:val="0"/>
        <w:spacing w:line="360" w:lineRule="auto"/>
        <w:ind w:right="17" w:firstLine="420" w:firstLineChars="175"/>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4.8</w:t>
      </w:r>
      <w:r>
        <w:rPr>
          <w:rFonts w:hint="eastAsia" w:ascii="宋体" w:hAnsi="宋体" w:cs="宋体"/>
          <w:color w:val="auto"/>
          <w:sz w:val="24"/>
          <w:highlight w:val="none"/>
        </w:rPr>
        <w:t xml:space="preserve">.1 </w:t>
      </w:r>
      <w:r>
        <w:rPr>
          <w:rFonts w:hint="eastAsia" w:ascii="宋体" w:hAnsi="宋体" w:eastAsia="宋体" w:cs="宋体"/>
          <w:color w:val="auto"/>
          <w:sz w:val="24"/>
          <w:highlight w:val="none"/>
          <w:shd w:val="clear" w:color="auto" w:fill="auto"/>
        </w:rPr>
        <w:t>在评标过程中，评标委员会应查询交通运输部“全国水运建设市场信用信息管理系统”</w:t>
      </w:r>
      <w:r>
        <w:rPr>
          <w:rFonts w:hint="eastAsia" w:ascii="宋体" w:hAnsi="宋体" w:cs="宋体"/>
          <w:color w:val="auto"/>
          <w:sz w:val="24"/>
          <w:highlight w:val="none"/>
          <w:shd w:val="clear" w:color="auto" w:fill="auto"/>
          <w:lang w:val="en-US" w:eastAsia="zh-CN"/>
        </w:rPr>
        <w:t>或“福建省交通公路水运建设与运输市场信用信息管理系统（信用交通·福建）”</w:t>
      </w:r>
      <w:r>
        <w:rPr>
          <w:rFonts w:hint="eastAsia" w:ascii="宋体" w:hAnsi="宋体" w:eastAsia="宋体" w:cs="宋体"/>
          <w:color w:val="auto"/>
          <w:sz w:val="24"/>
          <w:highlight w:val="none"/>
          <w:shd w:val="clear" w:color="auto" w:fill="auto"/>
        </w:rPr>
        <w:t>，对投标人的资质、业绩、信用等级等信息进行核实。若投标文件载明的信息与</w:t>
      </w:r>
      <w:r>
        <w:rPr>
          <w:rFonts w:hint="eastAsia" w:ascii="宋体" w:hAnsi="宋体" w:cs="宋体"/>
          <w:color w:val="auto"/>
          <w:sz w:val="24"/>
          <w:highlight w:val="none"/>
          <w:shd w:val="clear" w:color="auto" w:fill="auto"/>
          <w:lang w:val="en-US" w:eastAsia="zh-CN"/>
        </w:rPr>
        <w:t>上述系统</w:t>
      </w:r>
      <w:r>
        <w:rPr>
          <w:rFonts w:hint="eastAsia" w:ascii="宋体" w:hAnsi="宋体" w:eastAsia="宋体" w:cs="宋体"/>
          <w:color w:val="auto"/>
          <w:sz w:val="24"/>
          <w:highlight w:val="none"/>
          <w:shd w:val="clear" w:color="auto" w:fill="auto"/>
        </w:rPr>
        <w:t>发布的信息不符，使得投标人的资格条件不符合招标文件规定的，评标委员会应否决其投标。</w:t>
      </w:r>
    </w:p>
    <w:p w14:paraId="73519CB1">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ascii="宋体" w:hAnsi="宋体" w:cs="宋体"/>
          <w:color w:val="auto"/>
          <w:sz w:val="24"/>
          <w:highlight w:val="none"/>
          <w:lang w:val="en-US" w:eastAsia="zh-CN"/>
        </w:rPr>
        <w:t>4.8</w:t>
      </w:r>
      <w:r>
        <w:rPr>
          <w:rFonts w:hint="eastAsia" w:ascii="宋体" w:hAnsi="宋体" w:cs="宋体"/>
          <w:color w:val="auto"/>
          <w:sz w:val="24"/>
          <w:highlight w:val="none"/>
        </w:rPr>
        <w:t xml:space="preserve">.2 </w:t>
      </w:r>
      <w:r>
        <w:rPr>
          <w:rFonts w:hint="eastAsia"/>
          <w:color w:val="auto"/>
          <w:sz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14:paraId="466EB863">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（1）有下列情形之一的，属于投标人相互串通投标：</w:t>
      </w:r>
    </w:p>
    <w:p w14:paraId="0330EE70">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a.投标人之间协商投标报价等投标文件的实质性内容；</w:t>
      </w:r>
    </w:p>
    <w:p w14:paraId="31D2CA4C">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b.投标人之间约定中标人；</w:t>
      </w:r>
    </w:p>
    <w:p w14:paraId="39CDA2A7">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C.投标人之间约定部分投标人放弃投标或中标；</w:t>
      </w:r>
    </w:p>
    <w:p w14:paraId="65BD5879">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d.属于同一集团、协会、商会等组织成员的投标人按照该组织要求协同投标；</w:t>
      </w:r>
    </w:p>
    <w:p w14:paraId="1CB37DFF">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e.投标人之间为谋取中标或排斥特定投标人而采取的其他联合行动。</w:t>
      </w:r>
    </w:p>
    <w:p w14:paraId="440F4A5D">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（2）有下列情形之一的，视为投标人相互串通投标；</w:t>
      </w:r>
    </w:p>
    <w:p w14:paraId="2C1735C0">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a.不同投标人的投标文件由同一单位或个人编制；</w:t>
      </w:r>
    </w:p>
    <w:p w14:paraId="43EA6FD9">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b.不同投标人委托同一单位或个人办理投标事宜；</w:t>
      </w:r>
    </w:p>
    <w:p w14:paraId="254D0A96">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C.不同投标人的投标文件载明的项目管理成员为同一人；</w:t>
      </w:r>
    </w:p>
    <w:p w14:paraId="1C32A8EB">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d.不同投标人的投标文件异常一致或投标报价呈规律性差异；</w:t>
      </w:r>
    </w:p>
    <w:p w14:paraId="2083446F">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e.不同投标人的投标文件相互混装；</w:t>
      </w:r>
    </w:p>
    <w:p w14:paraId="54C76516">
      <w:pPr>
        <w:pageBreakBefore w:val="0"/>
        <w:kinsoku/>
        <w:wordWrap w:val="0"/>
        <w:overflowPunct/>
        <w:topLinePunct w:val="0"/>
        <w:autoSpaceDE/>
        <w:autoSpaceDN/>
        <w:bidi w:val="0"/>
        <w:adjustRightInd w:val="0"/>
        <w:snapToGrid w:val="0"/>
        <w:spacing w:line="360" w:lineRule="auto"/>
        <w:ind w:right="17" w:firstLine="480" w:firstLineChars="200"/>
        <w:textAlignment w:val="auto"/>
        <w:rPr>
          <w:rFonts w:hint="eastAsia"/>
          <w:color w:val="auto"/>
          <w:sz w:val="24"/>
          <w:highlight w:val="none"/>
          <w:lang w:eastAsia="zh-CN"/>
        </w:rPr>
      </w:pPr>
      <w:r>
        <w:rPr>
          <w:rFonts w:hint="eastAsia"/>
          <w:color w:val="auto"/>
          <w:sz w:val="24"/>
          <w:highlight w:val="none"/>
        </w:rPr>
        <w:t>f.不同投标人的投标保证金从同一单位或个人的账户转出</w:t>
      </w:r>
      <w:r>
        <w:rPr>
          <w:rFonts w:hint="eastAsia"/>
          <w:color w:val="auto"/>
          <w:sz w:val="24"/>
          <w:highlight w:val="none"/>
          <w:lang w:eastAsia="zh-CN"/>
        </w:rPr>
        <w:t>；</w:t>
      </w:r>
    </w:p>
    <w:p w14:paraId="70990C23">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（3）有下列情形之一的 ，属于招标人与投标人串通投标：</w:t>
      </w:r>
    </w:p>
    <w:p w14:paraId="75FFFC49">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a.招标人在开标前开启投标文件并将有关信息泄露给其他投标人；</w:t>
      </w:r>
    </w:p>
    <w:p w14:paraId="25F69638">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b招标人直接或间接向投标人泄露标底、评标委员会成员等信息；</w:t>
      </w:r>
    </w:p>
    <w:p w14:paraId="48B245E3">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c招标人明示或暗示投标人压低或抬高投标报价；</w:t>
      </w:r>
    </w:p>
    <w:p w14:paraId="6A633D03">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d.招标人授意投标人撤换、修改投标文件；</w:t>
      </w:r>
    </w:p>
    <w:p w14:paraId="3C57E37D">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e.招标人明示或暗示投标人为特定投标人中标提供方便；</w:t>
      </w:r>
    </w:p>
    <w:p w14:paraId="7F6D1695">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f.招标人与投标人为谋求特定投标人中标而采取的其他串通行为。</w:t>
      </w:r>
    </w:p>
    <w:p w14:paraId="6BDD620B">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（4）投标人有下列情形之一的，属于弄虚作假的行为：</w:t>
      </w:r>
    </w:p>
    <w:p w14:paraId="39ECDFD6">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a.使用通过受让或租借等方式获取的资格、资质证书投标；</w:t>
      </w:r>
    </w:p>
    <w:p w14:paraId="7A1A1769">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b.使用伪造、变造的许可证件；</w:t>
      </w:r>
    </w:p>
    <w:p w14:paraId="55683806">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c.提供虚假的业绩；</w:t>
      </w:r>
    </w:p>
    <w:p w14:paraId="5D35B96F">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d.提供虚假的项目负责人或主要技术人员简历、劳动关系证明；</w:t>
      </w:r>
    </w:p>
    <w:p w14:paraId="68CBBC0B">
      <w:pPr>
        <w:pageBreakBefore w:val="0"/>
        <w:kinsoku/>
        <w:wordWrap w:val="0"/>
        <w:overflowPunct/>
        <w:topLinePunct w:val="0"/>
        <w:autoSpaceDE/>
        <w:autoSpaceDN/>
        <w:bidi w:val="0"/>
        <w:adjustRightInd w:val="0"/>
        <w:snapToGrid w:val="0"/>
        <w:spacing w:line="360" w:lineRule="auto"/>
        <w:ind w:right="17" w:firstLine="480" w:firstLineChars="200"/>
        <w:textAlignment w:val="auto"/>
        <w:rPr>
          <w:color w:val="auto"/>
          <w:sz w:val="24"/>
          <w:highlight w:val="none"/>
        </w:rPr>
      </w:pPr>
      <w:r>
        <w:rPr>
          <w:rFonts w:hint="eastAsia"/>
          <w:color w:val="auto"/>
          <w:sz w:val="24"/>
          <w:highlight w:val="none"/>
        </w:rPr>
        <w:t>e.提供虚假的信用状况；</w:t>
      </w:r>
    </w:p>
    <w:p w14:paraId="5A75ED43">
      <w:pPr>
        <w:pageBreakBefore w:val="0"/>
        <w:kinsoku/>
        <w:wordWrap w:val="0"/>
        <w:overflowPunct/>
        <w:topLinePunct w:val="0"/>
        <w:autoSpaceDE/>
        <w:autoSpaceDN/>
        <w:bidi w:val="0"/>
        <w:adjustRightInd w:val="0"/>
        <w:snapToGrid w:val="0"/>
        <w:spacing w:line="360" w:lineRule="auto"/>
        <w:ind w:right="17" w:firstLine="480"/>
        <w:textAlignment w:val="auto"/>
        <w:rPr>
          <w:rFonts w:hint="eastAsia"/>
          <w:color w:val="auto"/>
          <w:sz w:val="24"/>
          <w:highlight w:val="none"/>
        </w:rPr>
      </w:pPr>
      <w:r>
        <w:rPr>
          <w:rFonts w:hint="eastAsia"/>
          <w:color w:val="auto"/>
          <w:sz w:val="24"/>
          <w:highlight w:val="none"/>
        </w:rPr>
        <w:t>f.其他弄虚作假的行为。</w:t>
      </w:r>
    </w:p>
    <w:p w14:paraId="6098E4FC">
      <w:pPr>
        <w:pageBreakBefore w:val="0"/>
        <w:kinsoku/>
        <w:overflowPunct/>
        <w:topLinePunct w:val="0"/>
        <w:autoSpaceDE/>
        <w:autoSpaceDN/>
        <w:bidi w:val="0"/>
        <w:adjustRightInd w:val="0"/>
        <w:snapToGrid w:val="0"/>
        <w:spacing w:line="360" w:lineRule="auto"/>
        <w:jc w:val="center"/>
        <w:textAlignment w:val="auto"/>
        <w:rPr>
          <w:rFonts w:ascii="宋体" w:hAnsi="宋体"/>
          <w:b/>
          <w:snapToGrid w:val="0"/>
          <w:color w:val="auto"/>
          <w:kern w:val="0"/>
          <w:sz w:val="28"/>
          <w:highlight w:val="none"/>
        </w:rPr>
      </w:pPr>
      <w:r>
        <w:rPr>
          <w:rFonts w:hint="eastAsia" w:ascii="宋体" w:hAnsi="宋体"/>
          <w:b/>
          <w:snapToGrid w:val="0"/>
          <w:color w:val="auto"/>
          <w:kern w:val="0"/>
          <w:sz w:val="28"/>
          <w:highlight w:val="none"/>
          <w:lang w:val="en-US" w:eastAsia="zh-CN"/>
        </w:rPr>
        <w:t>5</w:t>
      </w:r>
      <w:r>
        <w:rPr>
          <w:rFonts w:hint="eastAsia" w:ascii="宋体" w:hAnsi="宋体"/>
          <w:b/>
          <w:snapToGrid w:val="0"/>
          <w:color w:val="auto"/>
          <w:kern w:val="0"/>
          <w:sz w:val="28"/>
          <w:highlight w:val="none"/>
        </w:rPr>
        <w:t xml:space="preserve">. </w:t>
      </w:r>
      <w:r>
        <w:rPr>
          <w:rFonts w:hint="eastAsia" w:ascii="宋体" w:hAnsi="宋体"/>
          <w:b/>
          <w:snapToGrid w:val="0"/>
          <w:color w:val="auto"/>
          <w:kern w:val="0"/>
          <w:sz w:val="28"/>
          <w:highlight w:val="none"/>
          <w:lang w:val="en-US" w:eastAsia="zh-CN"/>
        </w:rPr>
        <w:t>推荐</w:t>
      </w:r>
      <w:r>
        <w:rPr>
          <w:rFonts w:hint="eastAsia" w:ascii="宋体" w:hAnsi="宋体"/>
          <w:b/>
          <w:snapToGrid w:val="0"/>
          <w:color w:val="auto"/>
          <w:kern w:val="0"/>
          <w:sz w:val="28"/>
          <w:highlight w:val="none"/>
        </w:rPr>
        <w:t>定标候选人</w:t>
      </w:r>
    </w:p>
    <w:p w14:paraId="42093223">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评标委员会根据评标程序和标准完成评标后，根据综合得分结果推荐出5名定标候选人（不排序，少于5名的全部推荐为定标候选人），并分别阐述推荐定标候选方案的理由，为后续招标人定标、签订合同提供意见。投标未被否决的入围投标人少于 3 家，评标委员会认为投标明显缺乏竞争的，可以否决全部投标。</w:t>
      </w:r>
    </w:p>
    <w:p w14:paraId="28A70DCD">
      <w:pPr>
        <w:pageBreakBefore w:val="0"/>
        <w:kinsoku/>
        <w:overflowPunct/>
        <w:topLinePunct w:val="0"/>
        <w:autoSpaceDE/>
        <w:autoSpaceDN/>
        <w:bidi w:val="0"/>
        <w:adjustRightInd w:val="0"/>
        <w:snapToGrid w:val="0"/>
        <w:spacing w:line="360" w:lineRule="auto"/>
        <w:jc w:val="center"/>
        <w:textAlignment w:val="auto"/>
        <w:rPr>
          <w:rFonts w:ascii="宋体" w:hAnsi="宋体"/>
          <w:b/>
          <w:snapToGrid w:val="0"/>
          <w:color w:val="auto"/>
          <w:kern w:val="0"/>
          <w:sz w:val="28"/>
          <w:highlight w:val="none"/>
        </w:rPr>
      </w:pPr>
      <w:r>
        <w:rPr>
          <w:rFonts w:hint="eastAsia" w:ascii="宋体" w:hAnsi="宋体"/>
          <w:b/>
          <w:snapToGrid w:val="0"/>
          <w:color w:val="auto"/>
          <w:kern w:val="0"/>
          <w:sz w:val="28"/>
          <w:highlight w:val="none"/>
          <w:lang w:val="en-US" w:eastAsia="zh-CN"/>
        </w:rPr>
        <w:t>6</w:t>
      </w:r>
      <w:r>
        <w:rPr>
          <w:rFonts w:hint="eastAsia" w:ascii="宋体" w:hAnsi="宋体"/>
          <w:b/>
          <w:snapToGrid w:val="0"/>
          <w:color w:val="auto"/>
          <w:kern w:val="0"/>
          <w:sz w:val="28"/>
          <w:highlight w:val="none"/>
        </w:rPr>
        <w:t>. 提交评标报告</w:t>
      </w:r>
    </w:p>
    <w:p w14:paraId="24B87685">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评标委员会按照本章规定的程序和评审标准完成全部评审工作后，应当向招标人提交评标报告。</w:t>
      </w:r>
    </w:p>
    <w:p w14:paraId="5060B54B">
      <w:pPr>
        <w:pageBreakBefore w:val="0"/>
        <w:kinsoku/>
        <w:wordWrap w:val="0"/>
        <w:overflowPunct/>
        <w:topLinePunct w:val="0"/>
        <w:autoSpaceDE/>
        <w:autoSpaceDN/>
        <w:bidi w:val="0"/>
        <w:adjustRightInd w:val="0"/>
        <w:snapToGri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评标委员会决定否决所有投标的，应当在评标报告中说明具体理由。</w:t>
      </w:r>
    </w:p>
    <w:p w14:paraId="33B512BA">
      <w:pPr>
        <w:pageBreakBefore w:val="0"/>
        <w:tabs>
          <w:tab w:val="left" w:leader="dot" w:pos="480"/>
        </w:tabs>
        <w:kinsoku/>
        <w:wordWrap w:val="0"/>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.3 评标报告中应当列明投标文件雷同情况。</w:t>
      </w:r>
    </w:p>
    <w:bookmarkEnd w:id="460"/>
    <w:bookmarkEnd w:id="461"/>
    <w:bookmarkEnd w:id="462"/>
    <w:bookmarkEnd w:id="463"/>
    <w:bookmarkEnd w:id="464"/>
    <w:bookmarkEnd w:id="465"/>
    <w:p w14:paraId="60A628CE">
      <w:pPr>
        <w:pageBreakBefore w:val="0"/>
        <w:widowControl/>
        <w:kinsoku/>
        <w:overflowPunct/>
        <w:topLinePunct w:val="0"/>
        <w:autoSpaceDE/>
        <w:autoSpaceDN/>
        <w:bidi w:val="0"/>
        <w:adjustRightInd w:val="0"/>
        <w:snapToGrid w:val="0"/>
        <w:spacing w:line="360" w:lineRule="auto"/>
        <w:jc w:val="center"/>
        <w:textAlignment w:val="auto"/>
        <w:rPr>
          <w:rFonts w:ascii="宋体" w:hAnsi="宋体"/>
          <w:b/>
          <w:snapToGrid w:val="0"/>
          <w:color w:val="auto"/>
          <w:kern w:val="0"/>
          <w:sz w:val="28"/>
          <w:highlight w:val="none"/>
        </w:rPr>
      </w:pPr>
      <w:bookmarkStart w:id="482" w:name="_Toc488649910"/>
      <w:bookmarkStart w:id="483" w:name="_Toc326241899"/>
      <w:bookmarkStart w:id="484" w:name="_Toc346269486"/>
      <w:bookmarkStart w:id="485" w:name="_Toc335721984"/>
      <w:bookmarkStart w:id="486" w:name="_Toc335660843"/>
      <w:r>
        <w:rPr>
          <w:rFonts w:hint="eastAsia" w:ascii="宋体" w:hAnsi="宋体"/>
          <w:b/>
          <w:snapToGrid w:val="0"/>
          <w:color w:val="auto"/>
          <w:kern w:val="0"/>
          <w:sz w:val="28"/>
          <w:highlight w:val="none"/>
          <w:lang w:val="en-US" w:eastAsia="zh-CN"/>
        </w:rPr>
        <w:t>7</w:t>
      </w:r>
      <w:r>
        <w:rPr>
          <w:rFonts w:hint="eastAsia" w:ascii="宋体" w:hAnsi="宋体"/>
          <w:b/>
          <w:snapToGrid w:val="0"/>
          <w:color w:val="auto"/>
          <w:kern w:val="0"/>
          <w:sz w:val="28"/>
          <w:highlight w:val="none"/>
        </w:rPr>
        <w:t>. 评标报告的审查</w:t>
      </w:r>
    </w:p>
    <w:p w14:paraId="450884F8">
      <w:pPr>
        <w:keepNext/>
        <w:keepLines/>
        <w:pageBreakBefore w:val="0"/>
        <w:widowControl/>
        <w:kinsoku/>
        <w:overflowPunct/>
        <w:topLinePunct w:val="0"/>
        <w:autoSpaceDE/>
        <w:autoSpaceDN/>
        <w:bidi w:val="0"/>
        <w:adjustRightInd w:val="0"/>
        <w:snapToGrid w:val="0"/>
        <w:spacing w:line="360" w:lineRule="auto"/>
        <w:ind w:firstLine="420" w:firstLineChars="175"/>
        <w:textAlignment w:val="auto"/>
        <w:rPr>
          <w:rFonts w:ascii="宋体" w:hAnsi="宋体" w:cs="宋体"/>
          <w:color w:val="auto"/>
          <w:sz w:val="24"/>
          <w:highlight w:val="none"/>
        </w:rPr>
      </w:pPr>
      <w:r>
        <w:rPr>
          <w:rFonts w:hint="eastAsia" w:ascii="宋体" w:hAnsi="宋体" w:cs="宋体"/>
          <w:color w:val="auto"/>
          <w:sz w:val="24"/>
          <w:highlight w:val="none"/>
        </w:rPr>
        <w:t>招标人履行主体责任，有权审查评标委员会提交的评标报告，发现评标报告存在错误的，有权要求评标委员会依据本章规定复核纠正。</w:t>
      </w:r>
    </w:p>
    <w:p w14:paraId="65DDD006">
      <w:pPr>
        <w:pageBreakBefore w:val="0"/>
        <w:kinsoku/>
        <w:overflowPunct/>
        <w:topLinePunct w:val="0"/>
        <w:autoSpaceDE/>
        <w:autoSpaceDN/>
        <w:bidi w:val="0"/>
        <w:adjustRightInd w:val="0"/>
        <w:snapToGrid w:val="0"/>
        <w:spacing w:line="360" w:lineRule="auto"/>
        <w:jc w:val="left"/>
        <w:textAlignment w:val="auto"/>
        <w:rPr>
          <w:snapToGrid w:val="0"/>
          <w:color w:val="auto"/>
          <w:kern w:val="0"/>
          <w:highlight w:val="none"/>
        </w:rPr>
      </w:pPr>
      <w:r>
        <w:rPr>
          <w:snapToGrid w:val="0"/>
          <w:color w:val="auto"/>
          <w:kern w:val="0"/>
          <w:highlight w:val="none"/>
        </w:rPr>
        <w:br w:type="page"/>
      </w:r>
    </w:p>
    <w:p w14:paraId="48834446">
      <w:pPr>
        <w:pStyle w:val="41"/>
        <w:rPr>
          <w:color w:val="auto"/>
          <w:highlight w:val="none"/>
        </w:rPr>
      </w:pPr>
    </w:p>
    <w:p w14:paraId="492ABCE4">
      <w:pPr>
        <w:tabs>
          <w:tab w:val="left" w:leader="dot" w:pos="480"/>
        </w:tabs>
        <w:wordWrap w:val="0"/>
        <w:spacing w:line="360" w:lineRule="exact"/>
        <w:ind w:firstLine="643" w:firstLineChars="200"/>
        <w:jc w:val="center"/>
        <w:rPr>
          <w:rFonts w:ascii="宋体" w:hAnsi="宋体" w:cs="宋体"/>
          <w:b/>
          <w:snapToGrid w:val="0"/>
          <w:color w:val="auto"/>
          <w:kern w:val="0"/>
          <w:sz w:val="32"/>
          <w:szCs w:val="32"/>
          <w:highlight w:val="none"/>
        </w:rPr>
      </w:pPr>
      <w:r>
        <w:rPr>
          <w:rFonts w:hint="eastAsia" w:ascii="宋体" w:hAnsi="宋体" w:cs="宋体"/>
          <w:b/>
          <w:snapToGrid w:val="0"/>
          <w:color w:val="auto"/>
          <w:kern w:val="0"/>
          <w:sz w:val="32"/>
          <w:szCs w:val="32"/>
          <w:highlight w:val="none"/>
        </w:rPr>
        <w:t>第四章 定标方案</w:t>
      </w:r>
    </w:p>
    <w:p w14:paraId="550C3C72">
      <w:pPr>
        <w:tabs>
          <w:tab w:val="left" w:leader="dot" w:pos="480"/>
        </w:tabs>
        <w:wordWrap w:val="0"/>
        <w:spacing w:line="360" w:lineRule="exact"/>
        <w:ind w:firstLine="482" w:firstLineChars="200"/>
        <w:jc w:val="center"/>
        <w:rPr>
          <w:rFonts w:ascii="宋体" w:hAnsi="宋体" w:cs="宋体"/>
          <w:b/>
          <w:snapToGrid w:val="0"/>
          <w:color w:val="auto"/>
          <w:kern w:val="0"/>
          <w:sz w:val="24"/>
          <w:highlight w:val="none"/>
        </w:rPr>
      </w:pPr>
    </w:p>
    <w:p w14:paraId="18FD7A78">
      <w:pPr>
        <w:tabs>
          <w:tab w:val="left" w:pos="1920"/>
        </w:tabs>
        <w:spacing w:before="108"/>
        <w:jc w:val="center"/>
        <w:rPr>
          <w:rFonts w:ascii="黑体" w:hAnsi="黑体" w:eastAsia="黑体" w:cs="宋体"/>
          <w:color w:val="auto"/>
          <w:sz w:val="32"/>
          <w:szCs w:val="32"/>
          <w:highlight w:val="none"/>
          <w:lang w:val="zh-CN" w:bidi="zh-CN"/>
        </w:rPr>
      </w:pPr>
    </w:p>
    <w:p w14:paraId="46CC1064">
      <w:pPr>
        <w:tabs>
          <w:tab w:val="left" w:pos="1920"/>
        </w:tabs>
        <w:spacing w:before="108"/>
        <w:jc w:val="center"/>
        <w:rPr>
          <w:rFonts w:ascii="黑体" w:hAnsi="黑体" w:eastAsia="黑体" w:cs="宋体"/>
          <w:color w:val="auto"/>
          <w:sz w:val="32"/>
          <w:szCs w:val="32"/>
          <w:highlight w:val="none"/>
          <w:lang w:val="zh-CN" w:bidi="zh-CN"/>
        </w:rPr>
      </w:pPr>
    </w:p>
    <w:p w14:paraId="7347B432">
      <w:pPr>
        <w:tabs>
          <w:tab w:val="left" w:pos="1920"/>
        </w:tabs>
        <w:spacing w:before="108"/>
        <w:jc w:val="center"/>
        <w:rPr>
          <w:rFonts w:ascii="黑体" w:hAnsi="黑体" w:eastAsia="黑体" w:cs="宋体"/>
          <w:color w:val="auto"/>
          <w:sz w:val="32"/>
          <w:szCs w:val="32"/>
          <w:highlight w:val="none"/>
          <w:lang w:val="zh-CN" w:bidi="zh-CN"/>
        </w:rPr>
      </w:pPr>
    </w:p>
    <w:p w14:paraId="2988234D">
      <w:pPr>
        <w:tabs>
          <w:tab w:val="left" w:pos="1920"/>
        </w:tabs>
        <w:spacing w:before="108"/>
        <w:jc w:val="center"/>
        <w:rPr>
          <w:rFonts w:ascii="黑体" w:hAnsi="黑体" w:eastAsia="黑体" w:cs="宋体"/>
          <w:color w:val="auto"/>
          <w:sz w:val="32"/>
          <w:szCs w:val="32"/>
          <w:highlight w:val="none"/>
          <w:lang w:val="zh-CN" w:bidi="zh-CN"/>
        </w:rPr>
      </w:pPr>
    </w:p>
    <w:p w14:paraId="7293AE4E">
      <w:pPr>
        <w:tabs>
          <w:tab w:val="left" w:pos="1920"/>
        </w:tabs>
        <w:spacing w:before="108"/>
        <w:jc w:val="center"/>
        <w:rPr>
          <w:rFonts w:ascii="黑体" w:hAnsi="黑体" w:eastAsia="黑体" w:cs="宋体"/>
          <w:color w:val="auto"/>
          <w:sz w:val="32"/>
          <w:szCs w:val="32"/>
          <w:highlight w:val="none"/>
          <w:lang w:val="zh-CN" w:bidi="zh-CN"/>
        </w:rPr>
      </w:pPr>
    </w:p>
    <w:p w14:paraId="6CFAC4F5">
      <w:pPr>
        <w:tabs>
          <w:tab w:val="left" w:pos="1920"/>
        </w:tabs>
        <w:spacing w:before="108"/>
        <w:jc w:val="center"/>
        <w:rPr>
          <w:rFonts w:ascii="黑体" w:hAnsi="黑体" w:eastAsia="黑体" w:cs="宋体"/>
          <w:color w:val="auto"/>
          <w:sz w:val="32"/>
          <w:szCs w:val="32"/>
          <w:highlight w:val="none"/>
          <w:lang w:val="zh-CN" w:bidi="zh-CN"/>
        </w:rPr>
      </w:pPr>
    </w:p>
    <w:p w14:paraId="3B8C73A5">
      <w:pPr>
        <w:tabs>
          <w:tab w:val="left" w:pos="1920"/>
        </w:tabs>
        <w:spacing w:before="108"/>
        <w:jc w:val="center"/>
        <w:rPr>
          <w:rFonts w:ascii="黑体" w:hAnsi="黑体" w:eastAsia="黑体" w:cs="宋体"/>
          <w:color w:val="auto"/>
          <w:sz w:val="32"/>
          <w:szCs w:val="32"/>
          <w:highlight w:val="none"/>
          <w:lang w:val="zh-CN" w:bidi="zh-CN"/>
        </w:rPr>
      </w:pPr>
    </w:p>
    <w:p w14:paraId="5BF2FF61">
      <w:pPr>
        <w:tabs>
          <w:tab w:val="left" w:pos="1920"/>
        </w:tabs>
        <w:spacing w:before="108"/>
        <w:jc w:val="center"/>
        <w:rPr>
          <w:rFonts w:ascii="黑体" w:hAnsi="黑体" w:eastAsia="黑体" w:cs="宋体"/>
          <w:color w:val="auto"/>
          <w:sz w:val="32"/>
          <w:szCs w:val="32"/>
          <w:highlight w:val="none"/>
          <w:lang w:val="zh-CN" w:bidi="zh-CN"/>
        </w:rPr>
      </w:pPr>
    </w:p>
    <w:p w14:paraId="01209DED">
      <w:pPr>
        <w:tabs>
          <w:tab w:val="left" w:pos="1920"/>
        </w:tabs>
        <w:spacing w:before="108"/>
        <w:jc w:val="center"/>
        <w:rPr>
          <w:rFonts w:ascii="黑体" w:hAnsi="黑体" w:eastAsia="黑体" w:cs="宋体"/>
          <w:color w:val="auto"/>
          <w:sz w:val="32"/>
          <w:szCs w:val="32"/>
          <w:highlight w:val="none"/>
          <w:lang w:val="zh-CN" w:bidi="zh-CN"/>
        </w:rPr>
      </w:pPr>
    </w:p>
    <w:p w14:paraId="1646CB75">
      <w:pPr>
        <w:tabs>
          <w:tab w:val="left" w:pos="1920"/>
        </w:tabs>
        <w:spacing w:before="108"/>
        <w:jc w:val="center"/>
        <w:rPr>
          <w:rFonts w:ascii="黑体" w:hAnsi="黑体" w:eastAsia="黑体" w:cs="宋体"/>
          <w:color w:val="auto"/>
          <w:sz w:val="32"/>
          <w:szCs w:val="32"/>
          <w:highlight w:val="none"/>
          <w:lang w:val="zh-CN" w:bidi="zh-CN"/>
        </w:rPr>
      </w:pPr>
    </w:p>
    <w:p w14:paraId="66690FDD">
      <w:pPr>
        <w:tabs>
          <w:tab w:val="left" w:pos="1920"/>
        </w:tabs>
        <w:spacing w:before="108"/>
        <w:jc w:val="center"/>
        <w:rPr>
          <w:rFonts w:ascii="黑体" w:hAnsi="黑体" w:eastAsia="黑体" w:cs="宋体"/>
          <w:color w:val="auto"/>
          <w:sz w:val="32"/>
          <w:szCs w:val="32"/>
          <w:highlight w:val="none"/>
          <w:lang w:val="zh-CN" w:bidi="zh-CN"/>
        </w:rPr>
      </w:pPr>
    </w:p>
    <w:p w14:paraId="6D8E60F6">
      <w:pPr>
        <w:tabs>
          <w:tab w:val="left" w:pos="1920"/>
        </w:tabs>
        <w:spacing w:before="108"/>
        <w:jc w:val="center"/>
        <w:rPr>
          <w:rFonts w:ascii="黑体" w:hAnsi="黑体" w:eastAsia="黑体" w:cs="宋体"/>
          <w:color w:val="auto"/>
          <w:sz w:val="32"/>
          <w:szCs w:val="32"/>
          <w:highlight w:val="none"/>
          <w:lang w:val="zh-CN" w:bidi="zh-CN"/>
        </w:rPr>
      </w:pPr>
    </w:p>
    <w:p w14:paraId="7B29FF1B">
      <w:pPr>
        <w:tabs>
          <w:tab w:val="left" w:pos="1920"/>
        </w:tabs>
        <w:spacing w:before="108"/>
        <w:jc w:val="center"/>
        <w:rPr>
          <w:rFonts w:ascii="黑体" w:hAnsi="黑体" w:eastAsia="黑体" w:cs="宋体"/>
          <w:color w:val="auto"/>
          <w:sz w:val="32"/>
          <w:szCs w:val="32"/>
          <w:highlight w:val="none"/>
          <w:lang w:val="zh-CN" w:bidi="zh-CN"/>
        </w:rPr>
      </w:pPr>
    </w:p>
    <w:p w14:paraId="0C375FAB">
      <w:pPr>
        <w:tabs>
          <w:tab w:val="left" w:pos="1920"/>
        </w:tabs>
        <w:spacing w:before="108"/>
        <w:jc w:val="center"/>
        <w:rPr>
          <w:rFonts w:ascii="黑体" w:hAnsi="黑体" w:eastAsia="黑体" w:cs="宋体"/>
          <w:color w:val="auto"/>
          <w:sz w:val="32"/>
          <w:szCs w:val="32"/>
          <w:highlight w:val="none"/>
          <w:lang w:val="zh-CN" w:bidi="zh-CN"/>
        </w:rPr>
      </w:pPr>
    </w:p>
    <w:p w14:paraId="7AB54E62">
      <w:pPr>
        <w:tabs>
          <w:tab w:val="left" w:pos="1920"/>
        </w:tabs>
        <w:spacing w:before="108"/>
        <w:jc w:val="center"/>
        <w:rPr>
          <w:rFonts w:ascii="黑体" w:hAnsi="黑体" w:eastAsia="黑体" w:cs="宋体"/>
          <w:color w:val="auto"/>
          <w:sz w:val="32"/>
          <w:szCs w:val="32"/>
          <w:highlight w:val="none"/>
          <w:lang w:val="zh-CN" w:bidi="zh-CN"/>
        </w:rPr>
      </w:pPr>
    </w:p>
    <w:p w14:paraId="72360167">
      <w:pPr>
        <w:tabs>
          <w:tab w:val="left" w:pos="1920"/>
        </w:tabs>
        <w:spacing w:before="108"/>
        <w:jc w:val="center"/>
        <w:rPr>
          <w:rFonts w:ascii="黑体" w:hAnsi="黑体" w:eastAsia="黑体" w:cs="宋体"/>
          <w:color w:val="auto"/>
          <w:sz w:val="32"/>
          <w:szCs w:val="32"/>
          <w:highlight w:val="none"/>
          <w:lang w:val="zh-CN" w:bidi="zh-CN"/>
        </w:rPr>
      </w:pPr>
    </w:p>
    <w:p w14:paraId="51405CEE">
      <w:pPr>
        <w:tabs>
          <w:tab w:val="left" w:pos="1920"/>
        </w:tabs>
        <w:spacing w:before="108"/>
        <w:jc w:val="center"/>
        <w:rPr>
          <w:rFonts w:ascii="黑体" w:hAnsi="黑体" w:eastAsia="黑体" w:cs="宋体"/>
          <w:color w:val="auto"/>
          <w:sz w:val="32"/>
          <w:szCs w:val="32"/>
          <w:highlight w:val="none"/>
          <w:lang w:val="zh-CN" w:bidi="zh-CN"/>
        </w:rPr>
      </w:pPr>
    </w:p>
    <w:p w14:paraId="3D89771E">
      <w:pPr>
        <w:tabs>
          <w:tab w:val="left" w:pos="1920"/>
        </w:tabs>
        <w:spacing w:before="108"/>
        <w:jc w:val="center"/>
        <w:rPr>
          <w:rFonts w:ascii="黑体" w:hAnsi="黑体" w:eastAsia="黑体" w:cs="宋体"/>
          <w:color w:val="auto"/>
          <w:sz w:val="32"/>
          <w:szCs w:val="32"/>
          <w:highlight w:val="none"/>
          <w:lang w:val="zh-CN" w:bidi="zh-CN"/>
        </w:rPr>
      </w:pPr>
    </w:p>
    <w:p w14:paraId="2E362C74">
      <w:pPr>
        <w:tabs>
          <w:tab w:val="left" w:pos="1920"/>
        </w:tabs>
        <w:spacing w:before="108"/>
        <w:jc w:val="center"/>
        <w:rPr>
          <w:rFonts w:ascii="黑体" w:hAnsi="黑体" w:eastAsia="黑体" w:cs="宋体"/>
          <w:color w:val="auto"/>
          <w:sz w:val="32"/>
          <w:szCs w:val="32"/>
          <w:highlight w:val="none"/>
          <w:lang w:val="zh-CN" w:bidi="zh-CN"/>
        </w:rPr>
      </w:pPr>
    </w:p>
    <w:p w14:paraId="6CA955C6">
      <w:pPr>
        <w:tabs>
          <w:tab w:val="left" w:pos="1920"/>
        </w:tabs>
        <w:spacing w:before="108"/>
        <w:jc w:val="center"/>
        <w:rPr>
          <w:rFonts w:ascii="黑体" w:hAnsi="黑体" w:eastAsia="黑体" w:cs="宋体"/>
          <w:color w:val="auto"/>
          <w:sz w:val="32"/>
          <w:szCs w:val="32"/>
          <w:highlight w:val="none"/>
          <w:lang w:val="zh-CN" w:bidi="zh-CN"/>
        </w:rPr>
      </w:pPr>
    </w:p>
    <w:p w14:paraId="2BF72976">
      <w:pPr>
        <w:tabs>
          <w:tab w:val="left" w:pos="1920"/>
        </w:tabs>
        <w:spacing w:before="108"/>
        <w:jc w:val="center"/>
        <w:rPr>
          <w:rFonts w:ascii="黑体" w:hAnsi="黑体" w:eastAsia="黑体" w:cs="宋体"/>
          <w:color w:val="auto"/>
          <w:sz w:val="32"/>
          <w:szCs w:val="32"/>
          <w:highlight w:val="none"/>
          <w:lang w:val="zh-CN" w:bidi="zh-CN"/>
        </w:rPr>
      </w:pPr>
    </w:p>
    <w:p w14:paraId="2561B023">
      <w:pPr>
        <w:tabs>
          <w:tab w:val="left" w:pos="1920"/>
        </w:tabs>
        <w:spacing w:before="108"/>
        <w:jc w:val="center"/>
        <w:rPr>
          <w:rFonts w:ascii="黑体" w:hAnsi="黑体" w:eastAsia="黑体" w:cs="宋体"/>
          <w:color w:val="auto"/>
          <w:sz w:val="32"/>
          <w:szCs w:val="32"/>
          <w:highlight w:val="none"/>
          <w:lang w:val="zh-CN" w:bidi="zh-CN"/>
        </w:rPr>
      </w:pPr>
    </w:p>
    <w:p w14:paraId="02359734">
      <w:pPr>
        <w:tabs>
          <w:tab w:val="left" w:pos="1920"/>
        </w:tabs>
        <w:spacing w:before="108"/>
        <w:jc w:val="center"/>
        <w:rPr>
          <w:rFonts w:ascii="黑体" w:hAnsi="黑体" w:eastAsia="黑体" w:cs="宋体"/>
          <w:color w:val="auto"/>
          <w:sz w:val="32"/>
          <w:szCs w:val="32"/>
          <w:highlight w:val="none"/>
          <w:lang w:val="zh-CN" w:bidi="zh-CN"/>
        </w:rPr>
      </w:pPr>
    </w:p>
    <w:p w14:paraId="06C3A6EB">
      <w:pPr>
        <w:tabs>
          <w:tab w:val="left" w:pos="1920"/>
        </w:tabs>
        <w:spacing w:before="108"/>
        <w:jc w:val="center"/>
        <w:rPr>
          <w:rFonts w:ascii="黑体" w:hAnsi="黑体" w:eastAsia="黑体" w:cs="宋体"/>
          <w:color w:val="auto"/>
          <w:sz w:val="32"/>
          <w:szCs w:val="32"/>
          <w:highlight w:val="none"/>
          <w:lang w:val="zh-CN" w:bidi="zh-CN"/>
        </w:rPr>
        <w:sectPr>
          <w:footerReference r:id="rId13" w:type="default"/>
          <w:headerReference r:id="rId12" w:type="even"/>
          <w:footerReference r:id="rId14" w:type="even"/>
          <w:footnotePr>
            <w:numFmt w:val="decimalEnclosedCircleChinese"/>
            <w:numRestart w:val="eachPage"/>
          </w:footnotePr>
          <w:pgSz w:w="11907" w:h="16840"/>
          <w:pgMar w:top="1588" w:right="1588" w:bottom="1474" w:left="1644" w:header="851" w:footer="851" w:gutter="0"/>
          <w:cols w:space="720" w:num="1"/>
          <w:docGrid w:linePitch="312" w:charSpace="0"/>
        </w:sectPr>
      </w:pPr>
    </w:p>
    <w:p w14:paraId="0FD58B31">
      <w:pPr>
        <w:pStyle w:val="41"/>
        <w:rPr>
          <w:color w:val="auto"/>
          <w:highlight w:val="none"/>
          <w:lang w:val="zh-CN"/>
        </w:rPr>
      </w:pPr>
    </w:p>
    <w:p w14:paraId="2237BBDA">
      <w:pPr>
        <w:tabs>
          <w:tab w:val="left" w:pos="1920"/>
        </w:tabs>
        <w:spacing w:before="108"/>
        <w:jc w:val="center"/>
        <w:rPr>
          <w:rFonts w:ascii="黑体" w:hAnsi="黑体" w:eastAsia="黑体" w:cs="宋体"/>
          <w:color w:val="auto"/>
          <w:sz w:val="32"/>
          <w:szCs w:val="32"/>
          <w:highlight w:val="none"/>
          <w:lang w:bidi="zh-CN"/>
        </w:rPr>
      </w:pPr>
      <w:r>
        <w:rPr>
          <w:rFonts w:hint="eastAsia" w:ascii="黑体" w:hAnsi="黑体" w:eastAsia="黑体" w:cs="宋体"/>
          <w:color w:val="auto"/>
          <w:sz w:val="32"/>
          <w:szCs w:val="32"/>
          <w:highlight w:val="none"/>
          <w:lang w:bidi="zh-CN"/>
        </w:rPr>
        <w:t xml:space="preserve">第四章 </w:t>
      </w:r>
      <w:r>
        <w:rPr>
          <w:rFonts w:hint="eastAsia" w:ascii="黑体" w:hAnsi="黑体" w:eastAsia="黑体" w:cs="宋体"/>
          <w:color w:val="auto"/>
          <w:sz w:val="32"/>
          <w:szCs w:val="32"/>
          <w:highlight w:val="none"/>
          <w:lang w:val="zh-CN" w:bidi="zh-CN"/>
        </w:rPr>
        <w:t>定标</w:t>
      </w:r>
      <w:r>
        <w:rPr>
          <w:rFonts w:hint="eastAsia" w:ascii="黑体" w:hAnsi="黑体" w:eastAsia="黑体" w:cs="宋体"/>
          <w:color w:val="auto"/>
          <w:sz w:val="32"/>
          <w:szCs w:val="32"/>
          <w:highlight w:val="none"/>
          <w:lang w:bidi="zh-CN"/>
        </w:rPr>
        <w:t>方案</w:t>
      </w:r>
    </w:p>
    <w:p w14:paraId="1A7D6DC3">
      <w:pPr>
        <w:autoSpaceDE w:val="0"/>
        <w:autoSpaceDN w:val="0"/>
        <w:jc w:val="left"/>
        <w:rPr>
          <w:rFonts w:ascii="黑体" w:hAnsi="黑体" w:eastAsia="黑体" w:cs="宋体"/>
          <w:b/>
          <w:color w:val="auto"/>
          <w:kern w:val="1"/>
          <w:szCs w:val="21"/>
          <w:highlight w:val="none"/>
          <w:lang w:val="zh-CN"/>
        </w:rPr>
      </w:pPr>
      <w:r>
        <w:rPr>
          <w:rFonts w:hint="eastAsia" w:ascii="黑体" w:hAnsi="黑体" w:eastAsia="黑体" w:cs="宋体"/>
          <w:b/>
          <w:color w:val="auto"/>
          <w:kern w:val="1"/>
          <w:szCs w:val="21"/>
          <w:highlight w:val="none"/>
          <w:lang w:val="zh-CN"/>
        </w:rPr>
        <w:t>定标</w:t>
      </w:r>
      <w:r>
        <w:rPr>
          <w:rFonts w:hint="eastAsia" w:ascii="黑体" w:hAnsi="黑体" w:eastAsia="黑体" w:cs="宋体"/>
          <w:b/>
          <w:color w:val="auto"/>
          <w:kern w:val="1"/>
          <w:szCs w:val="21"/>
          <w:highlight w:val="none"/>
        </w:rPr>
        <w:t>方案</w:t>
      </w:r>
      <w:r>
        <w:rPr>
          <w:rFonts w:hint="eastAsia" w:ascii="黑体" w:hAnsi="黑体" w:eastAsia="黑体" w:cs="宋体"/>
          <w:b/>
          <w:color w:val="auto"/>
          <w:kern w:val="1"/>
          <w:szCs w:val="21"/>
          <w:highlight w:val="none"/>
          <w:lang w:val="zh-CN"/>
        </w:rPr>
        <w:t>前附表</w:t>
      </w:r>
      <w:r>
        <w:rPr>
          <w:rStyle w:val="49"/>
          <w:rFonts w:hint="eastAsia" w:ascii="黑体" w:hAnsi="黑体" w:eastAsia="黑体" w:cs="宋体"/>
          <w:b/>
          <w:color w:val="auto"/>
          <w:kern w:val="1"/>
          <w:szCs w:val="21"/>
          <w:highlight w:val="none"/>
          <w:lang w:val="zh-CN"/>
        </w:rPr>
        <w:footnoteReference w:id="3"/>
      </w:r>
    </w:p>
    <w:tbl>
      <w:tblPr>
        <w:tblStyle w:val="42"/>
        <w:tblW w:w="13899"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905"/>
        <w:gridCol w:w="1501"/>
        <w:gridCol w:w="3724"/>
        <w:gridCol w:w="7085"/>
      </w:tblGrid>
      <w:tr w14:paraId="17D1DE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684" w:type="dxa"/>
            <w:tcBorders>
              <w:tl2br w:val="nil"/>
              <w:tr2bl w:val="nil"/>
            </w:tcBorders>
            <w:vAlign w:val="center"/>
          </w:tcPr>
          <w:p w14:paraId="2CCEA71D">
            <w:pPr>
              <w:spacing w:line="30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项</w:t>
            </w:r>
            <w:r>
              <w:rPr>
                <w:rFonts w:ascii="宋体" w:hAnsi="宋体" w:cs="宋体"/>
                <w:b/>
                <w:color w:val="auto"/>
                <w:kern w:val="1"/>
                <w:szCs w:val="21"/>
                <w:highlight w:val="none"/>
              </w:rPr>
              <w:t>号</w:t>
            </w:r>
          </w:p>
        </w:tc>
        <w:tc>
          <w:tcPr>
            <w:tcW w:w="905" w:type="dxa"/>
            <w:tcBorders>
              <w:tl2br w:val="nil"/>
              <w:tr2bl w:val="nil"/>
            </w:tcBorders>
            <w:vAlign w:val="center"/>
          </w:tcPr>
          <w:p w14:paraId="3713CB5F">
            <w:pPr>
              <w:spacing w:line="30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501" w:type="dxa"/>
            <w:tcBorders>
              <w:tl2br w:val="nil"/>
              <w:tr2bl w:val="nil"/>
            </w:tcBorders>
            <w:vAlign w:val="center"/>
          </w:tcPr>
          <w:p w14:paraId="2D4EB25F">
            <w:pPr>
              <w:spacing w:line="30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定标要素</w:t>
            </w:r>
          </w:p>
        </w:tc>
        <w:tc>
          <w:tcPr>
            <w:tcW w:w="10809" w:type="dxa"/>
            <w:gridSpan w:val="2"/>
            <w:tcBorders>
              <w:tl2br w:val="nil"/>
              <w:tr2bl w:val="nil"/>
            </w:tcBorders>
            <w:vAlign w:val="center"/>
          </w:tcPr>
          <w:p w14:paraId="2E41992C">
            <w:pPr>
              <w:spacing w:line="30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111314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84" w:type="dxa"/>
            <w:vMerge w:val="restart"/>
            <w:tcBorders>
              <w:tl2br w:val="nil"/>
              <w:tr2bl w:val="nil"/>
            </w:tcBorders>
            <w:vAlign w:val="center"/>
          </w:tcPr>
          <w:p w14:paraId="088CBAE1">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w:t>
            </w:r>
          </w:p>
        </w:tc>
        <w:tc>
          <w:tcPr>
            <w:tcW w:w="905" w:type="dxa"/>
            <w:vMerge w:val="restart"/>
            <w:tcBorders>
              <w:tl2br w:val="nil"/>
              <w:tr2bl w:val="nil"/>
            </w:tcBorders>
            <w:vAlign w:val="center"/>
          </w:tcPr>
          <w:p w14:paraId="342B84DB">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3.2.2</w:t>
            </w:r>
          </w:p>
        </w:tc>
        <w:tc>
          <w:tcPr>
            <w:tcW w:w="1501" w:type="dxa"/>
            <w:vMerge w:val="restart"/>
            <w:tcBorders>
              <w:tl2br w:val="nil"/>
              <w:tr2bl w:val="nil"/>
            </w:tcBorders>
            <w:vAlign w:val="center"/>
          </w:tcPr>
          <w:p w14:paraId="1C0CC6DC">
            <w:pPr>
              <w:autoSpaceDE w:val="0"/>
              <w:autoSpaceDN w:val="0"/>
              <w:spacing w:line="300" w:lineRule="auto"/>
              <w:jc w:val="center"/>
              <w:rPr>
                <w:color w:val="auto"/>
                <w:szCs w:val="21"/>
                <w:highlight w:val="none"/>
              </w:rPr>
            </w:pPr>
            <w:r>
              <w:rPr>
                <w:rFonts w:hint="eastAsia" w:ascii="宋体" w:hAnsi="宋体" w:cs="宋体"/>
                <w:color w:val="auto"/>
                <w:kern w:val="1"/>
                <w:szCs w:val="21"/>
                <w:highlight w:val="none"/>
              </w:rPr>
              <w:t>信用</w:t>
            </w:r>
            <w:r>
              <w:rPr>
                <w:rFonts w:ascii="宋体" w:hAnsi="宋体" w:cs="宋体"/>
                <w:color w:val="auto"/>
                <w:kern w:val="1"/>
                <w:szCs w:val="21"/>
                <w:highlight w:val="none"/>
              </w:rPr>
              <w:t>要素</w:t>
            </w:r>
            <w:r>
              <w:rPr>
                <w:rStyle w:val="49"/>
                <w:rFonts w:ascii="宋体" w:hAnsi="宋体" w:cs="宋体"/>
                <w:color w:val="auto"/>
                <w:kern w:val="1"/>
                <w:szCs w:val="21"/>
                <w:highlight w:val="none"/>
              </w:rPr>
              <w:footnoteReference w:id="4"/>
            </w:r>
          </w:p>
        </w:tc>
        <w:tc>
          <w:tcPr>
            <w:tcW w:w="3724" w:type="dxa"/>
            <w:tcBorders>
              <w:tl2br w:val="nil"/>
              <w:tr2bl w:val="nil"/>
            </w:tcBorders>
            <w:vAlign w:val="center"/>
          </w:tcPr>
          <w:p w14:paraId="27387659">
            <w:pPr>
              <w:autoSpaceDE w:val="0"/>
              <w:autoSpaceDN w:val="0"/>
              <w:jc w:val="center"/>
              <w:rPr>
                <w:rFonts w:ascii="宋体"/>
                <w:color w:val="auto"/>
                <w:szCs w:val="21"/>
                <w:highlight w:val="none"/>
              </w:rPr>
            </w:pPr>
            <w:r>
              <w:rPr>
                <w:rFonts w:hint="eastAsia" w:ascii="宋体"/>
                <w:color w:val="auto"/>
                <w:szCs w:val="21"/>
                <w:highlight w:val="none"/>
              </w:rPr>
              <w:t>子要素内容</w:t>
            </w:r>
          </w:p>
        </w:tc>
        <w:tc>
          <w:tcPr>
            <w:tcW w:w="7085" w:type="dxa"/>
            <w:tcBorders>
              <w:tl2br w:val="nil"/>
              <w:tr2bl w:val="nil"/>
            </w:tcBorders>
            <w:vAlign w:val="center"/>
          </w:tcPr>
          <w:p w14:paraId="3BDA0D07">
            <w:pPr>
              <w:autoSpaceDE w:val="0"/>
              <w:autoSpaceDN w:val="0"/>
              <w:spacing w:line="360" w:lineRule="auto"/>
              <w:jc w:val="center"/>
              <w:rPr>
                <w:rFonts w:ascii="宋体"/>
                <w:color w:val="auto"/>
                <w:szCs w:val="21"/>
                <w:highlight w:val="none"/>
              </w:rPr>
            </w:pPr>
            <w:r>
              <w:rPr>
                <w:rFonts w:hint="eastAsia" w:ascii="宋体"/>
                <w:color w:val="auto"/>
                <w:szCs w:val="21"/>
                <w:highlight w:val="none"/>
              </w:rPr>
              <w:t>证明材料要求</w:t>
            </w:r>
          </w:p>
        </w:tc>
      </w:tr>
      <w:tr w14:paraId="1AFDBE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684" w:type="dxa"/>
            <w:vMerge w:val="continue"/>
            <w:tcBorders>
              <w:tl2br w:val="nil"/>
              <w:tr2bl w:val="nil"/>
            </w:tcBorders>
            <w:vAlign w:val="center"/>
          </w:tcPr>
          <w:p w14:paraId="2CDDF5DB">
            <w:pPr>
              <w:autoSpaceDE w:val="0"/>
              <w:autoSpaceDN w:val="0"/>
              <w:spacing w:line="300" w:lineRule="auto"/>
              <w:jc w:val="center"/>
              <w:rPr>
                <w:rFonts w:ascii="宋体" w:hAnsi="宋体" w:cs="宋体"/>
                <w:color w:val="auto"/>
                <w:kern w:val="1"/>
                <w:szCs w:val="21"/>
                <w:highlight w:val="none"/>
              </w:rPr>
            </w:pPr>
          </w:p>
        </w:tc>
        <w:tc>
          <w:tcPr>
            <w:tcW w:w="905" w:type="dxa"/>
            <w:vMerge w:val="continue"/>
            <w:tcBorders>
              <w:tl2br w:val="nil"/>
              <w:tr2bl w:val="nil"/>
            </w:tcBorders>
            <w:vAlign w:val="center"/>
          </w:tcPr>
          <w:p w14:paraId="547581C9">
            <w:pPr>
              <w:autoSpaceDE w:val="0"/>
              <w:autoSpaceDN w:val="0"/>
              <w:spacing w:line="300" w:lineRule="auto"/>
              <w:jc w:val="center"/>
              <w:rPr>
                <w:rFonts w:ascii="宋体" w:hAnsi="宋体" w:cs="宋体"/>
                <w:color w:val="auto"/>
                <w:kern w:val="1"/>
                <w:szCs w:val="21"/>
                <w:highlight w:val="none"/>
              </w:rPr>
            </w:pPr>
          </w:p>
        </w:tc>
        <w:tc>
          <w:tcPr>
            <w:tcW w:w="1501" w:type="dxa"/>
            <w:vMerge w:val="continue"/>
            <w:tcBorders>
              <w:tl2br w:val="nil"/>
              <w:tr2bl w:val="nil"/>
            </w:tcBorders>
            <w:vAlign w:val="center"/>
          </w:tcPr>
          <w:p w14:paraId="4BF230E3">
            <w:pPr>
              <w:autoSpaceDE w:val="0"/>
              <w:autoSpaceDN w:val="0"/>
              <w:spacing w:line="300" w:lineRule="auto"/>
              <w:jc w:val="center"/>
              <w:rPr>
                <w:rFonts w:ascii="宋体" w:hAnsi="宋体" w:cs="宋体"/>
                <w:color w:val="auto"/>
                <w:kern w:val="1"/>
                <w:szCs w:val="21"/>
                <w:highlight w:val="none"/>
              </w:rPr>
            </w:pPr>
          </w:p>
        </w:tc>
        <w:tc>
          <w:tcPr>
            <w:tcW w:w="3724" w:type="dxa"/>
            <w:tcBorders>
              <w:tl2br w:val="nil"/>
              <w:tr2bl w:val="nil"/>
            </w:tcBorders>
            <w:vAlign w:val="center"/>
          </w:tcPr>
          <w:p w14:paraId="75FB1F35">
            <w:pPr>
              <w:autoSpaceDE w:val="0"/>
              <w:autoSpaceDN w:val="0"/>
              <w:jc w:val="center"/>
              <w:rPr>
                <w:rFonts w:ascii="宋体"/>
                <w:color w:val="auto"/>
                <w:szCs w:val="21"/>
                <w:highlight w:val="none"/>
              </w:rPr>
            </w:pPr>
          </w:p>
        </w:tc>
        <w:tc>
          <w:tcPr>
            <w:tcW w:w="7085" w:type="dxa"/>
            <w:tcBorders>
              <w:tl2br w:val="nil"/>
              <w:tr2bl w:val="nil"/>
            </w:tcBorders>
            <w:vAlign w:val="center"/>
          </w:tcPr>
          <w:p w14:paraId="4F1EF954">
            <w:pPr>
              <w:autoSpaceDE w:val="0"/>
              <w:autoSpaceDN w:val="0"/>
              <w:spacing w:line="360" w:lineRule="auto"/>
              <w:jc w:val="center"/>
              <w:rPr>
                <w:rFonts w:ascii="宋体"/>
                <w:color w:val="auto"/>
                <w:szCs w:val="21"/>
                <w:highlight w:val="none"/>
                <w:u w:val="single"/>
              </w:rPr>
            </w:pPr>
          </w:p>
        </w:tc>
      </w:tr>
      <w:tr w14:paraId="70E3AF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684" w:type="dxa"/>
            <w:vMerge w:val="continue"/>
            <w:tcBorders>
              <w:tl2br w:val="nil"/>
              <w:tr2bl w:val="nil"/>
            </w:tcBorders>
            <w:vAlign w:val="center"/>
          </w:tcPr>
          <w:p w14:paraId="50678A1A">
            <w:pPr>
              <w:autoSpaceDE w:val="0"/>
              <w:autoSpaceDN w:val="0"/>
              <w:spacing w:line="300" w:lineRule="auto"/>
              <w:jc w:val="center"/>
              <w:rPr>
                <w:rFonts w:ascii="宋体" w:hAnsi="宋体" w:cs="宋体"/>
                <w:color w:val="auto"/>
                <w:kern w:val="1"/>
                <w:szCs w:val="21"/>
                <w:highlight w:val="none"/>
              </w:rPr>
            </w:pPr>
          </w:p>
        </w:tc>
        <w:tc>
          <w:tcPr>
            <w:tcW w:w="905" w:type="dxa"/>
            <w:vMerge w:val="continue"/>
            <w:tcBorders>
              <w:tl2br w:val="nil"/>
              <w:tr2bl w:val="nil"/>
            </w:tcBorders>
            <w:vAlign w:val="center"/>
          </w:tcPr>
          <w:p w14:paraId="07658534">
            <w:pPr>
              <w:autoSpaceDE w:val="0"/>
              <w:autoSpaceDN w:val="0"/>
              <w:spacing w:line="300" w:lineRule="auto"/>
              <w:jc w:val="center"/>
              <w:rPr>
                <w:rFonts w:ascii="宋体" w:hAnsi="宋体" w:cs="宋体"/>
                <w:color w:val="auto"/>
                <w:kern w:val="1"/>
                <w:szCs w:val="21"/>
                <w:highlight w:val="none"/>
              </w:rPr>
            </w:pPr>
          </w:p>
        </w:tc>
        <w:tc>
          <w:tcPr>
            <w:tcW w:w="1501" w:type="dxa"/>
            <w:vMerge w:val="continue"/>
            <w:tcBorders>
              <w:tl2br w:val="nil"/>
              <w:tr2bl w:val="nil"/>
            </w:tcBorders>
            <w:vAlign w:val="center"/>
          </w:tcPr>
          <w:p w14:paraId="5EAF75A0">
            <w:pPr>
              <w:autoSpaceDE w:val="0"/>
              <w:autoSpaceDN w:val="0"/>
              <w:spacing w:line="300" w:lineRule="auto"/>
              <w:jc w:val="center"/>
              <w:rPr>
                <w:rFonts w:ascii="宋体" w:hAnsi="宋体" w:cs="宋体"/>
                <w:color w:val="auto"/>
                <w:kern w:val="1"/>
                <w:szCs w:val="21"/>
                <w:highlight w:val="none"/>
              </w:rPr>
            </w:pPr>
          </w:p>
        </w:tc>
        <w:tc>
          <w:tcPr>
            <w:tcW w:w="3724" w:type="dxa"/>
            <w:tcBorders>
              <w:tl2br w:val="nil"/>
              <w:tr2bl w:val="nil"/>
            </w:tcBorders>
            <w:vAlign w:val="center"/>
          </w:tcPr>
          <w:p w14:paraId="231D1C78">
            <w:pPr>
              <w:autoSpaceDE w:val="0"/>
              <w:autoSpaceDN w:val="0"/>
              <w:jc w:val="center"/>
              <w:rPr>
                <w:rFonts w:ascii="宋体"/>
                <w:color w:val="auto"/>
                <w:szCs w:val="21"/>
                <w:highlight w:val="none"/>
              </w:rPr>
            </w:pPr>
            <w:r>
              <w:rPr>
                <w:rFonts w:hint="eastAsia" w:ascii="宋体"/>
                <w:color w:val="auto"/>
                <w:szCs w:val="21"/>
                <w:highlight w:val="none"/>
              </w:rPr>
              <w:t>……</w:t>
            </w:r>
          </w:p>
        </w:tc>
        <w:tc>
          <w:tcPr>
            <w:tcW w:w="7085" w:type="dxa"/>
            <w:tcBorders>
              <w:tl2br w:val="nil"/>
              <w:tr2bl w:val="nil"/>
            </w:tcBorders>
            <w:vAlign w:val="center"/>
          </w:tcPr>
          <w:p w14:paraId="076B23C2">
            <w:pPr>
              <w:autoSpaceDE w:val="0"/>
              <w:autoSpaceDN w:val="0"/>
              <w:spacing w:line="360" w:lineRule="auto"/>
              <w:jc w:val="center"/>
              <w:rPr>
                <w:rFonts w:ascii="宋体"/>
                <w:color w:val="auto"/>
                <w:szCs w:val="21"/>
                <w:highlight w:val="none"/>
              </w:rPr>
            </w:pPr>
          </w:p>
        </w:tc>
      </w:tr>
      <w:tr w14:paraId="093631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684" w:type="dxa"/>
            <w:vMerge w:val="restart"/>
            <w:tcBorders>
              <w:tl2br w:val="nil"/>
              <w:tr2bl w:val="nil"/>
            </w:tcBorders>
            <w:vAlign w:val="center"/>
          </w:tcPr>
          <w:p w14:paraId="17346741">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p>
        </w:tc>
        <w:tc>
          <w:tcPr>
            <w:tcW w:w="905" w:type="dxa"/>
            <w:vMerge w:val="restart"/>
            <w:tcBorders>
              <w:tl2br w:val="nil"/>
              <w:tr2bl w:val="nil"/>
            </w:tcBorders>
            <w:vAlign w:val="center"/>
          </w:tcPr>
          <w:p w14:paraId="0C83FD2A">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3.2.2</w:t>
            </w:r>
          </w:p>
        </w:tc>
        <w:tc>
          <w:tcPr>
            <w:tcW w:w="1501" w:type="dxa"/>
            <w:vMerge w:val="restart"/>
            <w:tcBorders>
              <w:tl2br w:val="nil"/>
              <w:tr2bl w:val="nil"/>
            </w:tcBorders>
            <w:vAlign w:val="center"/>
          </w:tcPr>
          <w:p w14:paraId="627EC5FC">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实力要素</w:t>
            </w:r>
          </w:p>
        </w:tc>
        <w:tc>
          <w:tcPr>
            <w:tcW w:w="3724" w:type="dxa"/>
            <w:tcBorders>
              <w:tl2br w:val="nil"/>
              <w:tr2bl w:val="nil"/>
            </w:tcBorders>
            <w:vAlign w:val="center"/>
          </w:tcPr>
          <w:p w14:paraId="58F44E62">
            <w:pPr>
              <w:autoSpaceDE w:val="0"/>
              <w:autoSpaceDN w:val="0"/>
              <w:jc w:val="center"/>
              <w:rPr>
                <w:rFonts w:ascii="宋体" w:hAnsi="宋体"/>
                <w:color w:val="auto"/>
                <w:szCs w:val="21"/>
                <w:highlight w:val="none"/>
              </w:rPr>
            </w:pPr>
            <w:r>
              <w:rPr>
                <w:rFonts w:hint="eastAsia" w:ascii="宋体"/>
                <w:color w:val="auto"/>
                <w:szCs w:val="21"/>
                <w:highlight w:val="none"/>
              </w:rPr>
              <w:t>子要素内容</w:t>
            </w:r>
          </w:p>
        </w:tc>
        <w:tc>
          <w:tcPr>
            <w:tcW w:w="7085" w:type="dxa"/>
            <w:tcBorders>
              <w:tl2br w:val="nil"/>
              <w:tr2bl w:val="nil"/>
            </w:tcBorders>
            <w:vAlign w:val="center"/>
          </w:tcPr>
          <w:p w14:paraId="72EBF342">
            <w:pPr>
              <w:autoSpaceDE w:val="0"/>
              <w:autoSpaceDN w:val="0"/>
              <w:spacing w:line="360" w:lineRule="auto"/>
              <w:jc w:val="center"/>
              <w:rPr>
                <w:rFonts w:ascii="宋体" w:hAnsi="宋体"/>
                <w:color w:val="auto"/>
                <w:szCs w:val="21"/>
                <w:highlight w:val="none"/>
              </w:rPr>
            </w:pPr>
            <w:r>
              <w:rPr>
                <w:rFonts w:hint="eastAsia" w:ascii="宋体"/>
                <w:color w:val="auto"/>
                <w:szCs w:val="21"/>
                <w:highlight w:val="none"/>
              </w:rPr>
              <w:t>证明材料要求</w:t>
            </w:r>
          </w:p>
        </w:tc>
      </w:tr>
      <w:tr w14:paraId="6BB391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84" w:type="dxa"/>
            <w:vMerge w:val="continue"/>
            <w:tcBorders>
              <w:tl2br w:val="nil"/>
              <w:tr2bl w:val="nil"/>
            </w:tcBorders>
            <w:vAlign w:val="center"/>
          </w:tcPr>
          <w:p w14:paraId="38E7E740">
            <w:pPr>
              <w:autoSpaceDE w:val="0"/>
              <w:autoSpaceDN w:val="0"/>
              <w:spacing w:line="300" w:lineRule="auto"/>
              <w:jc w:val="center"/>
              <w:rPr>
                <w:rFonts w:ascii="宋体" w:hAnsi="宋体" w:cs="宋体"/>
                <w:color w:val="auto"/>
                <w:kern w:val="1"/>
                <w:szCs w:val="21"/>
                <w:highlight w:val="none"/>
              </w:rPr>
            </w:pPr>
          </w:p>
        </w:tc>
        <w:tc>
          <w:tcPr>
            <w:tcW w:w="905" w:type="dxa"/>
            <w:vMerge w:val="continue"/>
            <w:tcBorders>
              <w:tl2br w:val="nil"/>
              <w:tr2bl w:val="nil"/>
            </w:tcBorders>
            <w:vAlign w:val="center"/>
          </w:tcPr>
          <w:p w14:paraId="724F7E78">
            <w:pPr>
              <w:autoSpaceDE w:val="0"/>
              <w:autoSpaceDN w:val="0"/>
              <w:spacing w:line="300" w:lineRule="auto"/>
              <w:jc w:val="center"/>
              <w:rPr>
                <w:rFonts w:ascii="宋体" w:hAnsi="宋体" w:cs="宋体"/>
                <w:color w:val="auto"/>
                <w:kern w:val="1"/>
                <w:szCs w:val="21"/>
                <w:highlight w:val="none"/>
              </w:rPr>
            </w:pPr>
          </w:p>
        </w:tc>
        <w:tc>
          <w:tcPr>
            <w:tcW w:w="1501" w:type="dxa"/>
            <w:vMerge w:val="continue"/>
            <w:tcBorders>
              <w:tl2br w:val="nil"/>
              <w:tr2bl w:val="nil"/>
            </w:tcBorders>
            <w:vAlign w:val="center"/>
          </w:tcPr>
          <w:p w14:paraId="57319D44">
            <w:pPr>
              <w:autoSpaceDE w:val="0"/>
              <w:autoSpaceDN w:val="0"/>
              <w:spacing w:line="300" w:lineRule="auto"/>
              <w:jc w:val="center"/>
              <w:rPr>
                <w:rFonts w:ascii="宋体" w:hAnsi="宋体" w:cs="宋体"/>
                <w:color w:val="auto"/>
                <w:kern w:val="1"/>
                <w:szCs w:val="21"/>
                <w:highlight w:val="none"/>
              </w:rPr>
            </w:pPr>
          </w:p>
        </w:tc>
        <w:tc>
          <w:tcPr>
            <w:tcW w:w="3724" w:type="dxa"/>
            <w:tcBorders>
              <w:tl2br w:val="nil"/>
              <w:tr2bl w:val="nil"/>
            </w:tcBorders>
            <w:vAlign w:val="center"/>
          </w:tcPr>
          <w:p w14:paraId="495899EE">
            <w:pPr>
              <w:autoSpaceDE w:val="0"/>
              <w:autoSpaceDN w:val="0"/>
              <w:jc w:val="center"/>
              <w:rPr>
                <w:rFonts w:ascii="宋体"/>
                <w:color w:val="auto"/>
                <w:szCs w:val="21"/>
                <w:highlight w:val="none"/>
              </w:rPr>
            </w:pPr>
          </w:p>
        </w:tc>
        <w:tc>
          <w:tcPr>
            <w:tcW w:w="7085" w:type="dxa"/>
            <w:tcBorders>
              <w:tl2br w:val="nil"/>
              <w:tr2bl w:val="nil"/>
            </w:tcBorders>
            <w:vAlign w:val="center"/>
          </w:tcPr>
          <w:p w14:paraId="05F0F9E5">
            <w:pPr>
              <w:autoSpaceDE w:val="0"/>
              <w:autoSpaceDN w:val="0"/>
              <w:spacing w:line="360" w:lineRule="auto"/>
              <w:jc w:val="center"/>
              <w:rPr>
                <w:rFonts w:ascii="宋体"/>
                <w:color w:val="auto"/>
                <w:szCs w:val="21"/>
                <w:highlight w:val="none"/>
              </w:rPr>
            </w:pPr>
          </w:p>
        </w:tc>
      </w:tr>
      <w:tr w14:paraId="10C525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684" w:type="dxa"/>
            <w:vMerge w:val="continue"/>
            <w:tcBorders>
              <w:tl2br w:val="nil"/>
              <w:tr2bl w:val="nil"/>
            </w:tcBorders>
            <w:vAlign w:val="center"/>
          </w:tcPr>
          <w:p w14:paraId="2C357ADE">
            <w:pPr>
              <w:autoSpaceDE w:val="0"/>
              <w:autoSpaceDN w:val="0"/>
              <w:spacing w:line="300" w:lineRule="auto"/>
              <w:jc w:val="center"/>
              <w:rPr>
                <w:rFonts w:ascii="宋体" w:hAnsi="宋体" w:cs="宋体"/>
                <w:color w:val="auto"/>
                <w:kern w:val="1"/>
                <w:szCs w:val="21"/>
                <w:highlight w:val="none"/>
              </w:rPr>
            </w:pPr>
          </w:p>
        </w:tc>
        <w:tc>
          <w:tcPr>
            <w:tcW w:w="905" w:type="dxa"/>
            <w:vMerge w:val="continue"/>
            <w:tcBorders>
              <w:tl2br w:val="nil"/>
              <w:tr2bl w:val="nil"/>
            </w:tcBorders>
            <w:vAlign w:val="center"/>
          </w:tcPr>
          <w:p w14:paraId="1A5E4AE1">
            <w:pPr>
              <w:autoSpaceDE w:val="0"/>
              <w:autoSpaceDN w:val="0"/>
              <w:spacing w:line="300" w:lineRule="auto"/>
              <w:jc w:val="center"/>
              <w:rPr>
                <w:rFonts w:ascii="宋体" w:hAnsi="宋体" w:cs="宋体"/>
                <w:color w:val="auto"/>
                <w:kern w:val="1"/>
                <w:szCs w:val="21"/>
                <w:highlight w:val="none"/>
              </w:rPr>
            </w:pPr>
          </w:p>
        </w:tc>
        <w:tc>
          <w:tcPr>
            <w:tcW w:w="1501" w:type="dxa"/>
            <w:vMerge w:val="continue"/>
            <w:tcBorders>
              <w:tl2br w:val="nil"/>
              <w:tr2bl w:val="nil"/>
            </w:tcBorders>
            <w:vAlign w:val="center"/>
          </w:tcPr>
          <w:p w14:paraId="1F83A2ED">
            <w:pPr>
              <w:autoSpaceDE w:val="0"/>
              <w:autoSpaceDN w:val="0"/>
              <w:spacing w:line="300" w:lineRule="auto"/>
              <w:jc w:val="center"/>
              <w:rPr>
                <w:rFonts w:ascii="宋体" w:hAnsi="宋体" w:cs="宋体"/>
                <w:color w:val="auto"/>
                <w:kern w:val="1"/>
                <w:szCs w:val="21"/>
                <w:highlight w:val="none"/>
              </w:rPr>
            </w:pPr>
          </w:p>
        </w:tc>
        <w:tc>
          <w:tcPr>
            <w:tcW w:w="3724" w:type="dxa"/>
            <w:tcBorders>
              <w:tl2br w:val="nil"/>
              <w:tr2bl w:val="nil"/>
            </w:tcBorders>
            <w:vAlign w:val="center"/>
          </w:tcPr>
          <w:p w14:paraId="07E2EA8F">
            <w:pPr>
              <w:autoSpaceDE w:val="0"/>
              <w:autoSpaceDN w:val="0"/>
              <w:jc w:val="center"/>
              <w:rPr>
                <w:rFonts w:ascii="宋体"/>
                <w:color w:val="auto"/>
                <w:szCs w:val="21"/>
                <w:highlight w:val="none"/>
              </w:rPr>
            </w:pPr>
            <w:r>
              <w:rPr>
                <w:rFonts w:hint="eastAsia" w:ascii="宋体"/>
                <w:color w:val="auto"/>
                <w:szCs w:val="21"/>
                <w:highlight w:val="none"/>
              </w:rPr>
              <w:t>……</w:t>
            </w:r>
          </w:p>
        </w:tc>
        <w:tc>
          <w:tcPr>
            <w:tcW w:w="7085" w:type="dxa"/>
            <w:tcBorders>
              <w:tl2br w:val="nil"/>
              <w:tr2bl w:val="nil"/>
            </w:tcBorders>
            <w:vAlign w:val="center"/>
          </w:tcPr>
          <w:p w14:paraId="45BC172A">
            <w:pPr>
              <w:autoSpaceDE w:val="0"/>
              <w:autoSpaceDN w:val="0"/>
              <w:spacing w:line="360" w:lineRule="auto"/>
              <w:jc w:val="center"/>
              <w:rPr>
                <w:rFonts w:ascii="宋体"/>
                <w:color w:val="auto"/>
                <w:szCs w:val="21"/>
                <w:highlight w:val="none"/>
              </w:rPr>
            </w:pPr>
          </w:p>
        </w:tc>
      </w:tr>
      <w:tr w14:paraId="6A2597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41" w:hRule="atLeast"/>
        </w:trPr>
        <w:tc>
          <w:tcPr>
            <w:tcW w:w="684" w:type="dxa"/>
            <w:vMerge w:val="continue"/>
            <w:tcBorders>
              <w:tl2br w:val="nil"/>
              <w:tr2bl w:val="nil"/>
            </w:tcBorders>
            <w:vAlign w:val="center"/>
          </w:tcPr>
          <w:p w14:paraId="2BAFB1C3">
            <w:pPr>
              <w:autoSpaceDE w:val="0"/>
              <w:autoSpaceDN w:val="0"/>
              <w:spacing w:line="300" w:lineRule="auto"/>
              <w:jc w:val="center"/>
              <w:rPr>
                <w:rFonts w:ascii="宋体" w:hAnsi="宋体" w:cs="宋体"/>
                <w:color w:val="auto"/>
                <w:kern w:val="1"/>
                <w:szCs w:val="21"/>
                <w:highlight w:val="none"/>
              </w:rPr>
            </w:pPr>
          </w:p>
        </w:tc>
        <w:tc>
          <w:tcPr>
            <w:tcW w:w="905" w:type="dxa"/>
            <w:vMerge w:val="continue"/>
            <w:tcBorders>
              <w:tl2br w:val="nil"/>
              <w:tr2bl w:val="nil"/>
            </w:tcBorders>
            <w:vAlign w:val="center"/>
          </w:tcPr>
          <w:p w14:paraId="376D99BE">
            <w:pPr>
              <w:autoSpaceDE w:val="0"/>
              <w:autoSpaceDN w:val="0"/>
              <w:spacing w:line="300" w:lineRule="auto"/>
              <w:jc w:val="center"/>
              <w:rPr>
                <w:rFonts w:ascii="宋体" w:hAnsi="宋体" w:cs="宋体"/>
                <w:color w:val="auto"/>
                <w:kern w:val="1"/>
                <w:szCs w:val="21"/>
                <w:highlight w:val="none"/>
              </w:rPr>
            </w:pPr>
          </w:p>
        </w:tc>
        <w:tc>
          <w:tcPr>
            <w:tcW w:w="1501" w:type="dxa"/>
            <w:vMerge w:val="continue"/>
            <w:tcBorders>
              <w:tl2br w:val="nil"/>
              <w:tr2bl w:val="nil"/>
            </w:tcBorders>
            <w:vAlign w:val="center"/>
          </w:tcPr>
          <w:p w14:paraId="5AD22118">
            <w:pPr>
              <w:autoSpaceDE w:val="0"/>
              <w:autoSpaceDN w:val="0"/>
              <w:spacing w:line="300" w:lineRule="auto"/>
              <w:jc w:val="center"/>
              <w:rPr>
                <w:rFonts w:ascii="宋体" w:hAnsi="宋体" w:cs="宋体"/>
                <w:color w:val="auto"/>
                <w:kern w:val="1"/>
                <w:szCs w:val="21"/>
                <w:highlight w:val="none"/>
              </w:rPr>
            </w:pPr>
          </w:p>
        </w:tc>
        <w:tc>
          <w:tcPr>
            <w:tcW w:w="3724" w:type="dxa"/>
            <w:tcBorders>
              <w:tl2br w:val="nil"/>
              <w:tr2bl w:val="nil"/>
            </w:tcBorders>
            <w:vAlign w:val="center"/>
          </w:tcPr>
          <w:p w14:paraId="4C4E837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color w:val="auto"/>
                <w:szCs w:val="21"/>
                <w:highlight w:val="none"/>
              </w:rPr>
            </w:pPr>
            <w:r>
              <w:rPr>
                <w:rFonts w:hint="eastAsia" w:eastAsia="宋体" w:cs="Times New Roman"/>
                <w:color w:val="auto"/>
                <w:kern w:val="0"/>
                <w:sz w:val="21"/>
                <w:szCs w:val="21"/>
                <w:highlight w:val="none"/>
                <w:u w:val="none"/>
                <w:lang w:val="en-US" w:eastAsia="zh-CN" w:bidi="ar-SA"/>
              </w:rPr>
              <w:t>项目负责人陈述答辩</w:t>
            </w:r>
          </w:p>
        </w:tc>
        <w:tc>
          <w:tcPr>
            <w:tcW w:w="7085" w:type="dxa"/>
            <w:tcBorders>
              <w:tl2br w:val="nil"/>
              <w:tr2bl w:val="nil"/>
            </w:tcBorders>
            <w:vAlign w:val="center"/>
          </w:tcPr>
          <w:p w14:paraId="08D620E7">
            <w:pPr>
              <w:pStyle w:val="113"/>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Calibri" w:hAnsi="Calibri" w:eastAsia="宋体" w:cs="Times New Roman"/>
                <w:color w:val="auto"/>
                <w:kern w:val="0"/>
                <w:sz w:val="21"/>
                <w:szCs w:val="21"/>
                <w:highlight w:val="none"/>
                <w:u w:val="none"/>
                <w:lang w:val="en-US" w:eastAsia="zh-CN" w:bidi="ar-SA"/>
              </w:rPr>
            </w:pPr>
            <w:r>
              <w:rPr>
                <w:rFonts w:hint="eastAsia" w:ascii="Calibri" w:hAnsi="Calibri" w:eastAsia="宋体" w:cs="Times New Roman"/>
                <w:color w:val="auto"/>
                <w:kern w:val="0"/>
                <w:sz w:val="21"/>
                <w:szCs w:val="21"/>
                <w:highlight w:val="none"/>
                <w:u w:val="none"/>
                <w:lang w:val="zh-CN" w:eastAsia="zh-CN" w:bidi="ar-SA"/>
              </w:rPr>
              <w:t>□否；</w:t>
            </w:r>
          </w:p>
          <w:p w14:paraId="3C953E99">
            <w:pPr>
              <w:pStyle w:val="111"/>
              <w:keepNext w:val="0"/>
              <w:keepLines w:val="0"/>
              <w:pageBreakBefore w:val="0"/>
              <w:widowControl w:val="0"/>
              <w:kinsoku/>
              <w:wordWrap/>
              <w:overflowPunct/>
              <w:topLinePunct w:val="0"/>
              <w:autoSpaceDE/>
              <w:autoSpaceDN/>
              <w:bidi w:val="0"/>
              <w:adjustRightInd/>
              <w:snapToGrid/>
              <w:spacing w:line="300" w:lineRule="auto"/>
              <w:ind w:right="21" w:rightChars="10"/>
              <w:jc w:val="both"/>
              <w:textAlignment w:val="auto"/>
              <w:rPr>
                <w:rFonts w:ascii="宋体"/>
                <w:color w:val="auto"/>
                <w:szCs w:val="21"/>
                <w:highlight w:val="none"/>
              </w:rPr>
            </w:pPr>
            <w:r>
              <w:rPr>
                <w:rFonts w:hint="eastAsia" w:ascii="Calibri" w:hAnsi="Calibri" w:eastAsia="宋体" w:cs="Times New Roman"/>
                <w:color w:val="auto"/>
                <w:kern w:val="0"/>
                <w:sz w:val="21"/>
                <w:szCs w:val="21"/>
                <w:highlight w:val="none"/>
                <w:u w:val="none"/>
                <w:lang w:val="en-US" w:eastAsia="zh-CN" w:bidi="ar-SA"/>
              </w:rPr>
              <w:t>□是：招标人选择</w:t>
            </w:r>
            <w:r>
              <w:rPr>
                <w:rFonts w:hint="eastAsia" w:eastAsia="宋体" w:cs="Times New Roman"/>
                <w:color w:val="auto"/>
                <w:kern w:val="0"/>
                <w:sz w:val="21"/>
                <w:szCs w:val="21"/>
                <w:highlight w:val="none"/>
                <w:u w:val="none"/>
                <w:lang w:val="en-US" w:eastAsia="zh-CN" w:bidi="ar-SA"/>
              </w:rPr>
              <w:t>项目负责人陈述答辩</w:t>
            </w:r>
            <w:r>
              <w:rPr>
                <w:rFonts w:hint="eastAsia" w:ascii="Calibri" w:hAnsi="Calibri" w:eastAsia="宋体" w:cs="Times New Roman"/>
                <w:color w:val="auto"/>
                <w:kern w:val="0"/>
                <w:sz w:val="21"/>
                <w:szCs w:val="21"/>
                <w:highlight w:val="none"/>
                <w:u w:val="none"/>
                <w:lang w:val="en-US" w:eastAsia="zh-CN" w:bidi="ar-SA"/>
              </w:rPr>
              <w:t>的，</w:t>
            </w:r>
            <w:r>
              <w:rPr>
                <w:rFonts w:hint="eastAsia" w:eastAsia="宋体" w:cs="Times New Roman"/>
                <w:color w:val="auto"/>
                <w:kern w:val="0"/>
                <w:sz w:val="21"/>
                <w:szCs w:val="21"/>
                <w:highlight w:val="none"/>
                <w:u w:val="none"/>
                <w:lang w:val="en-US" w:eastAsia="zh-CN" w:bidi="ar-SA"/>
              </w:rPr>
              <w:t>有关</w:t>
            </w:r>
            <w:r>
              <w:rPr>
                <w:rFonts w:hint="eastAsia" w:ascii="Calibri" w:hAnsi="Calibri" w:eastAsia="宋体" w:cs="Times New Roman"/>
                <w:color w:val="auto"/>
                <w:kern w:val="0"/>
                <w:sz w:val="21"/>
                <w:szCs w:val="21"/>
                <w:highlight w:val="none"/>
                <w:u w:val="none"/>
                <w:lang w:val="en-US" w:eastAsia="zh-CN" w:bidi="ar-SA"/>
              </w:rPr>
              <w:t>标准和程序执行定标方案附件“</w:t>
            </w:r>
            <w:r>
              <w:rPr>
                <w:rFonts w:hint="eastAsia" w:eastAsia="宋体" w:cs="Times New Roman"/>
                <w:color w:val="auto"/>
                <w:kern w:val="0"/>
                <w:sz w:val="21"/>
                <w:szCs w:val="21"/>
                <w:highlight w:val="none"/>
                <w:u w:val="none"/>
                <w:lang w:val="en-US" w:eastAsia="zh-CN" w:bidi="ar-SA"/>
              </w:rPr>
              <w:t>项目负责人陈述答辩</w:t>
            </w:r>
            <w:r>
              <w:rPr>
                <w:rFonts w:hint="eastAsia" w:ascii="Calibri" w:hAnsi="Calibri" w:eastAsia="宋体" w:cs="Times New Roman"/>
                <w:color w:val="auto"/>
                <w:kern w:val="0"/>
                <w:sz w:val="21"/>
                <w:szCs w:val="21"/>
                <w:highlight w:val="none"/>
                <w:u w:val="none"/>
                <w:lang w:val="en-US" w:eastAsia="zh-CN" w:bidi="ar-SA"/>
              </w:rPr>
              <w:t>工作方案”规定</w:t>
            </w:r>
            <w:r>
              <w:rPr>
                <w:rFonts w:hint="eastAsia" w:eastAsia="宋体" w:cs="Times New Roman"/>
                <w:color w:val="auto"/>
                <w:kern w:val="0"/>
                <w:sz w:val="21"/>
                <w:szCs w:val="21"/>
                <w:highlight w:val="none"/>
                <w:u w:val="none"/>
                <w:lang w:val="en-US" w:eastAsia="zh-CN" w:bidi="ar-SA"/>
              </w:rPr>
              <w:t>。</w:t>
            </w:r>
          </w:p>
        </w:tc>
      </w:tr>
      <w:tr w14:paraId="5A33E4D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07" w:hRule="atLeast"/>
        </w:trPr>
        <w:tc>
          <w:tcPr>
            <w:tcW w:w="684" w:type="dxa"/>
            <w:tcBorders>
              <w:tl2br w:val="nil"/>
              <w:tr2bl w:val="nil"/>
            </w:tcBorders>
            <w:vAlign w:val="center"/>
          </w:tcPr>
          <w:p w14:paraId="52C5F597">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w:t>
            </w:r>
          </w:p>
        </w:tc>
        <w:tc>
          <w:tcPr>
            <w:tcW w:w="905" w:type="dxa"/>
            <w:tcBorders>
              <w:tl2br w:val="nil"/>
              <w:tr2bl w:val="nil"/>
            </w:tcBorders>
            <w:vAlign w:val="center"/>
          </w:tcPr>
          <w:p w14:paraId="5F37A64E">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3.2.2</w:t>
            </w:r>
          </w:p>
        </w:tc>
        <w:tc>
          <w:tcPr>
            <w:tcW w:w="1501" w:type="dxa"/>
            <w:tcBorders>
              <w:tl2br w:val="nil"/>
              <w:tr2bl w:val="nil"/>
            </w:tcBorders>
            <w:vAlign w:val="center"/>
          </w:tcPr>
          <w:p w14:paraId="62E36B3A">
            <w:pPr>
              <w:autoSpaceDE w:val="0"/>
              <w:autoSpaceDN w:val="0"/>
              <w:jc w:val="center"/>
              <w:rPr>
                <w:rFonts w:ascii="宋体" w:hAnsi="宋体" w:cs="宋体"/>
                <w:color w:val="auto"/>
                <w:kern w:val="1"/>
                <w:szCs w:val="21"/>
                <w:highlight w:val="none"/>
              </w:rPr>
            </w:pPr>
            <w:r>
              <w:rPr>
                <w:rFonts w:hint="eastAsia" w:ascii="宋体" w:hAnsi="宋体" w:cs="宋体"/>
                <w:color w:val="auto"/>
                <w:kern w:val="1"/>
                <w:szCs w:val="21"/>
                <w:highlight w:val="none"/>
              </w:rPr>
              <w:t>报价要素</w:t>
            </w:r>
          </w:p>
        </w:tc>
        <w:tc>
          <w:tcPr>
            <w:tcW w:w="10809" w:type="dxa"/>
            <w:gridSpan w:val="2"/>
            <w:tcBorders>
              <w:tl2br w:val="nil"/>
              <w:tr2bl w:val="nil"/>
            </w:tcBorders>
            <w:vAlign w:val="center"/>
          </w:tcPr>
          <w:p w14:paraId="54D88857">
            <w:pPr>
              <w:autoSpaceDE w:val="0"/>
              <w:autoSpaceDN w:val="0"/>
              <w:jc w:val="center"/>
              <w:rPr>
                <w:rFonts w:ascii="宋体"/>
                <w:color w:val="auto"/>
                <w:szCs w:val="21"/>
                <w:highlight w:val="none"/>
              </w:rPr>
            </w:pPr>
            <w:r>
              <w:rPr>
                <w:rFonts w:hint="eastAsia" w:ascii="宋体"/>
                <w:color w:val="auto"/>
                <w:szCs w:val="21"/>
                <w:highlight w:val="none"/>
              </w:rPr>
              <w:t>有关标准和程序执行定标方案附件“报价要素评审标准”规定（如有）</w:t>
            </w:r>
          </w:p>
        </w:tc>
      </w:tr>
      <w:tr w14:paraId="6ACE58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684" w:type="dxa"/>
            <w:tcBorders>
              <w:tl2br w:val="nil"/>
              <w:tr2bl w:val="nil"/>
            </w:tcBorders>
            <w:vAlign w:val="center"/>
          </w:tcPr>
          <w:p w14:paraId="3AAF394D">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p>
        </w:tc>
        <w:tc>
          <w:tcPr>
            <w:tcW w:w="905" w:type="dxa"/>
            <w:tcBorders>
              <w:tl2br w:val="nil"/>
              <w:tr2bl w:val="nil"/>
            </w:tcBorders>
            <w:vAlign w:val="center"/>
          </w:tcPr>
          <w:p w14:paraId="0C8989E9">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3.2.2</w:t>
            </w:r>
          </w:p>
        </w:tc>
        <w:tc>
          <w:tcPr>
            <w:tcW w:w="12310" w:type="dxa"/>
            <w:gridSpan w:val="3"/>
            <w:tcBorders>
              <w:tl2br w:val="nil"/>
              <w:tr2bl w:val="nil"/>
            </w:tcBorders>
            <w:vAlign w:val="center"/>
          </w:tcPr>
          <w:p w14:paraId="41C654EC">
            <w:pPr>
              <w:autoSpaceDE w:val="0"/>
              <w:autoSpaceDN w:val="0"/>
              <w:jc w:val="center"/>
              <w:rPr>
                <w:rFonts w:ascii="宋体"/>
                <w:color w:val="auto"/>
                <w:szCs w:val="21"/>
                <w:highlight w:val="none"/>
                <w:u w:val="single"/>
              </w:rPr>
            </w:pPr>
            <w:r>
              <w:rPr>
                <w:rFonts w:ascii="宋体"/>
                <w:color w:val="auto"/>
                <w:szCs w:val="21"/>
                <w:highlight w:val="none"/>
              </w:rPr>
              <w:t>以考量设计（勘察）方案优劣为主，结合评标委员会评审意见</w:t>
            </w:r>
          </w:p>
        </w:tc>
      </w:tr>
      <w:tr w14:paraId="14774E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684" w:type="dxa"/>
            <w:tcBorders>
              <w:bottom w:val="single" w:color="auto" w:sz="4" w:space="0"/>
              <w:tl2br w:val="nil"/>
              <w:tr2bl w:val="nil"/>
            </w:tcBorders>
            <w:vAlign w:val="center"/>
          </w:tcPr>
          <w:p w14:paraId="2E994778">
            <w:pPr>
              <w:spacing w:line="30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项</w:t>
            </w:r>
            <w:r>
              <w:rPr>
                <w:rFonts w:ascii="宋体" w:hAnsi="宋体" w:cs="宋体"/>
                <w:b/>
                <w:color w:val="auto"/>
                <w:kern w:val="1"/>
                <w:szCs w:val="21"/>
                <w:highlight w:val="none"/>
              </w:rPr>
              <w:t>号</w:t>
            </w:r>
          </w:p>
        </w:tc>
        <w:tc>
          <w:tcPr>
            <w:tcW w:w="905" w:type="dxa"/>
            <w:tcBorders>
              <w:bottom w:val="single" w:color="auto" w:sz="4" w:space="0"/>
              <w:tl2br w:val="nil"/>
              <w:tr2bl w:val="nil"/>
            </w:tcBorders>
            <w:vAlign w:val="center"/>
          </w:tcPr>
          <w:p w14:paraId="1EFB8B81">
            <w:pPr>
              <w:spacing w:line="30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501" w:type="dxa"/>
            <w:tcBorders>
              <w:bottom w:val="single" w:color="auto" w:sz="4" w:space="0"/>
              <w:tl2br w:val="nil"/>
              <w:tr2bl w:val="nil"/>
            </w:tcBorders>
            <w:vAlign w:val="center"/>
          </w:tcPr>
          <w:p w14:paraId="16F01AF0">
            <w:pPr>
              <w:spacing w:line="30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定标方法</w:t>
            </w:r>
          </w:p>
        </w:tc>
        <w:tc>
          <w:tcPr>
            <w:tcW w:w="10809" w:type="dxa"/>
            <w:gridSpan w:val="2"/>
            <w:tcBorders>
              <w:bottom w:val="single" w:color="auto" w:sz="4" w:space="0"/>
              <w:tl2br w:val="nil"/>
              <w:tr2bl w:val="nil"/>
            </w:tcBorders>
            <w:vAlign w:val="center"/>
          </w:tcPr>
          <w:p w14:paraId="351FD30D">
            <w:pPr>
              <w:spacing w:line="300" w:lineRule="auto"/>
              <w:ind w:firstLine="340"/>
              <w:jc w:val="center"/>
              <w:rPr>
                <w:rFonts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49C472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442" w:hRule="atLeast"/>
        </w:trPr>
        <w:tc>
          <w:tcPr>
            <w:tcW w:w="684" w:type="dxa"/>
            <w:tcBorders>
              <w:top w:val="single" w:color="auto" w:sz="4" w:space="0"/>
              <w:left w:val="single" w:color="auto" w:sz="4" w:space="0"/>
              <w:bottom w:val="single" w:color="auto" w:sz="4" w:space="0"/>
              <w:right w:val="single" w:color="auto" w:sz="4" w:space="0"/>
              <w:tl2br w:val="nil"/>
              <w:tr2bl w:val="nil"/>
            </w:tcBorders>
            <w:vAlign w:val="center"/>
          </w:tcPr>
          <w:p w14:paraId="7F84B26B">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5</w:t>
            </w:r>
          </w:p>
        </w:tc>
        <w:tc>
          <w:tcPr>
            <w:tcW w:w="905" w:type="dxa"/>
            <w:tcBorders>
              <w:top w:val="single" w:color="auto" w:sz="4" w:space="0"/>
              <w:left w:val="single" w:color="auto" w:sz="4" w:space="0"/>
              <w:bottom w:val="single" w:color="auto" w:sz="4" w:space="0"/>
              <w:right w:val="single" w:color="auto" w:sz="4" w:space="0"/>
              <w:tl2br w:val="nil"/>
              <w:tr2bl w:val="nil"/>
            </w:tcBorders>
            <w:vAlign w:val="center"/>
          </w:tcPr>
          <w:p w14:paraId="7118CB65">
            <w:pPr>
              <w:autoSpaceDE w:val="0"/>
              <w:autoSpaceDN w:val="0"/>
              <w:spacing w:line="30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hint="eastAsia" w:ascii="宋体" w:hAnsi="宋体" w:cs="宋体"/>
                <w:color w:val="auto"/>
                <w:kern w:val="1"/>
                <w:szCs w:val="21"/>
                <w:highlight w:val="none"/>
                <w:lang w:val="en-US" w:eastAsia="zh-CN"/>
              </w:rPr>
              <w:t>3</w:t>
            </w:r>
            <w:r>
              <w:rPr>
                <w:rFonts w:hint="eastAsia" w:ascii="宋体" w:hAnsi="宋体" w:cs="宋体"/>
                <w:color w:val="auto"/>
                <w:kern w:val="1"/>
                <w:szCs w:val="21"/>
                <w:highlight w:val="none"/>
              </w:rPr>
              <w:t>.3</w:t>
            </w:r>
          </w:p>
        </w:tc>
        <w:tc>
          <w:tcPr>
            <w:tcW w:w="1501" w:type="dxa"/>
            <w:tcBorders>
              <w:top w:val="single" w:color="auto" w:sz="4" w:space="0"/>
              <w:left w:val="single" w:color="auto" w:sz="4" w:space="0"/>
              <w:bottom w:val="single" w:color="auto" w:sz="4" w:space="0"/>
              <w:right w:val="single" w:color="auto" w:sz="4" w:space="0"/>
              <w:tl2br w:val="nil"/>
              <w:tr2bl w:val="nil"/>
            </w:tcBorders>
            <w:vAlign w:val="center"/>
          </w:tcPr>
          <w:p w14:paraId="79C65EA4">
            <w:pPr>
              <w:autoSpaceDE w:val="0"/>
              <w:autoSpaceDN w:val="0"/>
              <w:spacing w:line="300" w:lineRule="auto"/>
              <w:jc w:val="center"/>
              <w:rPr>
                <w:color w:val="auto"/>
                <w:szCs w:val="21"/>
                <w:highlight w:val="none"/>
              </w:rPr>
            </w:pPr>
            <w:r>
              <w:rPr>
                <w:rFonts w:hint="eastAsia" w:ascii="宋体" w:hAnsi="宋体"/>
                <w:bCs/>
                <w:color w:val="auto"/>
                <w:szCs w:val="21"/>
                <w:highlight w:val="none"/>
              </w:rPr>
              <w:t>直接票决法</w:t>
            </w:r>
          </w:p>
        </w:tc>
        <w:tc>
          <w:tcPr>
            <w:tcW w:w="1080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DEA2961">
            <w:pPr>
              <w:widowControl/>
              <w:autoSpaceDE w:val="0"/>
              <w:autoSpaceDN w:val="0"/>
              <w:spacing w:line="360" w:lineRule="auto"/>
              <w:ind w:firstLine="420" w:firstLineChars="200"/>
              <w:jc w:val="left"/>
              <w:rPr>
                <w:rFonts w:ascii="宋体" w:hAnsi="宋体" w:cs="FZFSK--GBK1-0"/>
                <w:color w:val="auto"/>
                <w:kern w:val="0"/>
                <w:szCs w:val="21"/>
                <w:highlight w:val="none"/>
              </w:rPr>
            </w:pPr>
            <w:r>
              <w:rPr>
                <w:rFonts w:hint="eastAsia" w:ascii="宋体" w:hAnsi="宋体" w:cs="FZFSK--GBK1-0"/>
                <w:color w:val="auto"/>
                <w:kern w:val="0"/>
                <w:szCs w:val="21"/>
                <w:highlight w:val="none"/>
              </w:rPr>
              <w:t>在</w:t>
            </w:r>
            <w:r>
              <w:rPr>
                <w:rFonts w:hint="eastAsia" w:ascii="宋体" w:hAnsi="宋体" w:cs="宋体"/>
                <w:color w:val="auto"/>
                <w:kern w:val="1"/>
                <w:szCs w:val="21"/>
                <w:highlight w:val="none"/>
              </w:rPr>
              <w:t>评标委员会推荐的</w:t>
            </w:r>
            <w:r>
              <w:rPr>
                <w:rFonts w:hint="eastAsia" w:ascii="宋体" w:hAnsi="宋体" w:cs="FZFSK--GBK1-0"/>
                <w:color w:val="auto"/>
                <w:kern w:val="0"/>
                <w:szCs w:val="21"/>
                <w:highlight w:val="none"/>
              </w:rPr>
              <w:t>定标候选人中，定标委员会以每人投票支持1家定标候选人的方式，将得票数最多且得票数超过定标委员会总人数半数的候选人推荐为中标人。</w:t>
            </w:r>
          </w:p>
          <w:p w14:paraId="6C7A6598">
            <w:pPr>
              <w:widowControl/>
              <w:autoSpaceDE w:val="0"/>
              <w:autoSpaceDN w:val="0"/>
              <w:spacing w:line="360" w:lineRule="auto"/>
              <w:ind w:firstLine="420" w:firstLineChars="200"/>
              <w:jc w:val="left"/>
              <w:rPr>
                <w:rFonts w:ascii="黑体" w:hAnsi="黑体" w:eastAsia="黑体" w:cs="黑体"/>
                <w:color w:val="auto"/>
                <w:kern w:val="0"/>
                <w:szCs w:val="21"/>
                <w:highlight w:val="none"/>
              </w:rPr>
            </w:pPr>
            <w:r>
              <w:rPr>
                <w:rFonts w:hint="eastAsia" w:ascii="宋体" w:hAnsi="宋体" w:cs="FZFSK--GBK1-0"/>
                <w:color w:val="auto"/>
                <w:kern w:val="0"/>
                <w:szCs w:val="21"/>
                <w:highlight w:val="none"/>
              </w:rPr>
              <w:t>当没有定标候选人得票数超过定标委员会总人数半数时，选择得票数排序在前的2家定标候选人（按上一轮得票数多少的顺序选择，在选择第2家候选人时出现同票的定标候选人时，所有同票定标候选人一并纳入下一轮的投票范围）作为下一轮投票的范围，直至出现得票数超过定标委员会总人数半数的定标候选人为止。</w:t>
            </w:r>
          </w:p>
        </w:tc>
      </w:tr>
    </w:tbl>
    <w:p w14:paraId="5525E204">
      <w:pPr>
        <w:autoSpaceDE w:val="0"/>
        <w:autoSpaceDN w:val="0"/>
        <w:jc w:val="left"/>
        <w:rPr>
          <w:rFonts w:ascii="黑体" w:hAnsi="黑体" w:eastAsia="黑体" w:cs="宋体"/>
          <w:b/>
          <w:color w:val="auto"/>
          <w:kern w:val="1"/>
          <w:szCs w:val="21"/>
          <w:highlight w:val="none"/>
          <w:lang w:val="zh-CN"/>
        </w:rPr>
      </w:pPr>
    </w:p>
    <w:p w14:paraId="3995AD6E">
      <w:pPr>
        <w:keepNext/>
        <w:keepLines/>
        <w:widowControl/>
        <w:spacing w:before="240" w:beforeLines="100" w:after="240" w:afterLines="100" w:line="360" w:lineRule="auto"/>
        <w:outlineLvl w:val="1"/>
        <w:rPr>
          <w:rFonts w:hint="eastAsia" w:ascii="黑体" w:hAnsi="黑体" w:eastAsia="黑体"/>
          <w:color w:val="auto"/>
          <w:kern w:val="1"/>
          <w:szCs w:val="21"/>
          <w:highlight w:val="none"/>
        </w:rPr>
        <w:sectPr>
          <w:footnotePr>
            <w:numFmt w:val="decimalEnclosedCircleChinese"/>
            <w:numRestart w:val="eachPage"/>
          </w:footnotePr>
          <w:pgSz w:w="16838" w:h="11906" w:orient="landscape"/>
          <w:pgMar w:top="1134" w:right="1440" w:bottom="992" w:left="1440" w:header="850" w:footer="992" w:gutter="0"/>
          <w:cols w:space="0" w:num="1"/>
          <w:docGrid w:linePitch="312" w:charSpace="0"/>
        </w:sectPr>
      </w:pPr>
      <w:bookmarkStart w:id="487" w:name="_Toc22027"/>
    </w:p>
    <w:p w14:paraId="13CCA18A">
      <w:pPr>
        <w:keepNext/>
        <w:keepLines/>
        <w:widowControl/>
        <w:spacing w:before="240" w:beforeLines="100" w:after="240" w:afterLines="100" w:line="360" w:lineRule="auto"/>
        <w:outlineLvl w:val="1"/>
        <w:rPr>
          <w:rFonts w:cs="宋体"/>
          <w:b/>
          <w:color w:val="auto"/>
          <w:highlight w:val="none"/>
        </w:rPr>
      </w:pPr>
      <w:r>
        <w:rPr>
          <w:rFonts w:hint="eastAsia" w:ascii="黑体" w:hAnsi="黑体" w:eastAsia="黑体"/>
          <w:color w:val="auto"/>
          <w:kern w:val="1"/>
          <w:szCs w:val="21"/>
          <w:highlight w:val="none"/>
        </w:rPr>
        <w:t>定标方案附件：</w:t>
      </w:r>
      <w:r>
        <w:rPr>
          <w:rFonts w:hint="eastAsia" w:cs="宋体"/>
          <w:color w:val="auto"/>
          <w:szCs w:val="21"/>
          <w:highlight w:val="none"/>
        </w:rPr>
        <w:t>报价要素评审标准</w:t>
      </w:r>
      <w:bookmarkEnd w:id="487"/>
    </w:p>
    <w:tbl>
      <w:tblPr>
        <w:tblStyle w:val="42"/>
        <w:tblW w:w="0" w:type="auto"/>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359"/>
        <w:gridCol w:w="1503"/>
        <w:gridCol w:w="7300"/>
        <w:gridCol w:w="2822"/>
      </w:tblGrid>
      <w:tr w14:paraId="647DA7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955" w:type="dxa"/>
            <w:tcBorders>
              <w:bottom w:val="single" w:color="auto" w:sz="4" w:space="0"/>
            </w:tcBorders>
            <w:vAlign w:val="center"/>
          </w:tcPr>
          <w:p w14:paraId="2D73999B">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1359" w:type="dxa"/>
            <w:tcBorders>
              <w:bottom w:val="single" w:color="auto" w:sz="4" w:space="0"/>
            </w:tcBorders>
            <w:vAlign w:val="center"/>
          </w:tcPr>
          <w:p w14:paraId="79444589">
            <w:pPr>
              <w:spacing w:line="300" w:lineRule="auto"/>
              <w:jc w:val="center"/>
              <w:rPr>
                <w:rFonts w:cs="宋体"/>
                <w:b/>
                <w:color w:val="auto"/>
                <w:kern w:val="1"/>
                <w:szCs w:val="21"/>
                <w:highlight w:val="none"/>
              </w:rPr>
            </w:pPr>
            <w:r>
              <w:rPr>
                <w:rFonts w:hint="eastAsia" w:cs="宋体"/>
                <w:b/>
                <w:color w:val="auto"/>
                <w:kern w:val="1"/>
                <w:szCs w:val="21"/>
                <w:highlight w:val="none"/>
              </w:rPr>
              <w:t>定标要素</w:t>
            </w:r>
          </w:p>
        </w:tc>
        <w:tc>
          <w:tcPr>
            <w:tcW w:w="1503" w:type="dxa"/>
            <w:tcBorders>
              <w:right w:val="single" w:color="auto" w:sz="4" w:space="0"/>
            </w:tcBorders>
            <w:vAlign w:val="center"/>
          </w:tcPr>
          <w:p w14:paraId="38B085DE">
            <w:pPr>
              <w:spacing w:line="300" w:lineRule="auto"/>
              <w:jc w:val="center"/>
              <w:rPr>
                <w:rFonts w:cs="宋体"/>
                <w:b/>
                <w:color w:val="auto"/>
                <w:kern w:val="1"/>
                <w:szCs w:val="21"/>
                <w:highlight w:val="none"/>
              </w:rPr>
            </w:pPr>
            <w:r>
              <w:rPr>
                <w:rFonts w:hint="eastAsia" w:cs="宋体"/>
                <w:b/>
                <w:color w:val="auto"/>
                <w:kern w:val="1"/>
                <w:szCs w:val="21"/>
                <w:highlight w:val="none"/>
              </w:rPr>
              <w:t>子要素内容</w:t>
            </w:r>
          </w:p>
        </w:tc>
        <w:tc>
          <w:tcPr>
            <w:tcW w:w="7300" w:type="dxa"/>
            <w:tcBorders>
              <w:left w:val="single" w:color="auto" w:sz="4" w:space="0"/>
              <w:right w:val="single" w:color="auto" w:sz="4" w:space="0"/>
            </w:tcBorders>
            <w:vAlign w:val="center"/>
          </w:tcPr>
          <w:p w14:paraId="5057569D">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评审标准</w:t>
            </w:r>
          </w:p>
        </w:tc>
        <w:tc>
          <w:tcPr>
            <w:tcW w:w="2822" w:type="dxa"/>
            <w:tcBorders>
              <w:left w:val="single" w:color="auto" w:sz="4" w:space="0"/>
            </w:tcBorders>
            <w:vAlign w:val="center"/>
          </w:tcPr>
          <w:p w14:paraId="20B6571C">
            <w:pPr>
              <w:spacing w:line="300" w:lineRule="auto"/>
              <w:jc w:val="center"/>
              <w:rPr>
                <w:rFonts w:cs="宋体"/>
                <w:b/>
                <w:color w:val="auto"/>
                <w:kern w:val="1"/>
                <w:szCs w:val="21"/>
                <w:highlight w:val="none"/>
              </w:rPr>
            </w:pPr>
            <w:r>
              <w:rPr>
                <w:rFonts w:hint="eastAsia" w:ascii="宋体" w:hAnsi="宋体" w:cs="宋体"/>
                <w:b/>
                <w:color w:val="auto"/>
                <w:kern w:val="1"/>
                <w:szCs w:val="21"/>
                <w:highlight w:val="none"/>
              </w:rPr>
              <w:t>设置理由</w:t>
            </w:r>
          </w:p>
        </w:tc>
      </w:tr>
      <w:tr w14:paraId="4B8A518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82" w:hRule="atLeast"/>
        </w:trPr>
        <w:tc>
          <w:tcPr>
            <w:tcW w:w="955" w:type="dxa"/>
            <w:vMerge w:val="restart"/>
            <w:vAlign w:val="center"/>
          </w:tcPr>
          <w:p w14:paraId="2AA7844B">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359" w:type="dxa"/>
            <w:vMerge w:val="restart"/>
            <w:vAlign w:val="center"/>
          </w:tcPr>
          <w:p w14:paraId="75393717">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报价要素</w:t>
            </w:r>
          </w:p>
        </w:tc>
        <w:tc>
          <w:tcPr>
            <w:tcW w:w="1503" w:type="dxa"/>
            <w:tcBorders>
              <w:bottom w:val="single" w:color="auto" w:sz="4" w:space="0"/>
              <w:right w:val="single" w:color="auto" w:sz="4" w:space="0"/>
            </w:tcBorders>
            <w:vAlign w:val="center"/>
          </w:tcPr>
          <w:p w14:paraId="368FCC53">
            <w:pPr>
              <w:autoSpaceDE w:val="0"/>
              <w:autoSpaceDN w:val="0"/>
              <w:spacing w:line="360" w:lineRule="auto"/>
              <w:jc w:val="center"/>
              <w:rPr>
                <w:color w:val="auto"/>
                <w:szCs w:val="21"/>
                <w:highlight w:val="none"/>
              </w:rPr>
            </w:pPr>
            <w:r>
              <w:rPr>
                <w:rFonts w:hint="eastAsia" w:ascii="宋体"/>
                <w:color w:val="auto"/>
                <w:szCs w:val="21"/>
                <w:highlight w:val="none"/>
              </w:rPr>
              <w:t>报价</w:t>
            </w:r>
          </w:p>
        </w:tc>
        <w:tc>
          <w:tcPr>
            <w:tcW w:w="7300" w:type="dxa"/>
            <w:tcBorders>
              <w:left w:val="single" w:color="auto" w:sz="4" w:space="0"/>
              <w:bottom w:val="single" w:color="auto" w:sz="4" w:space="0"/>
              <w:right w:val="single" w:color="auto" w:sz="4" w:space="0"/>
            </w:tcBorders>
            <w:vAlign w:val="center"/>
          </w:tcPr>
          <w:p w14:paraId="0B78FEEA">
            <w:pPr>
              <w:autoSpaceDE w:val="0"/>
              <w:autoSpaceDN w:val="0"/>
              <w:ind w:firstLine="420" w:firstLineChars="200"/>
              <w:jc w:val="left"/>
              <w:rPr>
                <w:color w:val="auto"/>
                <w:szCs w:val="21"/>
                <w:highlight w:val="none"/>
              </w:rPr>
            </w:pPr>
          </w:p>
        </w:tc>
        <w:tc>
          <w:tcPr>
            <w:tcW w:w="2822" w:type="dxa"/>
            <w:tcBorders>
              <w:left w:val="single" w:color="auto" w:sz="4" w:space="0"/>
              <w:bottom w:val="single" w:color="auto" w:sz="4" w:space="0"/>
            </w:tcBorders>
            <w:vAlign w:val="center"/>
          </w:tcPr>
          <w:p w14:paraId="451A3C5C">
            <w:pPr>
              <w:autoSpaceDE w:val="0"/>
              <w:autoSpaceDN w:val="0"/>
              <w:spacing w:line="360" w:lineRule="auto"/>
              <w:jc w:val="center"/>
              <w:rPr>
                <w:color w:val="auto"/>
                <w:szCs w:val="21"/>
                <w:highlight w:val="none"/>
              </w:rPr>
            </w:pPr>
          </w:p>
        </w:tc>
      </w:tr>
      <w:tr w14:paraId="597E972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189" w:hRule="atLeast"/>
        </w:trPr>
        <w:tc>
          <w:tcPr>
            <w:tcW w:w="955" w:type="dxa"/>
            <w:vMerge w:val="continue"/>
            <w:vAlign w:val="center"/>
          </w:tcPr>
          <w:p w14:paraId="47AD1B53">
            <w:pPr>
              <w:autoSpaceDE w:val="0"/>
              <w:autoSpaceDN w:val="0"/>
              <w:spacing w:line="300" w:lineRule="auto"/>
              <w:jc w:val="center"/>
              <w:rPr>
                <w:rFonts w:cs="宋体"/>
                <w:color w:val="auto"/>
                <w:kern w:val="1"/>
                <w:szCs w:val="21"/>
                <w:highlight w:val="none"/>
              </w:rPr>
            </w:pPr>
          </w:p>
        </w:tc>
        <w:tc>
          <w:tcPr>
            <w:tcW w:w="1359" w:type="dxa"/>
            <w:vMerge w:val="continue"/>
            <w:vAlign w:val="center"/>
          </w:tcPr>
          <w:p w14:paraId="6C53F2BB">
            <w:pPr>
              <w:autoSpaceDE w:val="0"/>
              <w:autoSpaceDN w:val="0"/>
              <w:spacing w:line="300" w:lineRule="auto"/>
              <w:jc w:val="center"/>
              <w:rPr>
                <w:rFonts w:cs="宋体"/>
                <w:color w:val="auto"/>
                <w:kern w:val="1"/>
                <w:szCs w:val="21"/>
                <w:highlight w:val="none"/>
              </w:rPr>
            </w:pPr>
          </w:p>
        </w:tc>
        <w:tc>
          <w:tcPr>
            <w:tcW w:w="1503" w:type="dxa"/>
            <w:tcBorders>
              <w:top w:val="single" w:color="auto" w:sz="4" w:space="0"/>
              <w:bottom w:val="single" w:color="auto" w:sz="4" w:space="0"/>
              <w:right w:val="single" w:color="auto" w:sz="4" w:space="0"/>
            </w:tcBorders>
            <w:vAlign w:val="center"/>
          </w:tcPr>
          <w:p w14:paraId="0B853002">
            <w:pPr>
              <w:autoSpaceDE w:val="0"/>
              <w:autoSpaceDN w:val="0"/>
              <w:spacing w:line="360" w:lineRule="auto"/>
              <w:jc w:val="center"/>
              <w:rPr>
                <w:color w:val="auto"/>
                <w:sz w:val="18"/>
                <w:szCs w:val="18"/>
                <w:highlight w:val="none"/>
              </w:rPr>
            </w:pPr>
            <w:r>
              <w:rPr>
                <w:rFonts w:hint="eastAsia"/>
                <w:color w:val="auto"/>
                <w:sz w:val="18"/>
                <w:szCs w:val="18"/>
                <w:highlight w:val="none"/>
              </w:rPr>
              <w:t>……</w:t>
            </w:r>
          </w:p>
        </w:tc>
        <w:tc>
          <w:tcPr>
            <w:tcW w:w="7300" w:type="dxa"/>
            <w:tcBorders>
              <w:top w:val="single" w:color="auto" w:sz="4" w:space="0"/>
              <w:left w:val="single" w:color="auto" w:sz="4" w:space="0"/>
              <w:bottom w:val="single" w:color="auto" w:sz="4" w:space="0"/>
              <w:right w:val="single" w:color="auto" w:sz="4" w:space="0"/>
            </w:tcBorders>
            <w:vAlign w:val="center"/>
          </w:tcPr>
          <w:p w14:paraId="5CFF5D5A">
            <w:pPr>
              <w:autoSpaceDE w:val="0"/>
              <w:autoSpaceDN w:val="0"/>
              <w:spacing w:line="360" w:lineRule="auto"/>
              <w:jc w:val="center"/>
              <w:rPr>
                <w:color w:val="auto"/>
                <w:sz w:val="18"/>
                <w:szCs w:val="18"/>
                <w:highlight w:val="none"/>
              </w:rPr>
            </w:pPr>
            <w:r>
              <w:rPr>
                <w:rFonts w:hint="eastAsia"/>
                <w:color w:val="auto"/>
                <w:sz w:val="18"/>
                <w:szCs w:val="18"/>
                <w:highlight w:val="none"/>
              </w:rPr>
              <w:t>……</w:t>
            </w:r>
          </w:p>
        </w:tc>
        <w:tc>
          <w:tcPr>
            <w:tcW w:w="2822" w:type="dxa"/>
            <w:tcBorders>
              <w:top w:val="single" w:color="auto" w:sz="4" w:space="0"/>
              <w:left w:val="single" w:color="auto" w:sz="4" w:space="0"/>
              <w:bottom w:val="single" w:color="auto" w:sz="4" w:space="0"/>
            </w:tcBorders>
            <w:vAlign w:val="center"/>
          </w:tcPr>
          <w:p w14:paraId="3D78FF13">
            <w:pPr>
              <w:autoSpaceDE w:val="0"/>
              <w:autoSpaceDN w:val="0"/>
              <w:spacing w:line="360" w:lineRule="auto"/>
              <w:jc w:val="center"/>
              <w:rPr>
                <w:color w:val="auto"/>
                <w:sz w:val="18"/>
                <w:szCs w:val="18"/>
                <w:highlight w:val="none"/>
              </w:rPr>
            </w:pPr>
            <w:r>
              <w:rPr>
                <w:rFonts w:hint="eastAsia"/>
                <w:color w:val="auto"/>
                <w:sz w:val="18"/>
                <w:szCs w:val="18"/>
                <w:highlight w:val="none"/>
              </w:rPr>
              <w:t>……</w:t>
            </w:r>
          </w:p>
        </w:tc>
      </w:tr>
    </w:tbl>
    <w:p w14:paraId="6DB2F120">
      <w:pPr>
        <w:keepNext/>
        <w:keepLines/>
        <w:widowControl/>
        <w:spacing w:before="240" w:beforeLines="100" w:after="240" w:afterLines="100" w:line="360" w:lineRule="auto"/>
        <w:outlineLvl w:val="1"/>
        <w:rPr>
          <w:rFonts w:ascii="黑体" w:hAnsi="黑体" w:eastAsia="黑体"/>
          <w:color w:val="auto"/>
          <w:kern w:val="1"/>
          <w:szCs w:val="21"/>
          <w:highlight w:val="none"/>
        </w:rPr>
        <w:sectPr>
          <w:footnotePr>
            <w:numFmt w:val="decimalEnclosedCircleChinese"/>
            <w:numRestart w:val="eachPage"/>
          </w:footnotePr>
          <w:pgSz w:w="16838" w:h="11906" w:orient="landscape"/>
          <w:pgMar w:top="1134" w:right="1440" w:bottom="992" w:left="1440" w:header="850" w:footer="992" w:gutter="0"/>
          <w:cols w:space="0" w:num="1"/>
          <w:docGrid w:linePitch="312" w:charSpace="0"/>
        </w:sectPr>
      </w:pPr>
    </w:p>
    <w:p w14:paraId="682998A6">
      <w:pPr>
        <w:keepNext/>
        <w:keepLines/>
        <w:pageBreakBefore w:val="0"/>
        <w:widowControl/>
        <w:kinsoku/>
        <w:wordWrap/>
        <w:overflowPunct/>
        <w:topLinePunct w:val="0"/>
        <w:autoSpaceDE/>
        <w:autoSpaceDN/>
        <w:bidi w:val="0"/>
        <w:adjustRightInd/>
        <w:snapToGrid/>
        <w:spacing w:line="360" w:lineRule="auto"/>
        <w:textAlignment w:val="auto"/>
        <w:outlineLvl w:val="2"/>
        <w:rPr>
          <w:rFonts w:hint="eastAsia" w:ascii="黑体" w:hAnsi="黑体" w:eastAsia="黑体" w:cs="Times New Roman"/>
          <w:color w:val="auto"/>
          <w:kern w:val="1"/>
          <w:sz w:val="21"/>
          <w:szCs w:val="21"/>
          <w:highlight w:val="none"/>
          <w:lang w:val="en-US" w:eastAsia="zh-CN"/>
        </w:rPr>
      </w:pPr>
      <w:bookmarkStart w:id="488" w:name="_Toc19335"/>
      <w:bookmarkStart w:id="489" w:name="_Toc14917"/>
      <w:bookmarkStart w:id="490" w:name="_Toc11597"/>
      <w:bookmarkStart w:id="491" w:name="_Toc24355"/>
      <w:r>
        <w:rPr>
          <w:rFonts w:hint="eastAsia" w:ascii="黑体" w:hAnsi="黑体" w:eastAsia="黑体" w:cs="Times New Roman"/>
          <w:color w:val="auto"/>
          <w:kern w:val="1"/>
          <w:sz w:val="21"/>
          <w:szCs w:val="21"/>
          <w:highlight w:val="none"/>
          <w:lang w:val="en-US" w:eastAsia="zh-CN" w:bidi="ar-SA"/>
        </w:rPr>
        <w:t>定标方案附件</w:t>
      </w:r>
      <w:r>
        <w:rPr>
          <w:rFonts w:hint="eastAsia" w:ascii="黑体" w:hAnsi="黑体" w:eastAsia="黑体" w:cs="Times New Roman"/>
          <w:color w:val="auto"/>
          <w:kern w:val="1"/>
          <w:sz w:val="21"/>
          <w:szCs w:val="21"/>
          <w:highlight w:val="none"/>
          <w:lang w:val="en-US" w:eastAsia="zh-CN"/>
        </w:rPr>
        <w:t>：陈述答辩考核方案</w:t>
      </w:r>
      <w:bookmarkEnd w:id="488"/>
      <w:bookmarkEnd w:id="489"/>
      <w:bookmarkEnd w:id="490"/>
      <w:bookmarkEnd w:id="491"/>
    </w:p>
    <w:tbl>
      <w:tblPr>
        <w:tblStyle w:val="42"/>
        <w:tblW w:w="9577" w:type="dxa"/>
        <w:tblInd w:w="-11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04"/>
        <w:gridCol w:w="1662"/>
        <w:gridCol w:w="5019"/>
        <w:gridCol w:w="1892"/>
      </w:tblGrid>
      <w:tr w14:paraId="77CA4BA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1004" w:type="dxa"/>
            <w:tcBorders>
              <w:bottom w:val="single" w:color="auto" w:sz="4" w:space="0"/>
            </w:tcBorders>
            <w:noWrap w:val="0"/>
            <w:vAlign w:val="center"/>
          </w:tcPr>
          <w:p w14:paraId="5491E604">
            <w:pPr>
              <w:adjustRightInd/>
              <w:spacing w:line="300" w:lineRule="auto"/>
              <w:jc w:val="center"/>
              <w:textAlignment w:val="auto"/>
              <w:rPr>
                <w:rFonts w:ascii="宋体" w:hAnsi="宋体" w:cs="宋体"/>
                <w:b/>
                <w:color w:val="auto"/>
                <w:kern w:val="1"/>
                <w:sz w:val="21"/>
                <w:szCs w:val="21"/>
                <w:highlight w:val="none"/>
              </w:rPr>
            </w:pPr>
            <w:r>
              <w:rPr>
                <w:rFonts w:hint="eastAsia" w:ascii="宋体" w:hAnsi="宋体" w:cs="宋体"/>
                <w:b/>
                <w:color w:val="auto"/>
                <w:kern w:val="1"/>
                <w:sz w:val="21"/>
                <w:szCs w:val="21"/>
                <w:highlight w:val="none"/>
              </w:rPr>
              <w:t>条款号</w:t>
            </w:r>
          </w:p>
        </w:tc>
        <w:tc>
          <w:tcPr>
            <w:tcW w:w="1662" w:type="dxa"/>
            <w:tcBorders>
              <w:bottom w:val="single" w:color="auto" w:sz="4" w:space="0"/>
            </w:tcBorders>
            <w:noWrap w:val="0"/>
            <w:vAlign w:val="center"/>
          </w:tcPr>
          <w:p w14:paraId="6B838266">
            <w:pPr>
              <w:adjustRightInd/>
              <w:spacing w:line="300" w:lineRule="auto"/>
              <w:jc w:val="center"/>
              <w:textAlignment w:val="auto"/>
              <w:rPr>
                <w:rFonts w:hint="default" w:ascii="宋体" w:hAnsi="宋体" w:eastAsia="宋体" w:cs="宋体"/>
                <w:b/>
                <w:color w:val="auto"/>
                <w:kern w:val="1"/>
                <w:sz w:val="21"/>
                <w:szCs w:val="21"/>
                <w:highlight w:val="none"/>
                <w:lang w:val="en-US" w:eastAsia="zh-CN"/>
              </w:rPr>
            </w:pPr>
            <w:r>
              <w:rPr>
                <w:rFonts w:hint="eastAsia" w:ascii="宋体" w:hAnsi="宋体" w:cs="宋体"/>
                <w:b/>
                <w:color w:val="auto"/>
                <w:kern w:val="1"/>
                <w:sz w:val="21"/>
                <w:szCs w:val="21"/>
                <w:highlight w:val="none"/>
                <w:lang w:val="en-US" w:eastAsia="zh-CN"/>
              </w:rPr>
              <w:t>定标要素</w:t>
            </w:r>
          </w:p>
        </w:tc>
        <w:tc>
          <w:tcPr>
            <w:tcW w:w="5019" w:type="dxa"/>
            <w:tcBorders>
              <w:left w:val="single" w:color="auto" w:sz="4" w:space="0"/>
              <w:right w:val="single" w:color="auto" w:sz="4" w:space="0"/>
            </w:tcBorders>
            <w:noWrap w:val="0"/>
            <w:vAlign w:val="center"/>
          </w:tcPr>
          <w:p w14:paraId="7D1437ED">
            <w:pPr>
              <w:adjustRightInd/>
              <w:spacing w:line="300" w:lineRule="auto"/>
              <w:ind w:firstLine="340"/>
              <w:jc w:val="center"/>
              <w:textAlignment w:val="auto"/>
              <w:rPr>
                <w:rFonts w:hint="eastAsia" w:ascii="宋体" w:hAnsi="宋体" w:cs="宋体"/>
                <w:b/>
                <w:color w:val="auto"/>
                <w:kern w:val="1"/>
                <w:sz w:val="21"/>
                <w:szCs w:val="21"/>
                <w:highlight w:val="none"/>
                <w:lang w:val="en-US" w:eastAsia="zh-CN"/>
              </w:rPr>
            </w:pPr>
            <w:r>
              <w:rPr>
                <w:rFonts w:hint="eastAsia" w:ascii="宋体" w:hAnsi="宋体" w:cs="宋体"/>
                <w:b/>
                <w:color w:val="auto"/>
                <w:kern w:val="1"/>
                <w:sz w:val="21"/>
                <w:szCs w:val="21"/>
                <w:highlight w:val="none"/>
                <w:lang w:val="en-US" w:eastAsia="zh-CN"/>
              </w:rPr>
              <w:t>评审标准</w:t>
            </w:r>
          </w:p>
        </w:tc>
        <w:tc>
          <w:tcPr>
            <w:tcW w:w="1892" w:type="dxa"/>
            <w:tcBorders>
              <w:left w:val="single" w:color="auto" w:sz="4" w:space="0"/>
              <w:right w:val="single" w:color="auto" w:sz="4" w:space="0"/>
            </w:tcBorders>
            <w:noWrap w:val="0"/>
            <w:vAlign w:val="center"/>
          </w:tcPr>
          <w:p w14:paraId="12BE9E4A">
            <w:pPr>
              <w:adjustRightInd/>
              <w:spacing w:line="300" w:lineRule="auto"/>
              <w:ind w:firstLine="0"/>
              <w:jc w:val="center"/>
              <w:textAlignment w:val="auto"/>
              <w:rPr>
                <w:rFonts w:hint="default" w:ascii="宋体" w:hAnsi="宋体" w:cs="宋体"/>
                <w:b/>
                <w:color w:val="auto"/>
                <w:kern w:val="1"/>
                <w:sz w:val="21"/>
                <w:szCs w:val="21"/>
                <w:highlight w:val="none"/>
                <w:lang w:val="en-US" w:eastAsia="zh-CN"/>
              </w:rPr>
            </w:pPr>
            <w:r>
              <w:rPr>
                <w:rFonts w:hint="eastAsia" w:ascii="宋体" w:hAnsi="宋体" w:cs="宋体"/>
                <w:b/>
                <w:color w:val="auto"/>
                <w:kern w:val="1"/>
                <w:sz w:val="21"/>
                <w:szCs w:val="21"/>
                <w:highlight w:val="none"/>
                <w:lang w:val="en-US" w:eastAsia="zh-CN"/>
              </w:rPr>
              <w:t>权重</w:t>
            </w:r>
            <w:r>
              <w:rPr>
                <w:rFonts w:hint="eastAsia" w:ascii="宋体" w:hAnsi="宋体" w:cs="宋体"/>
                <w:b/>
                <w:color w:val="auto"/>
                <w:kern w:val="1"/>
                <w:position w:val="-2"/>
                <w:sz w:val="21"/>
                <w:szCs w:val="21"/>
                <w:highlight w:val="none"/>
                <w:vertAlign w:val="superscript"/>
                <w:lang w:val="en-US" w:eastAsia="zh-CN"/>
              </w:rPr>
              <w:footnoteReference w:id="5"/>
            </w:r>
          </w:p>
        </w:tc>
      </w:tr>
      <w:tr w14:paraId="6ADF26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18" w:hRule="atLeast"/>
        </w:trPr>
        <w:tc>
          <w:tcPr>
            <w:tcW w:w="1004" w:type="dxa"/>
            <w:vMerge w:val="restart"/>
            <w:noWrap w:val="0"/>
            <w:vAlign w:val="center"/>
          </w:tcPr>
          <w:p w14:paraId="4A628572">
            <w:pPr>
              <w:autoSpaceDE w:val="0"/>
              <w:autoSpaceDN w:val="0"/>
              <w:adjustRightInd/>
              <w:spacing w:line="300" w:lineRule="auto"/>
              <w:jc w:val="center"/>
              <w:textAlignment w:val="auto"/>
              <w:rPr>
                <w:rFonts w:hint="default" w:ascii="宋体" w:hAnsi="宋体" w:eastAsia="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3.2.2</w:t>
            </w:r>
          </w:p>
        </w:tc>
        <w:tc>
          <w:tcPr>
            <w:tcW w:w="1662" w:type="dxa"/>
            <w:vMerge w:val="restart"/>
            <w:noWrap w:val="0"/>
            <w:vAlign w:val="center"/>
          </w:tcPr>
          <w:p w14:paraId="064001E0">
            <w:pPr>
              <w:autoSpaceDE w:val="0"/>
              <w:autoSpaceDN w:val="0"/>
              <w:adjustRightInd/>
              <w:spacing w:line="300" w:lineRule="auto"/>
              <w:jc w:val="center"/>
              <w:textAlignment w:val="auto"/>
              <w:rPr>
                <w:rFonts w:hint="default" w:ascii="宋体" w:hAnsi="宋体" w:cs="宋体"/>
                <w:color w:val="auto"/>
                <w:kern w:val="1"/>
                <w:sz w:val="21"/>
                <w:szCs w:val="21"/>
                <w:highlight w:val="none"/>
                <w:lang w:val="en-US" w:eastAsia="zh-CN"/>
              </w:rPr>
            </w:pPr>
            <w:r>
              <w:rPr>
                <w:rFonts w:hint="eastAsia" w:ascii="宋体" w:hAnsi="宋体" w:cs="宋体"/>
                <w:color w:val="auto"/>
                <w:kern w:val="1"/>
                <w:sz w:val="21"/>
                <w:szCs w:val="21"/>
                <w:highlight w:val="none"/>
                <w:lang w:val="en-US" w:eastAsia="zh-CN"/>
              </w:rPr>
              <w:t>项目负责人陈述答辩</w:t>
            </w:r>
          </w:p>
        </w:tc>
        <w:tc>
          <w:tcPr>
            <w:tcW w:w="5019" w:type="dxa"/>
            <w:tcBorders>
              <w:left w:val="single" w:color="auto" w:sz="4" w:space="0"/>
              <w:right w:val="single" w:color="auto" w:sz="4" w:space="0"/>
            </w:tcBorders>
            <w:noWrap w:val="0"/>
            <w:vAlign w:val="center"/>
          </w:tcPr>
          <w:p w14:paraId="15954EF0">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auto"/>
                <w:kern w:val="0"/>
                <w:sz w:val="21"/>
                <w:szCs w:val="21"/>
                <w:highlight w:val="none"/>
              </w:rPr>
            </w:pPr>
          </w:p>
          <w:p w14:paraId="33708FE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auto"/>
                <w:kern w:val="0"/>
                <w:sz w:val="21"/>
                <w:szCs w:val="21"/>
                <w:highlight w:val="none"/>
              </w:rPr>
            </w:pPr>
          </w:p>
          <w:p w14:paraId="451AC2B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auto"/>
                <w:kern w:val="0"/>
                <w:sz w:val="21"/>
                <w:szCs w:val="21"/>
                <w:highlight w:val="none"/>
              </w:rPr>
            </w:pPr>
          </w:p>
          <w:p w14:paraId="79BCF959">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宋体" w:hAnsi="宋体" w:cs="宋体"/>
                <w:color w:val="auto"/>
                <w:kern w:val="0"/>
                <w:sz w:val="21"/>
                <w:szCs w:val="21"/>
                <w:highlight w:val="none"/>
              </w:rPr>
            </w:pPr>
            <w:r>
              <w:rPr>
                <w:rFonts w:hint="eastAsia" w:ascii="黑体" w:hAnsi="黑体" w:eastAsia="黑体" w:cs="黑体"/>
                <w:color w:val="auto"/>
                <w:kern w:val="0"/>
                <w:sz w:val="21"/>
                <w:szCs w:val="21"/>
                <w:highlight w:val="none"/>
                <w:lang w:val="en-US" w:eastAsia="zh-CN"/>
              </w:rPr>
              <w:t>1.重难点的把握及解决方案陈述</w:t>
            </w:r>
          </w:p>
          <w:p w14:paraId="6C445C7C">
            <w:pPr>
              <w:widowControl w:val="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评审标准：</w:t>
            </w:r>
          </w:p>
          <w:p w14:paraId="1A95D05C">
            <w:pPr>
              <w:widowControl w:val="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 xml:space="preserve">                                                                                                      </w:t>
            </w:r>
          </w:p>
          <w:p w14:paraId="72F09A9D">
            <w:pPr>
              <w:widowControl w:val="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 xml:space="preserve">                                                                                                      </w:t>
            </w:r>
          </w:p>
          <w:p w14:paraId="12AC35A4">
            <w:pPr>
              <w:widowControl w:val="0"/>
              <w:jc w:val="both"/>
              <w:rPr>
                <w:rFonts w:hint="default"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 xml:space="preserve">                                                                                                  </w:t>
            </w:r>
          </w:p>
          <w:p w14:paraId="60F1B80A">
            <w:pPr>
              <w:autoSpaceDE w:val="0"/>
              <w:autoSpaceDN w:val="0"/>
              <w:adjustRightInd/>
              <w:spacing w:line="360" w:lineRule="auto"/>
              <w:jc w:val="left"/>
              <w:textAlignment w:val="auto"/>
              <w:rPr>
                <w:rFonts w:hint="default" w:ascii="宋体" w:hAnsi="Calibri" w:eastAsia="宋体"/>
                <w:color w:val="auto"/>
                <w:sz w:val="18"/>
                <w:szCs w:val="18"/>
                <w:highlight w:val="none"/>
                <w:u w:val="none"/>
                <w:lang w:val="en-US" w:eastAsia="zh-CN"/>
              </w:rPr>
            </w:pPr>
          </w:p>
        </w:tc>
        <w:tc>
          <w:tcPr>
            <w:tcW w:w="1892" w:type="dxa"/>
            <w:tcBorders>
              <w:left w:val="single" w:color="auto" w:sz="4" w:space="0"/>
              <w:right w:val="single" w:color="auto" w:sz="4" w:space="0"/>
            </w:tcBorders>
            <w:noWrap w:val="0"/>
            <w:vAlign w:val="center"/>
          </w:tcPr>
          <w:p w14:paraId="3DD17DA9">
            <w:pPr>
              <w:autoSpaceDE w:val="0"/>
              <w:autoSpaceDN w:val="0"/>
              <w:adjustRightInd/>
              <w:spacing w:line="360" w:lineRule="auto"/>
              <w:jc w:val="right"/>
              <w:textAlignment w:val="auto"/>
              <w:rPr>
                <w:rFonts w:hint="eastAsia" w:ascii="黑体" w:hAnsi="黑体" w:eastAsia="黑体" w:cs="黑体"/>
                <w:color w:val="auto"/>
                <w:kern w:val="0"/>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p>
        </w:tc>
      </w:tr>
      <w:tr w14:paraId="794F945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48" w:hRule="atLeast"/>
        </w:trPr>
        <w:tc>
          <w:tcPr>
            <w:tcW w:w="1004" w:type="dxa"/>
            <w:vMerge w:val="continue"/>
            <w:noWrap w:val="0"/>
            <w:vAlign w:val="center"/>
          </w:tcPr>
          <w:p w14:paraId="48A0D812">
            <w:pPr>
              <w:autoSpaceDE w:val="0"/>
              <w:autoSpaceDN w:val="0"/>
              <w:adjustRightInd/>
              <w:spacing w:line="300" w:lineRule="auto"/>
              <w:jc w:val="center"/>
              <w:textAlignment w:val="auto"/>
              <w:rPr>
                <w:rFonts w:hint="eastAsia" w:ascii="宋体" w:hAnsi="宋体" w:cs="宋体"/>
                <w:color w:val="auto"/>
                <w:kern w:val="1"/>
                <w:sz w:val="21"/>
                <w:szCs w:val="21"/>
                <w:highlight w:val="none"/>
                <w:lang w:val="en-US" w:eastAsia="zh-CN"/>
              </w:rPr>
            </w:pPr>
          </w:p>
        </w:tc>
        <w:tc>
          <w:tcPr>
            <w:tcW w:w="1662" w:type="dxa"/>
            <w:vMerge w:val="continue"/>
            <w:noWrap w:val="0"/>
            <w:vAlign w:val="center"/>
          </w:tcPr>
          <w:p w14:paraId="6EC6F205">
            <w:pPr>
              <w:autoSpaceDE w:val="0"/>
              <w:autoSpaceDN w:val="0"/>
              <w:adjustRightInd/>
              <w:spacing w:line="300" w:lineRule="auto"/>
              <w:jc w:val="center"/>
              <w:textAlignment w:val="auto"/>
              <w:rPr>
                <w:rFonts w:hint="eastAsia" w:ascii="宋体" w:hAnsi="宋体" w:cs="宋体"/>
                <w:color w:val="auto"/>
                <w:kern w:val="1"/>
                <w:sz w:val="21"/>
                <w:szCs w:val="21"/>
                <w:highlight w:val="none"/>
                <w:lang w:val="en-US" w:eastAsia="zh-CN"/>
              </w:rPr>
            </w:pPr>
          </w:p>
        </w:tc>
        <w:tc>
          <w:tcPr>
            <w:tcW w:w="5019" w:type="dxa"/>
            <w:tcBorders>
              <w:left w:val="single" w:color="auto" w:sz="4" w:space="0"/>
              <w:right w:val="single" w:color="auto" w:sz="4" w:space="0"/>
            </w:tcBorders>
            <w:noWrap w:val="0"/>
            <w:vAlign w:val="center"/>
          </w:tcPr>
          <w:p w14:paraId="4D692B47">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default"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2.项目应急保障能力陈述</w:t>
            </w:r>
          </w:p>
          <w:p w14:paraId="029B8CE8">
            <w:pPr>
              <w:widowControl w:val="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评审标准：</w:t>
            </w:r>
          </w:p>
          <w:p w14:paraId="0CFFEB20">
            <w:pPr>
              <w:widowControl w:val="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 xml:space="preserve">                                                                                                      </w:t>
            </w:r>
          </w:p>
          <w:p w14:paraId="45E96608">
            <w:pPr>
              <w:widowControl w:val="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 xml:space="preserve">                                                                                                      </w:t>
            </w:r>
          </w:p>
          <w:p w14:paraId="79E44D78">
            <w:pPr>
              <w:autoSpaceDE w:val="0"/>
              <w:autoSpaceDN w:val="0"/>
              <w:adjustRightInd/>
              <w:spacing w:line="360" w:lineRule="auto"/>
              <w:jc w:val="left"/>
              <w:textAlignment w:val="auto"/>
              <w:rPr>
                <w:rFonts w:hint="eastAsia" w:ascii="黑体" w:hAnsi="黑体" w:eastAsia="黑体" w:cs="黑体"/>
                <w:color w:val="auto"/>
                <w:kern w:val="0"/>
                <w:sz w:val="21"/>
                <w:szCs w:val="21"/>
                <w:highlight w:val="none"/>
                <w:lang w:val="en-US" w:eastAsia="zh-CN"/>
              </w:rPr>
            </w:pPr>
            <w:r>
              <w:rPr>
                <w:rFonts w:hint="eastAsia" w:ascii="宋体" w:hAnsi="宋体" w:eastAsia="宋体" w:cs="宋体"/>
                <w:color w:val="auto"/>
                <w:kern w:val="0"/>
                <w:sz w:val="21"/>
                <w:szCs w:val="21"/>
                <w:highlight w:val="none"/>
                <w:u w:val="single"/>
                <w:lang w:val="en-US" w:eastAsia="zh-CN" w:bidi="ar-SA"/>
              </w:rPr>
              <w:t xml:space="preserve">                                                 </w:t>
            </w:r>
          </w:p>
        </w:tc>
        <w:tc>
          <w:tcPr>
            <w:tcW w:w="1892" w:type="dxa"/>
            <w:tcBorders>
              <w:left w:val="single" w:color="auto" w:sz="4" w:space="0"/>
              <w:right w:val="single" w:color="auto" w:sz="4" w:space="0"/>
            </w:tcBorders>
            <w:noWrap w:val="0"/>
            <w:vAlign w:val="center"/>
          </w:tcPr>
          <w:p w14:paraId="5F90448A">
            <w:pPr>
              <w:autoSpaceDE w:val="0"/>
              <w:autoSpaceDN w:val="0"/>
              <w:adjustRightInd/>
              <w:spacing w:line="360" w:lineRule="auto"/>
              <w:jc w:val="right"/>
              <w:textAlignment w:val="auto"/>
              <w:rPr>
                <w:rFonts w:hint="eastAsia" w:ascii="黑体" w:hAnsi="黑体" w:eastAsia="黑体" w:cs="黑体"/>
                <w:color w:val="auto"/>
                <w:kern w:val="0"/>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r>
              <w:rPr>
                <w:rFonts w:hint="eastAsia" w:ascii="宋体" w:hAnsi="宋体" w:cs="宋体"/>
                <w:color w:val="auto"/>
                <w:position w:val="-2"/>
                <w:sz w:val="21"/>
                <w:szCs w:val="21"/>
                <w:highlight w:val="none"/>
                <w:u w:val="none"/>
                <w:vertAlign w:val="superscript"/>
                <w:lang w:val="en-US" w:eastAsia="zh-CN"/>
              </w:rPr>
              <w:footnoteReference w:id="6"/>
            </w:r>
          </w:p>
        </w:tc>
      </w:tr>
      <w:tr w14:paraId="4E4BB93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20" w:hRule="atLeast"/>
        </w:trPr>
        <w:tc>
          <w:tcPr>
            <w:tcW w:w="1004" w:type="dxa"/>
            <w:vMerge w:val="continue"/>
            <w:tcBorders>
              <w:bottom w:val="single" w:color="auto" w:sz="4" w:space="0"/>
            </w:tcBorders>
            <w:noWrap w:val="0"/>
            <w:vAlign w:val="center"/>
          </w:tcPr>
          <w:p w14:paraId="2E6BBFDC">
            <w:pPr>
              <w:autoSpaceDE w:val="0"/>
              <w:autoSpaceDN w:val="0"/>
              <w:adjustRightInd/>
              <w:spacing w:line="300" w:lineRule="auto"/>
              <w:jc w:val="center"/>
              <w:textAlignment w:val="auto"/>
              <w:rPr>
                <w:rFonts w:hint="eastAsia" w:ascii="宋体" w:hAnsi="宋体" w:cs="宋体"/>
                <w:color w:val="auto"/>
                <w:kern w:val="1"/>
                <w:sz w:val="21"/>
                <w:szCs w:val="21"/>
                <w:highlight w:val="none"/>
                <w:lang w:val="en-US" w:eastAsia="zh-CN"/>
              </w:rPr>
            </w:pPr>
          </w:p>
        </w:tc>
        <w:tc>
          <w:tcPr>
            <w:tcW w:w="1662" w:type="dxa"/>
            <w:vMerge w:val="continue"/>
            <w:tcBorders>
              <w:bottom w:val="single" w:color="auto" w:sz="4" w:space="0"/>
            </w:tcBorders>
            <w:noWrap w:val="0"/>
            <w:vAlign w:val="center"/>
          </w:tcPr>
          <w:p w14:paraId="0A92AA45">
            <w:pPr>
              <w:autoSpaceDE w:val="0"/>
              <w:autoSpaceDN w:val="0"/>
              <w:adjustRightInd/>
              <w:spacing w:line="300" w:lineRule="auto"/>
              <w:jc w:val="center"/>
              <w:textAlignment w:val="auto"/>
              <w:rPr>
                <w:rFonts w:hint="eastAsia" w:ascii="宋体" w:hAnsi="宋体" w:cs="宋体"/>
                <w:color w:val="auto"/>
                <w:kern w:val="1"/>
                <w:sz w:val="21"/>
                <w:szCs w:val="21"/>
                <w:highlight w:val="none"/>
                <w:lang w:val="en-US" w:eastAsia="zh-CN"/>
              </w:rPr>
            </w:pPr>
          </w:p>
        </w:tc>
        <w:tc>
          <w:tcPr>
            <w:tcW w:w="5019" w:type="dxa"/>
            <w:tcBorders>
              <w:left w:val="single" w:color="auto" w:sz="4" w:space="0"/>
              <w:bottom w:val="single" w:color="auto" w:sz="4" w:space="0"/>
              <w:right w:val="single" w:color="auto" w:sz="4" w:space="0"/>
            </w:tcBorders>
            <w:noWrap w:val="0"/>
            <w:vAlign w:val="center"/>
          </w:tcPr>
          <w:p w14:paraId="49FA1189">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auto"/>
                <w:kern w:val="0"/>
                <w:sz w:val="21"/>
                <w:szCs w:val="21"/>
                <w:highlight w:val="none"/>
                <w:lang w:eastAsia="zh-CN"/>
              </w:rPr>
            </w:pPr>
            <w:r>
              <w:rPr>
                <w:rFonts w:hint="eastAsia" w:ascii="黑体" w:hAnsi="黑体" w:eastAsia="黑体" w:cs="黑体"/>
                <w:color w:val="auto"/>
                <w:kern w:val="0"/>
                <w:sz w:val="21"/>
                <w:szCs w:val="21"/>
                <w:highlight w:val="none"/>
                <w:lang w:val="en-US" w:eastAsia="zh-CN"/>
              </w:rPr>
              <w:t>3.答辩</w:t>
            </w:r>
          </w:p>
          <w:p w14:paraId="030468A6">
            <w:pPr>
              <w:widowControl w:val="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评审标准：</w:t>
            </w:r>
          </w:p>
          <w:p w14:paraId="35CCC3CC">
            <w:pPr>
              <w:widowControl w:val="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 xml:space="preserve">                                                                                                      </w:t>
            </w:r>
          </w:p>
          <w:p w14:paraId="6C38CFA0">
            <w:pPr>
              <w:widowControl w:val="0"/>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 xml:space="preserve">                                                                                                      </w:t>
            </w:r>
          </w:p>
          <w:p w14:paraId="2E76F69A">
            <w:pPr>
              <w:widowControl w:val="0"/>
              <w:jc w:val="both"/>
              <w:rPr>
                <w:rFonts w:hint="default"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 xml:space="preserve">                                                                                                      </w:t>
            </w:r>
          </w:p>
          <w:p w14:paraId="022CA9A8">
            <w:pPr>
              <w:autoSpaceDE w:val="0"/>
              <w:autoSpaceDN w:val="0"/>
              <w:adjustRightInd/>
              <w:spacing w:line="360" w:lineRule="auto"/>
              <w:jc w:val="left"/>
              <w:textAlignment w:val="auto"/>
              <w:rPr>
                <w:rFonts w:hint="eastAsia" w:ascii="宋体" w:hAnsi="宋体" w:eastAsia="宋体" w:cs="宋体"/>
                <w:color w:val="auto"/>
                <w:kern w:val="0"/>
                <w:sz w:val="21"/>
                <w:szCs w:val="21"/>
                <w:highlight w:val="none"/>
                <w:u w:val="single"/>
                <w:lang w:val="en-US" w:eastAsia="zh-CN" w:bidi="ar-SA"/>
              </w:rPr>
            </w:pPr>
          </w:p>
        </w:tc>
        <w:tc>
          <w:tcPr>
            <w:tcW w:w="1892" w:type="dxa"/>
            <w:tcBorders>
              <w:left w:val="single" w:color="auto" w:sz="4" w:space="0"/>
              <w:right w:val="single" w:color="auto" w:sz="4" w:space="0"/>
            </w:tcBorders>
            <w:noWrap w:val="0"/>
            <w:vAlign w:val="center"/>
          </w:tcPr>
          <w:p w14:paraId="66C49308">
            <w:pPr>
              <w:autoSpaceDE w:val="0"/>
              <w:autoSpaceDN w:val="0"/>
              <w:adjustRightInd/>
              <w:spacing w:line="360" w:lineRule="auto"/>
              <w:jc w:val="right"/>
              <w:textAlignment w:val="auto"/>
              <w:rPr>
                <w:rFonts w:hint="eastAsia" w:ascii="黑体" w:hAnsi="黑体" w:eastAsia="黑体" w:cs="黑体"/>
                <w:color w:val="auto"/>
                <w:kern w:val="0"/>
                <w:sz w:val="21"/>
                <w:szCs w:val="21"/>
                <w:highlight w:val="none"/>
                <w:lang w:val="en-US" w:eastAsia="zh-CN"/>
              </w:rPr>
            </w:pP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p>
        </w:tc>
      </w:tr>
      <w:tr w14:paraId="6DC1414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899" w:hRule="atLeast"/>
        </w:trPr>
        <w:tc>
          <w:tcPr>
            <w:tcW w:w="9577" w:type="dxa"/>
            <w:gridSpan w:val="4"/>
            <w:tcBorders>
              <w:top w:val="single" w:color="auto" w:sz="4" w:space="0"/>
              <w:right w:val="single" w:color="auto" w:sz="4" w:space="0"/>
            </w:tcBorders>
            <w:noWrap w:val="0"/>
            <w:vAlign w:val="center"/>
          </w:tcPr>
          <w:p w14:paraId="1A8D3A23">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w:t>
            </w:r>
          </w:p>
          <w:p w14:paraId="6646A097">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1.陈述答辩考核工作方案详见投标人须知前附表，定标委员会不得以任何形式询问项目负责人姓名以及投标人名称。</w:t>
            </w:r>
          </w:p>
          <w:p w14:paraId="4D8C63BB">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en-US" w:eastAsia="zh-CN"/>
              </w:rPr>
              <w:t>.“重难点的把握及解决方案陈述”、“项目应急保障能力陈述”、“答辩”评审标准均采用“百分制评分”进行评审。</w:t>
            </w:r>
          </w:p>
          <w:p w14:paraId="347C6319">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cs="宋体"/>
                <w:color w:val="auto"/>
                <w:sz w:val="21"/>
                <w:szCs w:val="21"/>
                <w:highlight w:val="none"/>
                <w:u w:val="none"/>
                <w:lang w:val="en-US" w:bidi="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.定标委员会对某定标候选人陈述、答辩评分高于满分标准的90%（含）或低于50%（不含）时，必须详细阐述具体理由（字数不少于50字）。</w:t>
            </w:r>
            <w:r>
              <w:rPr>
                <w:rFonts w:hint="eastAsia" w:ascii="宋体" w:hAnsi="宋体" w:cs="宋体"/>
                <w:color w:val="auto"/>
                <w:sz w:val="21"/>
                <w:szCs w:val="21"/>
                <w:highlight w:val="none"/>
                <w:u w:val="none"/>
                <w:lang w:val="en-US" w:bidi="zh-CN"/>
              </w:rPr>
              <w:t>陈述答辩人员不得以任何形式向定标委员会透露姓名以及所属投标人名称，否则陈述答辩不得分。</w:t>
            </w:r>
          </w:p>
          <w:p w14:paraId="7DE3037C">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黑体" w:hAnsi="黑体" w:eastAsia="黑体" w:cs="黑体"/>
                <w:color w:val="auto"/>
                <w:kern w:val="0"/>
                <w:sz w:val="21"/>
                <w:szCs w:val="21"/>
                <w:highlight w:val="none"/>
                <w:lang w:val="en-US" w:eastAsia="zh-CN"/>
              </w:rPr>
            </w:pPr>
            <w:r>
              <w:rPr>
                <w:rFonts w:hint="eastAsia" w:ascii="宋体" w:hAnsi="宋体" w:eastAsia="宋体" w:cs="宋体"/>
                <w:color w:val="auto"/>
                <w:kern w:val="0"/>
                <w:sz w:val="21"/>
                <w:szCs w:val="21"/>
                <w:highlight w:val="none"/>
                <w:u w:val="none"/>
                <w:lang w:val="en-US" w:eastAsia="zh-CN" w:bidi="zh-CN"/>
              </w:rPr>
              <w:t>4.为保障招投标交易顺利进行，鼓励制定备选答辩评审标准，供重新陈述答辩考核时使用。</w:t>
            </w:r>
          </w:p>
        </w:tc>
      </w:tr>
    </w:tbl>
    <w:p w14:paraId="38681BDE">
      <w:pPr>
        <w:widowControl/>
        <w:adjustRightInd w:val="0"/>
        <w:snapToGrid w:val="0"/>
        <w:spacing w:line="360" w:lineRule="auto"/>
        <w:ind w:firstLine="422" w:firstLineChars="200"/>
        <w:jc w:val="left"/>
        <w:rPr>
          <w:rFonts w:ascii="宋体" w:hAnsi="宋体" w:cs="宋体"/>
          <w:b/>
          <w:bCs/>
          <w:color w:val="auto"/>
          <w:szCs w:val="21"/>
          <w:highlight w:val="none"/>
        </w:rPr>
      </w:pPr>
    </w:p>
    <w:p w14:paraId="5E851318">
      <w:pPr>
        <w:widowControl/>
        <w:adjustRightInd w:val="0"/>
        <w:snapToGrid w:val="0"/>
        <w:spacing w:line="360" w:lineRule="auto"/>
        <w:ind w:firstLine="422" w:firstLineChars="200"/>
        <w:jc w:val="left"/>
        <w:rPr>
          <w:rFonts w:ascii="宋体" w:hAnsi="宋体" w:cs="宋体"/>
          <w:b/>
          <w:bCs/>
          <w:color w:val="auto"/>
          <w:szCs w:val="21"/>
          <w:highlight w:val="none"/>
        </w:rPr>
      </w:pPr>
    </w:p>
    <w:p w14:paraId="36295CD0">
      <w:pPr>
        <w:widowControl/>
        <w:adjustRightInd w:val="0"/>
        <w:snapToGrid w:val="0"/>
        <w:spacing w:line="360" w:lineRule="auto"/>
        <w:ind w:firstLine="0" w:firstLineChars="0"/>
        <w:jc w:val="both"/>
        <w:rPr>
          <w:rFonts w:hint="eastAsia" w:ascii="黑体" w:hAnsi="黑体" w:eastAsia="黑体" w:cs="黑体"/>
          <w:b w:val="0"/>
          <w:bCs w:val="0"/>
          <w:color w:val="auto"/>
          <w:sz w:val="28"/>
          <w:szCs w:val="28"/>
          <w:highlight w:val="none"/>
        </w:rPr>
        <w:sectPr>
          <w:footnotePr>
            <w:numFmt w:val="decimalEnclosedCircleChinese"/>
            <w:numRestart w:val="eachPage"/>
          </w:footnotePr>
          <w:pgSz w:w="11907" w:h="16840"/>
          <w:pgMar w:top="1928" w:right="1587" w:bottom="1928" w:left="1587" w:header="851" w:footer="850" w:gutter="0"/>
          <w:cols w:space="720" w:num="1"/>
          <w:rtlGutter w:val="0"/>
          <w:docGrid w:linePitch="312" w:charSpace="0"/>
        </w:sectPr>
      </w:pPr>
    </w:p>
    <w:p w14:paraId="5D4F3832">
      <w:pPr>
        <w:pageBreakBefore w:val="0"/>
        <w:widowControl/>
        <w:kinsoku/>
        <w:wordWrap/>
        <w:overflowPunct/>
        <w:topLinePunct w:val="0"/>
        <w:bidi w:val="0"/>
        <w:adjustRightInd w:val="0"/>
        <w:snapToGrid w:val="0"/>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定标方案正文</w:t>
      </w:r>
    </w:p>
    <w:p w14:paraId="069FA98A">
      <w:pPr>
        <w:keepNext/>
        <w:keepLines/>
        <w:pageBreakBefore w:val="0"/>
        <w:widowControl/>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color w:val="auto"/>
          <w:kern w:val="1"/>
          <w:sz w:val="24"/>
          <w:szCs w:val="24"/>
          <w:highlight w:val="none"/>
          <w:lang w:val="zh-CN"/>
        </w:rPr>
      </w:pPr>
      <w:bookmarkStart w:id="492" w:name="_Toc29213"/>
      <w:r>
        <w:rPr>
          <w:rFonts w:hint="eastAsia" w:asciiTheme="minorEastAsia" w:hAnsiTheme="minorEastAsia" w:eastAsiaTheme="minorEastAsia" w:cstheme="minorEastAsia"/>
          <w:color w:val="auto"/>
          <w:kern w:val="1"/>
          <w:sz w:val="24"/>
          <w:szCs w:val="24"/>
          <w:highlight w:val="none"/>
          <w:lang w:val="zh-CN"/>
        </w:rPr>
        <w:t>1.</w:t>
      </w:r>
      <w:r>
        <w:rPr>
          <w:rFonts w:hint="eastAsia" w:asciiTheme="minorEastAsia" w:hAnsiTheme="minorEastAsia" w:eastAsiaTheme="minorEastAsia" w:cstheme="minorEastAsia"/>
          <w:color w:val="auto"/>
          <w:kern w:val="1"/>
          <w:sz w:val="24"/>
          <w:szCs w:val="24"/>
          <w:highlight w:val="none"/>
        </w:rPr>
        <w:t>总则</w:t>
      </w:r>
      <w:bookmarkEnd w:id="492"/>
    </w:p>
    <w:p w14:paraId="0007DE78">
      <w:pPr>
        <w:pageBreakBefore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p>
    <w:p w14:paraId="69EE86EC">
      <w:pPr>
        <w:pageBreakBefore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1.2.定标方案由正文、前附表以及附件组成。定标方案附件分别为报价评审标准（如有）和陈述答辩考核方案（如有），前述二个定标方案附件均由建设单位在投标截止时间前使用CA证书加密上传电子交易平台。</w:t>
      </w:r>
    </w:p>
    <w:p w14:paraId="2C32E751">
      <w:pPr>
        <w:pageBreakBefore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自评标工作结束后5日内（如遇法定节假日，可顺延至节后第二个工作日），建设单位组织清标小组和定标委员会进入市公共资源交易中心进行清标、定标工作。不能按时定标的，应当通过市公共资源交易网公示延期原因和定标时间</w:t>
      </w:r>
      <w:r>
        <w:rPr>
          <w:rFonts w:hint="eastAsia" w:asciiTheme="minorEastAsia" w:hAnsiTheme="minorEastAsia" w:eastAsiaTheme="minorEastAsia" w:cstheme="minorEastAsia"/>
          <w:color w:val="auto"/>
          <w:sz w:val="24"/>
          <w:szCs w:val="24"/>
          <w:highlight w:val="none"/>
        </w:rPr>
        <w:t>。</w:t>
      </w:r>
    </w:p>
    <w:p w14:paraId="0EE8EA40">
      <w:pPr>
        <w:keepNext/>
        <w:keepLines/>
        <w:pageBreakBefore w:val="0"/>
        <w:widowControl/>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color w:val="auto"/>
          <w:kern w:val="1"/>
          <w:sz w:val="24"/>
          <w:szCs w:val="24"/>
          <w:highlight w:val="none"/>
          <w:lang w:val="zh-CN"/>
        </w:rPr>
      </w:pPr>
      <w:bookmarkStart w:id="493" w:name="_Toc25223"/>
      <w:bookmarkStart w:id="494" w:name="_Toc25914"/>
      <w:r>
        <w:rPr>
          <w:rFonts w:hint="eastAsia" w:asciiTheme="minorEastAsia" w:hAnsiTheme="minorEastAsia" w:eastAsiaTheme="minorEastAsia" w:cstheme="minorEastAsia"/>
          <w:color w:val="auto"/>
          <w:kern w:val="1"/>
          <w:sz w:val="24"/>
          <w:szCs w:val="24"/>
          <w:highlight w:val="none"/>
          <w:lang w:val="zh-CN"/>
        </w:rPr>
        <w:t>2.定标程序</w:t>
      </w:r>
      <w:bookmarkEnd w:id="493"/>
      <w:bookmarkEnd w:id="494"/>
    </w:p>
    <w:p w14:paraId="56278263">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定标按以下程序进行。</w:t>
      </w:r>
    </w:p>
    <w:p w14:paraId="0DB08397">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2.1清标</w:t>
      </w:r>
    </w:p>
    <w:p w14:paraId="7A881637">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1"/>
          <w:sz w:val="24"/>
          <w:szCs w:val="24"/>
          <w:highlight w:val="none"/>
        </w:rPr>
        <w:t>组建清标小组</w:t>
      </w:r>
    </w:p>
    <w:p w14:paraId="1C8A3AEE">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（2）清标</w:t>
      </w:r>
    </w:p>
    <w:p w14:paraId="7B88A23E">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（3）编制清标报告</w:t>
      </w:r>
    </w:p>
    <w:p w14:paraId="03863622">
      <w:pPr>
        <w:pageBreakBefore w:val="0"/>
        <w:kinsoku/>
        <w:wordWrap/>
        <w:overflowPunct/>
        <w:topLinePunct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2.2定标</w:t>
      </w:r>
    </w:p>
    <w:p w14:paraId="6294BB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1"/>
          <w:sz w:val="24"/>
          <w:szCs w:val="24"/>
          <w:highlight w:val="none"/>
        </w:rPr>
        <w:t>组建定标委员会</w:t>
      </w:r>
    </w:p>
    <w:p w14:paraId="40DBA7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项目负责人陈述答辩考核（如有）</w:t>
      </w:r>
    </w:p>
    <w:p w14:paraId="0ED87D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定标，</w:t>
      </w:r>
      <w:r>
        <w:rPr>
          <w:rFonts w:hint="eastAsia" w:asciiTheme="minorEastAsia" w:hAnsiTheme="minorEastAsia" w:eastAsiaTheme="minorEastAsia" w:cstheme="minorEastAsia"/>
          <w:color w:val="auto"/>
          <w:sz w:val="24"/>
          <w:szCs w:val="24"/>
          <w:highlight w:val="none"/>
          <w:lang w:val="en-US" w:eastAsia="zh-CN"/>
        </w:rPr>
        <w:t>推荐</w:t>
      </w:r>
      <w:r>
        <w:rPr>
          <w:rFonts w:hint="eastAsia" w:asciiTheme="minorEastAsia" w:hAnsiTheme="minorEastAsia" w:eastAsiaTheme="minorEastAsia" w:cstheme="minorEastAsia"/>
          <w:color w:val="auto"/>
          <w:sz w:val="24"/>
          <w:szCs w:val="24"/>
          <w:highlight w:val="none"/>
        </w:rPr>
        <w:t>中标人</w:t>
      </w:r>
    </w:p>
    <w:p w14:paraId="0977262C">
      <w:pPr>
        <w:keepNext/>
        <w:keepLines/>
        <w:pageBreakBefore w:val="0"/>
        <w:widowControl/>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color w:val="auto"/>
          <w:kern w:val="1"/>
          <w:sz w:val="24"/>
          <w:szCs w:val="24"/>
          <w:highlight w:val="none"/>
        </w:rPr>
      </w:pPr>
      <w:bookmarkStart w:id="495" w:name="_Toc22229"/>
      <w:r>
        <w:rPr>
          <w:rFonts w:hint="eastAsia" w:asciiTheme="minorEastAsia" w:hAnsiTheme="minorEastAsia" w:eastAsiaTheme="minorEastAsia" w:cstheme="minorEastAsia"/>
          <w:color w:val="auto"/>
          <w:kern w:val="1"/>
          <w:sz w:val="24"/>
          <w:szCs w:val="24"/>
          <w:highlight w:val="none"/>
          <w:lang w:val="zh-CN"/>
        </w:rPr>
        <w:t>3.</w:t>
      </w:r>
      <w:r>
        <w:rPr>
          <w:rFonts w:hint="eastAsia" w:asciiTheme="minorEastAsia" w:hAnsiTheme="minorEastAsia" w:eastAsiaTheme="minorEastAsia" w:cstheme="minorEastAsia"/>
          <w:color w:val="auto"/>
          <w:kern w:val="1"/>
          <w:sz w:val="24"/>
          <w:szCs w:val="24"/>
          <w:highlight w:val="none"/>
        </w:rPr>
        <w:t>清标</w:t>
      </w:r>
      <w:bookmarkEnd w:id="495"/>
    </w:p>
    <w:p w14:paraId="3F135CB5">
      <w:pPr>
        <w:keepNext w:val="0"/>
        <w:keepLines w:val="0"/>
        <w:pageBreakBefore w:val="0"/>
        <w:widowControl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496" w:name="_Toc27513"/>
      <w:r>
        <w:rPr>
          <w:rFonts w:hint="eastAsia" w:asciiTheme="minorEastAsia" w:hAnsiTheme="minorEastAsia" w:eastAsiaTheme="minorEastAsia" w:cstheme="minorEastAsia"/>
          <w:color w:val="auto"/>
          <w:sz w:val="24"/>
          <w:szCs w:val="24"/>
          <w:highlight w:val="none"/>
          <w:lang w:val="en-US" w:eastAsia="zh-CN"/>
        </w:rPr>
        <w:t>3.1.组建清标小组</w:t>
      </w:r>
    </w:p>
    <w:p w14:paraId="033A6582">
      <w:pPr>
        <w:keepNext w:val="0"/>
        <w:keepLines w:val="0"/>
        <w:pageBreakBefore w:val="0"/>
        <w:widowControl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清标小组由建设单位组建，主要由建设单位、代建单位和招标代理机构具备工程建设类中级及以上技术职称或相关注册执业资格的人员组成，成员人数为3人及以上单数。若满足上述要求的人员确实不足的，经招投标监管机构同意，也可委托其他具备丰富评定分离项目招标代理经验的招标代理单位中满足上述资格要求的人员。</w:t>
      </w:r>
    </w:p>
    <w:p w14:paraId="60302382">
      <w:pPr>
        <w:keepNext w:val="0"/>
        <w:keepLines w:val="0"/>
        <w:pageBreakBefore w:val="0"/>
        <w:widowControl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3.2.清标</w:t>
      </w:r>
    </w:p>
    <w:p w14:paraId="735A16CD">
      <w:pPr>
        <w:keepNext w:val="0"/>
        <w:keepLines w:val="0"/>
        <w:pageBreakBefore w:val="0"/>
        <w:widowControl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3.2.1.清标小组使用建设单位加密定标方案附件的CA证书，解密报价评审标准（如有），根据该附件规定进行评审。</w:t>
      </w:r>
    </w:p>
    <w:p w14:paraId="168F560C">
      <w:pPr>
        <w:keepNext w:val="0"/>
        <w:keepLines w:val="0"/>
        <w:pageBreakBefore w:val="0"/>
        <w:widowControl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3.2.2.清标小组根据定标方案前附表第1项、第2项、第3项（如有）规定的定标要素（除</w:t>
      </w:r>
      <w:r>
        <w:rPr>
          <w:rFonts w:hint="eastAsia" w:asciiTheme="minorEastAsia" w:hAnsiTheme="minorEastAsia" w:eastAsiaTheme="minorEastAsia" w:cstheme="minorEastAsia"/>
          <w:color w:val="auto"/>
          <w:kern w:val="0"/>
          <w:sz w:val="24"/>
          <w:szCs w:val="24"/>
          <w:highlight w:val="none"/>
          <w:u w:val="none"/>
          <w:lang w:val="en-US" w:eastAsia="zh-CN" w:bidi="ar-SA"/>
        </w:rPr>
        <w:t>项目负责人陈述答辩子要素以外</w:t>
      </w:r>
      <w:r>
        <w:rPr>
          <w:rFonts w:hint="eastAsia" w:asciiTheme="minorEastAsia" w:hAnsiTheme="minorEastAsia" w:eastAsiaTheme="minorEastAsia" w:cstheme="minorEastAsia"/>
          <w:color w:val="auto"/>
          <w:sz w:val="24"/>
          <w:szCs w:val="24"/>
          <w:highlight w:val="none"/>
          <w:lang w:val="en-US" w:eastAsia="zh-CN"/>
        </w:rPr>
        <w:t>）评审标准，整理各定标候选人清标情况。</w:t>
      </w:r>
    </w:p>
    <w:p w14:paraId="0ECB943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3.2.3.清标小组对同一定标候选人同一定标子要素的评审结果均应一致。</w:t>
      </w:r>
    </w:p>
    <w:p w14:paraId="33D5114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3.3.编制清标报告</w:t>
      </w:r>
    </w:p>
    <w:p w14:paraId="7C3A705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清标小组根据3.2项规定完成清标工作后，应当编制清标报告并加密上传至电子交易平台，定标时启用。</w:t>
      </w:r>
    </w:p>
    <w:p w14:paraId="09FFA742">
      <w:pPr>
        <w:keepNext/>
        <w:keepLines/>
        <w:pageBreakBefore w:val="0"/>
        <w:widowControl/>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1"/>
          <w:sz w:val="24"/>
          <w:szCs w:val="24"/>
          <w:highlight w:val="none"/>
        </w:rPr>
        <w:t>4</w:t>
      </w:r>
      <w:r>
        <w:rPr>
          <w:rFonts w:hint="eastAsia" w:asciiTheme="minorEastAsia" w:hAnsiTheme="minorEastAsia" w:eastAsiaTheme="minorEastAsia" w:cstheme="minorEastAsia"/>
          <w:color w:val="auto"/>
          <w:kern w:val="1"/>
          <w:sz w:val="24"/>
          <w:szCs w:val="24"/>
          <w:highlight w:val="none"/>
          <w:lang w:val="zh-CN"/>
        </w:rPr>
        <w:t>.</w:t>
      </w:r>
      <w:r>
        <w:rPr>
          <w:rFonts w:hint="eastAsia" w:asciiTheme="minorEastAsia" w:hAnsiTheme="minorEastAsia" w:eastAsiaTheme="minorEastAsia" w:cstheme="minorEastAsia"/>
          <w:color w:val="auto"/>
          <w:kern w:val="1"/>
          <w:sz w:val="24"/>
          <w:szCs w:val="24"/>
          <w:highlight w:val="none"/>
        </w:rPr>
        <w:t>定标</w:t>
      </w:r>
      <w:bookmarkEnd w:id="496"/>
    </w:p>
    <w:p w14:paraId="6D9DE1F5">
      <w:pPr>
        <w:keepNext w:val="0"/>
        <w:keepLines w:val="0"/>
        <w:pageBreakBefore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组建定标委员会</w:t>
      </w:r>
    </w:p>
    <w:p w14:paraId="5997F267">
      <w:pPr>
        <w:keepNext w:val="0"/>
        <w:keepLines w:val="0"/>
        <w:pageBreakBefore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定标委员会需由建设单位的法定代表人负责组建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成员总数为</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人及以上单数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招标</w:t>
      </w:r>
      <w:r>
        <w:rPr>
          <w:rFonts w:hint="eastAsia" w:asciiTheme="minorEastAsia" w:hAnsiTheme="minorEastAsia" w:eastAsiaTheme="minorEastAsia" w:cstheme="minorEastAsia"/>
          <w:color w:val="auto"/>
          <w:sz w:val="24"/>
          <w:szCs w:val="24"/>
          <w:highlight w:val="none"/>
        </w:rPr>
        <w:t>项目实行代建的且代建单位作为招标人的，建设单位可以委托代建单位的法定代表人组建，代建单位应将定标委员会组建方案报建设单位批准同意。</w:t>
      </w:r>
    </w:p>
    <w:p w14:paraId="439BE666">
      <w:pPr>
        <w:keepNext w:val="0"/>
        <w:keepLines w:val="0"/>
        <w:pageBreakBefore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szCs w:val="24"/>
          <w:highlight w:val="none"/>
          <w:lang w:val="en-US" w:eastAsia="zh-CN"/>
        </w:rPr>
        <w:t>.建设单位可以授权下列人员作为定标委员会成员，行使定标权：</w:t>
      </w:r>
    </w:p>
    <w:p w14:paraId="3CA871C5">
      <w:pPr>
        <w:keepNext w:val="0"/>
        <w:keepLines w:val="0"/>
        <w:pageBreakBefore w:val="0"/>
        <w:numPr>
          <w:ilvl w:val="0"/>
          <w:numId w:val="10"/>
        </w:numPr>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定标委员会成员原则上从建设单位</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代建单位的领导班子成员、经营管理人员、具有工程建设类技术职称或注册执业资格的人员中产生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其中至少1人必须</w:t>
      </w:r>
      <w:r>
        <w:rPr>
          <w:rFonts w:hint="eastAsia" w:asciiTheme="minorEastAsia" w:hAnsiTheme="minorEastAsia" w:eastAsiaTheme="minorEastAsia" w:cstheme="minorEastAsia"/>
          <w:color w:val="auto"/>
          <w:sz w:val="24"/>
          <w:szCs w:val="24"/>
          <w:highlight w:val="none"/>
        </w:rPr>
        <w:t>具有工程建设类技术职称或注册执业资格。</w:t>
      </w:r>
    </w:p>
    <w:p w14:paraId="154F1D02">
      <w:pPr>
        <w:keepNext w:val="0"/>
        <w:keepLines w:val="0"/>
        <w:pageBreakBefore w:val="0"/>
        <w:numPr>
          <w:ilvl w:val="0"/>
          <w:numId w:val="10"/>
        </w:numPr>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本单位人员不足的，可以从</w:t>
      </w:r>
      <w:r>
        <w:rPr>
          <w:rFonts w:hint="eastAsia" w:asciiTheme="minorEastAsia" w:hAnsiTheme="minorEastAsia" w:eastAsiaTheme="minorEastAsia" w:cstheme="minorEastAsia"/>
          <w:color w:val="auto"/>
          <w:sz w:val="24"/>
          <w:szCs w:val="24"/>
          <w:highlight w:val="none"/>
          <w:lang w:val="en-US" w:eastAsia="zh-CN"/>
        </w:rPr>
        <w:t>上级单位</w:t>
      </w:r>
      <w:r>
        <w:rPr>
          <w:rFonts w:hint="eastAsia" w:asciiTheme="minorEastAsia" w:hAnsiTheme="minorEastAsia" w:eastAsiaTheme="minorEastAsia" w:cstheme="minorEastAsia"/>
          <w:color w:val="auto"/>
          <w:sz w:val="24"/>
          <w:szCs w:val="24"/>
          <w:highlight w:val="none"/>
        </w:rPr>
        <w:t>、下属单位或关联企业中选取符合条件的人员作为定标委员会成员。招标项目对技术、商务</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有特别要求的，可以邀请与投标人无利害关系的专家，专家人数为1～2名且不超过定标委员会成员总数的1/3。</w:t>
      </w:r>
    </w:p>
    <w:p w14:paraId="0473175A">
      <w:pPr>
        <w:keepNext w:val="0"/>
        <w:keepLines w:val="0"/>
        <w:pageBreakBefore w:val="0"/>
        <w:kinsoku/>
        <w:wordWrap/>
        <w:overflowPunct/>
        <w:topLinePunct w:val="0"/>
        <w:autoSpaceDE w:val="0"/>
        <w:autoSpaceDN w:val="0"/>
        <w:bidi w:val="0"/>
        <w:adjustRightInd w:val="0"/>
        <w:snapToGrid w:val="0"/>
        <w:spacing w:line="360" w:lineRule="auto"/>
        <w:ind w:firstLine="451" w:firstLineChars="188"/>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.1.3</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各区、各行业主管部门及有条件的建设单位建立定标委员会成员名录库的，建设单位可以在相应的定标委员会成员名录库中采取随机抽签的方式</w:t>
      </w:r>
      <w:r>
        <w:rPr>
          <w:rFonts w:hint="eastAsia" w:asciiTheme="minorEastAsia" w:hAnsiTheme="minorEastAsia" w:eastAsiaTheme="minorEastAsia" w:cstheme="minorEastAsia"/>
          <w:color w:val="auto"/>
          <w:sz w:val="24"/>
          <w:szCs w:val="24"/>
          <w:highlight w:val="none"/>
          <w:lang w:val="en-US" w:eastAsia="zh-CN"/>
        </w:rPr>
        <w:t>确定定标委员会成员</w:t>
      </w:r>
      <w:r>
        <w:rPr>
          <w:rFonts w:hint="eastAsia" w:asciiTheme="minorEastAsia" w:hAnsiTheme="minorEastAsia" w:eastAsiaTheme="minorEastAsia" w:cstheme="minorEastAsia"/>
          <w:color w:val="auto"/>
          <w:sz w:val="24"/>
          <w:szCs w:val="24"/>
          <w:highlight w:val="none"/>
        </w:rPr>
        <w:t>。</w:t>
      </w:r>
    </w:p>
    <w:p w14:paraId="19CD815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4.2陈述答辩考核（如有）</w:t>
      </w:r>
    </w:p>
    <w:p w14:paraId="78A44B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4.2.1考核工作与清标工作同步开展。</w:t>
      </w:r>
    </w:p>
    <w:p w14:paraId="77AF4D6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4.2.2定标委员会使用建设单位加密定标方案附件的CA证书，解密陈述答辩考核方案附件。</w:t>
      </w:r>
    </w:p>
    <w:p w14:paraId="3AD8440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4.2.3定标委员会根据陈述答辩考核方案规定的标准和程序进行陈述答辩的评审，并按照百分制计算得分乘以相应权重后汇总为各定标候选人陈述答辩得分。完成评审后，相关分值通过电子交易系统自动匹配至相应的投标人。</w:t>
      </w:r>
    </w:p>
    <w:p w14:paraId="4401E922">
      <w:pPr>
        <w:keepNext w:val="0"/>
        <w:keepLines w:val="0"/>
        <w:pageBreakBefore w:val="0"/>
        <w:widowControl/>
        <w:tabs>
          <w:tab w:val="left" w:pos="8218"/>
        </w:tabs>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4.3定标，推荐中标人</w:t>
      </w:r>
      <w:r>
        <w:rPr>
          <w:rFonts w:hint="eastAsia" w:asciiTheme="minorEastAsia" w:hAnsiTheme="minorEastAsia" w:eastAsiaTheme="minorEastAsia" w:cstheme="minorEastAsia"/>
          <w:color w:val="auto"/>
          <w:sz w:val="24"/>
          <w:szCs w:val="24"/>
          <w:highlight w:val="none"/>
          <w:lang w:val="en-US" w:eastAsia="zh-CN"/>
        </w:rPr>
        <w:tab/>
      </w:r>
    </w:p>
    <w:p w14:paraId="112B82E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u w:val="none"/>
          <w:lang w:val="en-US" w:eastAsia="zh-CN" w:bidi="ar-SA"/>
        </w:rPr>
      </w:pPr>
      <w:r>
        <w:rPr>
          <w:rFonts w:hint="eastAsia" w:asciiTheme="minorEastAsia" w:hAnsiTheme="minorEastAsia" w:eastAsiaTheme="minorEastAsia" w:cstheme="minorEastAsia"/>
          <w:color w:val="auto"/>
          <w:kern w:val="0"/>
          <w:sz w:val="24"/>
          <w:szCs w:val="24"/>
          <w:highlight w:val="none"/>
          <w:u w:val="none"/>
          <w:lang w:val="en-US" w:eastAsia="zh-CN" w:bidi="ar-SA"/>
        </w:rPr>
        <w:t>4.3.1定标委员会可在清标工作结束后随即开展定标工作或按规定择期定标。招标项目存在陈述答辩考核工作的，定标委员会应在完成4.2项规定的陈述答辩考核评审工作后立即开展定标工作。</w:t>
      </w:r>
    </w:p>
    <w:p w14:paraId="4B9602D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u w:val="none"/>
          <w:lang w:val="en-US" w:eastAsia="zh-CN" w:bidi="ar-SA"/>
        </w:rPr>
        <w:t>4.3.2</w:t>
      </w:r>
      <w:r>
        <w:rPr>
          <w:rFonts w:hint="eastAsia" w:asciiTheme="minorEastAsia" w:hAnsiTheme="minorEastAsia" w:eastAsiaTheme="minorEastAsia" w:cstheme="minorEastAsia"/>
          <w:color w:val="auto"/>
          <w:sz w:val="24"/>
          <w:szCs w:val="24"/>
          <w:highlight w:val="none"/>
        </w:rPr>
        <w:t>定标委员会解密清标报告，复核清标结果，如发现清标结果有误，应及时纠正并经定标委员会所有成员签章确认，纠正情况应纳入定标报告。</w:t>
      </w:r>
    </w:p>
    <w:p w14:paraId="10997058">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4.3.3</w:t>
      </w:r>
      <w:r>
        <w:rPr>
          <w:rFonts w:hint="eastAsia" w:asciiTheme="minorEastAsia" w:hAnsiTheme="minorEastAsia" w:eastAsiaTheme="minorEastAsia" w:cstheme="minorEastAsia"/>
          <w:color w:val="auto"/>
          <w:sz w:val="24"/>
          <w:szCs w:val="24"/>
          <w:highlight w:val="none"/>
        </w:rPr>
        <w:t>定标委员会根据</w:t>
      </w:r>
      <w:r>
        <w:rPr>
          <w:rFonts w:hint="eastAsia" w:asciiTheme="minorEastAsia" w:hAnsiTheme="minorEastAsia" w:eastAsiaTheme="minorEastAsia" w:cstheme="minorEastAsia"/>
          <w:color w:val="auto"/>
          <w:sz w:val="24"/>
          <w:szCs w:val="24"/>
          <w:highlight w:val="none"/>
          <w:lang w:val="en-US" w:eastAsia="zh-CN"/>
        </w:rPr>
        <w:t>投标人须知前附表第7.3项以及</w:t>
      </w:r>
      <w:r>
        <w:rPr>
          <w:rFonts w:hint="eastAsia" w:asciiTheme="minorEastAsia" w:hAnsiTheme="minorEastAsia" w:eastAsiaTheme="minorEastAsia" w:cstheme="minorEastAsia"/>
          <w:color w:val="auto"/>
          <w:sz w:val="24"/>
          <w:szCs w:val="24"/>
          <w:highlight w:val="none"/>
        </w:rPr>
        <w:t>定标方案</w:t>
      </w:r>
      <w:r>
        <w:rPr>
          <w:rFonts w:hint="eastAsia" w:asciiTheme="minorEastAsia" w:hAnsiTheme="minorEastAsia" w:eastAsiaTheme="minorEastAsia" w:cstheme="minorEastAsia"/>
          <w:color w:val="auto"/>
          <w:sz w:val="24"/>
          <w:szCs w:val="24"/>
          <w:highlight w:val="none"/>
          <w:lang w:val="en-US" w:eastAsia="zh-CN"/>
        </w:rPr>
        <w:t>前附表第5项</w:t>
      </w:r>
      <w:r>
        <w:rPr>
          <w:rFonts w:hint="eastAsia" w:asciiTheme="minorEastAsia" w:hAnsiTheme="minorEastAsia" w:eastAsiaTheme="minorEastAsia" w:cstheme="minorEastAsia"/>
          <w:color w:val="auto"/>
          <w:sz w:val="24"/>
          <w:szCs w:val="24"/>
          <w:highlight w:val="none"/>
        </w:rPr>
        <w:t>规定的</w:t>
      </w:r>
      <w:r>
        <w:rPr>
          <w:rFonts w:hint="eastAsia" w:asciiTheme="minorEastAsia" w:hAnsiTheme="minorEastAsia" w:eastAsiaTheme="minorEastAsia" w:cstheme="minorEastAsia"/>
          <w:color w:val="auto"/>
          <w:sz w:val="24"/>
          <w:szCs w:val="24"/>
          <w:highlight w:val="none"/>
          <w:lang w:val="en-US" w:eastAsia="zh-CN"/>
        </w:rPr>
        <w:t>定标方法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确定中标</w:t>
      </w:r>
      <w:r>
        <w:rPr>
          <w:rFonts w:hint="eastAsia" w:asciiTheme="minorEastAsia" w:hAnsiTheme="minorEastAsia" w:eastAsiaTheme="minorEastAsia" w:cstheme="minorEastAsia"/>
          <w:color w:val="auto"/>
          <w:sz w:val="24"/>
          <w:szCs w:val="24"/>
          <w:highlight w:val="none"/>
        </w:rPr>
        <w:t>候选人</w:t>
      </w:r>
      <w:r>
        <w:rPr>
          <w:rFonts w:hint="eastAsia" w:asciiTheme="minorEastAsia" w:hAnsiTheme="minorEastAsia" w:eastAsiaTheme="minorEastAsia" w:cstheme="minorEastAsia"/>
          <w:color w:val="auto"/>
          <w:sz w:val="24"/>
          <w:szCs w:val="24"/>
          <w:highlight w:val="none"/>
          <w:lang w:val="en-US" w:eastAsia="zh-CN"/>
        </w:rPr>
        <w:t>并推荐中标人</w:t>
      </w:r>
      <w:r>
        <w:rPr>
          <w:rFonts w:hint="eastAsia" w:asciiTheme="minorEastAsia" w:hAnsiTheme="minorEastAsia" w:eastAsiaTheme="minorEastAsia" w:cstheme="minorEastAsia"/>
          <w:color w:val="auto"/>
          <w:sz w:val="24"/>
          <w:szCs w:val="24"/>
          <w:highlight w:val="none"/>
        </w:rPr>
        <w:t>。</w:t>
      </w:r>
    </w:p>
    <w:p w14:paraId="06E055E6">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4.3.4</w:t>
      </w:r>
      <w:r>
        <w:rPr>
          <w:rFonts w:hint="eastAsia" w:asciiTheme="minorEastAsia" w:hAnsiTheme="minorEastAsia" w:eastAsiaTheme="minorEastAsia" w:cstheme="minorEastAsia"/>
          <w:color w:val="auto"/>
          <w:sz w:val="24"/>
          <w:szCs w:val="24"/>
          <w:highlight w:val="none"/>
        </w:rPr>
        <w:t>定标完成后，定标委员会应当编制定标报告，定标报告完整载明定标过程。</w:t>
      </w:r>
    </w:p>
    <w:p w14:paraId="1C114799">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p>
    <w:p w14:paraId="4F55AF5D">
      <w:pPr>
        <w:keepNext/>
        <w:keepLines/>
        <w:pageBreakBefore w:val="0"/>
        <w:widowControl/>
        <w:kinsoku/>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color w:val="auto"/>
          <w:kern w:val="1"/>
          <w:sz w:val="24"/>
          <w:szCs w:val="24"/>
          <w:highlight w:val="none"/>
        </w:rPr>
      </w:pPr>
      <w:bookmarkStart w:id="497" w:name="_Toc21070"/>
      <w:r>
        <w:rPr>
          <w:rFonts w:hint="eastAsia" w:asciiTheme="minorEastAsia" w:hAnsiTheme="minorEastAsia" w:eastAsiaTheme="minorEastAsia" w:cstheme="minorEastAsia"/>
          <w:color w:val="auto"/>
          <w:kern w:val="1"/>
          <w:sz w:val="24"/>
          <w:szCs w:val="24"/>
          <w:highlight w:val="none"/>
        </w:rPr>
        <w:t>5</w:t>
      </w:r>
      <w:r>
        <w:rPr>
          <w:rFonts w:hint="eastAsia" w:asciiTheme="minorEastAsia" w:hAnsiTheme="minorEastAsia" w:eastAsiaTheme="minorEastAsia" w:cstheme="minorEastAsia"/>
          <w:color w:val="auto"/>
          <w:kern w:val="1"/>
          <w:sz w:val="24"/>
          <w:szCs w:val="24"/>
          <w:highlight w:val="none"/>
          <w:lang w:val="zh-CN"/>
        </w:rPr>
        <w:t>.重新定标</w:t>
      </w:r>
      <w:bookmarkEnd w:id="497"/>
      <w:r>
        <w:rPr>
          <w:rFonts w:hint="eastAsia" w:asciiTheme="minorEastAsia" w:hAnsiTheme="minorEastAsia" w:eastAsiaTheme="minorEastAsia" w:cstheme="minorEastAsia"/>
          <w:color w:val="auto"/>
          <w:kern w:val="1"/>
          <w:sz w:val="24"/>
          <w:szCs w:val="24"/>
          <w:highlight w:val="none"/>
        </w:rPr>
        <w:t>与重新招标</w:t>
      </w:r>
    </w:p>
    <w:p w14:paraId="08658CAB">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定标后有下列情形之一的，建设单位</w:t>
      </w:r>
      <w:r>
        <w:rPr>
          <w:rFonts w:hint="eastAsia" w:asciiTheme="minorEastAsia" w:hAnsiTheme="minorEastAsia" w:eastAsiaTheme="minorEastAsia" w:cstheme="minorEastAsia"/>
          <w:color w:val="auto"/>
          <w:sz w:val="24"/>
          <w:szCs w:val="24"/>
          <w:highlight w:val="none"/>
          <w:lang w:val="en-US" w:eastAsia="zh-CN"/>
        </w:rPr>
        <w:t>组织</w:t>
      </w:r>
      <w:r>
        <w:rPr>
          <w:rFonts w:hint="eastAsia" w:asciiTheme="minorEastAsia" w:hAnsiTheme="minorEastAsia" w:eastAsiaTheme="minorEastAsia" w:cstheme="minorEastAsia"/>
          <w:color w:val="auto"/>
          <w:sz w:val="24"/>
          <w:szCs w:val="24"/>
          <w:highlight w:val="none"/>
        </w:rPr>
        <w:t>原定标委员会</w:t>
      </w:r>
      <w:r>
        <w:rPr>
          <w:rFonts w:hint="eastAsia" w:asciiTheme="minorEastAsia" w:hAnsiTheme="minorEastAsia" w:eastAsiaTheme="minorEastAsia" w:cstheme="minorEastAsia"/>
          <w:color w:val="auto"/>
          <w:sz w:val="24"/>
          <w:szCs w:val="24"/>
          <w:highlight w:val="none"/>
          <w:lang w:val="en-US" w:eastAsia="zh-CN"/>
        </w:rPr>
        <w:t>按原定标方案</w:t>
      </w:r>
      <w:r>
        <w:rPr>
          <w:rFonts w:hint="eastAsia" w:asciiTheme="minorEastAsia" w:hAnsiTheme="minorEastAsia" w:eastAsiaTheme="minorEastAsia" w:cstheme="minorEastAsia"/>
          <w:color w:val="auto"/>
          <w:sz w:val="24"/>
          <w:szCs w:val="24"/>
          <w:highlight w:val="none"/>
        </w:rPr>
        <w:t>重新确定中标人</w:t>
      </w:r>
      <w:r>
        <w:rPr>
          <w:rFonts w:hint="eastAsia" w:asciiTheme="minorEastAsia" w:hAnsiTheme="minorEastAsia" w:eastAsiaTheme="minorEastAsia" w:cstheme="minorEastAsia"/>
          <w:color w:val="auto"/>
          <w:sz w:val="24"/>
          <w:szCs w:val="24"/>
          <w:highlight w:val="none"/>
          <w:lang w:val="en-US" w:eastAsia="zh-CN"/>
        </w:rPr>
        <w:t>或重新招标，其中，除重新招标以外，已完成的</w:t>
      </w:r>
      <w:r>
        <w:rPr>
          <w:rFonts w:hint="eastAsia" w:asciiTheme="minorEastAsia" w:hAnsiTheme="minorEastAsia" w:eastAsiaTheme="minorEastAsia" w:cstheme="minorEastAsia"/>
          <w:color w:val="auto"/>
          <w:kern w:val="0"/>
          <w:sz w:val="24"/>
          <w:szCs w:val="24"/>
          <w:highlight w:val="none"/>
          <w:lang w:val="en-US" w:eastAsia="zh-CN"/>
        </w:rPr>
        <w:t>报价要素</w:t>
      </w:r>
      <w:r>
        <w:rPr>
          <w:rFonts w:hint="eastAsia" w:asciiTheme="minorEastAsia" w:hAnsiTheme="minorEastAsia" w:eastAsiaTheme="minorEastAsia" w:cstheme="minorEastAsia"/>
          <w:color w:val="auto"/>
          <w:sz w:val="24"/>
          <w:szCs w:val="24"/>
          <w:highlight w:val="none"/>
          <w:lang w:val="en-US" w:eastAsia="zh-CN"/>
        </w:rPr>
        <w:t>结果以及项目负责人陈述答辩评分（根据实际情况需要采用备选答辩评审标准重新陈述答辩考核的除外），后续无论出现何种情况都不再改变</w:t>
      </w:r>
      <w:r>
        <w:rPr>
          <w:rFonts w:hint="eastAsia" w:asciiTheme="minorEastAsia" w:hAnsiTheme="minorEastAsia" w:eastAsiaTheme="minorEastAsia" w:cstheme="minorEastAsia"/>
          <w:color w:val="auto"/>
          <w:sz w:val="24"/>
          <w:szCs w:val="24"/>
          <w:highlight w:val="none"/>
        </w:rPr>
        <w:t>：</w:t>
      </w:r>
    </w:p>
    <w:p w14:paraId="320BFD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（1）中标人放弃中标或者拒不签订合同的；</w:t>
      </w:r>
    </w:p>
    <w:p w14:paraId="1CA5896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（2）中标人不按照招标文件要求提交履约担保的；</w:t>
      </w:r>
    </w:p>
    <w:p w14:paraId="204B0D8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未按照定标方案定标并影响中标结果的；</w:t>
      </w:r>
    </w:p>
    <w:p w14:paraId="7E15BD5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经异议或投诉处理，</w:t>
      </w:r>
      <w:r>
        <w:rPr>
          <w:rFonts w:hint="eastAsia" w:asciiTheme="minorEastAsia" w:hAnsiTheme="minorEastAsia" w:eastAsiaTheme="minorEastAsia" w:cstheme="minorEastAsia"/>
          <w:color w:val="auto"/>
          <w:sz w:val="24"/>
          <w:szCs w:val="24"/>
          <w:highlight w:val="none"/>
        </w:rPr>
        <w:t>被查实</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影响中标结果的；</w:t>
      </w:r>
    </w:p>
    <w:p w14:paraId="46AB5F26">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）法律法规规定的其他情形。</w:t>
      </w:r>
    </w:p>
    <w:p w14:paraId="6AF1F35E">
      <w:pPr>
        <w:pStyle w:val="41"/>
        <w:rPr>
          <w:color w:val="auto"/>
          <w:highlight w:val="none"/>
        </w:rPr>
      </w:pPr>
    </w:p>
    <w:p w14:paraId="467DD35B">
      <w:pPr>
        <w:pStyle w:val="41"/>
        <w:rPr>
          <w:color w:val="auto"/>
          <w:highlight w:val="none"/>
        </w:rPr>
      </w:pPr>
    </w:p>
    <w:p w14:paraId="06FB1047">
      <w:pPr>
        <w:pStyle w:val="41"/>
        <w:rPr>
          <w:color w:val="auto"/>
          <w:highlight w:val="none"/>
        </w:rPr>
      </w:pPr>
    </w:p>
    <w:p w14:paraId="5170D546">
      <w:pPr>
        <w:pStyle w:val="41"/>
        <w:rPr>
          <w:color w:val="auto"/>
          <w:highlight w:val="none"/>
        </w:rPr>
      </w:pPr>
    </w:p>
    <w:p w14:paraId="786E60AE">
      <w:pPr>
        <w:pStyle w:val="41"/>
        <w:rPr>
          <w:color w:val="auto"/>
          <w:highlight w:val="none"/>
        </w:rPr>
      </w:pPr>
    </w:p>
    <w:p w14:paraId="58F0BA4A">
      <w:pPr>
        <w:pStyle w:val="41"/>
        <w:rPr>
          <w:color w:val="auto"/>
          <w:highlight w:val="none"/>
        </w:rPr>
      </w:pPr>
    </w:p>
    <w:p w14:paraId="6BF9121B">
      <w:pPr>
        <w:pStyle w:val="41"/>
        <w:rPr>
          <w:color w:val="auto"/>
          <w:highlight w:val="none"/>
        </w:rPr>
      </w:pPr>
    </w:p>
    <w:p w14:paraId="2D7C03FB">
      <w:pPr>
        <w:pStyle w:val="41"/>
        <w:rPr>
          <w:color w:val="auto"/>
          <w:highlight w:val="none"/>
        </w:rPr>
      </w:pPr>
    </w:p>
    <w:p w14:paraId="21B1A683">
      <w:pPr>
        <w:wordWrap w:val="0"/>
        <w:spacing w:line="360" w:lineRule="exact"/>
        <w:ind w:firstLine="482" w:firstLineChars="200"/>
        <w:jc w:val="center"/>
        <w:rPr>
          <w:rFonts w:ascii="宋体" w:hAnsi="宋体" w:cs="宋体"/>
          <w:b/>
          <w:snapToGrid w:val="0"/>
          <w:color w:val="auto"/>
          <w:kern w:val="0"/>
          <w:sz w:val="24"/>
          <w:highlight w:val="none"/>
        </w:rPr>
      </w:pPr>
    </w:p>
    <w:p w14:paraId="0A55780B">
      <w:pPr>
        <w:wordWrap w:val="0"/>
        <w:spacing w:line="360" w:lineRule="exact"/>
        <w:ind w:firstLine="482" w:firstLineChars="200"/>
        <w:jc w:val="center"/>
        <w:rPr>
          <w:rFonts w:ascii="宋体" w:hAnsi="宋体" w:cs="宋体"/>
          <w:b/>
          <w:snapToGrid w:val="0"/>
          <w:color w:val="auto"/>
          <w:kern w:val="0"/>
          <w:sz w:val="24"/>
          <w:highlight w:val="none"/>
        </w:rPr>
        <w:sectPr>
          <w:footerReference r:id="rId15" w:type="default"/>
          <w:pgSz w:w="11920" w:h="16960"/>
          <w:pgMar w:top="1440" w:right="1418" w:bottom="1440" w:left="1418" w:header="720" w:footer="720" w:gutter="0"/>
          <w:cols w:space="720" w:num="1"/>
          <w:docGrid w:linePitch="286" w:charSpace="0"/>
        </w:sectPr>
      </w:pPr>
    </w:p>
    <w:p w14:paraId="0B061668">
      <w:pPr>
        <w:pStyle w:val="41"/>
        <w:rPr>
          <w:color w:val="auto"/>
          <w:highlight w:val="none"/>
        </w:rPr>
      </w:pPr>
    </w:p>
    <w:p w14:paraId="43C3BBCA">
      <w:pPr>
        <w:wordWrap w:val="0"/>
        <w:spacing w:line="360" w:lineRule="exact"/>
        <w:ind w:firstLine="643" w:firstLineChars="200"/>
        <w:jc w:val="center"/>
        <w:rPr>
          <w:snapToGrid w:val="0"/>
          <w:color w:val="auto"/>
          <w:kern w:val="0"/>
          <w:sz w:val="32"/>
          <w:szCs w:val="32"/>
          <w:highlight w:val="none"/>
        </w:rPr>
      </w:pPr>
      <w:r>
        <w:rPr>
          <w:rFonts w:hint="eastAsia" w:ascii="宋体" w:hAnsi="宋体" w:cs="宋体"/>
          <w:b/>
          <w:snapToGrid w:val="0"/>
          <w:color w:val="auto"/>
          <w:kern w:val="0"/>
          <w:sz w:val="32"/>
          <w:szCs w:val="32"/>
          <w:highlight w:val="none"/>
        </w:rPr>
        <w:t>第五章 合同条款及格式</w:t>
      </w:r>
      <w:bookmarkEnd w:id="482"/>
      <w:bookmarkEnd w:id="483"/>
      <w:bookmarkEnd w:id="484"/>
      <w:bookmarkEnd w:id="485"/>
      <w:bookmarkEnd w:id="486"/>
    </w:p>
    <w:p w14:paraId="1808C143">
      <w:pPr>
        <w:pStyle w:val="92"/>
        <w:outlineLvl w:val="0"/>
        <w:rPr>
          <w:rFonts w:ascii="宋体" w:hAnsi="宋体" w:eastAsia="宋体"/>
          <w:b/>
          <w:snapToGrid w:val="0"/>
          <w:color w:val="auto"/>
          <w:kern w:val="0"/>
          <w:highlight w:val="none"/>
        </w:rPr>
      </w:pPr>
      <w:bookmarkStart w:id="498" w:name="_Toc335660844"/>
      <w:bookmarkStart w:id="499" w:name="_Toc346269487"/>
      <w:bookmarkStart w:id="500" w:name="_Toc326241900"/>
      <w:bookmarkStart w:id="501" w:name="_Toc335721985"/>
      <w:bookmarkStart w:id="502" w:name="_Toc488649911"/>
      <w:r>
        <w:rPr>
          <w:rFonts w:ascii="宋体" w:hAnsi="宋体" w:eastAsia="宋体"/>
          <w:b/>
          <w:snapToGrid w:val="0"/>
          <w:color w:val="auto"/>
          <w:kern w:val="0"/>
          <w:highlight w:val="none"/>
        </w:rPr>
        <w:t>第一节 通用合同条款</w:t>
      </w:r>
      <w:bookmarkEnd w:id="498"/>
      <w:bookmarkEnd w:id="499"/>
      <w:bookmarkEnd w:id="500"/>
      <w:bookmarkEnd w:id="501"/>
      <w:bookmarkEnd w:id="502"/>
    </w:p>
    <w:p w14:paraId="5FDDD967">
      <w:pPr>
        <w:pStyle w:val="92"/>
        <w:outlineLvl w:val="0"/>
        <w:rPr>
          <w:rFonts w:ascii="宋体" w:hAnsi="宋体" w:eastAsia="宋体"/>
          <w:b/>
          <w:snapToGrid w:val="0"/>
          <w:color w:val="auto"/>
          <w:kern w:val="0"/>
          <w:highlight w:val="none"/>
        </w:rPr>
      </w:pPr>
      <w:bookmarkStart w:id="503" w:name="_Toc487619185"/>
      <w:bookmarkStart w:id="504" w:name="_Toc346269488"/>
      <w:bookmarkStart w:id="505" w:name="_Toc487654512"/>
      <w:bookmarkStart w:id="506" w:name="_Toc326241901"/>
      <w:bookmarkStart w:id="507" w:name="_Toc335660845"/>
      <w:bookmarkStart w:id="508" w:name="_Toc487114207"/>
      <w:bookmarkStart w:id="509" w:name="_Toc488649912"/>
      <w:bookmarkStart w:id="510" w:name="_Toc335721986"/>
      <w:r>
        <w:rPr>
          <w:rFonts w:ascii="宋体" w:hAnsi="宋体" w:eastAsia="宋体"/>
          <w:b/>
          <w:snapToGrid w:val="0"/>
          <w:color w:val="auto"/>
          <w:kern w:val="0"/>
          <w:highlight w:val="none"/>
        </w:rPr>
        <w:t>1. 定义和解释</w:t>
      </w:r>
      <w:bookmarkEnd w:id="503"/>
      <w:bookmarkEnd w:id="504"/>
      <w:bookmarkEnd w:id="505"/>
      <w:bookmarkEnd w:id="506"/>
      <w:bookmarkEnd w:id="507"/>
      <w:bookmarkEnd w:id="508"/>
      <w:bookmarkEnd w:id="509"/>
      <w:bookmarkEnd w:id="510"/>
    </w:p>
    <w:p w14:paraId="20E68BFF">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通用合同条款、专用合同条款中的下列词语应具有本条所赋予的含义。</w:t>
      </w:r>
    </w:p>
    <w:p w14:paraId="34B68117">
      <w:pPr>
        <w:pStyle w:val="5"/>
        <w:rPr>
          <w:rFonts w:ascii="宋体" w:hAnsi="宋体"/>
          <w:snapToGrid w:val="0"/>
          <w:color w:val="auto"/>
          <w:kern w:val="0"/>
          <w:highlight w:val="none"/>
        </w:rPr>
      </w:pPr>
      <w:bookmarkStart w:id="511" w:name="_Toc335660846"/>
      <w:r>
        <w:rPr>
          <w:rFonts w:ascii="宋体" w:hAnsi="宋体"/>
          <w:snapToGrid w:val="0"/>
          <w:color w:val="auto"/>
          <w:kern w:val="0"/>
          <w:highlight w:val="none"/>
        </w:rPr>
        <w:t>1.1 本项目：指专用合同条款中指明进行的勘察、设计招标的项目。</w:t>
      </w:r>
      <w:bookmarkEnd w:id="511"/>
    </w:p>
    <w:p w14:paraId="38B4E634">
      <w:pPr>
        <w:pStyle w:val="5"/>
        <w:rPr>
          <w:rFonts w:ascii="宋体" w:hAnsi="宋体"/>
          <w:snapToGrid w:val="0"/>
          <w:color w:val="auto"/>
          <w:kern w:val="0"/>
          <w:highlight w:val="none"/>
        </w:rPr>
      </w:pPr>
      <w:bookmarkStart w:id="512" w:name="_Toc335660847"/>
      <w:r>
        <w:rPr>
          <w:rFonts w:ascii="宋体" w:hAnsi="宋体"/>
          <w:snapToGrid w:val="0"/>
          <w:color w:val="auto"/>
          <w:kern w:val="0"/>
          <w:highlight w:val="none"/>
        </w:rPr>
        <w:t>1.2 发包人：即合同协议书中的甲方，指专用合同条款中指明的执行建设项目投资计划的单位，或其指定的负责管理建设项目的代表机构，以及取得该当事人资格的合法继承人。本合同的发包人在合同专用条款中指明。</w:t>
      </w:r>
      <w:bookmarkEnd w:id="512"/>
    </w:p>
    <w:p w14:paraId="5148B0BC">
      <w:pPr>
        <w:pStyle w:val="5"/>
        <w:rPr>
          <w:rFonts w:ascii="宋体" w:hAnsi="宋体"/>
          <w:snapToGrid w:val="0"/>
          <w:color w:val="auto"/>
          <w:kern w:val="0"/>
          <w:highlight w:val="none"/>
        </w:rPr>
      </w:pPr>
      <w:bookmarkStart w:id="513" w:name="_Toc335660848"/>
      <w:r>
        <w:rPr>
          <w:rFonts w:ascii="宋体" w:hAnsi="宋体"/>
          <w:snapToGrid w:val="0"/>
          <w:color w:val="auto"/>
          <w:kern w:val="0"/>
          <w:highlight w:val="none"/>
        </w:rPr>
        <w:t>1.3 设计人：即合同协议书中的乙方，指其投标文件</w:t>
      </w:r>
      <w:r>
        <w:rPr>
          <w:rFonts w:hint="eastAsia" w:ascii="宋体" w:hAnsi="宋体"/>
          <w:snapToGrid w:val="0"/>
          <w:color w:val="auto"/>
          <w:kern w:val="0"/>
          <w:highlight w:val="none"/>
        </w:rPr>
        <w:t>已</w:t>
      </w:r>
      <w:r>
        <w:rPr>
          <w:rFonts w:ascii="宋体" w:hAnsi="宋体"/>
          <w:snapToGrid w:val="0"/>
          <w:color w:val="auto"/>
          <w:kern w:val="0"/>
          <w:highlight w:val="none"/>
        </w:rPr>
        <w:t>为发包人所接受，并与发包人签订了合同协议书承担本项目勘察、设计的勘察设计机构，以及取得该当事机构资格的合法继承人。若投标人为联合体，则设计人包括联合体所有成员单位。</w:t>
      </w:r>
      <w:bookmarkEnd w:id="513"/>
    </w:p>
    <w:p w14:paraId="54E0D15D">
      <w:pPr>
        <w:pStyle w:val="5"/>
        <w:rPr>
          <w:rFonts w:ascii="宋体" w:hAnsi="宋体"/>
          <w:snapToGrid w:val="0"/>
          <w:color w:val="auto"/>
          <w:kern w:val="0"/>
          <w:highlight w:val="none"/>
        </w:rPr>
      </w:pPr>
      <w:bookmarkStart w:id="514" w:name="_Toc335660849"/>
      <w:r>
        <w:rPr>
          <w:rFonts w:ascii="宋体" w:hAnsi="宋体"/>
          <w:snapToGrid w:val="0"/>
          <w:color w:val="auto"/>
          <w:kern w:val="0"/>
          <w:highlight w:val="none"/>
        </w:rPr>
        <w:t>1.4 分包人：指从设计人处分包合同中某一部分项目，并与其签订分包合同的单位。</w:t>
      </w:r>
      <w:bookmarkEnd w:id="514"/>
    </w:p>
    <w:p w14:paraId="1D572F1B">
      <w:pPr>
        <w:pStyle w:val="5"/>
        <w:rPr>
          <w:rFonts w:ascii="宋体" w:hAnsi="宋体"/>
          <w:snapToGrid w:val="0"/>
          <w:color w:val="auto"/>
          <w:kern w:val="0"/>
          <w:highlight w:val="none"/>
        </w:rPr>
      </w:pPr>
      <w:bookmarkStart w:id="515" w:name="_Toc335660850"/>
      <w:r>
        <w:rPr>
          <w:rFonts w:ascii="宋体" w:hAnsi="宋体"/>
          <w:snapToGrid w:val="0"/>
          <w:color w:val="auto"/>
          <w:kern w:val="0"/>
          <w:highlight w:val="none"/>
        </w:rPr>
        <w:t>1.5 咨询单位：指受发包人委托对本项目勘察报告或设计文件进行审查或提供咨询意见的咨询机构。</w:t>
      </w:r>
      <w:bookmarkEnd w:id="515"/>
    </w:p>
    <w:p w14:paraId="578FA271">
      <w:pPr>
        <w:pStyle w:val="5"/>
        <w:rPr>
          <w:rFonts w:ascii="宋体" w:hAnsi="宋体"/>
          <w:snapToGrid w:val="0"/>
          <w:color w:val="auto"/>
          <w:kern w:val="0"/>
          <w:highlight w:val="none"/>
        </w:rPr>
      </w:pPr>
      <w:bookmarkStart w:id="516" w:name="_Toc335660851"/>
      <w:r>
        <w:rPr>
          <w:rFonts w:ascii="宋体" w:hAnsi="宋体"/>
          <w:snapToGrid w:val="0"/>
          <w:color w:val="auto"/>
          <w:kern w:val="0"/>
          <w:highlight w:val="none"/>
        </w:rPr>
        <w:t>1.6 项目负责人：指由设计人书面委任的负责本项目勘察设计的组织管理者。</w:t>
      </w:r>
      <w:bookmarkEnd w:id="516"/>
    </w:p>
    <w:p w14:paraId="4892C654">
      <w:pPr>
        <w:pStyle w:val="5"/>
        <w:rPr>
          <w:rFonts w:ascii="宋体" w:hAnsi="宋体"/>
          <w:snapToGrid w:val="0"/>
          <w:color w:val="auto"/>
          <w:kern w:val="0"/>
          <w:highlight w:val="none"/>
        </w:rPr>
      </w:pPr>
      <w:bookmarkStart w:id="517" w:name="_Toc335660852"/>
      <w:r>
        <w:rPr>
          <w:rFonts w:ascii="宋体" w:hAnsi="宋体"/>
          <w:snapToGrid w:val="0"/>
          <w:color w:val="auto"/>
          <w:kern w:val="0"/>
          <w:highlight w:val="none"/>
        </w:rPr>
        <w:t>1.7 分项负责人：指由设计人批准的、并经发包人认可的各专业设计负责人。</w:t>
      </w:r>
      <w:bookmarkEnd w:id="517"/>
    </w:p>
    <w:p w14:paraId="5E3B03E2">
      <w:pPr>
        <w:pStyle w:val="5"/>
        <w:rPr>
          <w:rFonts w:ascii="宋体" w:hAnsi="宋体"/>
          <w:snapToGrid w:val="0"/>
          <w:color w:val="auto"/>
          <w:kern w:val="0"/>
          <w:highlight w:val="none"/>
        </w:rPr>
      </w:pPr>
      <w:bookmarkStart w:id="518" w:name="_Toc335660853"/>
      <w:r>
        <w:rPr>
          <w:rFonts w:ascii="宋体" w:hAnsi="宋体"/>
          <w:snapToGrid w:val="0"/>
          <w:color w:val="auto"/>
          <w:kern w:val="0"/>
          <w:highlight w:val="none"/>
        </w:rPr>
        <w:t>1.8 勘察设计合同：指合同协议书、中标通知书、投标函、专用合同条款、通用合同条款、勘察设计技术要求、勘察设计工作量及报价清单，以及构成合同组成部分的其他文件。</w:t>
      </w:r>
      <w:bookmarkEnd w:id="518"/>
    </w:p>
    <w:p w14:paraId="2DF26AF8">
      <w:pPr>
        <w:pStyle w:val="5"/>
        <w:rPr>
          <w:rFonts w:ascii="宋体" w:hAnsi="宋体"/>
          <w:snapToGrid w:val="0"/>
          <w:color w:val="auto"/>
          <w:kern w:val="0"/>
          <w:highlight w:val="none"/>
        </w:rPr>
      </w:pPr>
      <w:bookmarkStart w:id="519" w:name="_Toc335660854"/>
      <w:r>
        <w:rPr>
          <w:rFonts w:ascii="宋体" w:hAnsi="宋体"/>
          <w:snapToGrid w:val="0"/>
          <w:color w:val="auto"/>
          <w:kern w:val="0"/>
          <w:highlight w:val="none"/>
        </w:rPr>
        <w:t>1.9 勘察设计技术要求:是勘察设计工作的依据，指国家和交通运输部相关标准以及发包人有关勘察设计的其他书面要求。</w:t>
      </w:r>
      <w:bookmarkEnd w:id="519"/>
    </w:p>
    <w:p w14:paraId="61427A60">
      <w:pPr>
        <w:pStyle w:val="5"/>
        <w:rPr>
          <w:rFonts w:ascii="宋体" w:hAnsi="宋体"/>
          <w:snapToGrid w:val="0"/>
          <w:color w:val="auto"/>
          <w:kern w:val="0"/>
          <w:highlight w:val="none"/>
        </w:rPr>
      </w:pPr>
      <w:bookmarkStart w:id="520" w:name="_Toc335660855"/>
      <w:r>
        <w:rPr>
          <w:rFonts w:ascii="宋体" w:hAnsi="宋体"/>
          <w:snapToGrid w:val="0"/>
          <w:color w:val="auto"/>
          <w:kern w:val="0"/>
          <w:highlight w:val="none"/>
        </w:rPr>
        <w:t>1.10 勘察设计:指设计人按合同的规定进行的有关工程测量、岩土工程与工程地质勘察、工程设计、必要的科学研究试验等工作。本合同包括的具体勘察设计内容在专用合同条款中约定。</w:t>
      </w:r>
      <w:bookmarkEnd w:id="520"/>
    </w:p>
    <w:p w14:paraId="56200EF8">
      <w:pPr>
        <w:pStyle w:val="5"/>
        <w:rPr>
          <w:rFonts w:ascii="宋体" w:hAnsi="宋体"/>
          <w:snapToGrid w:val="0"/>
          <w:color w:val="auto"/>
          <w:kern w:val="0"/>
          <w:highlight w:val="none"/>
        </w:rPr>
      </w:pPr>
      <w:bookmarkStart w:id="521" w:name="_Toc335660856"/>
      <w:r>
        <w:rPr>
          <w:rFonts w:ascii="宋体" w:hAnsi="宋体"/>
          <w:snapToGrid w:val="0"/>
          <w:color w:val="auto"/>
          <w:kern w:val="0"/>
          <w:highlight w:val="none"/>
        </w:rPr>
        <w:t>1.11 勘察报告：指设计人按国家和交通运输部相关标准提交的勘察成果。本合同包括的具体勘察报告内容在专用合同条款中约定。</w:t>
      </w:r>
      <w:bookmarkEnd w:id="521"/>
    </w:p>
    <w:p w14:paraId="1A9D4493">
      <w:pPr>
        <w:pStyle w:val="5"/>
        <w:rPr>
          <w:rFonts w:ascii="宋体" w:hAnsi="宋体"/>
          <w:snapToGrid w:val="0"/>
          <w:color w:val="auto"/>
          <w:kern w:val="0"/>
          <w:highlight w:val="none"/>
        </w:rPr>
      </w:pPr>
      <w:bookmarkStart w:id="522" w:name="_Toc335660857"/>
      <w:r>
        <w:rPr>
          <w:rFonts w:ascii="宋体" w:hAnsi="宋体"/>
          <w:snapToGrid w:val="0"/>
          <w:color w:val="auto"/>
          <w:kern w:val="0"/>
          <w:highlight w:val="none"/>
        </w:rPr>
        <w:t>1.12 设计文件:指设计人按国家和交通运输部相关标准提交的设计成果，本合同包括的具体设计文件在专用合同条款中约定。</w:t>
      </w:r>
      <w:bookmarkEnd w:id="522"/>
    </w:p>
    <w:p w14:paraId="3EA82B94">
      <w:pPr>
        <w:pStyle w:val="5"/>
        <w:rPr>
          <w:rFonts w:ascii="宋体" w:hAnsi="宋体"/>
          <w:snapToGrid w:val="0"/>
          <w:color w:val="auto"/>
          <w:kern w:val="0"/>
          <w:highlight w:val="none"/>
        </w:rPr>
      </w:pPr>
      <w:bookmarkStart w:id="523" w:name="_Toc335660858"/>
      <w:r>
        <w:rPr>
          <w:rFonts w:ascii="宋体" w:hAnsi="宋体"/>
          <w:snapToGrid w:val="0"/>
          <w:color w:val="auto"/>
          <w:kern w:val="0"/>
          <w:highlight w:val="none"/>
        </w:rPr>
        <w:t>1.13 合同价格：指设计人按合同约定完成所要求的勘察、设计工作，发包人应付给设计人报酬的金额。</w:t>
      </w:r>
      <w:bookmarkEnd w:id="523"/>
    </w:p>
    <w:p w14:paraId="08086101">
      <w:pPr>
        <w:pStyle w:val="5"/>
        <w:rPr>
          <w:rFonts w:ascii="宋体" w:hAnsi="宋体"/>
          <w:snapToGrid w:val="0"/>
          <w:color w:val="auto"/>
          <w:kern w:val="0"/>
          <w:highlight w:val="none"/>
        </w:rPr>
      </w:pPr>
      <w:bookmarkStart w:id="524" w:name="_Toc335660859"/>
      <w:r>
        <w:rPr>
          <w:rFonts w:ascii="宋体" w:hAnsi="宋体"/>
          <w:snapToGrid w:val="0"/>
          <w:color w:val="auto"/>
          <w:kern w:val="0"/>
          <w:highlight w:val="none"/>
        </w:rPr>
        <w:t>1.14 暂列金额：指暂时未定的，包含在合同中，并在报价中以此名称表明的金额，用于进行本项目可能发生的额外勘察设计工作或作为不可预见费用。</w:t>
      </w:r>
      <w:bookmarkEnd w:id="524"/>
    </w:p>
    <w:p w14:paraId="112E6797">
      <w:pPr>
        <w:pStyle w:val="5"/>
        <w:rPr>
          <w:rFonts w:ascii="宋体" w:hAnsi="宋体"/>
          <w:snapToGrid w:val="0"/>
          <w:color w:val="auto"/>
          <w:kern w:val="0"/>
          <w:highlight w:val="none"/>
        </w:rPr>
      </w:pPr>
      <w:bookmarkStart w:id="525" w:name="_Toc335660860"/>
      <w:r>
        <w:rPr>
          <w:rFonts w:ascii="宋体" w:hAnsi="宋体"/>
          <w:snapToGrid w:val="0"/>
          <w:color w:val="auto"/>
          <w:kern w:val="0"/>
          <w:highlight w:val="none"/>
        </w:rPr>
        <w:t>1.15 勘察设计质量事故：指由于设计人的责任过失使工程在施工过程中和设计使用年限内遭受损毁或产生不可弥补的本质缺陷，而需要对工程或设施、设备进行更新、补强、返工修复的事故。</w:t>
      </w:r>
      <w:bookmarkEnd w:id="525"/>
    </w:p>
    <w:p w14:paraId="6A013564">
      <w:pPr>
        <w:pStyle w:val="5"/>
        <w:rPr>
          <w:rFonts w:ascii="宋体" w:hAnsi="宋体"/>
          <w:snapToGrid w:val="0"/>
          <w:color w:val="auto"/>
          <w:kern w:val="0"/>
          <w:highlight w:val="none"/>
        </w:rPr>
      </w:pPr>
      <w:bookmarkStart w:id="526" w:name="_Toc335660861"/>
      <w:r>
        <w:rPr>
          <w:rFonts w:ascii="宋体" w:hAnsi="宋体"/>
          <w:snapToGrid w:val="0"/>
          <w:color w:val="auto"/>
          <w:kern w:val="0"/>
          <w:highlight w:val="none"/>
        </w:rPr>
        <w:t>1.1</w:t>
      </w:r>
      <w:r>
        <w:rPr>
          <w:rFonts w:hint="eastAsia" w:ascii="宋体" w:hAnsi="宋体"/>
          <w:snapToGrid w:val="0"/>
          <w:color w:val="auto"/>
          <w:kern w:val="0"/>
          <w:highlight w:val="none"/>
        </w:rPr>
        <w:t>6</w:t>
      </w:r>
      <w:r>
        <w:rPr>
          <w:rFonts w:ascii="宋体" w:hAnsi="宋体"/>
          <w:snapToGrid w:val="0"/>
          <w:color w:val="auto"/>
          <w:kern w:val="0"/>
          <w:highlight w:val="none"/>
        </w:rPr>
        <w:t xml:space="preserve"> 不可抗力：指发包人与设计人不能预见、或不能采取措施避免并不能克服的自然灾害或社会政治因素等。</w:t>
      </w:r>
      <w:bookmarkEnd w:id="526"/>
    </w:p>
    <w:p w14:paraId="304B76CA">
      <w:pPr>
        <w:pStyle w:val="5"/>
        <w:rPr>
          <w:rFonts w:ascii="宋体" w:hAnsi="宋体"/>
          <w:snapToGrid w:val="0"/>
          <w:color w:val="auto"/>
          <w:kern w:val="0"/>
          <w:highlight w:val="none"/>
        </w:rPr>
      </w:pPr>
      <w:bookmarkStart w:id="527" w:name="_Toc335660862"/>
      <w:r>
        <w:rPr>
          <w:rFonts w:ascii="宋体" w:hAnsi="宋体"/>
          <w:snapToGrid w:val="0"/>
          <w:color w:val="auto"/>
          <w:kern w:val="0"/>
          <w:highlight w:val="none"/>
        </w:rPr>
        <w:t>1.1</w:t>
      </w:r>
      <w:r>
        <w:rPr>
          <w:rFonts w:hint="eastAsia" w:ascii="宋体" w:hAnsi="宋体"/>
          <w:snapToGrid w:val="0"/>
          <w:color w:val="auto"/>
          <w:kern w:val="0"/>
          <w:highlight w:val="none"/>
        </w:rPr>
        <w:t>7</w:t>
      </w:r>
      <w:r>
        <w:rPr>
          <w:rFonts w:ascii="宋体" w:hAnsi="宋体"/>
          <w:snapToGrid w:val="0"/>
          <w:color w:val="auto"/>
          <w:kern w:val="0"/>
          <w:highlight w:val="none"/>
        </w:rPr>
        <w:t xml:space="preserve"> 天</w:t>
      </w:r>
      <w:r>
        <w:rPr>
          <w:rFonts w:hint="eastAsia" w:ascii="宋体" w:hAnsi="宋体"/>
          <w:snapToGrid w:val="0"/>
          <w:color w:val="auto"/>
          <w:kern w:val="0"/>
          <w:highlight w:val="none"/>
        </w:rPr>
        <w:t>或日</w:t>
      </w:r>
      <w:r>
        <w:rPr>
          <w:rFonts w:ascii="宋体" w:hAnsi="宋体"/>
          <w:snapToGrid w:val="0"/>
          <w:color w:val="auto"/>
          <w:kern w:val="0"/>
          <w:highlight w:val="none"/>
        </w:rPr>
        <w:t>：除特别指明外，指日历天。</w:t>
      </w:r>
      <w:bookmarkEnd w:id="527"/>
    </w:p>
    <w:p w14:paraId="720A7F0C">
      <w:pPr>
        <w:pStyle w:val="92"/>
        <w:outlineLvl w:val="0"/>
        <w:rPr>
          <w:rFonts w:ascii="宋体" w:hAnsi="宋体" w:eastAsia="宋体"/>
          <w:b/>
          <w:snapToGrid w:val="0"/>
          <w:color w:val="auto"/>
          <w:kern w:val="0"/>
          <w:highlight w:val="none"/>
        </w:rPr>
      </w:pPr>
      <w:bookmarkStart w:id="528" w:name="_Toc326241902"/>
      <w:bookmarkStart w:id="529" w:name="_Toc346269489"/>
      <w:bookmarkStart w:id="530" w:name="_Toc335660863"/>
      <w:bookmarkStart w:id="531" w:name="_Toc487654513"/>
      <w:bookmarkStart w:id="532" w:name="_Toc487619186"/>
      <w:bookmarkStart w:id="533" w:name="_Toc335721987"/>
      <w:bookmarkStart w:id="534" w:name="_Toc488649913"/>
      <w:bookmarkStart w:id="535" w:name="_Toc487114208"/>
      <w:r>
        <w:rPr>
          <w:rFonts w:ascii="宋体" w:hAnsi="宋体" w:eastAsia="宋体"/>
          <w:b/>
          <w:snapToGrid w:val="0"/>
          <w:color w:val="auto"/>
          <w:kern w:val="0"/>
          <w:highlight w:val="none"/>
        </w:rPr>
        <w:t>2. 发包人的责任</w:t>
      </w:r>
      <w:bookmarkEnd w:id="528"/>
      <w:r>
        <w:rPr>
          <w:rFonts w:hint="eastAsia" w:ascii="宋体" w:hAnsi="宋体" w:eastAsia="宋体"/>
          <w:b/>
          <w:snapToGrid w:val="0"/>
          <w:color w:val="auto"/>
          <w:kern w:val="0"/>
          <w:highlight w:val="none"/>
        </w:rPr>
        <w:t>与义务</w:t>
      </w:r>
      <w:bookmarkEnd w:id="529"/>
      <w:bookmarkEnd w:id="530"/>
      <w:bookmarkEnd w:id="531"/>
      <w:bookmarkEnd w:id="532"/>
      <w:bookmarkEnd w:id="533"/>
      <w:bookmarkEnd w:id="534"/>
      <w:bookmarkEnd w:id="535"/>
    </w:p>
    <w:p w14:paraId="67096FCA">
      <w:pPr>
        <w:pStyle w:val="5"/>
        <w:rPr>
          <w:rFonts w:ascii="宋体" w:hAnsi="宋体"/>
          <w:snapToGrid w:val="0"/>
          <w:color w:val="auto"/>
          <w:kern w:val="0"/>
          <w:highlight w:val="none"/>
        </w:rPr>
      </w:pPr>
      <w:bookmarkStart w:id="536" w:name="_Toc335660864"/>
      <w:r>
        <w:rPr>
          <w:rFonts w:ascii="宋体" w:hAnsi="宋体"/>
          <w:snapToGrid w:val="0"/>
          <w:color w:val="auto"/>
          <w:kern w:val="0"/>
          <w:highlight w:val="none"/>
        </w:rPr>
        <w:t>2.1 发包人应根据本项目的具体情况和技术要求，确定合理的勘察设计工作量及合理的勘察设计周期，并按本合同有关规定及时支付勘察设计费。</w:t>
      </w:r>
      <w:bookmarkEnd w:id="536"/>
      <w:r>
        <w:rPr>
          <w:rFonts w:ascii="宋体" w:hAnsi="宋体"/>
          <w:snapToGrid w:val="0"/>
          <w:color w:val="auto"/>
          <w:kern w:val="0"/>
          <w:highlight w:val="none"/>
        </w:rPr>
        <w:t>发包人不应随意压缩合同规定的勘察设计周期。</w:t>
      </w:r>
    </w:p>
    <w:p w14:paraId="57A92165">
      <w:pPr>
        <w:pStyle w:val="5"/>
        <w:rPr>
          <w:rFonts w:ascii="宋体" w:hAnsi="宋体"/>
          <w:snapToGrid w:val="0"/>
          <w:color w:val="auto"/>
          <w:kern w:val="0"/>
          <w:highlight w:val="none"/>
        </w:rPr>
      </w:pPr>
      <w:bookmarkStart w:id="537" w:name="_Toc335660865"/>
      <w:r>
        <w:rPr>
          <w:rFonts w:ascii="宋体" w:hAnsi="宋体"/>
          <w:snapToGrid w:val="0"/>
          <w:color w:val="auto"/>
          <w:kern w:val="0"/>
          <w:highlight w:val="none"/>
        </w:rPr>
        <w:t>2.2 发包人应向设计人提供开展勘察设计工作所需要的国家有关部门审查批复文件</w:t>
      </w:r>
      <w:r>
        <w:rPr>
          <w:rFonts w:hint="eastAsia" w:ascii="宋体" w:hAnsi="宋体"/>
          <w:snapToGrid w:val="0"/>
          <w:color w:val="auto"/>
          <w:kern w:val="0"/>
          <w:highlight w:val="none"/>
        </w:rPr>
        <w:t>和</w:t>
      </w:r>
      <w:r>
        <w:rPr>
          <w:rFonts w:ascii="宋体" w:hAnsi="宋体"/>
          <w:snapToGrid w:val="0"/>
          <w:color w:val="auto"/>
          <w:kern w:val="0"/>
          <w:highlight w:val="none"/>
        </w:rPr>
        <w:t>基础资料等，并对其有效性、可靠性负责。</w:t>
      </w:r>
      <w:bookmarkEnd w:id="537"/>
    </w:p>
    <w:p w14:paraId="36F59750">
      <w:pPr>
        <w:pStyle w:val="5"/>
        <w:rPr>
          <w:rFonts w:ascii="宋体" w:hAnsi="宋体"/>
          <w:snapToGrid w:val="0"/>
          <w:color w:val="auto"/>
          <w:kern w:val="0"/>
          <w:highlight w:val="none"/>
        </w:rPr>
      </w:pPr>
      <w:bookmarkStart w:id="538" w:name="_Toc335660866"/>
      <w:r>
        <w:rPr>
          <w:rFonts w:ascii="宋体" w:hAnsi="宋体"/>
          <w:snapToGrid w:val="0"/>
          <w:color w:val="auto"/>
          <w:kern w:val="0"/>
          <w:highlight w:val="none"/>
        </w:rPr>
        <w:t>2.3</w:t>
      </w:r>
      <w:r>
        <w:rPr>
          <w:rFonts w:hint="eastAsia" w:ascii="宋体" w:hAnsi="宋体"/>
          <w:snapToGrid w:val="0"/>
          <w:color w:val="auto"/>
          <w:kern w:val="0"/>
          <w:highlight w:val="none"/>
        </w:rPr>
        <w:t xml:space="preserve"> </w:t>
      </w:r>
      <w:r>
        <w:rPr>
          <w:rFonts w:ascii="宋体" w:hAnsi="宋体"/>
          <w:snapToGrid w:val="0"/>
          <w:color w:val="auto"/>
          <w:kern w:val="0"/>
          <w:highlight w:val="none"/>
        </w:rPr>
        <w:t>发包人应为勘察设计工作的开展提供必要条件，负责与政府部门</w:t>
      </w:r>
      <w:r>
        <w:rPr>
          <w:rFonts w:hint="eastAsia" w:ascii="宋体" w:hAnsi="宋体"/>
          <w:snapToGrid w:val="0"/>
          <w:color w:val="auto"/>
          <w:kern w:val="0"/>
          <w:highlight w:val="none"/>
        </w:rPr>
        <w:t>的</w:t>
      </w:r>
      <w:r>
        <w:rPr>
          <w:rFonts w:ascii="宋体" w:hAnsi="宋体"/>
          <w:snapToGrid w:val="0"/>
          <w:color w:val="auto"/>
          <w:kern w:val="0"/>
          <w:highlight w:val="none"/>
        </w:rPr>
        <w:t>协调工作。</w:t>
      </w:r>
      <w:bookmarkEnd w:id="538"/>
    </w:p>
    <w:p w14:paraId="2C43DB77">
      <w:pPr>
        <w:pStyle w:val="5"/>
        <w:rPr>
          <w:rFonts w:ascii="宋体" w:hAnsi="宋体"/>
          <w:snapToGrid w:val="0"/>
          <w:color w:val="auto"/>
          <w:kern w:val="0"/>
          <w:highlight w:val="none"/>
        </w:rPr>
      </w:pPr>
      <w:bookmarkStart w:id="539" w:name="_Toc335660867"/>
      <w:r>
        <w:rPr>
          <w:rFonts w:ascii="宋体" w:hAnsi="宋体"/>
          <w:snapToGrid w:val="0"/>
          <w:color w:val="auto"/>
          <w:kern w:val="0"/>
          <w:highlight w:val="none"/>
        </w:rPr>
        <w:t>2.4 发包人负责组织专家或委托咨询单位对勘察成果、设计文件和为了满足勘察设计需要而进行的各种研究试验成果进行审查，并负责设计文件的报审工作。</w:t>
      </w:r>
      <w:bookmarkEnd w:id="539"/>
    </w:p>
    <w:p w14:paraId="55E2A678">
      <w:pPr>
        <w:pStyle w:val="5"/>
        <w:rPr>
          <w:rFonts w:ascii="宋体" w:hAnsi="宋体"/>
          <w:snapToGrid w:val="0"/>
          <w:color w:val="auto"/>
          <w:kern w:val="0"/>
          <w:highlight w:val="none"/>
        </w:rPr>
      </w:pPr>
      <w:bookmarkStart w:id="540" w:name="_Toc335660868"/>
      <w:r>
        <w:rPr>
          <w:rFonts w:ascii="宋体" w:hAnsi="宋体"/>
          <w:snapToGrid w:val="0"/>
          <w:color w:val="auto"/>
          <w:kern w:val="0"/>
          <w:highlight w:val="none"/>
        </w:rPr>
        <w:t>2.5 除合同另有规定外，发包人应保护设计人的投标函、勘察方案、设计方案、计算软件和专利技术。未经设计人同意，发包人对设计人交付的勘察设计资料及文件不得擅自修改、复制或向第三人转让或用于本合同以外的项目。</w:t>
      </w:r>
      <w:bookmarkEnd w:id="540"/>
    </w:p>
    <w:p w14:paraId="04B45C63">
      <w:pPr>
        <w:pStyle w:val="5"/>
        <w:rPr>
          <w:rFonts w:ascii="宋体" w:hAnsi="宋体"/>
          <w:snapToGrid w:val="0"/>
          <w:color w:val="auto"/>
          <w:kern w:val="0"/>
          <w:highlight w:val="none"/>
        </w:rPr>
      </w:pPr>
      <w:bookmarkStart w:id="541" w:name="_Toc335660869"/>
      <w:r>
        <w:rPr>
          <w:rFonts w:ascii="宋体" w:hAnsi="宋体"/>
          <w:snapToGrid w:val="0"/>
          <w:color w:val="auto"/>
          <w:kern w:val="0"/>
          <w:highlight w:val="none"/>
        </w:rPr>
        <w:t>2.6 发包人不应对设计人提出不符合国家有关法律、法规和工程建设强制性标准的</w:t>
      </w:r>
      <w:r>
        <w:rPr>
          <w:rFonts w:hint="eastAsia" w:ascii="宋体" w:hAnsi="宋体"/>
          <w:snapToGrid w:val="0"/>
          <w:color w:val="auto"/>
          <w:kern w:val="0"/>
          <w:highlight w:val="none"/>
        </w:rPr>
        <w:t>有关</w:t>
      </w:r>
      <w:r>
        <w:rPr>
          <w:rFonts w:ascii="宋体" w:hAnsi="宋体"/>
          <w:snapToGrid w:val="0"/>
          <w:color w:val="auto"/>
          <w:kern w:val="0"/>
          <w:highlight w:val="none"/>
        </w:rPr>
        <w:t>要求。</w:t>
      </w:r>
    </w:p>
    <w:bookmarkEnd w:id="541"/>
    <w:p w14:paraId="601B60D0">
      <w:pPr>
        <w:pStyle w:val="5"/>
        <w:rPr>
          <w:rFonts w:ascii="宋体" w:hAnsi="宋体"/>
          <w:snapToGrid w:val="0"/>
          <w:color w:val="auto"/>
          <w:kern w:val="0"/>
          <w:highlight w:val="none"/>
        </w:rPr>
      </w:pPr>
      <w:bookmarkStart w:id="542" w:name="_Toc335660870"/>
      <w:r>
        <w:rPr>
          <w:rFonts w:ascii="宋体" w:hAnsi="宋体"/>
          <w:snapToGrid w:val="0"/>
          <w:color w:val="auto"/>
          <w:kern w:val="0"/>
          <w:highlight w:val="none"/>
        </w:rPr>
        <w:t>2.7 由于发包人原因造成本项目出现重大变更导致设计人返工时，发包人应按有关合同条款调整合同价格。</w:t>
      </w:r>
      <w:bookmarkEnd w:id="542"/>
    </w:p>
    <w:p w14:paraId="69BECF72">
      <w:pPr>
        <w:pStyle w:val="5"/>
        <w:rPr>
          <w:rFonts w:ascii="宋体" w:hAnsi="宋体"/>
          <w:snapToGrid w:val="0"/>
          <w:color w:val="auto"/>
          <w:kern w:val="0"/>
          <w:highlight w:val="none"/>
        </w:rPr>
      </w:pPr>
      <w:bookmarkStart w:id="543" w:name="_Toc335660871"/>
      <w:r>
        <w:rPr>
          <w:rFonts w:ascii="宋体" w:hAnsi="宋体"/>
          <w:snapToGrid w:val="0"/>
          <w:color w:val="auto"/>
          <w:kern w:val="0"/>
          <w:highlight w:val="none"/>
        </w:rPr>
        <w:t>2.8 发包人应履行专用合同条款约定的其他责任</w:t>
      </w:r>
      <w:bookmarkEnd w:id="543"/>
      <w:r>
        <w:rPr>
          <w:rFonts w:hint="eastAsia" w:ascii="宋体" w:hAnsi="宋体"/>
          <w:snapToGrid w:val="0"/>
          <w:color w:val="auto"/>
          <w:kern w:val="0"/>
          <w:highlight w:val="none"/>
        </w:rPr>
        <w:t>。</w:t>
      </w:r>
    </w:p>
    <w:p w14:paraId="7BE12FB0">
      <w:pPr>
        <w:pStyle w:val="92"/>
        <w:outlineLvl w:val="0"/>
        <w:rPr>
          <w:rFonts w:ascii="宋体" w:hAnsi="宋体" w:eastAsia="宋体"/>
          <w:b/>
          <w:snapToGrid w:val="0"/>
          <w:color w:val="auto"/>
          <w:kern w:val="0"/>
          <w:highlight w:val="none"/>
        </w:rPr>
      </w:pPr>
      <w:bookmarkStart w:id="544" w:name="_Toc326241903"/>
      <w:bookmarkStart w:id="545" w:name="_Toc335660872"/>
      <w:bookmarkStart w:id="546" w:name="_Toc487619187"/>
      <w:bookmarkStart w:id="547" w:name="_Toc346269490"/>
      <w:bookmarkStart w:id="548" w:name="_Toc488649914"/>
      <w:bookmarkStart w:id="549" w:name="_Toc335721988"/>
      <w:bookmarkStart w:id="550" w:name="_Toc487654514"/>
      <w:bookmarkStart w:id="551" w:name="_Toc487114209"/>
      <w:r>
        <w:rPr>
          <w:rFonts w:ascii="宋体" w:hAnsi="宋体" w:eastAsia="宋体"/>
          <w:b/>
          <w:snapToGrid w:val="0"/>
          <w:color w:val="auto"/>
          <w:kern w:val="0"/>
          <w:highlight w:val="none"/>
        </w:rPr>
        <w:t>3. 设计人的责任</w:t>
      </w:r>
      <w:bookmarkEnd w:id="544"/>
      <w:r>
        <w:rPr>
          <w:rFonts w:hint="eastAsia" w:ascii="宋体" w:hAnsi="宋体" w:eastAsia="宋体"/>
          <w:b/>
          <w:snapToGrid w:val="0"/>
          <w:color w:val="auto"/>
          <w:kern w:val="0"/>
          <w:highlight w:val="none"/>
        </w:rPr>
        <w:t>与义务</w:t>
      </w:r>
      <w:bookmarkEnd w:id="545"/>
      <w:bookmarkEnd w:id="546"/>
      <w:bookmarkEnd w:id="547"/>
      <w:bookmarkEnd w:id="548"/>
      <w:bookmarkEnd w:id="549"/>
      <w:bookmarkEnd w:id="550"/>
      <w:bookmarkEnd w:id="551"/>
    </w:p>
    <w:p w14:paraId="72B1656B">
      <w:pPr>
        <w:pStyle w:val="5"/>
        <w:rPr>
          <w:rFonts w:ascii="宋体" w:hAnsi="宋体"/>
          <w:snapToGrid w:val="0"/>
          <w:color w:val="auto"/>
          <w:kern w:val="0"/>
          <w:highlight w:val="none"/>
        </w:rPr>
      </w:pPr>
      <w:bookmarkStart w:id="552" w:name="_Toc335660873"/>
      <w:r>
        <w:rPr>
          <w:rFonts w:ascii="宋体" w:hAnsi="宋体"/>
          <w:snapToGrid w:val="0"/>
          <w:color w:val="auto"/>
          <w:kern w:val="0"/>
          <w:highlight w:val="none"/>
        </w:rPr>
        <w:t>3.1 设计人应根据本项目的具体情况，按国家和交通运输部相关标准</w:t>
      </w:r>
      <w:r>
        <w:rPr>
          <w:rFonts w:hint="eastAsia" w:ascii="宋体" w:hAnsi="宋体"/>
          <w:snapToGrid w:val="0"/>
          <w:color w:val="auto"/>
          <w:kern w:val="0"/>
          <w:highlight w:val="none"/>
        </w:rPr>
        <w:t>的有关要求</w:t>
      </w:r>
      <w:r>
        <w:rPr>
          <w:rFonts w:ascii="宋体" w:hAnsi="宋体"/>
          <w:snapToGrid w:val="0"/>
          <w:color w:val="auto"/>
          <w:kern w:val="0"/>
          <w:highlight w:val="none"/>
        </w:rPr>
        <w:t>完成本项目的勘察设计工作。</w:t>
      </w:r>
      <w:bookmarkEnd w:id="552"/>
    </w:p>
    <w:p w14:paraId="24CF2621">
      <w:pPr>
        <w:pStyle w:val="5"/>
        <w:rPr>
          <w:rFonts w:ascii="宋体" w:hAnsi="宋体"/>
          <w:snapToGrid w:val="0"/>
          <w:color w:val="auto"/>
          <w:kern w:val="0"/>
          <w:highlight w:val="none"/>
        </w:rPr>
      </w:pPr>
      <w:bookmarkStart w:id="553" w:name="_Toc335660874"/>
      <w:r>
        <w:rPr>
          <w:rFonts w:ascii="宋体" w:hAnsi="宋体"/>
          <w:snapToGrid w:val="0"/>
          <w:color w:val="auto"/>
          <w:kern w:val="0"/>
          <w:highlight w:val="none"/>
        </w:rPr>
        <w:t>3.2 设计人应做好勘察设计的质量管理工作，建立健全勘察设计质量保证体系，加强勘察设计全过程的质量控制，建立完整的勘察设计文件的设计、复核、审核、会签和批准制度，明确各阶段的责任人，并对本项目的勘察设计质量负责。</w:t>
      </w:r>
      <w:bookmarkEnd w:id="553"/>
    </w:p>
    <w:p w14:paraId="1B0A6694">
      <w:pPr>
        <w:pStyle w:val="5"/>
        <w:rPr>
          <w:rFonts w:ascii="宋体" w:hAnsi="宋体"/>
          <w:snapToGrid w:val="0"/>
          <w:color w:val="auto"/>
          <w:kern w:val="0"/>
          <w:highlight w:val="none"/>
        </w:rPr>
      </w:pPr>
      <w:bookmarkStart w:id="554" w:name="_Toc335660875"/>
      <w:r>
        <w:rPr>
          <w:rFonts w:ascii="宋体" w:hAnsi="宋体"/>
          <w:snapToGrid w:val="0"/>
          <w:color w:val="auto"/>
          <w:kern w:val="0"/>
          <w:highlight w:val="none"/>
        </w:rPr>
        <w:t>3.3 设计人在进行勘察设计时，应采取相应的安全、保卫和环境保护措施，</w:t>
      </w:r>
      <w:r>
        <w:rPr>
          <w:rFonts w:hint="eastAsia" w:ascii="宋体" w:hAnsi="宋体"/>
          <w:snapToGrid w:val="0"/>
          <w:color w:val="auto"/>
          <w:kern w:val="0"/>
          <w:highlight w:val="none"/>
        </w:rPr>
        <w:t>因</w:t>
      </w:r>
      <w:r>
        <w:rPr>
          <w:rFonts w:ascii="宋体" w:hAnsi="宋体"/>
          <w:snapToGrid w:val="0"/>
          <w:color w:val="auto"/>
          <w:kern w:val="0"/>
          <w:highlight w:val="none"/>
        </w:rPr>
        <w:t>设计人未能采取有效措施而发生的与勘察设计活动有关的人身伤亡、罚款、索赔、损失赔偿、诉讼费用及其他一切责任应由设计人负责。</w:t>
      </w:r>
      <w:bookmarkEnd w:id="554"/>
    </w:p>
    <w:p w14:paraId="44D48C28">
      <w:pPr>
        <w:pStyle w:val="5"/>
        <w:rPr>
          <w:rFonts w:ascii="宋体" w:hAnsi="宋体"/>
          <w:snapToGrid w:val="0"/>
          <w:color w:val="auto"/>
          <w:kern w:val="0"/>
          <w:highlight w:val="none"/>
        </w:rPr>
      </w:pPr>
      <w:bookmarkStart w:id="555" w:name="_Toc335660876"/>
      <w:r>
        <w:rPr>
          <w:rFonts w:ascii="宋体" w:hAnsi="宋体"/>
          <w:snapToGrid w:val="0"/>
          <w:color w:val="auto"/>
          <w:kern w:val="0"/>
          <w:highlight w:val="none"/>
        </w:rPr>
        <w:t>3.4</w:t>
      </w:r>
      <w:r>
        <w:rPr>
          <w:rFonts w:hint="eastAsia" w:ascii="宋体" w:hAnsi="宋体"/>
          <w:snapToGrid w:val="0"/>
          <w:color w:val="auto"/>
          <w:kern w:val="0"/>
          <w:highlight w:val="none"/>
        </w:rPr>
        <w:t xml:space="preserve"> </w:t>
      </w:r>
      <w:r>
        <w:rPr>
          <w:rFonts w:ascii="宋体" w:hAnsi="宋体"/>
          <w:snapToGrid w:val="0"/>
          <w:color w:val="auto"/>
          <w:kern w:val="0"/>
          <w:highlight w:val="none"/>
        </w:rPr>
        <w:t>设计人在勘察设计过程中，提供的设计文件不应侵犯任何第三方的专利权、版权、及其他知识产权，否则由此而引起索赔或诉讼，设计人应承担全部责任，并保障发包人免于承担由此造成的一切损害和损失。</w:t>
      </w:r>
      <w:bookmarkEnd w:id="555"/>
    </w:p>
    <w:p w14:paraId="76793246">
      <w:pPr>
        <w:pStyle w:val="5"/>
        <w:rPr>
          <w:rFonts w:ascii="宋体" w:hAnsi="宋体"/>
          <w:snapToGrid w:val="0"/>
          <w:color w:val="auto"/>
          <w:kern w:val="0"/>
          <w:highlight w:val="none"/>
        </w:rPr>
      </w:pPr>
      <w:bookmarkStart w:id="556" w:name="_Toc335660877"/>
      <w:r>
        <w:rPr>
          <w:rFonts w:ascii="宋体" w:hAnsi="宋体"/>
          <w:snapToGrid w:val="0"/>
          <w:color w:val="auto"/>
          <w:kern w:val="0"/>
          <w:highlight w:val="none"/>
        </w:rPr>
        <w:t>3.5 设计人提交的设计文件必须接受发包人委托的咨询审查单位及发包人上级主管部门的审查，并按照审查意见修改完善。</w:t>
      </w:r>
      <w:bookmarkEnd w:id="556"/>
    </w:p>
    <w:p w14:paraId="0E5F634F">
      <w:pPr>
        <w:pStyle w:val="5"/>
        <w:rPr>
          <w:rFonts w:ascii="宋体" w:hAnsi="宋体"/>
          <w:snapToGrid w:val="0"/>
          <w:color w:val="auto"/>
          <w:kern w:val="0"/>
          <w:highlight w:val="none"/>
        </w:rPr>
      </w:pPr>
      <w:bookmarkStart w:id="557" w:name="_Toc335660878"/>
      <w:r>
        <w:rPr>
          <w:rFonts w:ascii="宋体" w:hAnsi="宋体"/>
          <w:snapToGrid w:val="0"/>
          <w:color w:val="auto"/>
          <w:kern w:val="0"/>
          <w:highlight w:val="none"/>
        </w:rPr>
        <w:t>3.6 设计人应派驻经验丰富的设计代表做好施工现场服务</w:t>
      </w:r>
      <w:r>
        <w:rPr>
          <w:rFonts w:hint="eastAsia" w:ascii="宋体" w:hAnsi="宋体"/>
          <w:snapToGrid w:val="0"/>
          <w:color w:val="auto"/>
          <w:kern w:val="0"/>
          <w:highlight w:val="none"/>
        </w:rPr>
        <w:t>，</w:t>
      </w:r>
      <w:r>
        <w:rPr>
          <w:rFonts w:ascii="宋体" w:hAnsi="宋体"/>
          <w:snapToGrid w:val="0"/>
          <w:color w:val="auto"/>
          <w:kern w:val="0"/>
          <w:highlight w:val="none"/>
        </w:rPr>
        <w:t>并负责解决施工过程中出现的设计问题。</w:t>
      </w:r>
      <w:bookmarkEnd w:id="557"/>
    </w:p>
    <w:p w14:paraId="6A65A5E6">
      <w:pPr>
        <w:pStyle w:val="5"/>
        <w:rPr>
          <w:rFonts w:ascii="宋体" w:hAnsi="宋体"/>
          <w:snapToGrid w:val="0"/>
          <w:color w:val="auto"/>
          <w:kern w:val="0"/>
          <w:highlight w:val="none"/>
        </w:rPr>
      </w:pPr>
      <w:bookmarkStart w:id="558" w:name="_Toc335660879"/>
      <w:r>
        <w:rPr>
          <w:rFonts w:ascii="宋体" w:hAnsi="宋体"/>
          <w:snapToGrid w:val="0"/>
          <w:color w:val="auto"/>
          <w:kern w:val="0"/>
          <w:highlight w:val="none"/>
        </w:rPr>
        <w:t>3.7</w:t>
      </w:r>
      <w:r>
        <w:rPr>
          <w:rFonts w:hint="eastAsia" w:ascii="宋体" w:hAnsi="宋体"/>
          <w:snapToGrid w:val="0"/>
          <w:color w:val="auto"/>
          <w:kern w:val="0"/>
          <w:highlight w:val="none"/>
        </w:rPr>
        <w:t xml:space="preserve"> </w:t>
      </w:r>
      <w:r>
        <w:rPr>
          <w:rFonts w:ascii="宋体" w:hAnsi="宋体"/>
          <w:snapToGrid w:val="0"/>
          <w:color w:val="auto"/>
          <w:kern w:val="0"/>
          <w:highlight w:val="none"/>
        </w:rPr>
        <w:t>设计人不得将本合同规定的勘察设计任务转包</w:t>
      </w:r>
      <w:r>
        <w:rPr>
          <w:rFonts w:hint="eastAsia" w:ascii="宋体" w:hAnsi="宋体"/>
          <w:snapToGrid w:val="0"/>
          <w:color w:val="auto"/>
          <w:kern w:val="0"/>
          <w:highlight w:val="none"/>
        </w:rPr>
        <w:t>，</w:t>
      </w:r>
      <w:r>
        <w:rPr>
          <w:rFonts w:ascii="宋体" w:hAnsi="宋体"/>
          <w:snapToGrid w:val="0"/>
          <w:color w:val="auto"/>
          <w:kern w:val="0"/>
          <w:highlight w:val="none"/>
        </w:rPr>
        <w:t>不得将工程主体、关键性工作分包给第三方</w:t>
      </w:r>
      <w:r>
        <w:rPr>
          <w:rFonts w:hint="eastAsia" w:ascii="宋体" w:hAnsi="宋体"/>
          <w:snapToGrid w:val="0"/>
          <w:color w:val="auto"/>
          <w:kern w:val="0"/>
          <w:highlight w:val="none"/>
        </w:rPr>
        <w:t>，</w:t>
      </w:r>
      <w:r>
        <w:rPr>
          <w:rFonts w:ascii="宋体" w:hAnsi="宋体"/>
          <w:snapToGrid w:val="0"/>
          <w:color w:val="auto"/>
          <w:kern w:val="0"/>
          <w:highlight w:val="none"/>
        </w:rPr>
        <w:t>如有分包计划，须经发包人批准。</w:t>
      </w:r>
      <w:bookmarkEnd w:id="558"/>
    </w:p>
    <w:p w14:paraId="734424C3">
      <w:pPr>
        <w:pStyle w:val="5"/>
        <w:rPr>
          <w:rFonts w:ascii="宋体" w:hAnsi="宋体"/>
          <w:snapToGrid w:val="0"/>
          <w:color w:val="auto"/>
          <w:kern w:val="0"/>
          <w:highlight w:val="none"/>
        </w:rPr>
      </w:pPr>
      <w:bookmarkStart w:id="559" w:name="_Toc335660880"/>
      <w:r>
        <w:rPr>
          <w:rFonts w:ascii="宋体" w:hAnsi="宋体"/>
          <w:snapToGrid w:val="0"/>
          <w:color w:val="auto"/>
          <w:kern w:val="0"/>
          <w:highlight w:val="none"/>
        </w:rPr>
        <w:t>3.8</w:t>
      </w:r>
      <w:r>
        <w:rPr>
          <w:rFonts w:hint="eastAsia" w:ascii="宋体" w:hAnsi="宋体"/>
          <w:snapToGrid w:val="0"/>
          <w:color w:val="auto"/>
          <w:kern w:val="0"/>
          <w:highlight w:val="none"/>
        </w:rPr>
        <w:t xml:space="preserve"> </w:t>
      </w:r>
      <w:r>
        <w:rPr>
          <w:rFonts w:ascii="宋体" w:hAnsi="宋体"/>
          <w:snapToGrid w:val="0"/>
          <w:color w:val="auto"/>
          <w:kern w:val="0"/>
          <w:highlight w:val="none"/>
        </w:rPr>
        <w:t>设计人应安排投标文件中承诺的人员投入工作，并在设计过程中保持人员的相对稳定。在项目勘察设计期间，未经发包人批准，设计人不得更换主要设计人员。</w:t>
      </w:r>
      <w:bookmarkEnd w:id="559"/>
    </w:p>
    <w:p w14:paraId="30FF3340">
      <w:pPr>
        <w:pStyle w:val="5"/>
        <w:rPr>
          <w:rFonts w:ascii="宋体" w:hAnsi="宋体"/>
          <w:snapToGrid w:val="0"/>
          <w:color w:val="auto"/>
          <w:kern w:val="0"/>
          <w:highlight w:val="none"/>
        </w:rPr>
      </w:pPr>
      <w:bookmarkStart w:id="560" w:name="_Toc335660881"/>
      <w:r>
        <w:rPr>
          <w:rFonts w:ascii="宋体" w:hAnsi="宋体"/>
          <w:snapToGrid w:val="0"/>
          <w:color w:val="auto"/>
          <w:kern w:val="0"/>
          <w:highlight w:val="none"/>
        </w:rPr>
        <w:t>3.9 设计人应履行专用合同条款约定的其他责任</w:t>
      </w:r>
      <w:bookmarkEnd w:id="560"/>
      <w:r>
        <w:rPr>
          <w:rFonts w:hint="eastAsia" w:ascii="宋体" w:hAnsi="宋体"/>
          <w:snapToGrid w:val="0"/>
          <w:color w:val="auto"/>
          <w:kern w:val="0"/>
          <w:highlight w:val="none"/>
        </w:rPr>
        <w:t>。</w:t>
      </w:r>
    </w:p>
    <w:p w14:paraId="284EE4E1">
      <w:pPr>
        <w:pStyle w:val="92"/>
        <w:outlineLvl w:val="0"/>
        <w:rPr>
          <w:rFonts w:ascii="宋体" w:hAnsi="宋体" w:eastAsia="宋体"/>
          <w:b/>
          <w:snapToGrid w:val="0"/>
          <w:color w:val="auto"/>
          <w:kern w:val="0"/>
          <w:highlight w:val="none"/>
        </w:rPr>
      </w:pPr>
      <w:bookmarkStart w:id="561" w:name="_Toc335660882"/>
      <w:bookmarkStart w:id="562" w:name="_Toc487114210"/>
      <w:bookmarkStart w:id="563" w:name="_Toc487654515"/>
      <w:bookmarkStart w:id="564" w:name="_Toc326241904"/>
      <w:bookmarkStart w:id="565" w:name="_Toc346269491"/>
      <w:bookmarkStart w:id="566" w:name="_Toc488649915"/>
      <w:bookmarkStart w:id="567" w:name="_Toc335721989"/>
      <w:bookmarkStart w:id="568" w:name="_Toc487619188"/>
      <w:r>
        <w:rPr>
          <w:rFonts w:ascii="宋体" w:hAnsi="宋体" w:eastAsia="宋体"/>
          <w:b/>
          <w:snapToGrid w:val="0"/>
          <w:color w:val="auto"/>
          <w:kern w:val="0"/>
          <w:highlight w:val="none"/>
        </w:rPr>
        <w:t>4. 勘察设计周期及提交成果</w:t>
      </w:r>
      <w:bookmarkEnd w:id="561"/>
      <w:bookmarkEnd w:id="562"/>
      <w:bookmarkEnd w:id="563"/>
      <w:bookmarkEnd w:id="564"/>
      <w:bookmarkEnd w:id="565"/>
      <w:bookmarkEnd w:id="566"/>
      <w:bookmarkEnd w:id="567"/>
      <w:bookmarkEnd w:id="568"/>
    </w:p>
    <w:p w14:paraId="69032602">
      <w:pPr>
        <w:pStyle w:val="5"/>
        <w:rPr>
          <w:rFonts w:ascii="宋体" w:hAnsi="宋体"/>
          <w:snapToGrid w:val="0"/>
          <w:color w:val="auto"/>
          <w:kern w:val="0"/>
          <w:highlight w:val="none"/>
        </w:rPr>
      </w:pPr>
      <w:bookmarkStart w:id="569" w:name="_Toc335660883"/>
      <w:r>
        <w:rPr>
          <w:rFonts w:ascii="宋体" w:hAnsi="宋体"/>
          <w:snapToGrid w:val="0"/>
          <w:color w:val="auto"/>
          <w:kern w:val="0"/>
          <w:highlight w:val="none"/>
        </w:rPr>
        <w:t>4.1 设计人应根据</w:t>
      </w:r>
      <w:r>
        <w:rPr>
          <w:rFonts w:hint="eastAsia" w:ascii="宋体" w:hAnsi="宋体"/>
          <w:snapToGrid w:val="0"/>
          <w:color w:val="auto"/>
          <w:kern w:val="0"/>
          <w:highlight w:val="none"/>
        </w:rPr>
        <w:t>合同约定</w:t>
      </w:r>
      <w:r>
        <w:rPr>
          <w:rFonts w:ascii="宋体" w:hAnsi="宋体"/>
          <w:snapToGrid w:val="0"/>
          <w:color w:val="auto"/>
          <w:kern w:val="0"/>
          <w:highlight w:val="none"/>
        </w:rPr>
        <w:t>分批、分阶段提供所需勘察设计文件。本项目勘察设计范围、勘察设计内容与要求、主要技术标准、勘察设计周期及需提交的勘察设计成果在专用合同条款中</w:t>
      </w:r>
      <w:r>
        <w:rPr>
          <w:rFonts w:hint="eastAsia" w:ascii="宋体" w:hAnsi="宋体"/>
          <w:snapToGrid w:val="0"/>
          <w:color w:val="auto"/>
          <w:kern w:val="0"/>
          <w:highlight w:val="none"/>
        </w:rPr>
        <w:t>约定</w:t>
      </w:r>
      <w:r>
        <w:rPr>
          <w:rFonts w:ascii="宋体" w:hAnsi="宋体"/>
          <w:snapToGrid w:val="0"/>
          <w:color w:val="auto"/>
          <w:kern w:val="0"/>
          <w:highlight w:val="none"/>
        </w:rPr>
        <w:t>。</w:t>
      </w:r>
      <w:bookmarkEnd w:id="569"/>
    </w:p>
    <w:p w14:paraId="09EC0DFD">
      <w:pPr>
        <w:pStyle w:val="92"/>
        <w:outlineLvl w:val="0"/>
        <w:rPr>
          <w:rFonts w:ascii="宋体" w:hAnsi="宋体" w:eastAsia="宋体"/>
          <w:b/>
          <w:snapToGrid w:val="0"/>
          <w:color w:val="auto"/>
          <w:kern w:val="0"/>
          <w:highlight w:val="none"/>
        </w:rPr>
      </w:pPr>
      <w:bookmarkStart w:id="570" w:name="_Toc487114211"/>
      <w:bookmarkStart w:id="571" w:name="_Toc346269492"/>
      <w:bookmarkStart w:id="572" w:name="_Toc487619189"/>
      <w:bookmarkStart w:id="573" w:name="_Toc335721990"/>
      <w:bookmarkStart w:id="574" w:name="_Toc326241905"/>
      <w:bookmarkStart w:id="575" w:name="_Toc335660884"/>
      <w:bookmarkStart w:id="576" w:name="_Toc488649916"/>
      <w:bookmarkStart w:id="577" w:name="_Toc487654516"/>
      <w:r>
        <w:rPr>
          <w:rFonts w:ascii="宋体" w:hAnsi="宋体" w:eastAsia="宋体"/>
          <w:b/>
          <w:snapToGrid w:val="0"/>
          <w:color w:val="auto"/>
          <w:kern w:val="0"/>
          <w:highlight w:val="none"/>
        </w:rPr>
        <w:t>5. 违约与赔偿</w:t>
      </w:r>
      <w:bookmarkEnd w:id="570"/>
      <w:bookmarkEnd w:id="571"/>
      <w:bookmarkEnd w:id="572"/>
      <w:bookmarkEnd w:id="573"/>
      <w:bookmarkEnd w:id="574"/>
      <w:bookmarkEnd w:id="575"/>
      <w:bookmarkEnd w:id="576"/>
      <w:bookmarkEnd w:id="577"/>
    </w:p>
    <w:p w14:paraId="24CBF349">
      <w:pPr>
        <w:pStyle w:val="4"/>
        <w:rPr>
          <w:color w:val="auto"/>
          <w:highlight w:val="none"/>
        </w:rPr>
      </w:pPr>
      <w:bookmarkStart w:id="578" w:name="_Toc330218682"/>
      <w:bookmarkStart w:id="579" w:name="_Toc335721539"/>
      <w:bookmarkStart w:id="580" w:name="_Toc335721991"/>
      <w:bookmarkStart w:id="581" w:name="_Toc335660029"/>
      <w:bookmarkStart w:id="582" w:name="_Toc335660885"/>
      <w:bookmarkStart w:id="583" w:name="_Toc330218117"/>
      <w:bookmarkStart w:id="584" w:name="_Toc335660442"/>
      <w:r>
        <w:rPr>
          <w:color w:val="auto"/>
          <w:highlight w:val="none"/>
        </w:rPr>
        <w:t>5.1 发包人的违约</w:t>
      </w:r>
      <w:bookmarkEnd w:id="578"/>
      <w:bookmarkEnd w:id="579"/>
      <w:bookmarkEnd w:id="580"/>
      <w:bookmarkEnd w:id="581"/>
      <w:bookmarkEnd w:id="582"/>
      <w:bookmarkEnd w:id="583"/>
      <w:bookmarkEnd w:id="584"/>
      <w:r>
        <w:rPr>
          <w:color w:val="auto"/>
          <w:highlight w:val="none"/>
        </w:rPr>
        <w:t>与赔偿</w:t>
      </w:r>
    </w:p>
    <w:p w14:paraId="22862A40">
      <w:pPr>
        <w:pStyle w:val="5"/>
        <w:rPr>
          <w:rFonts w:ascii="宋体" w:hAnsi="宋体"/>
          <w:snapToGrid w:val="0"/>
          <w:color w:val="auto"/>
          <w:kern w:val="0"/>
          <w:highlight w:val="none"/>
        </w:rPr>
      </w:pPr>
      <w:bookmarkStart w:id="585" w:name="_Toc335660886"/>
      <w:r>
        <w:rPr>
          <w:rFonts w:ascii="宋体" w:hAnsi="宋体"/>
          <w:snapToGrid w:val="0"/>
          <w:color w:val="auto"/>
          <w:kern w:val="0"/>
          <w:highlight w:val="none"/>
        </w:rPr>
        <w:t>5.1.1 由于发包人变更勘察设计项目、规模、条件、工期</w:t>
      </w:r>
      <w:r>
        <w:rPr>
          <w:rFonts w:hint="eastAsia" w:ascii="宋体" w:hAnsi="宋体"/>
          <w:snapToGrid w:val="0"/>
          <w:color w:val="auto"/>
          <w:kern w:val="0"/>
          <w:highlight w:val="none"/>
        </w:rPr>
        <w:t>等</w:t>
      </w:r>
      <w:r>
        <w:rPr>
          <w:rFonts w:ascii="宋体" w:hAnsi="宋体"/>
          <w:snapToGrid w:val="0"/>
          <w:color w:val="auto"/>
          <w:kern w:val="0"/>
          <w:highlight w:val="none"/>
        </w:rPr>
        <w:t>，或未按合同规定提供勘察设计必需的资料，而造成勘察设计的返工、停工、窝工或修改设计，发包人应按设计人实际消耗的工作量增付费用；由于发包人要求提前完成勘察设计工作而导致增加的人员和费用，应另行计列。</w:t>
      </w:r>
      <w:bookmarkEnd w:id="585"/>
    </w:p>
    <w:p w14:paraId="558294EA">
      <w:pPr>
        <w:pStyle w:val="5"/>
        <w:rPr>
          <w:rFonts w:ascii="宋体" w:hAnsi="宋体"/>
          <w:snapToGrid w:val="0"/>
          <w:color w:val="auto"/>
          <w:kern w:val="0"/>
          <w:highlight w:val="none"/>
        </w:rPr>
      </w:pPr>
      <w:bookmarkStart w:id="586" w:name="_Toc335660887"/>
      <w:r>
        <w:rPr>
          <w:rFonts w:ascii="宋体" w:hAnsi="宋体"/>
          <w:snapToGrid w:val="0"/>
          <w:color w:val="auto"/>
          <w:kern w:val="0"/>
          <w:highlight w:val="none"/>
        </w:rPr>
        <w:t>5.1.2 发包人超过合同规定的日期支付费用的，应偿付逾期的违约金。偿付办法与金额在合同专用条款中</w:t>
      </w:r>
      <w:r>
        <w:rPr>
          <w:rFonts w:hint="eastAsia" w:ascii="宋体" w:hAnsi="宋体"/>
          <w:snapToGrid w:val="0"/>
          <w:color w:val="auto"/>
          <w:kern w:val="0"/>
          <w:highlight w:val="none"/>
        </w:rPr>
        <w:t>约定</w:t>
      </w:r>
      <w:r>
        <w:rPr>
          <w:rFonts w:ascii="宋体" w:hAnsi="宋体"/>
          <w:snapToGrid w:val="0"/>
          <w:color w:val="auto"/>
          <w:kern w:val="0"/>
          <w:highlight w:val="none"/>
        </w:rPr>
        <w:t>。</w:t>
      </w:r>
      <w:bookmarkEnd w:id="586"/>
    </w:p>
    <w:p w14:paraId="0A4884FA">
      <w:pPr>
        <w:pStyle w:val="5"/>
        <w:rPr>
          <w:rFonts w:ascii="宋体" w:hAnsi="宋体"/>
          <w:snapToGrid w:val="0"/>
          <w:color w:val="auto"/>
          <w:kern w:val="0"/>
          <w:highlight w:val="none"/>
        </w:rPr>
      </w:pPr>
      <w:bookmarkStart w:id="587" w:name="_Toc335660888"/>
      <w:r>
        <w:rPr>
          <w:rFonts w:ascii="宋体" w:hAnsi="宋体"/>
          <w:snapToGrid w:val="0"/>
          <w:color w:val="auto"/>
          <w:kern w:val="0"/>
          <w:highlight w:val="none"/>
        </w:rPr>
        <w:t>5.1.3 在合同生效后，发包人要求终止或解除合同的，应根据设计人已进行的实际工作量支付费用，不足一半时，按</w:t>
      </w:r>
      <w:r>
        <w:rPr>
          <w:rFonts w:hint="eastAsia" w:ascii="宋体" w:hAnsi="宋体"/>
          <w:snapToGrid w:val="0"/>
          <w:color w:val="auto"/>
          <w:kern w:val="0"/>
          <w:highlight w:val="none"/>
        </w:rPr>
        <w:t>剩余合同价的5%向设计人支付违约金；</w:t>
      </w:r>
      <w:r>
        <w:rPr>
          <w:rFonts w:ascii="宋体" w:hAnsi="宋体"/>
          <w:snapToGrid w:val="0"/>
          <w:color w:val="auto"/>
          <w:kern w:val="0"/>
          <w:highlight w:val="none"/>
        </w:rPr>
        <w:t>超过一半时，按</w:t>
      </w:r>
      <w:r>
        <w:rPr>
          <w:rFonts w:hint="eastAsia" w:ascii="宋体" w:hAnsi="宋体"/>
          <w:snapToGrid w:val="0"/>
          <w:color w:val="auto"/>
          <w:kern w:val="0"/>
          <w:highlight w:val="none"/>
        </w:rPr>
        <w:t>剩余合同价的10%向设计人支付违约金</w:t>
      </w:r>
      <w:r>
        <w:rPr>
          <w:rFonts w:ascii="宋体" w:hAnsi="宋体"/>
          <w:snapToGrid w:val="0"/>
          <w:color w:val="auto"/>
          <w:kern w:val="0"/>
          <w:highlight w:val="none"/>
        </w:rPr>
        <w:t>。</w:t>
      </w:r>
      <w:bookmarkEnd w:id="587"/>
    </w:p>
    <w:p w14:paraId="57525EB6">
      <w:pPr>
        <w:pStyle w:val="5"/>
        <w:rPr>
          <w:rFonts w:ascii="宋体" w:hAnsi="宋体"/>
          <w:snapToGrid w:val="0"/>
          <w:color w:val="auto"/>
          <w:kern w:val="0"/>
          <w:highlight w:val="none"/>
        </w:rPr>
      </w:pPr>
      <w:bookmarkStart w:id="588" w:name="_Toc335660889"/>
      <w:r>
        <w:rPr>
          <w:rFonts w:ascii="宋体" w:hAnsi="宋体"/>
          <w:snapToGrid w:val="0"/>
          <w:color w:val="auto"/>
          <w:kern w:val="0"/>
          <w:highlight w:val="none"/>
        </w:rPr>
        <w:t>5.1.4 专用合同条款中约定的发包人其他违约</w:t>
      </w:r>
      <w:r>
        <w:rPr>
          <w:rFonts w:hint="eastAsia" w:ascii="宋体" w:hAnsi="宋体"/>
          <w:snapToGrid w:val="0"/>
          <w:color w:val="auto"/>
          <w:kern w:val="0"/>
          <w:highlight w:val="none"/>
        </w:rPr>
        <w:t>与赔偿责任</w:t>
      </w:r>
      <w:r>
        <w:rPr>
          <w:rFonts w:ascii="宋体" w:hAnsi="宋体"/>
          <w:snapToGrid w:val="0"/>
          <w:color w:val="auto"/>
          <w:kern w:val="0"/>
          <w:highlight w:val="none"/>
        </w:rPr>
        <w:t>。</w:t>
      </w:r>
      <w:bookmarkEnd w:id="588"/>
    </w:p>
    <w:p w14:paraId="6E11D185">
      <w:pPr>
        <w:pStyle w:val="4"/>
        <w:rPr>
          <w:color w:val="auto"/>
          <w:highlight w:val="none"/>
        </w:rPr>
      </w:pPr>
      <w:bookmarkStart w:id="589" w:name="_Toc335660890"/>
      <w:bookmarkStart w:id="590" w:name="_Toc335721992"/>
      <w:bookmarkStart w:id="591" w:name="_Toc330218683"/>
      <w:bookmarkStart w:id="592" w:name="_Toc335660443"/>
      <w:bookmarkStart w:id="593" w:name="_Toc335721540"/>
      <w:bookmarkStart w:id="594" w:name="_Toc330218118"/>
      <w:bookmarkStart w:id="595" w:name="_Toc335660030"/>
      <w:r>
        <w:rPr>
          <w:color w:val="auto"/>
          <w:highlight w:val="none"/>
        </w:rPr>
        <w:t>5.2 设计人的违约</w:t>
      </w:r>
      <w:bookmarkEnd w:id="589"/>
      <w:bookmarkEnd w:id="590"/>
      <w:bookmarkEnd w:id="591"/>
      <w:bookmarkEnd w:id="592"/>
      <w:bookmarkEnd w:id="593"/>
      <w:bookmarkEnd w:id="594"/>
      <w:bookmarkEnd w:id="595"/>
      <w:r>
        <w:rPr>
          <w:color w:val="auto"/>
          <w:highlight w:val="none"/>
        </w:rPr>
        <w:t>与赔偿</w:t>
      </w:r>
    </w:p>
    <w:p w14:paraId="03299123">
      <w:pPr>
        <w:pStyle w:val="5"/>
        <w:rPr>
          <w:rFonts w:ascii="宋体" w:hAnsi="宋体"/>
          <w:color w:val="auto"/>
          <w:highlight w:val="none"/>
        </w:rPr>
      </w:pPr>
      <w:r>
        <w:rPr>
          <w:rFonts w:hint="eastAsia" w:ascii="宋体" w:hAnsi="宋体"/>
          <w:color w:val="auto"/>
          <w:highlight w:val="none"/>
        </w:rPr>
        <w:t>5.2.1 在合同履行过程中发生下列任何一种情况，均属设计人违约，赔偿责任在专用条款中约定：</w:t>
      </w:r>
    </w:p>
    <w:p w14:paraId="18628B81">
      <w:pPr>
        <w:pStyle w:val="5"/>
        <w:rPr>
          <w:rFonts w:ascii="宋体" w:hAnsi="宋体"/>
          <w:snapToGrid w:val="0"/>
          <w:color w:val="auto"/>
          <w:kern w:val="0"/>
          <w:highlight w:val="none"/>
        </w:rPr>
      </w:pPr>
      <w:bookmarkStart w:id="596" w:name="_Toc335660891"/>
      <w:r>
        <w:rPr>
          <w:rFonts w:hint="eastAsia" w:ascii="宋体" w:hAnsi="宋体"/>
          <w:snapToGrid w:val="0"/>
          <w:color w:val="auto"/>
          <w:kern w:val="0"/>
          <w:highlight w:val="none"/>
        </w:rPr>
        <w:t>（1）</w:t>
      </w:r>
      <w:r>
        <w:rPr>
          <w:rFonts w:ascii="宋体" w:hAnsi="宋体"/>
          <w:snapToGrid w:val="0"/>
          <w:color w:val="auto"/>
          <w:kern w:val="0"/>
          <w:highlight w:val="none"/>
        </w:rPr>
        <w:t>设计人将勘察设计任务转包，或未经发包人同意私自分包</w:t>
      </w:r>
      <w:r>
        <w:rPr>
          <w:rFonts w:hint="eastAsia" w:ascii="宋体" w:hAnsi="宋体"/>
          <w:snapToGrid w:val="0"/>
          <w:color w:val="auto"/>
          <w:kern w:val="0"/>
          <w:highlight w:val="none"/>
        </w:rPr>
        <w:t>的</w:t>
      </w:r>
      <w:r>
        <w:rPr>
          <w:rFonts w:ascii="宋体" w:hAnsi="宋体"/>
          <w:snapToGrid w:val="0"/>
          <w:color w:val="auto"/>
          <w:kern w:val="0"/>
          <w:highlight w:val="none"/>
        </w:rPr>
        <w:t>；</w:t>
      </w:r>
      <w:bookmarkEnd w:id="596"/>
    </w:p>
    <w:p w14:paraId="2202A04E">
      <w:pPr>
        <w:pStyle w:val="5"/>
        <w:rPr>
          <w:rFonts w:ascii="宋体" w:hAnsi="宋体"/>
          <w:snapToGrid w:val="0"/>
          <w:color w:val="auto"/>
          <w:kern w:val="0"/>
          <w:highlight w:val="none"/>
        </w:rPr>
      </w:pPr>
      <w:bookmarkStart w:id="597" w:name="_Toc335660892"/>
      <w:r>
        <w:rPr>
          <w:rFonts w:hint="eastAsia" w:ascii="宋体" w:hAnsi="宋体"/>
          <w:snapToGrid w:val="0"/>
          <w:color w:val="auto"/>
          <w:kern w:val="0"/>
          <w:highlight w:val="none"/>
        </w:rPr>
        <w:t>（2）</w:t>
      </w:r>
      <w:r>
        <w:rPr>
          <w:rFonts w:ascii="宋体" w:hAnsi="宋体"/>
          <w:snapToGrid w:val="0"/>
          <w:color w:val="auto"/>
          <w:kern w:val="0"/>
          <w:highlight w:val="none"/>
        </w:rPr>
        <w:t>设计人未按照本合同规定的强制性技术标准进行勘察设计</w:t>
      </w:r>
      <w:r>
        <w:rPr>
          <w:rFonts w:hint="eastAsia" w:ascii="宋体" w:hAnsi="宋体"/>
          <w:snapToGrid w:val="0"/>
          <w:color w:val="auto"/>
          <w:kern w:val="0"/>
          <w:highlight w:val="none"/>
        </w:rPr>
        <w:t>的；</w:t>
      </w:r>
    </w:p>
    <w:p w14:paraId="2C0156DD">
      <w:pPr>
        <w:spacing w:line="360" w:lineRule="auto"/>
        <w:rPr>
          <w:rFonts w:ascii="宋体" w:hAnsi="宋体"/>
          <w:color w:val="auto"/>
          <w:sz w:val="24"/>
          <w:highlight w:val="none"/>
        </w:rPr>
      </w:pPr>
      <w:r>
        <w:rPr>
          <w:rFonts w:ascii="宋体" w:hAnsi="宋体"/>
          <w:color w:val="auto"/>
          <w:sz w:val="24"/>
          <w:highlight w:val="none"/>
        </w:rPr>
        <w:t>（3）设计人未根据勘察成果资料进行工程设计的；</w:t>
      </w:r>
    </w:p>
    <w:p w14:paraId="7D49B438">
      <w:pPr>
        <w:spacing w:line="360" w:lineRule="auto"/>
        <w:rPr>
          <w:rFonts w:ascii="宋体" w:hAnsi="宋体"/>
          <w:color w:val="auto"/>
          <w:sz w:val="24"/>
          <w:highlight w:val="none"/>
        </w:rPr>
      </w:pPr>
      <w:r>
        <w:rPr>
          <w:rFonts w:ascii="宋体" w:hAnsi="宋体"/>
          <w:color w:val="auto"/>
          <w:sz w:val="24"/>
          <w:highlight w:val="none"/>
        </w:rPr>
        <w:t>（4）设计人在设计文件中指定或变相指定材料或设备生产厂、供应商的；</w:t>
      </w:r>
      <w:bookmarkEnd w:id="597"/>
    </w:p>
    <w:p w14:paraId="58B0C9B9">
      <w:pPr>
        <w:pStyle w:val="5"/>
        <w:rPr>
          <w:rFonts w:ascii="宋体" w:hAnsi="宋体"/>
          <w:snapToGrid w:val="0"/>
          <w:color w:val="auto"/>
          <w:kern w:val="0"/>
          <w:highlight w:val="none"/>
        </w:rPr>
      </w:pPr>
      <w:bookmarkStart w:id="598" w:name="_Toc335660893"/>
      <w:r>
        <w:rPr>
          <w:rFonts w:hint="eastAsia" w:ascii="宋体" w:hAnsi="宋体"/>
          <w:snapToGrid w:val="0"/>
          <w:color w:val="auto"/>
          <w:kern w:val="0"/>
          <w:highlight w:val="none"/>
        </w:rPr>
        <w:t>（5）</w:t>
      </w:r>
      <w:r>
        <w:rPr>
          <w:rFonts w:ascii="宋体" w:hAnsi="宋体"/>
          <w:snapToGrid w:val="0"/>
          <w:color w:val="auto"/>
          <w:kern w:val="0"/>
          <w:highlight w:val="none"/>
        </w:rPr>
        <w:t>设计人由于自身原因，未能按期提交勘察成果、设计文件、专题研究报告</w:t>
      </w:r>
      <w:r>
        <w:rPr>
          <w:rFonts w:hint="eastAsia" w:ascii="宋体" w:hAnsi="宋体"/>
          <w:snapToGrid w:val="0"/>
          <w:color w:val="auto"/>
          <w:kern w:val="0"/>
          <w:highlight w:val="none"/>
        </w:rPr>
        <w:t>的</w:t>
      </w:r>
      <w:r>
        <w:rPr>
          <w:rFonts w:ascii="宋体" w:hAnsi="宋体"/>
          <w:snapToGrid w:val="0"/>
          <w:color w:val="auto"/>
          <w:kern w:val="0"/>
          <w:highlight w:val="none"/>
        </w:rPr>
        <w:t>（发包人同意延长期限的除外）；</w:t>
      </w:r>
      <w:bookmarkEnd w:id="598"/>
    </w:p>
    <w:p w14:paraId="7B29666A">
      <w:pPr>
        <w:pStyle w:val="5"/>
        <w:rPr>
          <w:rFonts w:ascii="宋体" w:hAnsi="宋体"/>
          <w:snapToGrid w:val="0"/>
          <w:color w:val="auto"/>
          <w:kern w:val="0"/>
          <w:highlight w:val="none"/>
        </w:rPr>
      </w:pPr>
      <w:bookmarkStart w:id="599" w:name="_Toc335660894"/>
      <w:r>
        <w:rPr>
          <w:rFonts w:hint="eastAsia" w:ascii="宋体" w:hAnsi="宋体"/>
          <w:snapToGrid w:val="0"/>
          <w:color w:val="auto"/>
          <w:kern w:val="0"/>
          <w:highlight w:val="none"/>
        </w:rPr>
        <w:t>（6）</w:t>
      </w:r>
      <w:r>
        <w:rPr>
          <w:rFonts w:ascii="宋体" w:hAnsi="宋体"/>
          <w:snapToGrid w:val="0"/>
          <w:color w:val="auto"/>
          <w:kern w:val="0"/>
          <w:highlight w:val="none"/>
        </w:rPr>
        <w:t>在收到发包人</w:t>
      </w:r>
      <w:r>
        <w:rPr>
          <w:rFonts w:hint="eastAsia" w:ascii="宋体" w:hAnsi="宋体"/>
          <w:snapToGrid w:val="0"/>
          <w:color w:val="auto"/>
          <w:kern w:val="0"/>
          <w:highlight w:val="none"/>
        </w:rPr>
        <w:t>、</w:t>
      </w:r>
      <w:r>
        <w:rPr>
          <w:rFonts w:ascii="宋体" w:hAnsi="宋体"/>
          <w:snapToGrid w:val="0"/>
          <w:color w:val="auto"/>
          <w:kern w:val="0"/>
          <w:highlight w:val="none"/>
        </w:rPr>
        <w:t>咨询单位或上级主管部门提出的审查意见后，设计人未在专用合同条款规定的期限内完成对勘察成果、设计文件、专题研究报告修改</w:t>
      </w:r>
      <w:r>
        <w:rPr>
          <w:rFonts w:hint="eastAsia" w:ascii="宋体" w:hAnsi="宋体"/>
          <w:snapToGrid w:val="0"/>
          <w:color w:val="auto"/>
          <w:kern w:val="0"/>
          <w:highlight w:val="none"/>
        </w:rPr>
        <w:t>的</w:t>
      </w:r>
      <w:r>
        <w:rPr>
          <w:rFonts w:ascii="宋体" w:hAnsi="宋体"/>
          <w:snapToGrid w:val="0"/>
          <w:color w:val="auto"/>
          <w:kern w:val="0"/>
          <w:highlight w:val="none"/>
        </w:rPr>
        <w:t>；</w:t>
      </w:r>
      <w:bookmarkEnd w:id="599"/>
    </w:p>
    <w:p w14:paraId="16BDF9E5">
      <w:pPr>
        <w:pStyle w:val="5"/>
        <w:rPr>
          <w:rFonts w:ascii="宋体" w:hAnsi="宋体"/>
          <w:snapToGrid w:val="0"/>
          <w:color w:val="auto"/>
          <w:kern w:val="0"/>
          <w:highlight w:val="none"/>
        </w:rPr>
      </w:pPr>
      <w:bookmarkStart w:id="600" w:name="_Toc335660895"/>
      <w:r>
        <w:rPr>
          <w:rFonts w:hint="eastAsia" w:ascii="宋体" w:hAnsi="宋体"/>
          <w:snapToGrid w:val="0"/>
          <w:color w:val="auto"/>
          <w:kern w:val="0"/>
          <w:highlight w:val="none"/>
        </w:rPr>
        <w:t>（7）</w:t>
      </w:r>
      <w:r>
        <w:rPr>
          <w:rFonts w:ascii="宋体" w:hAnsi="宋体"/>
          <w:snapToGrid w:val="0"/>
          <w:color w:val="auto"/>
          <w:kern w:val="0"/>
          <w:highlight w:val="none"/>
        </w:rPr>
        <w:t>由于设计人的过失或责任引起本项目发生重大设计变更或</w:t>
      </w:r>
      <w:r>
        <w:rPr>
          <w:rFonts w:hint="eastAsia" w:ascii="宋体" w:hAnsi="宋体"/>
          <w:snapToGrid w:val="0"/>
          <w:color w:val="auto"/>
          <w:kern w:val="0"/>
          <w:highlight w:val="none"/>
        </w:rPr>
        <w:t>设计错误</w:t>
      </w:r>
      <w:r>
        <w:rPr>
          <w:rFonts w:ascii="宋体" w:hAnsi="宋体"/>
          <w:snapToGrid w:val="0"/>
          <w:color w:val="auto"/>
          <w:kern w:val="0"/>
          <w:highlight w:val="none"/>
        </w:rPr>
        <w:t>，导致施工工期拖延或给发包人造成经济损失</w:t>
      </w:r>
      <w:r>
        <w:rPr>
          <w:rFonts w:hint="eastAsia" w:ascii="宋体" w:hAnsi="宋体"/>
          <w:snapToGrid w:val="0"/>
          <w:color w:val="auto"/>
          <w:kern w:val="0"/>
          <w:highlight w:val="none"/>
        </w:rPr>
        <w:t>，设计人除负责采取补救措施外，应免收受损失部分设计费，并根据损失程度向发包人支付赔偿金。</w:t>
      </w:r>
      <w:bookmarkEnd w:id="600"/>
      <w:bookmarkStart w:id="601" w:name="_Toc335660896"/>
    </w:p>
    <w:p w14:paraId="59CA82D3">
      <w:pPr>
        <w:pStyle w:val="5"/>
        <w:rPr>
          <w:rFonts w:ascii="宋体" w:hAnsi="宋体"/>
          <w:snapToGrid w:val="0"/>
          <w:color w:val="auto"/>
          <w:kern w:val="0"/>
          <w:highlight w:val="none"/>
        </w:rPr>
      </w:pPr>
      <w:r>
        <w:rPr>
          <w:rFonts w:hint="eastAsia" w:ascii="宋体" w:hAnsi="宋体"/>
          <w:snapToGrid w:val="0"/>
          <w:color w:val="auto"/>
          <w:kern w:val="0"/>
          <w:highlight w:val="none"/>
        </w:rPr>
        <w:t>（8）</w:t>
      </w:r>
      <w:r>
        <w:rPr>
          <w:rFonts w:ascii="宋体" w:hAnsi="宋体"/>
          <w:snapToGrid w:val="0"/>
          <w:color w:val="auto"/>
          <w:kern w:val="0"/>
          <w:highlight w:val="none"/>
        </w:rPr>
        <w:t>设计人在投标文件中承诺投入本项目的主要勘察设计人员未经发包人同意更换</w:t>
      </w:r>
      <w:r>
        <w:rPr>
          <w:rFonts w:hint="eastAsia" w:ascii="宋体" w:hAnsi="宋体"/>
          <w:snapToGrid w:val="0"/>
          <w:color w:val="auto"/>
          <w:kern w:val="0"/>
          <w:highlight w:val="none"/>
        </w:rPr>
        <w:t>的</w:t>
      </w:r>
      <w:r>
        <w:rPr>
          <w:rFonts w:ascii="宋体" w:hAnsi="宋体"/>
          <w:snapToGrid w:val="0"/>
          <w:color w:val="auto"/>
          <w:kern w:val="0"/>
          <w:highlight w:val="none"/>
        </w:rPr>
        <w:t>（但因不可抗力引起的人员变动除外）；</w:t>
      </w:r>
      <w:bookmarkEnd w:id="601"/>
    </w:p>
    <w:p w14:paraId="0146D4F5">
      <w:pPr>
        <w:pStyle w:val="5"/>
        <w:rPr>
          <w:rFonts w:ascii="宋体" w:hAnsi="宋体"/>
          <w:snapToGrid w:val="0"/>
          <w:color w:val="auto"/>
          <w:kern w:val="0"/>
          <w:highlight w:val="none"/>
        </w:rPr>
      </w:pPr>
      <w:bookmarkStart w:id="602" w:name="_Toc335660897"/>
      <w:r>
        <w:rPr>
          <w:rFonts w:ascii="宋体" w:hAnsi="宋体"/>
          <w:snapToGrid w:val="0"/>
          <w:color w:val="auto"/>
          <w:kern w:val="0"/>
          <w:highlight w:val="none"/>
        </w:rPr>
        <w:t>5.2.</w:t>
      </w:r>
      <w:r>
        <w:rPr>
          <w:rFonts w:hint="eastAsia" w:ascii="宋体" w:hAnsi="宋体"/>
          <w:snapToGrid w:val="0"/>
          <w:color w:val="auto"/>
          <w:kern w:val="0"/>
          <w:highlight w:val="none"/>
        </w:rPr>
        <w:t xml:space="preserve">2 </w:t>
      </w:r>
      <w:r>
        <w:rPr>
          <w:rFonts w:ascii="宋体" w:hAnsi="宋体"/>
          <w:snapToGrid w:val="0"/>
          <w:color w:val="auto"/>
          <w:kern w:val="0"/>
          <w:highlight w:val="none"/>
        </w:rPr>
        <w:t>专用合同条款中约定的设计人其他违约</w:t>
      </w:r>
      <w:r>
        <w:rPr>
          <w:rFonts w:hint="eastAsia" w:ascii="宋体" w:hAnsi="宋体"/>
          <w:snapToGrid w:val="0"/>
          <w:color w:val="auto"/>
          <w:kern w:val="0"/>
          <w:highlight w:val="none"/>
        </w:rPr>
        <w:t>与赔偿责任</w:t>
      </w:r>
      <w:r>
        <w:rPr>
          <w:rFonts w:ascii="宋体" w:hAnsi="宋体"/>
          <w:snapToGrid w:val="0"/>
          <w:color w:val="auto"/>
          <w:kern w:val="0"/>
          <w:highlight w:val="none"/>
        </w:rPr>
        <w:t>。</w:t>
      </w:r>
      <w:bookmarkEnd w:id="602"/>
    </w:p>
    <w:p w14:paraId="03251082">
      <w:pPr>
        <w:pStyle w:val="92"/>
        <w:outlineLvl w:val="0"/>
        <w:rPr>
          <w:rFonts w:ascii="宋体" w:hAnsi="宋体" w:eastAsia="宋体"/>
          <w:b/>
          <w:snapToGrid w:val="0"/>
          <w:color w:val="auto"/>
          <w:kern w:val="0"/>
          <w:highlight w:val="none"/>
        </w:rPr>
      </w:pPr>
      <w:bookmarkStart w:id="603" w:name="_Toc487114212"/>
      <w:bookmarkStart w:id="604" w:name="_Toc326241906"/>
      <w:bookmarkStart w:id="605" w:name="_Toc335721993"/>
      <w:bookmarkStart w:id="606" w:name="_Toc487619190"/>
      <w:bookmarkStart w:id="607" w:name="_Toc335660898"/>
      <w:bookmarkStart w:id="608" w:name="_Toc346269493"/>
      <w:bookmarkStart w:id="609" w:name="_Toc487654517"/>
      <w:bookmarkStart w:id="610" w:name="_Toc488649917"/>
      <w:r>
        <w:rPr>
          <w:rFonts w:ascii="宋体" w:hAnsi="宋体" w:eastAsia="宋体"/>
          <w:b/>
          <w:snapToGrid w:val="0"/>
          <w:color w:val="auto"/>
          <w:kern w:val="0"/>
          <w:highlight w:val="none"/>
        </w:rPr>
        <w:t>6. 合同的生效与终止</w:t>
      </w:r>
      <w:bookmarkEnd w:id="603"/>
      <w:bookmarkEnd w:id="604"/>
      <w:bookmarkEnd w:id="605"/>
      <w:bookmarkEnd w:id="606"/>
      <w:bookmarkEnd w:id="607"/>
      <w:bookmarkEnd w:id="608"/>
      <w:bookmarkEnd w:id="609"/>
      <w:bookmarkEnd w:id="610"/>
    </w:p>
    <w:p w14:paraId="140D18FC">
      <w:pPr>
        <w:spacing w:line="360" w:lineRule="auto"/>
        <w:rPr>
          <w:rFonts w:ascii="宋体" w:hAnsi="宋体"/>
          <w:color w:val="auto"/>
          <w:sz w:val="24"/>
          <w:highlight w:val="none"/>
        </w:rPr>
      </w:pPr>
      <w:bookmarkStart w:id="611" w:name="_Toc335660899"/>
      <w:r>
        <w:rPr>
          <w:rFonts w:ascii="宋体" w:hAnsi="宋体"/>
          <w:color w:val="auto"/>
          <w:sz w:val="24"/>
          <w:highlight w:val="none"/>
        </w:rPr>
        <w:t>6.1 合同的生效</w:t>
      </w:r>
      <w:bookmarkEnd w:id="611"/>
    </w:p>
    <w:p w14:paraId="6F5218A9">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合同文件自双方在合同协议书上签字盖单位章后生效。设计人工作的开始和完成时间</w:t>
      </w:r>
      <w:r>
        <w:rPr>
          <w:rFonts w:hint="eastAsia" w:ascii="宋体" w:hAnsi="宋体"/>
          <w:snapToGrid w:val="0"/>
          <w:color w:val="auto"/>
          <w:kern w:val="0"/>
          <w:sz w:val="24"/>
          <w:highlight w:val="none"/>
        </w:rPr>
        <w:t>应</w:t>
      </w:r>
      <w:r>
        <w:rPr>
          <w:rFonts w:ascii="宋体" w:hAnsi="宋体"/>
          <w:snapToGrid w:val="0"/>
          <w:color w:val="auto"/>
          <w:kern w:val="0"/>
          <w:sz w:val="24"/>
          <w:highlight w:val="none"/>
        </w:rPr>
        <w:t>按合同文件的规定执行。</w:t>
      </w:r>
    </w:p>
    <w:p w14:paraId="4841DEC3">
      <w:pPr>
        <w:spacing w:line="360" w:lineRule="auto"/>
        <w:rPr>
          <w:rFonts w:ascii="宋体" w:hAnsi="宋体"/>
          <w:color w:val="auto"/>
          <w:sz w:val="24"/>
          <w:highlight w:val="none"/>
        </w:rPr>
      </w:pPr>
      <w:bookmarkStart w:id="612" w:name="_Toc335660900"/>
      <w:r>
        <w:rPr>
          <w:rFonts w:ascii="宋体" w:hAnsi="宋体"/>
          <w:color w:val="auto"/>
          <w:sz w:val="24"/>
          <w:highlight w:val="none"/>
        </w:rPr>
        <w:t>6.2 合同的终止</w:t>
      </w:r>
      <w:bookmarkEnd w:id="612"/>
    </w:p>
    <w:p w14:paraId="7BA7A7FD">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合同双方履行完合同规定的义务后，本合同即行终止。</w:t>
      </w:r>
    </w:p>
    <w:p w14:paraId="35E16F3C">
      <w:pPr>
        <w:pStyle w:val="5"/>
        <w:rPr>
          <w:rFonts w:ascii="宋体" w:hAnsi="宋体"/>
          <w:snapToGrid w:val="0"/>
          <w:color w:val="auto"/>
          <w:kern w:val="0"/>
          <w:highlight w:val="none"/>
        </w:rPr>
      </w:pPr>
      <w:bookmarkStart w:id="613" w:name="_Toc335660901"/>
      <w:r>
        <w:rPr>
          <w:rFonts w:ascii="宋体" w:hAnsi="宋体"/>
          <w:snapToGrid w:val="0"/>
          <w:color w:val="auto"/>
          <w:kern w:val="0"/>
          <w:highlight w:val="none"/>
        </w:rPr>
        <w:t xml:space="preserve">6.3 </w:t>
      </w:r>
      <w:r>
        <w:rPr>
          <w:rFonts w:hint="eastAsia" w:ascii="宋体" w:hAnsi="宋体"/>
          <w:snapToGrid w:val="0"/>
          <w:color w:val="auto"/>
          <w:kern w:val="0"/>
          <w:highlight w:val="none"/>
        </w:rPr>
        <w:t>由于不可抗力因素致使合同无法履行时，双方应协商解决，不论何种原因，本合同的终止不应损害和影响各方应有的权利、索赔要求和应负的责任</w:t>
      </w:r>
      <w:r>
        <w:rPr>
          <w:rFonts w:ascii="宋体" w:hAnsi="宋体"/>
          <w:snapToGrid w:val="0"/>
          <w:color w:val="auto"/>
          <w:kern w:val="0"/>
          <w:highlight w:val="none"/>
        </w:rPr>
        <w:t>。</w:t>
      </w:r>
      <w:bookmarkEnd w:id="613"/>
    </w:p>
    <w:p w14:paraId="65CF467C">
      <w:pPr>
        <w:pStyle w:val="92"/>
        <w:outlineLvl w:val="0"/>
        <w:rPr>
          <w:rFonts w:ascii="宋体" w:hAnsi="宋体" w:eastAsia="宋体"/>
          <w:b/>
          <w:snapToGrid w:val="0"/>
          <w:color w:val="auto"/>
          <w:kern w:val="0"/>
          <w:highlight w:val="none"/>
        </w:rPr>
      </w:pPr>
      <w:bookmarkStart w:id="614" w:name="_Toc326241907"/>
      <w:bookmarkStart w:id="615" w:name="_Toc335721994"/>
      <w:bookmarkStart w:id="616" w:name="_Toc488649918"/>
      <w:bookmarkStart w:id="617" w:name="_Toc335660902"/>
      <w:bookmarkStart w:id="618" w:name="_Toc487114213"/>
      <w:bookmarkStart w:id="619" w:name="_Toc487654518"/>
      <w:bookmarkStart w:id="620" w:name="_Toc487619191"/>
      <w:bookmarkStart w:id="621" w:name="_Toc346269494"/>
      <w:r>
        <w:rPr>
          <w:rFonts w:ascii="宋体" w:hAnsi="宋体" w:eastAsia="宋体"/>
          <w:b/>
          <w:snapToGrid w:val="0"/>
          <w:color w:val="auto"/>
          <w:kern w:val="0"/>
          <w:highlight w:val="none"/>
        </w:rPr>
        <w:t>7. 费用与支付</w:t>
      </w:r>
      <w:bookmarkEnd w:id="614"/>
      <w:bookmarkEnd w:id="615"/>
      <w:bookmarkEnd w:id="616"/>
      <w:bookmarkEnd w:id="617"/>
      <w:bookmarkEnd w:id="618"/>
      <w:bookmarkEnd w:id="619"/>
      <w:bookmarkEnd w:id="620"/>
      <w:bookmarkEnd w:id="621"/>
    </w:p>
    <w:p w14:paraId="7D74E56D">
      <w:pPr>
        <w:snapToGrid w:val="0"/>
        <w:spacing w:line="360" w:lineRule="auto"/>
        <w:ind w:left="482" w:hanging="482" w:hangingChars="200"/>
        <w:rPr>
          <w:rFonts w:ascii="宋体" w:hAnsi="宋体"/>
          <w:b/>
          <w:color w:val="auto"/>
          <w:sz w:val="24"/>
          <w:highlight w:val="none"/>
        </w:rPr>
      </w:pPr>
      <w:bookmarkStart w:id="622" w:name="_Toc335660903"/>
      <w:r>
        <w:rPr>
          <w:rFonts w:ascii="宋体" w:hAnsi="宋体"/>
          <w:b/>
          <w:color w:val="auto"/>
          <w:sz w:val="24"/>
          <w:highlight w:val="none"/>
        </w:rPr>
        <w:t>7.1 勘察设计费用</w:t>
      </w:r>
      <w:bookmarkEnd w:id="622"/>
    </w:p>
    <w:p w14:paraId="4DFD8DC2">
      <w:pPr>
        <w:snapToGrid w:val="0"/>
        <w:spacing w:line="360" w:lineRule="auto"/>
        <w:ind w:left="480" w:hanging="480" w:hangingChars="200"/>
        <w:rPr>
          <w:rFonts w:ascii="宋体" w:hAnsi="宋体"/>
          <w:snapToGrid w:val="0"/>
          <w:color w:val="auto"/>
          <w:kern w:val="0"/>
          <w:sz w:val="24"/>
          <w:highlight w:val="none"/>
        </w:rPr>
      </w:pPr>
      <w:r>
        <w:rPr>
          <w:rFonts w:hint="eastAsia" w:ascii="宋体" w:hAnsi="宋体"/>
          <w:snapToGrid w:val="0"/>
          <w:color w:val="auto"/>
          <w:kern w:val="0"/>
          <w:sz w:val="24"/>
          <w:highlight w:val="none"/>
        </w:rPr>
        <w:t>7.1.1</w:t>
      </w:r>
      <w:r>
        <w:rPr>
          <w:rFonts w:ascii="宋体" w:hAnsi="宋体"/>
          <w:snapToGrid w:val="0"/>
          <w:color w:val="auto"/>
          <w:kern w:val="0"/>
          <w:sz w:val="24"/>
          <w:highlight w:val="none"/>
        </w:rPr>
        <w:t>发包人应按合同规定按时向设计人支付勘察设计费用、专题研究费用及设计人额外服务的费用。</w:t>
      </w:r>
    </w:p>
    <w:p w14:paraId="3C4DB522">
      <w:pPr>
        <w:snapToGrid w:val="0"/>
        <w:spacing w:line="360" w:lineRule="auto"/>
        <w:ind w:left="480" w:hanging="480" w:hangingChars="200"/>
        <w:rPr>
          <w:rFonts w:ascii="宋体" w:hAnsi="宋体"/>
          <w:snapToGrid w:val="0"/>
          <w:color w:val="auto"/>
          <w:kern w:val="0"/>
          <w:sz w:val="24"/>
          <w:highlight w:val="none"/>
        </w:rPr>
      </w:pPr>
      <w:r>
        <w:rPr>
          <w:rFonts w:hint="eastAsia" w:ascii="宋体" w:hAnsi="宋体"/>
          <w:snapToGrid w:val="0"/>
          <w:color w:val="auto"/>
          <w:kern w:val="0"/>
          <w:sz w:val="24"/>
          <w:highlight w:val="none"/>
        </w:rPr>
        <w:t>7.1.2</w:t>
      </w:r>
      <w:r>
        <w:rPr>
          <w:rFonts w:ascii="宋体" w:hAnsi="宋体"/>
          <w:snapToGrid w:val="0"/>
          <w:color w:val="auto"/>
          <w:kern w:val="0"/>
          <w:sz w:val="24"/>
          <w:highlight w:val="none"/>
        </w:rPr>
        <w:t>设计人为联合体</w:t>
      </w:r>
      <w:r>
        <w:rPr>
          <w:rFonts w:hint="eastAsia" w:ascii="宋体" w:hAnsi="宋体"/>
          <w:snapToGrid w:val="0"/>
          <w:color w:val="auto"/>
          <w:kern w:val="0"/>
          <w:sz w:val="24"/>
          <w:highlight w:val="none"/>
        </w:rPr>
        <w:t>时</w:t>
      </w:r>
      <w:r>
        <w:rPr>
          <w:rFonts w:ascii="宋体" w:hAnsi="宋体"/>
          <w:snapToGrid w:val="0"/>
          <w:color w:val="auto"/>
          <w:kern w:val="0"/>
          <w:sz w:val="24"/>
          <w:highlight w:val="none"/>
        </w:rPr>
        <w:t>，则发包人应根据勘察设计工作进展分批向联合体牵头人支付勘察设计费用。联合体牵头人提出书面申请时，发包人可分别向</w:t>
      </w:r>
      <w:r>
        <w:rPr>
          <w:rFonts w:hint="eastAsia" w:ascii="宋体" w:hAnsi="宋体"/>
          <w:snapToGrid w:val="0"/>
          <w:color w:val="auto"/>
          <w:kern w:val="0"/>
          <w:sz w:val="24"/>
          <w:highlight w:val="none"/>
        </w:rPr>
        <w:t>联合</w:t>
      </w:r>
      <w:r>
        <w:rPr>
          <w:rFonts w:ascii="宋体" w:hAnsi="宋体"/>
          <w:snapToGrid w:val="0"/>
          <w:color w:val="auto"/>
          <w:kern w:val="0"/>
          <w:sz w:val="24"/>
          <w:highlight w:val="none"/>
        </w:rPr>
        <w:t>体各成员支付合同款。</w:t>
      </w:r>
    </w:p>
    <w:p w14:paraId="572D6731">
      <w:pPr>
        <w:snapToGrid w:val="0"/>
        <w:spacing w:line="360" w:lineRule="auto"/>
        <w:ind w:left="482" w:hanging="482" w:hangingChars="200"/>
        <w:rPr>
          <w:rFonts w:ascii="宋体" w:hAnsi="宋体"/>
          <w:color w:val="auto"/>
          <w:sz w:val="24"/>
          <w:highlight w:val="none"/>
        </w:rPr>
      </w:pPr>
      <w:bookmarkStart w:id="623" w:name="_Toc335660904"/>
      <w:r>
        <w:rPr>
          <w:rFonts w:ascii="宋体" w:hAnsi="宋体"/>
          <w:b/>
          <w:color w:val="auto"/>
          <w:sz w:val="24"/>
          <w:highlight w:val="none"/>
        </w:rPr>
        <w:t>7.2</w:t>
      </w:r>
      <w:r>
        <w:rPr>
          <w:rFonts w:ascii="宋体" w:hAnsi="宋体"/>
          <w:color w:val="auto"/>
          <w:sz w:val="24"/>
          <w:highlight w:val="none"/>
        </w:rPr>
        <w:t xml:space="preserve"> 勘察设计合同价</w:t>
      </w:r>
      <w:r>
        <w:rPr>
          <w:rFonts w:hint="eastAsia" w:ascii="宋体" w:hAnsi="宋体"/>
          <w:color w:val="auto"/>
          <w:sz w:val="24"/>
          <w:highlight w:val="none"/>
        </w:rPr>
        <w:t>格</w:t>
      </w:r>
      <w:r>
        <w:rPr>
          <w:rFonts w:ascii="宋体" w:hAnsi="宋体"/>
          <w:color w:val="auto"/>
          <w:sz w:val="24"/>
          <w:highlight w:val="none"/>
        </w:rPr>
        <w:t>是完成合同所规定责任的总费用，</w:t>
      </w:r>
      <w:r>
        <w:rPr>
          <w:rFonts w:hint="eastAsia" w:ascii="宋体" w:hAnsi="宋体"/>
          <w:color w:val="auto"/>
          <w:sz w:val="24"/>
          <w:highlight w:val="none"/>
        </w:rPr>
        <w:t>由</w:t>
      </w:r>
      <w:r>
        <w:rPr>
          <w:rFonts w:ascii="宋体" w:hAnsi="宋体"/>
          <w:color w:val="auto"/>
          <w:sz w:val="24"/>
          <w:highlight w:val="none"/>
        </w:rPr>
        <w:t>设计人包干使用，发包人按进度分期支付，本合同的合同价及支付办法在专用条款中约定。</w:t>
      </w:r>
      <w:bookmarkEnd w:id="623"/>
    </w:p>
    <w:p w14:paraId="0DF7EFF5">
      <w:pPr>
        <w:pStyle w:val="4"/>
        <w:rPr>
          <w:color w:val="auto"/>
          <w:highlight w:val="none"/>
        </w:rPr>
      </w:pPr>
      <w:bookmarkStart w:id="624" w:name="_Toc335660905"/>
      <w:r>
        <w:rPr>
          <w:rFonts w:cs="Times New Roman"/>
          <w:color w:val="auto"/>
          <w:highlight w:val="none"/>
        </w:rPr>
        <w:t>7.3</w:t>
      </w:r>
      <w:r>
        <w:rPr>
          <w:rFonts w:hint="eastAsia"/>
          <w:color w:val="auto"/>
          <w:highlight w:val="none"/>
        </w:rPr>
        <w:t xml:space="preserve"> </w:t>
      </w:r>
      <w:r>
        <w:rPr>
          <w:color w:val="auto"/>
          <w:highlight w:val="none"/>
        </w:rPr>
        <w:t>暂列金额</w:t>
      </w:r>
      <w:bookmarkEnd w:id="624"/>
    </w:p>
    <w:p w14:paraId="115C5CF6">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本合同的暂列金额在专用合同条款中约定。暂列金额应按发包人的书面指示使用。</w:t>
      </w:r>
    </w:p>
    <w:p w14:paraId="09126218">
      <w:pPr>
        <w:pStyle w:val="4"/>
        <w:rPr>
          <w:color w:val="auto"/>
          <w:highlight w:val="none"/>
        </w:rPr>
      </w:pPr>
      <w:bookmarkStart w:id="625" w:name="_Toc335660906"/>
      <w:r>
        <w:rPr>
          <w:rFonts w:cs="Times New Roman"/>
          <w:color w:val="auto"/>
          <w:highlight w:val="none"/>
        </w:rPr>
        <w:t>7.4</w:t>
      </w:r>
      <w:r>
        <w:rPr>
          <w:color w:val="auto"/>
          <w:highlight w:val="none"/>
        </w:rPr>
        <w:t xml:space="preserve"> 勘察设计费用的调整</w:t>
      </w:r>
      <w:bookmarkEnd w:id="625"/>
    </w:p>
    <w:p w14:paraId="0FD80990">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在合同实施期间，</w:t>
      </w:r>
      <w:r>
        <w:rPr>
          <w:rFonts w:ascii="宋体" w:hAnsi="宋体"/>
          <w:color w:val="auto"/>
          <w:sz w:val="24"/>
          <w:highlight w:val="none"/>
        </w:rPr>
        <w:t>由于国家政策调整或新颁法律</w:t>
      </w:r>
      <w:r>
        <w:rPr>
          <w:rFonts w:ascii="宋体" w:hAnsi="宋体"/>
          <w:snapToGrid w:val="0"/>
          <w:color w:val="auto"/>
          <w:kern w:val="0"/>
          <w:sz w:val="24"/>
          <w:highlight w:val="none"/>
        </w:rPr>
        <w:t>、法规、标准</w:t>
      </w:r>
      <w:r>
        <w:rPr>
          <w:rFonts w:hint="eastAsia" w:ascii="宋体" w:hAnsi="宋体"/>
          <w:snapToGrid w:val="0"/>
          <w:color w:val="auto"/>
          <w:kern w:val="0"/>
          <w:sz w:val="24"/>
          <w:highlight w:val="none"/>
        </w:rPr>
        <w:t>，或</w:t>
      </w:r>
      <w:r>
        <w:rPr>
          <w:rFonts w:ascii="宋体" w:hAnsi="宋体"/>
          <w:snapToGrid w:val="0"/>
          <w:color w:val="auto"/>
          <w:kern w:val="0"/>
          <w:sz w:val="24"/>
          <w:highlight w:val="none"/>
        </w:rPr>
        <w:t>市场因素变化导致本项目勘察设计费用的变化，按专用合同条款中相应规定执行。</w:t>
      </w:r>
    </w:p>
    <w:p w14:paraId="5B688116">
      <w:pPr>
        <w:snapToGrid w:val="0"/>
        <w:spacing w:line="360" w:lineRule="auto"/>
        <w:ind w:left="420" w:leftChars="200"/>
        <w:rPr>
          <w:rFonts w:ascii="宋体" w:hAnsi="宋体"/>
          <w:color w:val="auto"/>
          <w:sz w:val="24"/>
          <w:highlight w:val="none"/>
        </w:rPr>
      </w:pPr>
      <w:bookmarkStart w:id="626" w:name="_Toc335660907"/>
      <w:r>
        <w:rPr>
          <w:rFonts w:ascii="宋体" w:hAnsi="宋体"/>
          <w:b/>
          <w:color w:val="auto"/>
          <w:sz w:val="24"/>
          <w:highlight w:val="none"/>
        </w:rPr>
        <w:t>7.5</w:t>
      </w:r>
      <w:r>
        <w:rPr>
          <w:rFonts w:hint="eastAsia" w:ascii="宋体" w:hAnsi="宋体"/>
          <w:color w:val="auto"/>
          <w:sz w:val="24"/>
          <w:highlight w:val="none"/>
        </w:rPr>
        <w:t xml:space="preserve"> </w:t>
      </w:r>
      <w:r>
        <w:rPr>
          <w:rFonts w:hint="eastAsia" w:ascii="宋体" w:hAnsi="宋体"/>
          <w:snapToGrid w:val="0"/>
          <w:color w:val="auto"/>
          <w:kern w:val="0"/>
          <w:sz w:val="24"/>
          <w:highlight w:val="none"/>
        </w:rPr>
        <w:t>如专用合同条款要求设计人提交履约担保的</w:t>
      </w:r>
      <w:r>
        <w:rPr>
          <w:rFonts w:hint="eastAsia" w:ascii="宋体" w:hAnsi="宋体"/>
          <w:color w:val="auto"/>
          <w:sz w:val="24"/>
          <w:highlight w:val="none"/>
        </w:rPr>
        <w:t>，在签订合同前，设计人应按专用合同条款中规定的金额和形式向发包人提交履约担保，担保期满后，发包人应及时退还。</w:t>
      </w:r>
    </w:p>
    <w:p w14:paraId="33BE8715">
      <w:pPr>
        <w:pStyle w:val="4"/>
        <w:rPr>
          <w:color w:val="auto"/>
          <w:highlight w:val="none"/>
        </w:rPr>
      </w:pPr>
      <w:r>
        <w:rPr>
          <w:rFonts w:cs="Times New Roman"/>
          <w:color w:val="auto"/>
          <w:highlight w:val="none"/>
        </w:rPr>
        <w:t>7.6</w:t>
      </w:r>
      <w:r>
        <w:rPr>
          <w:rFonts w:hint="eastAsia"/>
          <w:color w:val="auto"/>
          <w:highlight w:val="none"/>
        </w:rPr>
        <w:t xml:space="preserve"> </w:t>
      </w:r>
      <w:r>
        <w:rPr>
          <w:color w:val="auto"/>
          <w:highlight w:val="none"/>
        </w:rPr>
        <w:t>税费</w:t>
      </w:r>
      <w:bookmarkEnd w:id="626"/>
    </w:p>
    <w:p w14:paraId="4587AE2B">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设计人应自行承担完成本项目勘察设计工作需缴纳的一切税费，</w:t>
      </w:r>
      <w:r>
        <w:rPr>
          <w:rFonts w:hint="eastAsia" w:ascii="宋体" w:hAnsi="宋体"/>
          <w:snapToGrid w:val="0"/>
          <w:color w:val="auto"/>
          <w:kern w:val="0"/>
          <w:sz w:val="24"/>
          <w:highlight w:val="none"/>
        </w:rPr>
        <w:t>并包括在报价清单各项目报价之内，</w:t>
      </w:r>
      <w:r>
        <w:rPr>
          <w:rFonts w:ascii="宋体" w:hAnsi="宋体"/>
          <w:snapToGrid w:val="0"/>
          <w:color w:val="auto"/>
          <w:kern w:val="0"/>
          <w:sz w:val="24"/>
          <w:highlight w:val="none"/>
        </w:rPr>
        <w:t>发包人不另行支付。</w:t>
      </w:r>
    </w:p>
    <w:p w14:paraId="6045EF57">
      <w:pPr>
        <w:pStyle w:val="92"/>
        <w:outlineLvl w:val="0"/>
        <w:rPr>
          <w:rFonts w:ascii="宋体" w:hAnsi="宋体" w:eastAsia="宋体"/>
          <w:b/>
          <w:snapToGrid w:val="0"/>
          <w:color w:val="auto"/>
          <w:kern w:val="0"/>
          <w:highlight w:val="none"/>
        </w:rPr>
      </w:pPr>
      <w:bookmarkStart w:id="627" w:name="_Toc335660908"/>
      <w:bookmarkStart w:id="628" w:name="_Toc335721995"/>
      <w:bookmarkStart w:id="629" w:name="_Toc326241908"/>
      <w:bookmarkStart w:id="630" w:name="_Toc487114214"/>
      <w:bookmarkStart w:id="631" w:name="_Toc488649919"/>
      <w:bookmarkStart w:id="632" w:name="_Toc487654519"/>
      <w:bookmarkStart w:id="633" w:name="_Toc487619192"/>
      <w:bookmarkStart w:id="634" w:name="_Toc346269495"/>
      <w:r>
        <w:rPr>
          <w:rFonts w:ascii="宋体" w:hAnsi="宋体" w:eastAsia="宋体"/>
          <w:b/>
          <w:snapToGrid w:val="0"/>
          <w:color w:val="auto"/>
          <w:kern w:val="0"/>
          <w:highlight w:val="none"/>
        </w:rPr>
        <w:t xml:space="preserve">8. </w:t>
      </w:r>
      <w:bookmarkEnd w:id="627"/>
      <w:bookmarkEnd w:id="628"/>
      <w:bookmarkEnd w:id="629"/>
      <w:r>
        <w:rPr>
          <w:rFonts w:ascii="宋体" w:hAnsi="宋体" w:eastAsia="宋体"/>
          <w:b/>
          <w:snapToGrid w:val="0"/>
          <w:color w:val="auto"/>
          <w:kern w:val="0"/>
          <w:highlight w:val="none"/>
        </w:rPr>
        <w:t>其他</w:t>
      </w:r>
      <w:bookmarkEnd w:id="630"/>
      <w:bookmarkEnd w:id="631"/>
      <w:bookmarkEnd w:id="632"/>
      <w:bookmarkEnd w:id="633"/>
      <w:bookmarkEnd w:id="634"/>
    </w:p>
    <w:p w14:paraId="64711703">
      <w:pPr>
        <w:pStyle w:val="4"/>
        <w:rPr>
          <w:color w:val="auto"/>
          <w:highlight w:val="none"/>
        </w:rPr>
      </w:pPr>
      <w:bookmarkStart w:id="635" w:name="_Toc335660909"/>
      <w:r>
        <w:rPr>
          <w:color w:val="auto"/>
          <w:highlight w:val="none"/>
        </w:rPr>
        <w:t>8.1 法律和法规</w:t>
      </w:r>
      <w:bookmarkEnd w:id="635"/>
    </w:p>
    <w:p w14:paraId="1102B76D">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本合同必须服从中华人民共和国现行法律</w:t>
      </w:r>
      <w:r>
        <w:rPr>
          <w:rFonts w:hint="eastAsia" w:ascii="宋体" w:hAnsi="宋体"/>
          <w:snapToGrid w:val="0"/>
          <w:color w:val="auto"/>
          <w:kern w:val="0"/>
          <w:sz w:val="24"/>
          <w:highlight w:val="none"/>
        </w:rPr>
        <w:t>、</w:t>
      </w:r>
      <w:r>
        <w:rPr>
          <w:rFonts w:ascii="宋体" w:hAnsi="宋体"/>
          <w:snapToGrid w:val="0"/>
          <w:color w:val="auto"/>
          <w:kern w:val="0"/>
          <w:sz w:val="24"/>
          <w:highlight w:val="none"/>
        </w:rPr>
        <w:t>法规，对合同的解释应以中华人民共和国的现行法律</w:t>
      </w:r>
      <w:r>
        <w:rPr>
          <w:rFonts w:hint="eastAsia" w:ascii="宋体" w:hAnsi="宋体"/>
          <w:snapToGrid w:val="0"/>
          <w:color w:val="auto"/>
          <w:kern w:val="0"/>
          <w:sz w:val="24"/>
          <w:highlight w:val="none"/>
        </w:rPr>
        <w:t>、</w:t>
      </w:r>
      <w:r>
        <w:rPr>
          <w:rFonts w:ascii="宋体" w:hAnsi="宋体"/>
          <w:snapToGrid w:val="0"/>
          <w:color w:val="auto"/>
          <w:kern w:val="0"/>
          <w:sz w:val="24"/>
          <w:highlight w:val="none"/>
        </w:rPr>
        <w:t>法规为准。</w:t>
      </w:r>
    </w:p>
    <w:p w14:paraId="00157FC8">
      <w:pPr>
        <w:pStyle w:val="4"/>
        <w:rPr>
          <w:color w:val="auto"/>
          <w:highlight w:val="none"/>
        </w:rPr>
      </w:pPr>
      <w:bookmarkStart w:id="636" w:name="_Toc335660910"/>
      <w:r>
        <w:rPr>
          <w:color w:val="auto"/>
          <w:highlight w:val="none"/>
        </w:rPr>
        <w:t>8.2知识产权</w:t>
      </w:r>
      <w:bookmarkEnd w:id="636"/>
    </w:p>
    <w:p w14:paraId="0CD713AF">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发包人就本项目勘察设计及专题研究工作而向设计人提供的成果为发包人所拥有。设计人因受发包人委托进行的本项目勘察设计及专题研究而产生的成果为双方所共同享有。</w:t>
      </w:r>
    </w:p>
    <w:p w14:paraId="2E83CE6B">
      <w:pPr>
        <w:pStyle w:val="4"/>
        <w:rPr>
          <w:color w:val="auto"/>
          <w:highlight w:val="none"/>
        </w:rPr>
      </w:pPr>
      <w:bookmarkStart w:id="637" w:name="_Toc335660911"/>
      <w:r>
        <w:rPr>
          <w:color w:val="auto"/>
          <w:highlight w:val="none"/>
        </w:rPr>
        <w:t>8.3 争议的解决</w:t>
      </w:r>
      <w:bookmarkEnd w:id="637"/>
    </w:p>
    <w:p w14:paraId="08957B57">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本合同在执行过程中，如发生争议</w:t>
      </w:r>
      <w:r>
        <w:rPr>
          <w:rFonts w:hint="eastAsia" w:ascii="宋体" w:hAnsi="宋体"/>
          <w:snapToGrid w:val="0"/>
          <w:color w:val="auto"/>
          <w:kern w:val="0"/>
          <w:sz w:val="24"/>
          <w:highlight w:val="none"/>
        </w:rPr>
        <w:t>，</w:t>
      </w:r>
      <w:r>
        <w:rPr>
          <w:rFonts w:ascii="宋体" w:hAnsi="宋体"/>
          <w:snapToGrid w:val="0"/>
          <w:color w:val="auto"/>
          <w:kern w:val="0"/>
          <w:sz w:val="24"/>
          <w:highlight w:val="none"/>
        </w:rPr>
        <w:t>双方协商解决</w:t>
      </w:r>
      <w:r>
        <w:rPr>
          <w:rFonts w:hint="eastAsia" w:ascii="宋体" w:hAnsi="宋体"/>
          <w:snapToGrid w:val="0"/>
          <w:color w:val="auto"/>
          <w:kern w:val="0"/>
          <w:sz w:val="24"/>
          <w:highlight w:val="none"/>
        </w:rPr>
        <w:t>；</w:t>
      </w:r>
      <w:r>
        <w:rPr>
          <w:rFonts w:ascii="宋体" w:hAnsi="宋体"/>
          <w:snapToGrid w:val="0"/>
          <w:color w:val="auto"/>
          <w:kern w:val="0"/>
          <w:sz w:val="24"/>
          <w:highlight w:val="none"/>
        </w:rPr>
        <w:t>协商不成按下列一种方式解决：</w:t>
      </w:r>
    </w:p>
    <w:p w14:paraId="4E57758D">
      <w:pPr>
        <w:snapToGrid w:val="0"/>
        <w:spacing w:line="360" w:lineRule="auto"/>
        <w:ind w:firstLine="420" w:firstLineChars="200"/>
        <w:rPr>
          <w:rFonts w:ascii="宋体" w:hAnsi="宋体"/>
          <w:snapToGrid w:val="0"/>
          <w:color w:val="auto"/>
          <w:kern w:val="0"/>
          <w:highlight w:val="none"/>
        </w:rPr>
      </w:pPr>
      <w:bookmarkStart w:id="638" w:name="_Toc335660912"/>
      <w:r>
        <w:rPr>
          <w:rFonts w:hint="eastAsia" w:ascii="宋体" w:hAnsi="宋体"/>
          <w:snapToGrid w:val="0"/>
          <w:color w:val="auto"/>
          <w:kern w:val="0"/>
          <w:highlight w:val="none"/>
        </w:rPr>
        <w:t>（</w:t>
      </w:r>
      <w:r>
        <w:rPr>
          <w:rFonts w:ascii="宋体" w:hAnsi="宋体"/>
          <w:snapToGrid w:val="0"/>
          <w:color w:val="auto"/>
          <w:kern w:val="0"/>
          <w:highlight w:val="none"/>
        </w:rPr>
        <w:t xml:space="preserve">1） </w:t>
      </w:r>
      <w:r>
        <w:rPr>
          <w:rFonts w:hint="eastAsia" w:ascii="宋体" w:hAnsi="宋体"/>
          <w:snapToGrid w:val="0"/>
          <w:color w:val="auto"/>
          <w:kern w:val="0"/>
          <w:sz w:val="24"/>
          <w:highlight w:val="none"/>
        </w:rPr>
        <w:t>向</w:t>
      </w:r>
      <w:r>
        <w:rPr>
          <w:rFonts w:ascii="宋体" w:hAnsi="宋体"/>
          <w:snapToGrid w:val="0"/>
          <w:color w:val="auto"/>
          <w:kern w:val="0"/>
          <w:sz w:val="24"/>
          <w:highlight w:val="none"/>
        </w:rPr>
        <w:t>约定的</w:t>
      </w:r>
      <w:r>
        <w:rPr>
          <w:rFonts w:hint="eastAsia" w:ascii="宋体" w:hAnsi="宋体"/>
          <w:snapToGrid w:val="0"/>
          <w:color w:val="auto"/>
          <w:kern w:val="0"/>
          <w:sz w:val="24"/>
          <w:highlight w:val="none"/>
        </w:rPr>
        <w:t>仲裁</w:t>
      </w:r>
      <w:r>
        <w:rPr>
          <w:rFonts w:ascii="宋体" w:hAnsi="宋体"/>
          <w:snapToGrid w:val="0"/>
          <w:color w:val="auto"/>
          <w:kern w:val="0"/>
          <w:sz w:val="24"/>
          <w:highlight w:val="none"/>
        </w:rPr>
        <w:t>委员会</w:t>
      </w:r>
      <w:r>
        <w:rPr>
          <w:rFonts w:hint="eastAsia" w:ascii="宋体" w:hAnsi="宋体"/>
          <w:snapToGrid w:val="0"/>
          <w:color w:val="auto"/>
          <w:kern w:val="0"/>
          <w:sz w:val="24"/>
          <w:highlight w:val="none"/>
        </w:rPr>
        <w:t>申请</w:t>
      </w:r>
      <w:r>
        <w:rPr>
          <w:rFonts w:ascii="宋体" w:hAnsi="宋体"/>
          <w:snapToGrid w:val="0"/>
          <w:color w:val="auto"/>
          <w:kern w:val="0"/>
          <w:sz w:val="24"/>
          <w:highlight w:val="none"/>
        </w:rPr>
        <w:t>仲裁</w:t>
      </w:r>
      <w:r>
        <w:rPr>
          <w:rFonts w:ascii="宋体" w:hAnsi="宋体"/>
          <w:snapToGrid w:val="0"/>
          <w:color w:val="auto"/>
          <w:kern w:val="0"/>
          <w:highlight w:val="none"/>
        </w:rPr>
        <w:t>；</w:t>
      </w:r>
      <w:bookmarkEnd w:id="638"/>
    </w:p>
    <w:p w14:paraId="354F8689">
      <w:pPr>
        <w:snapToGrid w:val="0"/>
        <w:spacing w:line="360" w:lineRule="auto"/>
        <w:ind w:firstLine="420" w:firstLineChars="200"/>
        <w:rPr>
          <w:rFonts w:ascii="宋体" w:hAnsi="宋体"/>
          <w:snapToGrid w:val="0"/>
          <w:color w:val="auto"/>
          <w:kern w:val="0"/>
          <w:highlight w:val="none"/>
        </w:rPr>
      </w:pPr>
      <w:bookmarkStart w:id="639" w:name="_Toc335660913"/>
      <w:r>
        <w:rPr>
          <w:rFonts w:hint="eastAsia" w:ascii="宋体" w:hAnsi="宋体"/>
          <w:snapToGrid w:val="0"/>
          <w:color w:val="auto"/>
          <w:kern w:val="0"/>
          <w:highlight w:val="none"/>
        </w:rPr>
        <w:t>（</w:t>
      </w:r>
      <w:r>
        <w:rPr>
          <w:rFonts w:ascii="宋体" w:hAnsi="宋体"/>
          <w:snapToGrid w:val="0"/>
          <w:color w:val="auto"/>
          <w:kern w:val="0"/>
          <w:highlight w:val="none"/>
        </w:rPr>
        <w:t xml:space="preserve">2） </w:t>
      </w:r>
      <w:r>
        <w:rPr>
          <w:rFonts w:ascii="宋体" w:hAnsi="宋体"/>
          <w:snapToGrid w:val="0"/>
          <w:color w:val="auto"/>
          <w:kern w:val="0"/>
          <w:sz w:val="24"/>
          <w:highlight w:val="none"/>
        </w:rPr>
        <w:t>向</w:t>
      </w:r>
      <w:r>
        <w:rPr>
          <w:rFonts w:hint="eastAsia" w:ascii="宋体" w:hAnsi="宋体"/>
          <w:snapToGrid w:val="0"/>
          <w:color w:val="auto"/>
          <w:kern w:val="0"/>
          <w:sz w:val="24"/>
          <w:highlight w:val="none"/>
        </w:rPr>
        <w:t>约定的</w:t>
      </w:r>
      <w:r>
        <w:rPr>
          <w:rFonts w:ascii="宋体" w:hAnsi="宋体"/>
          <w:snapToGrid w:val="0"/>
          <w:color w:val="auto"/>
          <w:kern w:val="0"/>
          <w:sz w:val="24"/>
          <w:highlight w:val="none"/>
        </w:rPr>
        <w:t>人民法院提起诉讼</w:t>
      </w:r>
      <w:r>
        <w:rPr>
          <w:rFonts w:ascii="宋体" w:hAnsi="宋体"/>
          <w:snapToGrid w:val="0"/>
          <w:color w:val="auto"/>
          <w:kern w:val="0"/>
          <w:highlight w:val="none"/>
        </w:rPr>
        <w:t>。</w:t>
      </w:r>
      <w:bookmarkEnd w:id="639"/>
    </w:p>
    <w:p w14:paraId="19599236">
      <w:pPr>
        <w:pStyle w:val="92"/>
        <w:spacing w:before="0" w:beforeLines="0"/>
        <w:outlineLvl w:val="0"/>
        <w:rPr>
          <w:rFonts w:ascii="宋体" w:hAnsi="宋体" w:eastAsia="宋体"/>
          <w:b/>
          <w:snapToGrid w:val="0"/>
          <w:color w:val="auto"/>
          <w:kern w:val="0"/>
          <w:highlight w:val="none"/>
        </w:rPr>
      </w:pPr>
      <w:r>
        <w:rPr>
          <w:rFonts w:ascii="宋体" w:hAnsi="宋体" w:eastAsia="宋体"/>
          <w:snapToGrid w:val="0"/>
          <w:color w:val="auto"/>
          <w:kern w:val="0"/>
          <w:highlight w:val="none"/>
        </w:rPr>
        <w:br w:type="page"/>
      </w:r>
      <w:bookmarkStart w:id="640" w:name="_Toc488649920"/>
      <w:bookmarkStart w:id="641" w:name="_Toc326241909"/>
      <w:bookmarkStart w:id="642" w:name="_Toc335660914"/>
      <w:bookmarkStart w:id="643" w:name="_Toc335721996"/>
      <w:bookmarkStart w:id="644" w:name="_Toc346269496"/>
      <w:r>
        <w:rPr>
          <w:rFonts w:ascii="宋体" w:hAnsi="宋体" w:eastAsia="宋体"/>
          <w:b/>
          <w:snapToGrid w:val="0"/>
          <w:color w:val="auto"/>
          <w:kern w:val="0"/>
          <w:highlight w:val="none"/>
        </w:rPr>
        <w:t>第二节 专用合同条款</w:t>
      </w:r>
      <w:bookmarkEnd w:id="640"/>
      <w:bookmarkEnd w:id="641"/>
      <w:bookmarkEnd w:id="642"/>
      <w:bookmarkEnd w:id="643"/>
      <w:bookmarkEnd w:id="644"/>
    </w:p>
    <w:p w14:paraId="6042B4BB">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勘察设计合同专用条款是根据本项目的具体情况和特点，对</w:t>
      </w:r>
      <w:r>
        <w:rPr>
          <w:rFonts w:hint="eastAsia" w:ascii="宋体" w:hAnsi="宋体"/>
          <w:snapToGrid w:val="0"/>
          <w:color w:val="auto"/>
          <w:kern w:val="0"/>
          <w:sz w:val="24"/>
          <w:highlight w:val="none"/>
        </w:rPr>
        <w:t>本章</w:t>
      </w:r>
      <w:r>
        <w:rPr>
          <w:rFonts w:ascii="宋体" w:hAnsi="宋体"/>
          <w:snapToGrid w:val="0"/>
          <w:color w:val="auto"/>
          <w:kern w:val="0"/>
          <w:sz w:val="24"/>
          <w:highlight w:val="none"/>
        </w:rPr>
        <w:t xml:space="preserve"> “通用合同条款”</w:t>
      </w:r>
      <w:r>
        <w:rPr>
          <w:rFonts w:hint="eastAsia" w:ascii="宋体" w:hAnsi="宋体"/>
          <w:snapToGrid w:val="0"/>
          <w:color w:val="auto"/>
          <w:kern w:val="0"/>
          <w:sz w:val="24"/>
          <w:highlight w:val="none"/>
        </w:rPr>
        <w:t>的</w:t>
      </w:r>
      <w:r>
        <w:rPr>
          <w:rFonts w:ascii="宋体" w:hAnsi="宋体"/>
          <w:snapToGrid w:val="0"/>
          <w:color w:val="auto"/>
          <w:kern w:val="0"/>
          <w:sz w:val="24"/>
          <w:highlight w:val="none"/>
        </w:rPr>
        <w:t>内容进行补充、细化或修改</w:t>
      </w:r>
      <w:r>
        <w:rPr>
          <w:rFonts w:hint="eastAsia" w:ascii="宋体" w:hAnsi="宋体"/>
          <w:snapToGrid w:val="0"/>
          <w:color w:val="auto"/>
          <w:kern w:val="0"/>
          <w:sz w:val="24"/>
          <w:highlight w:val="none"/>
        </w:rPr>
        <w:t>，且</w:t>
      </w:r>
      <w:r>
        <w:rPr>
          <w:rFonts w:ascii="宋体" w:hAnsi="宋体"/>
          <w:snapToGrid w:val="0"/>
          <w:color w:val="auto"/>
          <w:kern w:val="0"/>
          <w:sz w:val="24"/>
          <w:highlight w:val="none"/>
        </w:rPr>
        <w:t>不得违反</w:t>
      </w:r>
      <w:r>
        <w:rPr>
          <w:rFonts w:hint="eastAsia" w:ascii="宋体" w:hAnsi="宋体"/>
          <w:snapToGrid w:val="0"/>
          <w:color w:val="auto"/>
          <w:kern w:val="0"/>
          <w:sz w:val="24"/>
          <w:highlight w:val="none"/>
        </w:rPr>
        <w:t>国家有关</w:t>
      </w:r>
      <w:r>
        <w:rPr>
          <w:rFonts w:ascii="宋体" w:hAnsi="宋体"/>
          <w:snapToGrid w:val="0"/>
          <w:color w:val="auto"/>
          <w:kern w:val="0"/>
          <w:sz w:val="24"/>
          <w:highlight w:val="none"/>
        </w:rPr>
        <w:t>法律、法规</w:t>
      </w:r>
      <w:r>
        <w:rPr>
          <w:rFonts w:hint="eastAsia" w:ascii="宋体" w:hAnsi="宋体"/>
          <w:snapToGrid w:val="0"/>
          <w:color w:val="auto"/>
          <w:kern w:val="0"/>
          <w:sz w:val="24"/>
          <w:highlight w:val="none"/>
        </w:rPr>
        <w:t>的规定，遵循</w:t>
      </w:r>
      <w:r>
        <w:rPr>
          <w:rFonts w:ascii="宋体" w:hAnsi="宋体"/>
          <w:snapToGrid w:val="0"/>
          <w:color w:val="auto"/>
          <w:kern w:val="0"/>
          <w:sz w:val="24"/>
          <w:highlight w:val="none"/>
        </w:rPr>
        <w:t>平等、自愿、公平</w:t>
      </w:r>
      <w:r>
        <w:rPr>
          <w:rFonts w:hint="eastAsia" w:ascii="宋体" w:hAnsi="宋体"/>
          <w:snapToGrid w:val="0"/>
          <w:color w:val="auto"/>
          <w:kern w:val="0"/>
          <w:sz w:val="24"/>
          <w:highlight w:val="none"/>
        </w:rPr>
        <w:t>、</w:t>
      </w:r>
      <w:r>
        <w:rPr>
          <w:rFonts w:ascii="宋体" w:hAnsi="宋体"/>
          <w:snapToGrid w:val="0"/>
          <w:color w:val="auto"/>
          <w:kern w:val="0"/>
          <w:sz w:val="24"/>
          <w:highlight w:val="none"/>
        </w:rPr>
        <w:t>诚信的原则</w:t>
      </w:r>
      <w:r>
        <w:rPr>
          <w:rFonts w:hint="eastAsia" w:ascii="宋体" w:hAnsi="宋体"/>
          <w:snapToGrid w:val="0"/>
          <w:color w:val="auto"/>
          <w:kern w:val="0"/>
          <w:sz w:val="24"/>
          <w:highlight w:val="none"/>
        </w:rPr>
        <w:t>。专用合同条款的编号应与通用合同条款的编号相一致，根据本项目的具体情况对“通用合同条款”的内容作如下补充、细化。</w:t>
      </w:r>
    </w:p>
    <w:p w14:paraId="6196AFA9">
      <w:pPr>
        <w:pStyle w:val="92"/>
        <w:spacing w:before="360" w:beforeLines="150"/>
        <w:outlineLvl w:val="0"/>
        <w:rPr>
          <w:rFonts w:ascii="宋体" w:hAnsi="宋体" w:eastAsia="宋体"/>
          <w:b/>
          <w:snapToGrid w:val="0"/>
          <w:color w:val="auto"/>
          <w:kern w:val="0"/>
          <w:highlight w:val="none"/>
        </w:rPr>
      </w:pPr>
      <w:bookmarkStart w:id="645" w:name="_Toc326241910"/>
      <w:bookmarkStart w:id="646" w:name="_Toc335721997"/>
      <w:bookmarkStart w:id="647" w:name="_Toc346269497"/>
      <w:bookmarkStart w:id="648" w:name="_Toc487654521"/>
      <w:bookmarkStart w:id="649" w:name="_Toc335660915"/>
      <w:bookmarkStart w:id="650" w:name="_Toc487619194"/>
      <w:bookmarkStart w:id="651" w:name="_Toc488649921"/>
      <w:bookmarkStart w:id="652" w:name="_Toc487114216"/>
      <w:r>
        <w:rPr>
          <w:rFonts w:ascii="宋体" w:hAnsi="宋体" w:eastAsia="宋体"/>
          <w:b/>
          <w:snapToGrid w:val="0"/>
          <w:color w:val="auto"/>
          <w:kern w:val="0"/>
          <w:highlight w:val="none"/>
        </w:rPr>
        <w:t>1. 定义和解释</w:t>
      </w:r>
      <w:bookmarkEnd w:id="645"/>
      <w:bookmarkEnd w:id="646"/>
      <w:bookmarkEnd w:id="647"/>
      <w:bookmarkEnd w:id="648"/>
      <w:bookmarkEnd w:id="649"/>
      <w:bookmarkEnd w:id="650"/>
      <w:bookmarkEnd w:id="651"/>
      <w:bookmarkEnd w:id="652"/>
    </w:p>
    <w:p w14:paraId="2FFEC12B">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1.1 本合同的项目名称</w:t>
      </w:r>
      <w:r>
        <w:rPr>
          <w:rFonts w:hint="eastAsia" w:ascii="宋体" w:hAnsi="宋体"/>
          <w:snapToGrid w:val="0"/>
          <w:color w:val="auto"/>
          <w:kern w:val="0"/>
          <w:sz w:val="24"/>
          <w:highlight w:val="none"/>
        </w:rPr>
        <w:t xml:space="preserve"> 、建设规模、建设地点：</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5CE18A39">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1.2 本合同的发包人：</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29E41076">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1.3 本合同的设计人</w:t>
      </w:r>
      <w:r>
        <w:rPr>
          <w:rFonts w:hint="eastAsia" w:ascii="宋体" w:hAnsi="宋体"/>
          <w:snapToGrid w:val="0"/>
          <w:color w:val="auto"/>
          <w:kern w:val="0"/>
          <w:sz w:val="24"/>
          <w:highlight w:val="none"/>
        </w:rPr>
        <w:t>：</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4B335C88">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1.10</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本合同包括的具体勘察设计</w:t>
      </w:r>
      <w:r>
        <w:rPr>
          <w:rFonts w:hint="eastAsia" w:ascii="宋体" w:hAnsi="宋体"/>
          <w:snapToGrid w:val="0"/>
          <w:color w:val="auto"/>
          <w:kern w:val="0"/>
          <w:sz w:val="24"/>
          <w:highlight w:val="none"/>
        </w:rPr>
        <w:t>范围及</w:t>
      </w:r>
      <w:r>
        <w:rPr>
          <w:rFonts w:ascii="宋体" w:hAnsi="宋体"/>
          <w:snapToGrid w:val="0"/>
          <w:color w:val="auto"/>
          <w:kern w:val="0"/>
          <w:sz w:val="24"/>
          <w:highlight w:val="none"/>
        </w:rPr>
        <w:t>内容：</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F1C946D">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1.11</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本合同包括的勘察报告：</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2D14C21A">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1.12</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本合同包括的设计文件：</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429B2C99">
      <w:pPr>
        <w:pStyle w:val="92"/>
        <w:spacing w:before="360" w:beforeLines="150"/>
        <w:outlineLvl w:val="0"/>
        <w:rPr>
          <w:rFonts w:ascii="宋体" w:hAnsi="宋体" w:eastAsia="宋体"/>
          <w:b/>
          <w:snapToGrid w:val="0"/>
          <w:color w:val="auto"/>
          <w:kern w:val="0"/>
          <w:highlight w:val="none"/>
        </w:rPr>
      </w:pPr>
      <w:bookmarkStart w:id="653" w:name="_Toc335660916"/>
      <w:bookmarkStart w:id="654" w:name="_Toc326241911"/>
      <w:bookmarkStart w:id="655" w:name="_Toc487654522"/>
      <w:bookmarkStart w:id="656" w:name="_Toc335721998"/>
      <w:bookmarkStart w:id="657" w:name="_Toc488649922"/>
      <w:bookmarkStart w:id="658" w:name="_Toc346269498"/>
      <w:bookmarkStart w:id="659" w:name="_Toc487619195"/>
      <w:bookmarkStart w:id="660" w:name="_Toc487114217"/>
      <w:r>
        <w:rPr>
          <w:rFonts w:ascii="宋体" w:hAnsi="宋体" w:eastAsia="宋体"/>
          <w:b/>
          <w:snapToGrid w:val="0"/>
          <w:color w:val="auto"/>
          <w:kern w:val="0"/>
          <w:highlight w:val="none"/>
        </w:rPr>
        <w:t>2. 发包人的责任与义务</w:t>
      </w:r>
      <w:bookmarkEnd w:id="653"/>
      <w:bookmarkEnd w:id="654"/>
      <w:bookmarkEnd w:id="655"/>
      <w:bookmarkEnd w:id="656"/>
      <w:bookmarkEnd w:id="657"/>
      <w:bookmarkEnd w:id="658"/>
      <w:bookmarkEnd w:id="659"/>
      <w:bookmarkEnd w:id="660"/>
    </w:p>
    <w:p w14:paraId="0DE28B52">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 xml:space="preserve">8 </w:t>
      </w:r>
      <w:r>
        <w:rPr>
          <w:rFonts w:ascii="宋体" w:hAnsi="宋体"/>
          <w:snapToGrid w:val="0"/>
          <w:color w:val="auto"/>
          <w:kern w:val="0"/>
          <w:sz w:val="24"/>
          <w:highlight w:val="none"/>
        </w:rPr>
        <w:t>发包人应履行的其他责任：</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076220F2">
      <w:pPr>
        <w:pStyle w:val="92"/>
        <w:spacing w:before="360" w:beforeLines="150"/>
        <w:outlineLvl w:val="0"/>
        <w:rPr>
          <w:rFonts w:ascii="宋体" w:hAnsi="宋体" w:eastAsia="宋体"/>
          <w:b/>
          <w:snapToGrid w:val="0"/>
          <w:color w:val="auto"/>
          <w:kern w:val="0"/>
          <w:highlight w:val="none"/>
        </w:rPr>
      </w:pPr>
      <w:bookmarkStart w:id="661" w:name="_Toc326241912"/>
      <w:bookmarkStart w:id="662" w:name="_Toc335721999"/>
      <w:bookmarkStart w:id="663" w:name="_Toc346269499"/>
      <w:bookmarkStart w:id="664" w:name="_Toc487654523"/>
      <w:bookmarkStart w:id="665" w:name="_Toc488649923"/>
      <w:bookmarkStart w:id="666" w:name="_Toc487114218"/>
      <w:bookmarkStart w:id="667" w:name="_Toc487619196"/>
      <w:bookmarkStart w:id="668" w:name="_Toc335660917"/>
      <w:r>
        <w:rPr>
          <w:rFonts w:ascii="宋体" w:hAnsi="宋体" w:eastAsia="宋体"/>
          <w:b/>
          <w:snapToGrid w:val="0"/>
          <w:color w:val="auto"/>
          <w:kern w:val="0"/>
          <w:highlight w:val="none"/>
        </w:rPr>
        <w:t>3. 设计人的责任与义务</w:t>
      </w:r>
      <w:bookmarkEnd w:id="661"/>
      <w:bookmarkEnd w:id="662"/>
      <w:bookmarkEnd w:id="663"/>
      <w:bookmarkEnd w:id="664"/>
      <w:bookmarkEnd w:id="665"/>
      <w:bookmarkEnd w:id="666"/>
      <w:bookmarkEnd w:id="667"/>
      <w:bookmarkEnd w:id="668"/>
    </w:p>
    <w:p w14:paraId="5E775585">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3.9 设计人应履行的其他责任：</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75FD7ED9">
      <w:pPr>
        <w:pStyle w:val="92"/>
        <w:spacing w:before="360" w:beforeLines="150"/>
        <w:outlineLvl w:val="0"/>
        <w:rPr>
          <w:rFonts w:ascii="宋体" w:hAnsi="宋体" w:eastAsia="宋体"/>
          <w:b/>
          <w:snapToGrid w:val="0"/>
          <w:color w:val="auto"/>
          <w:kern w:val="0"/>
          <w:highlight w:val="none"/>
        </w:rPr>
      </w:pPr>
      <w:bookmarkStart w:id="669" w:name="_Toc487619197"/>
      <w:bookmarkStart w:id="670" w:name="_Toc335722000"/>
      <w:bookmarkStart w:id="671" w:name="_Toc346269500"/>
      <w:bookmarkStart w:id="672" w:name="_Toc487654524"/>
      <w:bookmarkStart w:id="673" w:name="_Toc326241913"/>
      <w:bookmarkStart w:id="674" w:name="_Toc488649924"/>
      <w:bookmarkStart w:id="675" w:name="_Toc487114219"/>
      <w:bookmarkStart w:id="676" w:name="_Toc335660918"/>
      <w:r>
        <w:rPr>
          <w:rFonts w:ascii="宋体" w:hAnsi="宋体" w:eastAsia="宋体"/>
          <w:b/>
          <w:snapToGrid w:val="0"/>
          <w:color w:val="auto"/>
          <w:kern w:val="0"/>
          <w:highlight w:val="none"/>
        </w:rPr>
        <w:t>4. 勘察设计</w:t>
      </w:r>
      <w:r>
        <w:rPr>
          <w:rFonts w:hint="eastAsia" w:ascii="宋体" w:hAnsi="宋体" w:eastAsia="宋体"/>
          <w:b/>
          <w:snapToGrid w:val="0"/>
          <w:color w:val="auto"/>
          <w:kern w:val="0"/>
          <w:highlight w:val="none"/>
        </w:rPr>
        <w:t>周</w:t>
      </w:r>
      <w:r>
        <w:rPr>
          <w:rFonts w:ascii="宋体" w:hAnsi="宋体" w:eastAsia="宋体"/>
          <w:b/>
          <w:snapToGrid w:val="0"/>
          <w:color w:val="auto"/>
          <w:kern w:val="0"/>
          <w:highlight w:val="none"/>
        </w:rPr>
        <w:t>期及提交成果</w:t>
      </w:r>
      <w:bookmarkEnd w:id="669"/>
      <w:bookmarkEnd w:id="670"/>
      <w:bookmarkEnd w:id="671"/>
      <w:bookmarkEnd w:id="672"/>
      <w:bookmarkEnd w:id="673"/>
      <w:bookmarkEnd w:id="674"/>
      <w:bookmarkEnd w:id="675"/>
      <w:bookmarkEnd w:id="676"/>
    </w:p>
    <w:p w14:paraId="5AE0AB4F">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4.1</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勘察设计工期及提交成果</w:t>
      </w:r>
    </w:p>
    <w:p w14:paraId="3E0624D3">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本款约定为：本项目的合同工期</w:t>
      </w:r>
    </w:p>
    <w:p w14:paraId="50338E5C">
      <w:pPr>
        <w:pStyle w:val="69"/>
        <w:snapToGrid/>
        <w:ind w:firstLine="482"/>
        <w:rPr>
          <w:b/>
          <w:snapToGrid w:val="0"/>
          <w:color w:val="auto"/>
          <w:kern w:val="0"/>
          <w:sz w:val="24"/>
          <w:szCs w:val="24"/>
          <w:highlight w:val="none"/>
        </w:rPr>
      </w:pPr>
      <w:r>
        <w:rPr>
          <w:rFonts w:hint="eastAsia"/>
          <w:b/>
          <w:snapToGrid w:val="0"/>
          <w:color w:val="auto"/>
          <w:kern w:val="0"/>
          <w:sz w:val="24"/>
          <w:szCs w:val="24"/>
          <w:highlight w:val="none"/>
        </w:rPr>
        <w:t>勘察周期：</w:t>
      </w:r>
    </w:p>
    <w:p w14:paraId="5BAED12E">
      <w:pPr>
        <w:pStyle w:val="69"/>
        <w:snapToGrid/>
        <w:ind w:firstLine="480"/>
        <w:rPr>
          <w:snapToGrid w:val="0"/>
          <w:color w:val="auto"/>
          <w:kern w:val="0"/>
          <w:sz w:val="24"/>
          <w:szCs w:val="24"/>
          <w:highlight w:val="none"/>
        </w:rPr>
      </w:pPr>
      <w:r>
        <w:rPr>
          <w:rFonts w:hint="eastAsia"/>
          <w:snapToGrid w:val="0"/>
          <w:color w:val="auto"/>
          <w:kern w:val="0"/>
          <w:sz w:val="24"/>
          <w:szCs w:val="24"/>
          <w:highlight w:val="none"/>
        </w:rPr>
        <w:t>中标人必须在签订合同书后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日历天内提交工程勘察报告及资料。</w:t>
      </w:r>
    </w:p>
    <w:p w14:paraId="3A09BDF8">
      <w:pPr>
        <w:pStyle w:val="69"/>
        <w:snapToGrid/>
        <w:ind w:firstLine="482"/>
        <w:rPr>
          <w:b/>
          <w:snapToGrid w:val="0"/>
          <w:color w:val="auto"/>
          <w:kern w:val="0"/>
          <w:sz w:val="24"/>
          <w:szCs w:val="24"/>
          <w:highlight w:val="none"/>
        </w:rPr>
      </w:pPr>
      <w:r>
        <w:rPr>
          <w:rFonts w:hint="eastAsia"/>
          <w:b/>
          <w:snapToGrid w:val="0"/>
          <w:color w:val="auto"/>
          <w:kern w:val="0"/>
          <w:sz w:val="24"/>
          <w:szCs w:val="24"/>
          <w:highlight w:val="none"/>
        </w:rPr>
        <w:t>设计周期：</w:t>
      </w:r>
    </w:p>
    <w:p w14:paraId="6D0D0CBF">
      <w:pPr>
        <w:pStyle w:val="69"/>
        <w:snapToGrid/>
        <w:ind w:firstLine="480"/>
        <w:rPr>
          <w:snapToGrid w:val="0"/>
          <w:color w:val="auto"/>
          <w:kern w:val="0"/>
          <w:sz w:val="24"/>
          <w:szCs w:val="24"/>
          <w:highlight w:val="none"/>
        </w:rPr>
      </w:pPr>
      <w:r>
        <w:rPr>
          <w:rFonts w:hint="eastAsia"/>
          <w:snapToGrid w:val="0"/>
          <w:color w:val="auto"/>
          <w:kern w:val="0"/>
          <w:sz w:val="24"/>
          <w:szCs w:val="24"/>
          <w:highlight w:val="none"/>
        </w:rPr>
        <w:t>(1)初步设计阶段：提交工程勘察报告及资料后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日历天内须向业主提交初步设计文件送审稿（含概算文件），初步设计审查完毕后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日历天内按上级主管部门审查要求提交修改后的正式初步设计文件。</w:t>
      </w:r>
    </w:p>
    <w:p w14:paraId="2EB0F364">
      <w:pPr>
        <w:pStyle w:val="69"/>
        <w:snapToGrid/>
        <w:ind w:firstLine="480"/>
        <w:rPr>
          <w:snapToGrid w:val="0"/>
          <w:color w:val="auto"/>
          <w:kern w:val="0"/>
          <w:sz w:val="24"/>
          <w:szCs w:val="24"/>
          <w:highlight w:val="none"/>
        </w:rPr>
      </w:pPr>
      <w:r>
        <w:rPr>
          <w:rFonts w:hint="eastAsia"/>
          <w:snapToGrid w:val="0"/>
          <w:color w:val="auto"/>
          <w:kern w:val="0"/>
          <w:sz w:val="24"/>
          <w:szCs w:val="24"/>
          <w:highlight w:val="none"/>
        </w:rPr>
        <w:t>(2) 施工图设计阶段：中标人在初步设计批复后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日历天内向业主提交施工图设计文件送审稿（含工程量清单），施工图设计审查完毕后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日历天内按上级主管部门审查要求提交修改后的正式施工图设计文件。</w:t>
      </w:r>
    </w:p>
    <w:p w14:paraId="4A5C6B5F">
      <w:pPr>
        <w:pStyle w:val="3"/>
        <w:rPr>
          <w:rFonts w:eastAsia="宋体"/>
          <w:snapToGrid w:val="0"/>
          <w:color w:val="auto"/>
          <w:spacing w:val="0"/>
          <w:kern w:val="0"/>
          <w:sz w:val="2"/>
          <w:highlight w:val="none"/>
        </w:rPr>
      </w:pPr>
      <w:bookmarkStart w:id="677" w:name="_Toc326241914"/>
    </w:p>
    <w:p w14:paraId="103669B8">
      <w:pPr>
        <w:pStyle w:val="92"/>
        <w:spacing w:before="0" w:beforeLines="0"/>
        <w:outlineLvl w:val="0"/>
        <w:rPr>
          <w:rFonts w:ascii="宋体" w:hAnsi="宋体" w:eastAsia="宋体"/>
          <w:b/>
          <w:snapToGrid w:val="0"/>
          <w:color w:val="auto"/>
          <w:kern w:val="0"/>
          <w:highlight w:val="none"/>
        </w:rPr>
      </w:pPr>
      <w:bookmarkStart w:id="678" w:name="_Toc488649925"/>
      <w:bookmarkStart w:id="679" w:name="_Toc335722001"/>
      <w:bookmarkStart w:id="680" w:name="_Toc487654525"/>
      <w:bookmarkStart w:id="681" w:name="_Toc335660919"/>
      <w:bookmarkStart w:id="682" w:name="_Toc346269501"/>
      <w:bookmarkStart w:id="683" w:name="_Toc487114220"/>
      <w:bookmarkStart w:id="684" w:name="_Toc487619198"/>
      <w:r>
        <w:rPr>
          <w:rFonts w:ascii="宋体" w:hAnsi="宋体" w:eastAsia="宋体"/>
          <w:b/>
          <w:snapToGrid w:val="0"/>
          <w:color w:val="auto"/>
          <w:kern w:val="0"/>
          <w:highlight w:val="none"/>
        </w:rPr>
        <w:t>5. 违约与赔偿</w:t>
      </w:r>
      <w:bookmarkEnd w:id="677"/>
      <w:bookmarkEnd w:id="678"/>
      <w:bookmarkEnd w:id="679"/>
      <w:bookmarkEnd w:id="680"/>
      <w:bookmarkEnd w:id="681"/>
      <w:bookmarkEnd w:id="682"/>
      <w:bookmarkEnd w:id="683"/>
      <w:bookmarkEnd w:id="684"/>
    </w:p>
    <w:p w14:paraId="79F7B57C">
      <w:pPr>
        <w:snapToGrid w:val="0"/>
        <w:spacing w:line="360" w:lineRule="auto"/>
        <w:outlineLvl w:val="0"/>
        <w:rPr>
          <w:rFonts w:ascii="宋体" w:hAnsi="宋体"/>
          <w:snapToGrid w:val="0"/>
          <w:color w:val="auto"/>
          <w:kern w:val="0"/>
          <w:sz w:val="24"/>
          <w:highlight w:val="none"/>
        </w:rPr>
      </w:pPr>
      <w:bookmarkStart w:id="685" w:name="_Toc487114221"/>
      <w:bookmarkStart w:id="686" w:name="_Toc487619199"/>
      <w:bookmarkStart w:id="687" w:name="_Toc487654526"/>
      <w:bookmarkStart w:id="688" w:name="_Toc488649926"/>
      <w:r>
        <w:rPr>
          <w:rFonts w:ascii="宋体" w:hAnsi="宋体"/>
          <w:snapToGrid w:val="0"/>
          <w:color w:val="auto"/>
          <w:kern w:val="0"/>
          <w:sz w:val="24"/>
          <w:highlight w:val="none"/>
        </w:rPr>
        <w:t xml:space="preserve">5.1.2 </w:t>
      </w:r>
      <w:r>
        <w:rPr>
          <w:rFonts w:hint="eastAsia" w:ascii="宋体" w:hAnsi="宋体"/>
          <w:snapToGrid w:val="0"/>
          <w:color w:val="auto"/>
          <w:kern w:val="0"/>
          <w:sz w:val="24"/>
          <w:highlight w:val="none"/>
        </w:rPr>
        <w:t>发包人未按规定的时间和金额支付勘察设计费的赔偿责任：</w:t>
      </w:r>
      <w:bookmarkEnd w:id="685"/>
      <w:bookmarkEnd w:id="686"/>
      <w:bookmarkEnd w:id="687"/>
      <w:bookmarkEnd w:id="688"/>
    </w:p>
    <w:p w14:paraId="0BDC5857">
      <w:pPr>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发包人应按本合同规定的金额和日期向设计人支付预付款和设计费。发包人未按期向设计人支付设计款的，设计人有权推迟设计工作的开工时间，且交付文件的时间顺延。</w:t>
      </w:r>
    </w:p>
    <w:p w14:paraId="7B6E6860">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5.1.4 发包人的其他违约</w:t>
      </w:r>
      <w:r>
        <w:rPr>
          <w:rFonts w:hint="eastAsia" w:ascii="宋体" w:hAnsi="宋体"/>
          <w:snapToGrid w:val="0"/>
          <w:color w:val="auto"/>
          <w:kern w:val="0"/>
          <w:sz w:val="24"/>
          <w:highlight w:val="none"/>
        </w:rPr>
        <w:t>与赔偿责任:</w:t>
      </w:r>
    </w:p>
    <w:p w14:paraId="5251CF46">
      <w:pPr>
        <w:snapToGrid w:val="0"/>
        <w:spacing w:line="360" w:lineRule="auto"/>
        <w:outlineLvl w:val="0"/>
        <w:rPr>
          <w:rFonts w:ascii="宋体" w:hAnsi="宋体"/>
          <w:snapToGrid w:val="0"/>
          <w:color w:val="auto"/>
          <w:kern w:val="0"/>
          <w:sz w:val="24"/>
          <w:highlight w:val="none"/>
        </w:rPr>
      </w:pPr>
      <w:bookmarkStart w:id="689" w:name="_Toc330218694"/>
      <w:bookmarkStart w:id="690" w:name="_Toc335660041"/>
      <w:bookmarkStart w:id="691" w:name="_Toc335660454"/>
      <w:bookmarkStart w:id="692" w:name="_Toc335721551"/>
      <w:bookmarkStart w:id="693" w:name="_Toc335660921"/>
      <w:bookmarkStart w:id="694" w:name="_Toc330218129"/>
      <w:bookmarkStart w:id="695" w:name="_Toc335722003"/>
      <w:bookmarkStart w:id="696" w:name="_Toc488649927"/>
      <w:bookmarkStart w:id="697" w:name="_Toc487654527"/>
      <w:bookmarkStart w:id="698" w:name="_Toc487619200"/>
      <w:bookmarkStart w:id="699" w:name="_Toc487114222"/>
      <w:bookmarkStart w:id="700" w:name="_Toc346269502"/>
      <w:bookmarkStart w:id="701" w:name="_Toc346269082"/>
      <w:r>
        <w:rPr>
          <w:rFonts w:ascii="宋体" w:hAnsi="宋体"/>
          <w:snapToGrid w:val="0"/>
          <w:color w:val="auto"/>
          <w:kern w:val="0"/>
          <w:sz w:val="24"/>
          <w:highlight w:val="none"/>
        </w:rPr>
        <w:t>5.2.</w:t>
      </w:r>
      <w:bookmarkEnd w:id="689"/>
      <w:bookmarkEnd w:id="690"/>
      <w:bookmarkEnd w:id="691"/>
      <w:bookmarkEnd w:id="692"/>
      <w:bookmarkEnd w:id="693"/>
      <w:bookmarkEnd w:id="694"/>
      <w:bookmarkEnd w:id="695"/>
      <w:r>
        <w:rPr>
          <w:rFonts w:hint="eastAsia" w:ascii="宋体" w:hAnsi="宋体"/>
          <w:snapToGrid w:val="0"/>
          <w:color w:val="auto"/>
          <w:kern w:val="0"/>
          <w:sz w:val="24"/>
          <w:highlight w:val="none"/>
        </w:rPr>
        <w:t>1</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由于设计人的责任给发包人造成损失的赔偿责任：</w:t>
      </w:r>
      <w:bookmarkEnd w:id="696"/>
      <w:bookmarkEnd w:id="697"/>
      <w:bookmarkEnd w:id="698"/>
      <w:bookmarkEnd w:id="699"/>
      <w:bookmarkEnd w:id="700"/>
      <w:bookmarkEnd w:id="701"/>
    </w:p>
    <w:p w14:paraId="61437F20">
      <w:pPr>
        <w:snapToGrid w:val="0"/>
        <w:spacing w:line="360" w:lineRule="auto"/>
        <w:outlineLvl w:val="0"/>
        <w:rPr>
          <w:rFonts w:ascii="宋体" w:hAnsi="宋体"/>
          <w:snapToGrid w:val="0"/>
          <w:color w:val="auto"/>
          <w:kern w:val="0"/>
          <w:sz w:val="24"/>
          <w:highlight w:val="none"/>
        </w:rPr>
      </w:pPr>
      <w:bookmarkStart w:id="702" w:name="_Toc487619201"/>
      <w:bookmarkStart w:id="703" w:name="_Toc346269503"/>
      <w:bookmarkStart w:id="704" w:name="_Toc330218130"/>
      <w:bookmarkStart w:id="705" w:name="_Toc335660042"/>
      <w:bookmarkStart w:id="706" w:name="_Toc488649928"/>
      <w:bookmarkStart w:id="707" w:name="_Toc335660922"/>
      <w:bookmarkStart w:id="708" w:name="_Toc335722004"/>
      <w:bookmarkStart w:id="709" w:name="_Toc335721552"/>
      <w:bookmarkStart w:id="710" w:name="_Toc330218695"/>
      <w:bookmarkStart w:id="711" w:name="_Toc487654528"/>
      <w:bookmarkStart w:id="712" w:name="_Toc335660455"/>
      <w:bookmarkStart w:id="713" w:name="_Toc487114223"/>
      <w:bookmarkStart w:id="714" w:name="_Toc346269083"/>
      <w:r>
        <w:rPr>
          <w:rFonts w:ascii="宋体" w:hAnsi="宋体"/>
          <w:snapToGrid w:val="0"/>
          <w:color w:val="auto"/>
          <w:kern w:val="0"/>
          <w:sz w:val="24"/>
          <w:highlight w:val="none"/>
        </w:rPr>
        <w:t>5.2.</w:t>
      </w:r>
      <w:r>
        <w:rPr>
          <w:rFonts w:hint="eastAsia" w:ascii="宋体" w:hAnsi="宋体"/>
          <w:snapToGrid w:val="0"/>
          <w:color w:val="auto"/>
          <w:kern w:val="0"/>
          <w:sz w:val="24"/>
          <w:highlight w:val="none"/>
        </w:rPr>
        <w:t>2</w:t>
      </w:r>
      <w:r>
        <w:rPr>
          <w:rFonts w:ascii="宋体" w:hAnsi="宋体"/>
          <w:snapToGrid w:val="0"/>
          <w:color w:val="auto"/>
          <w:kern w:val="0"/>
          <w:sz w:val="24"/>
          <w:highlight w:val="none"/>
        </w:rPr>
        <w:t xml:space="preserve"> 设计人其他违约</w:t>
      </w:r>
      <w:r>
        <w:rPr>
          <w:rFonts w:hint="eastAsia" w:ascii="宋体" w:hAnsi="宋体"/>
          <w:snapToGrid w:val="0"/>
          <w:color w:val="auto"/>
          <w:kern w:val="0"/>
          <w:sz w:val="24"/>
          <w:highlight w:val="none"/>
        </w:rPr>
        <w:t>与赔偿责任</w:t>
      </w:r>
      <w:r>
        <w:rPr>
          <w:rFonts w:ascii="宋体" w:hAnsi="宋体"/>
          <w:snapToGrid w:val="0"/>
          <w:color w:val="auto"/>
          <w:kern w:val="0"/>
          <w:sz w:val="24"/>
          <w:highlight w:val="none"/>
        </w:rPr>
        <w:t>：</w:t>
      </w:r>
      <w:bookmarkEnd w:id="702"/>
      <w:bookmarkEnd w:id="703"/>
      <w:bookmarkEnd w:id="704"/>
      <w:bookmarkEnd w:id="705"/>
      <w:bookmarkEnd w:id="706"/>
      <w:bookmarkEnd w:id="707"/>
      <w:bookmarkEnd w:id="708"/>
      <w:bookmarkEnd w:id="709"/>
      <w:bookmarkEnd w:id="710"/>
      <w:bookmarkEnd w:id="711"/>
      <w:bookmarkEnd w:id="712"/>
      <w:bookmarkEnd w:id="713"/>
      <w:bookmarkEnd w:id="714"/>
    </w:p>
    <w:p w14:paraId="5EF90DB4">
      <w:pPr>
        <w:spacing w:line="30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（1）未经项目法人书面同意，投标承诺的项目负责人不得更换；若有更换，项目负责人不得低于投标时的人员资格标准。</w:t>
      </w:r>
    </w:p>
    <w:p w14:paraId="0B3D634D">
      <w:pPr>
        <w:snapToGrid w:val="0"/>
        <w:spacing w:line="312" w:lineRule="auto"/>
        <w:ind w:firstLine="480" w:firstLineChars="200"/>
        <w:rPr>
          <w:rFonts w:ascii="宋体" w:hAnsi="宋体"/>
          <w:snapToGrid w:val="0"/>
          <w:color w:val="auto"/>
          <w:kern w:val="0"/>
          <w:sz w:val="24"/>
          <w:highlight w:val="none"/>
        </w:rPr>
      </w:pPr>
      <w:r>
        <w:rPr>
          <w:rFonts w:hint="eastAsia" w:ascii="宋体" w:hAnsi="宋体" w:cs="宋体"/>
          <w:bCs/>
          <w:color w:val="auto"/>
          <w:sz w:val="24"/>
          <w:highlight w:val="none"/>
        </w:rPr>
        <w:t>（2）</w:t>
      </w:r>
      <w:r>
        <w:rPr>
          <w:rFonts w:hint="eastAsia" w:ascii="宋体" w:hAnsi="宋体"/>
          <w:snapToGrid w:val="0"/>
          <w:color w:val="auto"/>
          <w:kern w:val="0"/>
          <w:sz w:val="24"/>
          <w:highlight w:val="none"/>
        </w:rPr>
        <w:t>合同生效后，设计人要求终止或解除合同，设计人应双倍返还发包人已支付的预付款。</w:t>
      </w:r>
    </w:p>
    <w:p w14:paraId="4A4C194A">
      <w:pPr>
        <w:spacing w:line="300" w:lineRule="auto"/>
        <w:ind w:firstLine="482" w:firstLineChars="200"/>
        <w:rPr>
          <w:rFonts w:ascii="宋体" w:hAnsi="宋体" w:cs="宋体"/>
          <w:b/>
          <w:color w:val="auto"/>
          <w:sz w:val="24"/>
          <w:highlight w:val="none"/>
          <w:u w:val="single"/>
        </w:rPr>
      </w:pPr>
    </w:p>
    <w:p w14:paraId="214D1F23">
      <w:pPr>
        <w:snapToGrid w:val="0"/>
        <w:spacing w:line="360" w:lineRule="auto"/>
        <w:outlineLvl w:val="0"/>
        <w:rPr>
          <w:rFonts w:ascii="宋体" w:hAnsi="宋体"/>
          <w:snapToGrid w:val="0"/>
          <w:color w:val="auto"/>
          <w:kern w:val="0"/>
          <w:sz w:val="24"/>
          <w:highlight w:val="none"/>
        </w:rPr>
      </w:pPr>
    </w:p>
    <w:p w14:paraId="5434B511">
      <w:pPr>
        <w:pStyle w:val="92"/>
        <w:outlineLvl w:val="0"/>
        <w:rPr>
          <w:rFonts w:ascii="宋体" w:hAnsi="宋体" w:eastAsia="宋体"/>
          <w:b/>
          <w:snapToGrid w:val="0"/>
          <w:color w:val="auto"/>
          <w:kern w:val="0"/>
          <w:highlight w:val="none"/>
        </w:rPr>
      </w:pPr>
      <w:bookmarkStart w:id="715" w:name="_Toc487114224"/>
      <w:bookmarkStart w:id="716" w:name="_Toc346269504"/>
      <w:bookmarkStart w:id="717" w:name="_Toc335660923"/>
      <w:bookmarkStart w:id="718" w:name="_Toc326241915"/>
      <w:bookmarkStart w:id="719" w:name="_Toc488649929"/>
      <w:bookmarkStart w:id="720" w:name="_Toc335722005"/>
      <w:bookmarkStart w:id="721" w:name="_Toc487619202"/>
      <w:bookmarkStart w:id="722" w:name="_Toc487654529"/>
      <w:r>
        <w:rPr>
          <w:rFonts w:ascii="宋体" w:hAnsi="宋体" w:eastAsia="宋体"/>
          <w:b/>
          <w:snapToGrid w:val="0"/>
          <w:color w:val="auto"/>
          <w:kern w:val="0"/>
          <w:highlight w:val="none"/>
        </w:rPr>
        <w:t>7. 费用与支付</w:t>
      </w:r>
      <w:bookmarkEnd w:id="715"/>
      <w:bookmarkEnd w:id="716"/>
      <w:bookmarkEnd w:id="717"/>
      <w:bookmarkEnd w:id="718"/>
      <w:bookmarkEnd w:id="719"/>
      <w:bookmarkEnd w:id="720"/>
      <w:bookmarkEnd w:id="721"/>
      <w:bookmarkEnd w:id="722"/>
    </w:p>
    <w:p w14:paraId="20FFD656">
      <w:pPr>
        <w:snapToGrid w:val="0"/>
        <w:spacing w:line="360" w:lineRule="auto"/>
        <w:rPr>
          <w:rFonts w:ascii="宋体" w:hAnsi="宋体"/>
          <w:snapToGrid w:val="0"/>
          <w:color w:val="auto"/>
          <w:kern w:val="0"/>
          <w:sz w:val="24"/>
          <w:highlight w:val="none"/>
          <w:u w:val="single"/>
        </w:rPr>
      </w:pPr>
      <w:r>
        <w:rPr>
          <w:rFonts w:ascii="宋体" w:hAnsi="宋体"/>
          <w:snapToGrid w:val="0"/>
          <w:color w:val="auto"/>
          <w:kern w:val="0"/>
          <w:sz w:val="24"/>
          <w:highlight w:val="none"/>
        </w:rPr>
        <w:t>7.1</w:t>
      </w:r>
      <w:r>
        <w:rPr>
          <w:rFonts w:hint="eastAsia" w:ascii="宋体" w:hAnsi="宋体"/>
          <w:snapToGrid w:val="0"/>
          <w:color w:val="auto"/>
          <w:kern w:val="0"/>
          <w:sz w:val="24"/>
          <w:highlight w:val="none"/>
        </w:rPr>
        <w:t xml:space="preserve"> 本合同</w:t>
      </w:r>
      <w:r>
        <w:rPr>
          <w:rFonts w:ascii="宋体" w:hAnsi="宋体"/>
          <w:snapToGrid w:val="0"/>
          <w:color w:val="auto"/>
          <w:kern w:val="0"/>
          <w:sz w:val="24"/>
          <w:highlight w:val="none"/>
        </w:rPr>
        <w:t>勘察设计费</w:t>
      </w:r>
      <w:r>
        <w:rPr>
          <w:rFonts w:hint="eastAsia" w:ascii="宋体" w:hAnsi="宋体"/>
          <w:snapToGrid w:val="0"/>
          <w:color w:val="auto"/>
          <w:kern w:val="0"/>
          <w:sz w:val="24"/>
          <w:highlight w:val="none"/>
        </w:rPr>
        <w:t>为</w:t>
      </w:r>
      <w:r>
        <w:rPr>
          <w:rFonts w:ascii="宋体" w:hAnsi="宋体"/>
          <w:snapToGrid w:val="0"/>
          <w:color w:val="auto"/>
          <w:kern w:val="0"/>
          <w:sz w:val="24"/>
          <w:highlight w:val="none"/>
        </w:rPr>
        <w:t>：</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万元（大写：</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6447BBCB">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7.2</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本项目勘察设计费用支付方式如下：</w:t>
      </w:r>
    </w:p>
    <w:p w14:paraId="289841C4">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（1）合同签署后14天内，发包人向设计人支付勘察、设计费用的</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%作为</w:t>
      </w:r>
      <w:r>
        <w:rPr>
          <w:rFonts w:hint="eastAsia" w:ascii="宋体" w:hAnsi="宋体"/>
          <w:snapToGrid w:val="0"/>
          <w:color w:val="auto"/>
          <w:kern w:val="0"/>
          <w:sz w:val="24"/>
          <w:highlight w:val="none"/>
        </w:rPr>
        <w:t>预付款，</w:t>
      </w:r>
      <w:r>
        <w:rPr>
          <w:rFonts w:ascii="宋体" w:hAnsi="宋体"/>
          <w:snapToGrid w:val="0"/>
          <w:color w:val="auto"/>
          <w:kern w:val="0"/>
          <w:sz w:val="24"/>
          <w:highlight w:val="none"/>
        </w:rPr>
        <w:t>本合同履行后，</w:t>
      </w:r>
      <w:r>
        <w:rPr>
          <w:rFonts w:hint="eastAsia" w:ascii="宋体" w:hAnsi="宋体"/>
          <w:snapToGrid w:val="0"/>
          <w:color w:val="auto"/>
          <w:kern w:val="0"/>
          <w:sz w:val="24"/>
          <w:highlight w:val="none"/>
        </w:rPr>
        <w:t>预付款</w:t>
      </w:r>
      <w:r>
        <w:rPr>
          <w:rFonts w:ascii="宋体" w:hAnsi="宋体"/>
          <w:snapToGrid w:val="0"/>
          <w:color w:val="auto"/>
          <w:kern w:val="0"/>
          <w:sz w:val="24"/>
          <w:highlight w:val="none"/>
        </w:rPr>
        <w:t>抵作勘察设计费</w:t>
      </w:r>
      <w:r>
        <w:rPr>
          <w:rFonts w:hint="eastAsia" w:ascii="宋体" w:hAnsi="宋体"/>
          <w:snapToGrid w:val="0"/>
          <w:color w:val="auto"/>
          <w:kern w:val="0"/>
          <w:sz w:val="24"/>
          <w:highlight w:val="none"/>
        </w:rPr>
        <w:t>，不再扣回</w:t>
      </w:r>
      <w:r>
        <w:rPr>
          <w:rFonts w:ascii="宋体" w:hAnsi="宋体"/>
          <w:snapToGrid w:val="0"/>
          <w:color w:val="auto"/>
          <w:kern w:val="0"/>
          <w:sz w:val="24"/>
          <w:highlight w:val="none"/>
        </w:rPr>
        <w:t>；</w:t>
      </w:r>
    </w:p>
    <w:p w14:paraId="58938C47">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（2）勘察外业结束并经发包</w:t>
      </w:r>
      <w:r>
        <w:rPr>
          <w:rFonts w:hint="eastAsia" w:ascii="宋体" w:hAnsi="宋体"/>
          <w:snapToGrid w:val="0"/>
          <w:color w:val="auto"/>
          <w:kern w:val="0"/>
          <w:sz w:val="24"/>
          <w:highlight w:val="none"/>
        </w:rPr>
        <w:t>人</w:t>
      </w:r>
      <w:r>
        <w:rPr>
          <w:rFonts w:ascii="宋体" w:hAnsi="宋体"/>
          <w:snapToGrid w:val="0"/>
          <w:color w:val="auto"/>
          <w:kern w:val="0"/>
          <w:sz w:val="24"/>
          <w:highlight w:val="none"/>
        </w:rPr>
        <w:t>认可后，发包</w:t>
      </w:r>
      <w:r>
        <w:rPr>
          <w:rFonts w:hint="eastAsia" w:ascii="宋体" w:hAnsi="宋体"/>
          <w:snapToGrid w:val="0"/>
          <w:color w:val="auto"/>
          <w:kern w:val="0"/>
          <w:sz w:val="24"/>
          <w:highlight w:val="none"/>
        </w:rPr>
        <w:t>人</w:t>
      </w:r>
      <w:r>
        <w:rPr>
          <w:rFonts w:ascii="宋体" w:hAnsi="宋体"/>
          <w:snapToGrid w:val="0"/>
          <w:color w:val="auto"/>
          <w:kern w:val="0"/>
          <w:sz w:val="24"/>
          <w:highlight w:val="none"/>
        </w:rPr>
        <w:t>支付勘察费用的</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p>
    <w:p w14:paraId="627B7B16">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（3）勘察报告提交后14天内，发包人向勘察人支付勘察费用的</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p>
    <w:p w14:paraId="789AA2F3">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（4）初步设计文件按期完成后并送至发包人处14天内，发包人支付设计费</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6B431BD2">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（5）施工招标图纸、参考资料、工程量清单完成后并送至发包人处，支付设计费用的</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p>
    <w:p w14:paraId="77B8172B">
      <w:pPr>
        <w:snapToGrid w:val="0"/>
        <w:spacing w:line="360" w:lineRule="auto"/>
        <w:ind w:left="900" w:leftChars="20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（6）全部工程施工图设计文件均按期完成并送至发包人处，发包人向设计人付清全部勘察设计费；</w:t>
      </w:r>
    </w:p>
    <w:p w14:paraId="461B4887">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7.3 暂列金额</w:t>
      </w:r>
    </w:p>
    <w:p w14:paraId="6F00AD42">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本合同的暂列金额为</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万元</w:t>
      </w:r>
      <w:r>
        <w:rPr>
          <w:rFonts w:hint="eastAsia" w:ascii="宋体" w:hAnsi="宋体"/>
          <w:snapToGrid w:val="0"/>
          <w:color w:val="auto"/>
          <w:kern w:val="0"/>
          <w:sz w:val="24"/>
          <w:highlight w:val="none"/>
        </w:rPr>
        <w:t>（大写：</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r>
        <w:rPr>
          <w:rFonts w:ascii="宋体" w:hAnsi="宋体"/>
          <w:snapToGrid w:val="0"/>
          <w:color w:val="auto"/>
          <w:kern w:val="0"/>
          <w:sz w:val="24"/>
          <w:highlight w:val="none"/>
        </w:rPr>
        <w:t>。</w:t>
      </w:r>
    </w:p>
    <w:p w14:paraId="23E67E8B">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7.4</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勘察设计费用的调整</w:t>
      </w:r>
    </w:p>
    <w:p w14:paraId="1A7F2F8D">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本款约定为：</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p>
    <w:p w14:paraId="09932E82">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7.5</w:t>
      </w:r>
      <w:r>
        <w:rPr>
          <w:rFonts w:hint="eastAsia" w:ascii="宋体" w:hAnsi="宋体"/>
          <w:snapToGrid w:val="0"/>
          <w:color w:val="auto"/>
          <w:kern w:val="0"/>
          <w:sz w:val="24"/>
          <w:highlight w:val="none"/>
        </w:rPr>
        <w:t xml:space="preserve"> 设计人在签订合同之前，向发包人提交金额为签约合同价的</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%的履约担保，担保期间：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w:t>
      </w:r>
    </w:p>
    <w:p w14:paraId="1A12AB4D">
      <w:pPr>
        <w:pStyle w:val="92"/>
        <w:outlineLvl w:val="0"/>
        <w:rPr>
          <w:rFonts w:ascii="宋体" w:hAnsi="宋体" w:eastAsia="宋体"/>
          <w:b/>
          <w:snapToGrid w:val="0"/>
          <w:color w:val="auto"/>
          <w:kern w:val="0"/>
          <w:highlight w:val="none"/>
        </w:rPr>
      </w:pPr>
      <w:bookmarkStart w:id="723" w:name="_Toc335722006"/>
      <w:bookmarkStart w:id="724" w:name="_Toc326241916"/>
      <w:bookmarkStart w:id="725" w:name="_Toc335660924"/>
      <w:bookmarkStart w:id="726" w:name="_Toc487619203"/>
      <w:bookmarkStart w:id="727" w:name="_Toc346269505"/>
      <w:bookmarkStart w:id="728" w:name="_Toc487114225"/>
      <w:bookmarkStart w:id="729" w:name="_Toc487654530"/>
      <w:bookmarkStart w:id="730" w:name="_Toc488649930"/>
      <w:r>
        <w:rPr>
          <w:rFonts w:ascii="宋体" w:hAnsi="宋体" w:eastAsia="宋体"/>
          <w:b/>
          <w:snapToGrid w:val="0"/>
          <w:color w:val="auto"/>
          <w:kern w:val="0"/>
          <w:highlight w:val="none"/>
        </w:rPr>
        <w:t xml:space="preserve">8. </w:t>
      </w:r>
      <w:bookmarkEnd w:id="723"/>
      <w:bookmarkEnd w:id="724"/>
      <w:bookmarkEnd w:id="725"/>
      <w:r>
        <w:rPr>
          <w:rFonts w:ascii="宋体" w:hAnsi="宋体" w:eastAsia="宋体"/>
          <w:b/>
          <w:snapToGrid w:val="0"/>
          <w:color w:val="auto"/>
          <w:kern w:val="0"/>
          <w:highlight w:val="none"/>
        </w:rPr>
        <w:t>其他</w:t>
      </w:r>
      <w:bookmarkEnd w:id="726"/>
      <w:bookmarkEnd w:id="727"/>
      <w:bookmarkEnd w:id="728"/>
      <w:bookmarkEnd w:id="729"/>
      <w:bookmarkEnd w:id="730"/>
    </w:p>
    <w:p w14:paraId="3B9B1D39">
      <w:pPr>
        <w:snapToGrid w:val="0"/>
        <w:spacing w:line="360" w:lineRule="auto"/>
        <w:ind w:left="418" w:hanging="417" w:hangingChars="174"/>
        <w:rPr>
          <w:rFonts w:ascii="宋体" w:hAnsi="宋体"/>
          <w:snapToGrid w:val="0"/>
          <w:color w:val="auto"/>
          <w:kern w:val="0"/>
          <w:sz w:val="24"/>
          <w:highlight w:val="none"/>
        </w:rPr>
      </w:pPr>
      <w:r>
        <w:rPr>
          <w:rFonts w:ascii="宋体" w:hAnsi="宋体"/>
          <w:snapToGrid w:val="0"/>
          <w:color w:val="auto"/>
          <w:kern w:val="0"/>
          <w:sz w:val="24"/>
          <w:highlight w:val="none"/>
        </w:rPr>
        <w:t>8.4</w:t>
      </w:r>
      <w:r>
        <w:rPr>
          <w:rFonts w:hint="eastAsia" w:ascii="宋体" w:hAnsi="宋体"/>
          <w:snapToGrid w:val="0"/>
          <w:color w:val="auto"/>
          <w:kern w:val="0"/>
          <w:sz w:val="24"/>
          <w:highlight w:val="none"/>
        </w:rPr>
        <w:t xml:space="preserve"> 争议的解决</w:t>
      </w:r>
    </w:p>
    <w:p w14:paraId="2DC2E9DC">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本款约定为：争议的终解决方式：</w:t>
      </w:r>
      <w:r>
        <w:rPr>
          <w:rFonts w:ascii="宋体" w:hAnsi="宋体"/>
          <w:snapToGrid w:val="0"/>
          <w:color w:val="auto"/>
          <w:kern w:val="0"/>
          <w:sz w:val="24"/>
          <w:highlight w:val="none"/>
          <w:u w:val="single"/>
        </w:rPr>
        <w:sym w:font="Wingdings" w:char="F0A8"/>
      </w:r>
      <w:r>
        <w:rPr>
          <w:rFonts w:ascii="宋体" w:hAnsi="宋体"/>
          <w:snapToGrid w:val="0"/>
          <w:color w:val="auto"/>
          <w:kern w:val="0"/>
          <w:sz w:val="24"/>
          <w:highlight w:val="none"/>
          <w:u w:val="single"/>
        </w:rPr>
        <w:t>仲裁</w:t>
      </w:r>
      <w:r>
        <w:rPr>
          <w:rFonts w:hint="eastAsia" w:ascii="宋体" w:hAnsi="宋体"/>
          <w:snapToGrid w:val="0"/>
          <w:color w:val="auto"/>
          <w:kern w:val="0"/>
          <w:sz w:val="24"/>
          <w:highlight w:val="none"/>
          <w:u w:val="single"/>
        </w:rPr>
        <w:t>/</w:t>
      </w:r>
      <w:r>
        <w:rPr>
          <w:rFonts w:hint="eastAsia" w:ascii="宋体" w:hAnsi="宋体"/>
          <w:snapToGrid w:val="0"/>
          <w:color w:val="auto"/>
          <w:kern w:val="0"/>
          <w:sz w:val="24"/>
          <w:highlight w:val="none"/>
          <w:u w:val="single"/>
        </w:rPr>
        <w:sym w:font="Wingdings" w:char="F0A8"/>
      </w:r>
      <w:r>
        <w:rPr>
          <w:rFonts w:ascii="宋体" w:hAnsi="宋体"/>
          <w:snapToGrid w:val="0"/>
          <w:color w:val="auto"/>
          <w:kern w:val="0"/>
          <w:sz w:val="24"/>
          <w:highlight w:val="none"/>
          <w:u w:val="single"/>
        </w:rPr>
        <w:t>诉讼</w:t>
      </w:r>
      <w:r>
        <w:rPr>
          <w:rFonts w:ascii="宋体" w:hAnsi="宋体"/>
          <w:snapToGrid w:val="0"/>
          <w:color w:val="auto"/>
          <w:kern w:val="0"/>
          <w:sz w:val="24"/>
          <w:highlight w:val="none"/>
        </w:rPr>
        <w:t>。</w:t>
      </w:r>
    </w:p>
    <w:p w14:paraId="205F46F4">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如采用仲裁，仲裁机构名称：</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仲裁委员会</w:t>
      </w:r>
      <w:r>
        <w:rPr>
          <w:rFonts w:ascii="宋体" w:hAnsi="宋体"/>
          <w:snapToGrid w:val="0"/>
          <w:color w:val="auto"/>
          <w:kern w:val="0"/>
          <w:sz w:val="24"/>
          <w:highlight w:val="none"/>
        </w:rPr>
        <w:t>。</w:t>
      </w:r>
    </w:p>
    <w:p w14:paraId="1A07E34E">
      <w:pPr>
        <w:snapToGrid w:val="0"/>
        <w:spacing w:line="360" w:lineRule="auto"/>
        <w:ind w:left="420" w:leftChars="200"/>
        <w:rPr>
          <w:rFonts w:ascii="宋体" w:hAnsi="宋体"/>
          <w:snapToGrid w:val="0"/>
          <w:color w:val="auto"/>
          <w:kern w:val="0"/>
          <w:sz w:val="24"/>
          <w:highlight w:val="none"/>
        </w:rPr>
      </w:pPr>
      <w:r>
        <w:rPr>
          <w:rFonts w:ascii="宋体" w:hAnsi="宋体"/>
          <w:snapToGrid w:val="0"/>
          <w:color w:val="auto"/>
          <w:kern w:val="0"/>
          <w:sz w:val="24"/>
          <w:highlight w:val="none"/>
        </w:rPr>
        <w:t>如采用诉讼，诉讼机构名称：</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人民法院</w:t>
      </w:r>
      <w:r>
        <w:rPr>
          <w:rFonts w:ascii="宋体" w:hAnsi="宋体"/>
          <w:snapToGrid w:val="0"/>
          <w:color w:val="auto"/>
          <w:kern w:val="0"/>
          <w:sz w:val="24"/>
          <w:highlight w:val="none"/>
        </w:rPr>
        <w:t>。</w:t>
      </w:r>
    </w:p>
    <w:p w14:paraId="42515435">
      <w:pPr>
        <w:pStyle w:val="92"/>
        <w:outlineLvl w:val="0"/>
        <w:rPr>
          <w:rFonts w:ascii="宋体" w:hAnsi="宋体" w:eastAsia="宋体"/>
          <w:b/>
          <w:snapToGrid w:val="0"/>
          <w:color w:val="auto"/>
          <w:kern w:val="0"/>
          <w:highlight w:val="none"/>
        </w:rPr>
      </w:pPr>
      <w:r>
        <w:rPr>
          <w:rFonts w:ascii="宋体" w:hAnsi="宋体" w:eastAsia="宋体"/>
          <w:snapToGrid w:val="0"/>
          <w:color w:val="auto"/>
          <w:kern w:val="0"/>
          <w:highlight w:val="none"/>
        </w:rPr>
        <w:br w:type="page"/>
      </w:r>
      <w:bookmarkStart w:id="731" w:name="_Toc488649931"/>
      <w:bookmarkStart w:id="732" w:name="_Toc335660045"/>
      <w:bookmarkStart w:id="733" w:name="_Toc330218133"/>
      <w:bookmarkStart w:id="734" w:name="_Toc346269506"/>
      <w:bookmarkStart w:id="735" w:name="_Toc335660458"/>
      <w:bookmarkStart w:id="736" w:name="_Toc335721555"/>
      <w:bookmarkStart w:id="737" w:name="_Toc335660925"/>
      <w:bookmarkStart w:id="738" w:name="_Toc335722007"/>
      <w:bookmarkStart w:id="739" w:name="_Toc330218698"/>
      <w:bookmarkStart w:id="740" w:name="_Toc326241917"/>
      <w:r>
        <w:rPr>
          <w:rFonts w:ascii="宋体" w:hAnsi="宋体" w:eastAsia="宋体"/>
          <w:b/>
          <w:snapToGrid w:val="0"/>
          <w:color w:val="auto"/>
          <w:kern w:val="0"/>
          <w:highlight w:val="none"/>
        </w:rPr>
        <w:t>附件：合同协议书</w:t>
      </w:r>
      <w:bookmarkEnd w:id="731"/>
      <w:bookmarkEnd w:id="732"/>
      <w:bookmarkEnd w:id="733"/>
      <w:bookmarkEnd w:id="734"/>
      <w:bookmarkEnd w:id="735"/>
      <w:bookmarkEnd w:id="736"/>
      <w:bookmarkEnd w:id="737"/>
      <w:bookmarkEnd w:id="738"/>
      <w:bookmarkEnd w:id="739"/>
      <w:r>
        <w:rPr>
          <w:rFonts w:ascii="宋体" w:hAnsi="宋体" w:eastAsia="宋体"/>
          <w:b/>
          <w:snapToGrid w:val="0"/>
          <w:color w:val="auto"/>
          <w:kern w:val="0"/>
          <w:highlight w:val="none"/>
        </w:rPr>
        <w:t xml:space="preserve"> </w:t>
      </w:r>
    </w:p>
    <w:p w14:paraId="400BE7B0">
      <w:pPr>
        <w:snapToGrid w:val="0"/>
        <w:spacing w:line="360" w:lineRule="auto"/>
        <w:rPr>
          <w:rFonts w:ascii="宋体" w:hAnsi="宋体"/>
          <w:b/>
          <w:snapToGrid w:val="0"/>
          <w:color w:val="auto"/>
          <w:kern w:val="0"/>
          <w:sz w:val="24"/>
          <w:highlight w:val="none"/>
        </w:rPr>
      </w:pPr>
    </w:p>
    <w:p w14:paraId="5288D5C5">
      <w:pPr>
        <w:snapToGrid w:val="0"/>
        <w:spacing w:line="360" w:lineRule="auto"/>
        <w:jc w:val="center"/>
        <w:rPr>
          <w:rFonts w:ascii="宋体" w:hAnsi="宋体"/>
          <w:b/>
          <w:snapToGrid w:val="0"/>
          <w:color w:val="auto"/>
          <w:kern w:val="0"/>
          <w:sz w:val="28"/>
          <w:szCs w:val="28"/>
          <w:highlight w:val="none"/>
        </w:rPr>
      </w:pPr>
      <w:r>
        <w:rPr>
          <w:rFonts w:ascii="宋体" w:hAnsi="宋体"/>
          <w:b/>
          <w:snapToGrid w:val="0"/>
          <w:color w:val="auto"/>
          <w:kern w:val="0"/>
          <w:sz w:val="28"/>
          <w:szCs w:val="28"/>
          <w:highlight w:val="none"/>
        </w:rPr>
        <w:t>合同协议书</w:t>
      </w:r>
    </w:p>
    <w:p w14:paraId="32785E9E">
      <w:pPr>
        <w:snapToGrid w:val="0"/>
        <w:spacing w:line="360" w:lineRule="auto"/>
        <w:rPr>
          <w:rFonts w:ascii="宋体" w:hAnsi="宋体"/>
          <w:snapToGrid w:val="0"/>
          <w:color w:val="auto"/>
          <w:kern w:val="0"/>
          <w:sz w:val="24"/>
          <w:highlight w:val="none"/>
        </w:rPr>
      </w:pPr>
    </w:p>
    <w:p w14:paraId="7D2EEA44">
      <w:pPr>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本合同协议书由</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(以下简称“甲方”)与</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(以下简称“乙方”) 于</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日共同签署。 </w:t>
      </w:r>
    </w:p>
    <w:p w14:paraId="0836A26D">
      <w:pPr>
        <w:pStyle w:val="69"/>
        <w:snapToGrid/>
        <w:spacing w:line="360" w:lineRule="auto"/>
        <w:ind w:firstLine="480"/>
        <w:rPr>
          <w:snapToGrid w:val="0"/>
          <w:color w:val="auto"/>
          <w:kern w:val="0"/>
          <w:sz w:val="24"/>
          <w:highlight w:val="none"/>
        </w:rPr>
      </w:pPr>
      <w:r>
        <w:rPr>
          <w:snapToGrid w:val="0"/>
          <w:color w:val="auto"/>
          <w:kern w:val="0"/>
          <w:sz w:val="24"/>
          <w:highlight w:val="none"/>
        </w:rPr>
        <w:t xml:space="preserve">甲方通过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月</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rPr>
        <w:t xml:space="preserve"> 日的中标通知书，接受了乙方为</w:t>
      </w:r>
      <w:r>
        <w:rPr>
          <w:rFonts w:hint="eastAsia"/>
          <w:snapToGrid w:val="0"/>
          <w:color w:val="auto"/>
          <w:kern w:val="0"/>
          <w:sz w:val="24"/>
          <w:highlight w:val="none"/>
          <w:u w:val="single"/>
        </w:rPr>
        <w:t xml:space="preserve">     </w:t>
      </w:r>
      <w:r>
        <w:rPr>
          <w:snapToGrid w:val="0"/>
          <w:color w:val="auto"/>
          <w:kern w:val="0"/>
          <w:sz w:val="24"/>
          <w:highlight w:val="none"/>
        </w:rPr>
        <w:t>（项目名称）的勘察设计单位，勘察设计费总额为人民币</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万元（大写</w:t>
      </w:r>
      <w:r>
        <w:rPr>
          <w:rFonts w:hint="eastAsia"/>
          <w:snapToGrid w:val="0"/>
          <w:color w:val="auto"/>
          <w:kern w:val="0"/>
          <w:sz w:val="24"/>
          <w:highlight w:val="none"/>
        </w:rPr>
        <w:t>：</w:t>
      </w:r>
      <w:r>
        <w:rPr>
          <w:rFonts w:hint="eastAsia"/>
          <w:snapToGrid w:val="0"/>
          <w:color w:val="auto"/>
          <w:kern w:val="0"/>
          <w:sz w:val="24"/>
          <w:highlight w:val="none"/>
          <w:u w:val="single"/>
        </w:rPr>
        <w:t xml:space="preserve">    </w:t>
      </w:r>
      <w:r>
        <w:rPr>
          <w:snapToGrid w:val="0"/>
          <w:color w:val="auto"/>
          <w:kern w:val="0"/>
          <w:sz w:val="24"/>
          <w:highlight w:val="none"/>
        </w:rPr>
        <w:t xml:space="preserve">），其中勘察费为 </w:t>
      </w:r>
      <w:r>
        <w:rPr>
          <w:rFonts w:hint="eastAsia"/>
          <w:snapToGrid w:val="0"/>
          <w:color w:val="auto"/>
          <w:kern w:val="0"/>
          <w:sz w:val="24"/>
          <w:highlight w:val="none"/>
          <w:u w:val="single"/>
        </w:rPr>
        <w:t xml:space="preserve">    </w:t>
      </w:r>
      <w:r>
        <w:rPr>
          <w:rFonts w:hint="eastAsia"/>
          <w:snapToGrid w:val="0"/>
          <w:color w:val="auto"/>
          <w:kern w:val="0"/>
          <w:sz w:val="24"/>
          <w:highlight w:val="none"/>
        </w:rPr>
        <w:t xml:space="preserve"> </w:t>
      </w:r>
      <w:r>
        <w:rPr>
          <w:snapToGrid w:val="0"/>
          <w:color w:val="auto"/>
          <w:kern w:val="0"/>
          <w:sz w:val="24"/>
          <w:highlight w:val="none"/>
        </w:rPr>
        <w:t>万元，设计费为</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万元，暂列金</w:t>
      </w:r>
      <w:r>
        <w:rPr>
          <w:snapToGrid w:val="0"/>
          <w:color w:val="auto"/>
          <w:kern w:val="0"/>
          <w:sz w:val="24"/>
          <w:highlight w:val="none"/>
          <w:u w:val="single"/>
        </w:rPr>
        <w:t xml:space="preserve"> </w:t>
      </w:r>
      <w:r>
        <w:rPr>
          <w:rFonts w:hint="eastAsia"/>
          <w:snapToGrid w:val="0"/>
          <w:color w:val="auto"/>
          <w:kern w:val="0"/>
          <w:sz w:val="24"/>
          <w:highlight w:val="none"/>
          <w:u w:val="single"/>
        </w:rPr>
        <w:t xml:space="preserve">   </w:t>
      </w:r>
      <w:r>
        <w:rPr>
          <w:snapToGrid w:val="0"/>
          <w:color w:val="auto"/>
          <w:kern w:val="0"/>
          <w:sz w:val="24"/>
          <w:highlight w:val="none"/>
          <w:u w:val="single"/>
        </w:rPr>
        <w:t xml:space="preserve"> </w:t>
      </w:r>
      <w:r>
        <w:rPr>
          <w:snapToGrid w:val="0"/>
          <w:color w:val="auto"/>
          <w:kern w:val="0"/>
          <w:sz w:val="24"/>
          <w:highlight w:val="none"/>
        </w:rPr>
        <w:t>万元</w:t>
      </w:r>
      <w:r>
        <w:rPr>
          <w:rFonts w:hint="eastAsia"/>
          <w:snapToGrid w:val="0"/>
          <w:color w:val="auto"/>
          <w:kern w:val="0"/>
          <w:sz w:val="24"/>
          <w:highlight w:val="none"/>
        </w:rPr>
        <w:t>；项目负责人：</w:t>
      </w:r>
      <w:r>
        <w:rPr>
          <w:rFonts w:hint="eastAsia"/>
          <w:snapToGrid w:val="0"/>
          <w:color w:val="auto"/>
          <w:kern w:val="0"/>
          <w:sz w:val="24"/>
          <w:highlight w:val="none"/>
          <w:u w:val="single"/>
        </w:rPr>
        <w:t xml:space="preserve">        </w:t>
      </w:r>
      <w:r>
        <w:rPr>
          <w:rFonts w:hint="eastAsia"/>
          <w:snapToGrid w:val="0"/>
          <w:color w:val="auto"/>
          <w:kern w:val="0"/>
          <w:sz w:val="24"/>
          <w:highlight w:val="none"/>
        </w:rPr>
        <w:t>；</w:t>
      </w:r>
      <w:r>
        <w:rPr>
          <w:rFonts w:hint="eastAsia"/>
          <w:snapToGrid w:val="0"/>
          <w:color w:val="auto"/>
          <w:kern w:val="0"/>
          <w:sz w:val="24"/>
          <w:szCs w:val="24"/>
          <w:highlight w:val="none"/>
        </w:rPr>
        <w:t>勘察周期：中标人必须在签订合同书后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日历天内提交工程勘察报告及资料。设计周期：(1)初步设计阶段：提交工程勘察报告及资料后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日历天内须向业主提交初步设计文件送审稿（含概算文件），初步设计审查完毕后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日历天内按上级主管部门审查要求提交修改后的正式初步设计文件。(2) 施工图设计阶段：中标人在初步设计批复后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日历天内向业主提交施工图设计文件送审稿（含工程量清单），施工图设计审查完毕后</w:t>
      </w:r>
      <w:r>
        <w:rPr>
          <w:rFonts w:hint="eastAsia"/>
          <w:snapToGrid w:val="0"/>
          <w:color w:val="auto"/>
          <w:kern w:val="0"/>
          <w:sz w:val="24"/>
          <w:szCs w:val="24"/>
          <w:highlight w:val="none"/>
          <w:u w:val="single"/>
        </w:rPr>
        <w:t xml:space="preserve">   </w:t>
      </w:r>
      <w:r>
        <w:rPr>
          <w:rFonts w:hint="eastAsia"/>
          <w:snapToGrid w:val="0"/>
          <w:color w:val="auto"/>
          <w:kern w:val="0"/>
          <w:sz w:val="24"/>
          <w:szCs w:val="24"/>
          <w:highlight w:val="none"/>
        </w:rPr>
        <w:t>日历天内按上级主管部门审查要求提交修改后的正式施工图设计文件</w:t>
      </w:r>
      <w:r>
        <w:rPr>
          <w:snapToGrid w:val="0"/>
          <w:color w:val="auto"/>
          <w:kern w:val="0"/>
          <w:sz w:val="24"/>
          <w:highlight w:val="none"/>
        </w:rPr>
        <w:t xml:space="preserve">。为此，甲、乙双方达成如下协议： </w:t>
      </w:r>
    </w:p>
    <w:p w14:paraId="15B63B0E">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一、本协议书中所用术语的含义与勘察设计合同条款中的含义相同。</w:t>
      </w:r>
    </w:p>
    <w:p w14:paraId="5C130312">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二、下列文件应作为本合同的组成部分，并互为补充和解释，但如有含义不清或互相矛盾之处，以如下排序在前者优先：</w:t>
      </w:r>
    </w:p>
    <w:p w14:paraId="62F389CF">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（1）合同协议书及各种合同附件（含评标期间和合同谈判过程中的澄清文件和补充资料；设计人提交的经发包人审核通过的勘察设计详细工作大纲及进度计划、专题研究详细工作大纲等）； </w:t>
      </w:r>
    </w:p>
    <w:p w14:paraId="5C1A944B">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（2）中标通知书； </w:t>
      </w:r>
    </w:p>
    <w:p w14:paraId="783496BD">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（3）投标函</w:t>
      </w:r>
    </w:p>
    <w:p w14:paraId="7FE55F25">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（4）专用合同条款； </w:t>
      </w:r>
    </w:p>
    <w:p w14:paraId="5A82E908">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（5）通用合同条款； </w:t>
      </w:r>
    </w:p>
    <w:p w14:paraId="77D44C67">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（6）勘察设计</w:t>
      </w:r>
      <w:r>
        <w:rPr>
          <w:rFonts w:hint="eastAsia" w:ascii="宋体" w:hAnsi="宋体"/>
          <w:snapToGrid w:val="0"/>
          <w:color w:val="auto"/>
          <w:kern w:val="0"/>
          <w:sz w:val="24"/>
          <w:highlight w:val="none"/>
        </w:rPr>
        <w:t>技术要求</w:t>
      </w:r>
      <w:r>
        <w:rPr>
          <w:rFonts w:ascii="宋体" w:hAnsi="宋体"/>
          <w:snapToGrid w:val="0"/>
          <w:color w:val="auto"/>
          <w:kern w:val="0"/>
          <w:sz w:val="24"/>
          <w:highlight w:val="none"/>
        </w:rPr>
        <w:t xml:space="preserve">； </w:t>
      </w:r>
    </w:p>
    <w:p w14:paraId="439532C4">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w:t>
      </w:r>
      <w:r>
        <w:rPr>
          <w:rFonts w:hint="eastAsia" w:ascii="宋体" w:hAnsi="宋体"/>
          <w:snapToGrid w:val="0"/>
          <w:color w:val="auto"/>
          <w:kern w:val="0"/>
          <w:sz w:val="24"/>
          <w:highlight w:val="none"/>
        </w:rPr>
        <w:t>7</w:t>
      </w:r>
      <w:r>
        <w:rPr>
          <w:rFonts w:ascii="宋体" w:hAnsi="宋体"/>
          <w:snapToGrid w:val="0"/>
          <w:color w:val="auto"/>
          <w:kern w:val="0"/>
          <w:sz w:val="24"/>
          <w:highlight w:val="none"/>
        </w:rPr>
        <w:t xml:space="preserve">）勘察设计工作量及报价清单； </w:t>
      </w:r>
    </w:p>
    <w:p w14:paraId="24DEB9BA">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w:t>
      </w:r>
      <w:r>
        <w:rPr>
          <w:rFonts w:hint="eastAsia" w:ascii="宋体" w:hAnsi="宋体"/>
          <w:snapToGrid w:val="0"/>
          <w:color w:val="auto"/>
          <w:kern w:val="0"/>
          <w:sz w:val="24"/>
          <w:highlight w:val="none"/>
        </w:rPr>
        <w:t>8</w:t>
      </w:r>
      <w:r>
        <w:rPr>
          <w:rFonts w:ascii="宋体" w:hAnsi="宋体"/>
          <w:snapToGrid w:val="0"/>
          <w:color w:val="auto"/>
          <w:kern w:val="0"/>
          <w:sz w:val="24"/>
          <w:highlight w:val="none"/>
        </w:rPr>
        <w:t xml:space="preserve">）联合体协议（如有）； </w:t>
      </w:r>
    </w:p>
    <w:p w14:paraId="22C553CE">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w:t>
      </w:r>
      <w:r>
        <w:rPr>
          <w:rFonts w:hint="eastAsia" w:ascii="宋体" w:hAnsi="宋体"/>
          <w:snapToGrid w:val="0"/>
          <w:color w:val="auto"/>
          <w:kern w:val="0"/>
          <w:sz w:val="24"/>
          <w:highlight w:val="none"/>
        </w:rPr>
        <w:t>9</w:t>
      </w:r>
      <w:r>
        <w:rPr>
          <w:rFonts w:ascii="宋体" w:hAnsi="宋体"/>
          <w:snapToGrid w:val="0"/>
          <w:color w:val="auto"/>
          <w:kern w:val="0"/>
          <w:sz w:val="24"/>
          <w:highlight w:val="none"/>
        </w:rPr>
        <w:t>）构成本合同组成部分的其他文件</w:t>
      </w:r>
      <w:r>
        <w:rPr>
          <w:rFonts w:hint="eastAsia" w:ascii="宋体" w:hAnsi="宋体"/>
          <w:snapToGrid w:val="0"/>
          <w:color w:val="auto"/>
          <w:kern w:val="0"/>
          <w:sz w:val="24"/>
          <w:highlight w:val="none"/>
        </w:rPr>
        <w:t>（补遗书、澄清函）</w:t>
      </w:r>
      <w:r>
        <w:rPr>
          <w:rFonts w:ascii="宋体" w:hAnsi="宋体"/>
          <w:snapToGrid w:val="0"/>
          <w:color w:val="auto"/>
          <w:kern w:val="0"/>
          <w:sz w:val="24"/>
          <w:highlight w:val="none"/>
        </w:rPr>
        <w:t xml:space="preserve">。 </w:t>
      </w:r>
    </w:p>
    <w:p w14:paraId="7EF9BCA9">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三、甲方和乙方双方的责任和义务及违约条款遵照勘察设计合同条款的规定。 </w:t>
      </w:r>
    </w:p>
    <w:p w14:paraId="5A150F2E">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 xml:space="preserve">四、本合同的总金额是完成本合同所规定义务的一切费用。除暂列金额之外，其余由乙方包干使用，甲方将按进度和合同条款相应规定分期支付。 </w:t>
      </w:r>
    </w:p>
    <w:p w14:paraId="2BB309DA">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五、本合同协议书未尽事宜由双方协商解决。</w:t>
      </w:r>
    </w:p>
    <w:p w14:paraId="0F6002C4">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六、合同协议书经双方代表签字加盖单位章后即产生法律效力，设计费用结清后失效。双方要恪守信誉，严格履行。</w:t>
      </w:r>
    </w:p>
    <w:p w14:paraId="4B3502A2">
      <w:pPr>
        <w:snapToGrid w:val="0"/>
        <w:spacing w:line="360" w:lineRule="auto"/>
        <w:ind w:left="480" w:hanging="480" w:hangingChars="200"/>
        <w:rPr>
          <w:rFonts w:ascii="宋体" w:hAnsi="宋体"/>
          <w:snapToGrid w:val="0"/>
          <w:color w:val="auto"/>
          <w:kern w:val="0"/>
          <w:sz w:val="24"/>
          <w:highlight w:val="none"/>
        </w:rPr>
      </w:pPr>
      <w:r>
        <w:rPr>
          <w:rFonts w:ascii="宋体" w:hAnsi="宋体"/>
          <w:snapToGrid w:val="0"/>
          <w:color w:val="auto"/>
          <w:kern w:val="0"/>
          <w:sz w:val="24"/>
          <w:highlight w:val="none"/>
        </w:rPr>
        <w:t>七、本合同协议书一式</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份，其中正本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份，甲方执正本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份，副本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份，乙方执正本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份，副本</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份，正副本具有同等法律效力；当正本与副本内容不一致时，以正本为准。</w:t>
      </w:r>
    </w:p>
    <w:p w14:paraId="63377DAD">
      <w:pPr>
        <w:snapToGrid w:val="0"/>
        <w:spacing w:line="480" w:lineRule="auto"/>
        <w:rPr>
          <w:rFonts w:ascii="宋体" w:hAnsi="宋体"/>
          <w:snapToGrid w:val="0"/>
          <w:color w:val="auto"/>
          <w:kern w:val="0"/>
          <w:sz w:val="24"/>
          <w:highlight w:val="none"/>
        </w:rPr>
      </w:pPr>
    </w:p>
    <w:p w14:paraId="59EE8775">
      <w:pPr>
        <w:snapToGrid w:val="0"/>
        <w:spacing w:line="432" w:lineRule="auto"/>
        <w:ind w:left="120"/>
        <w:rPr>
          <w:rFonts w:ascii="宋体" w:hAnsi="宋体"/>
          <w:snapToGrid w:val="0"/>
          <w:color w:val="auto"/>
          <w:kern w:val="0"/>
          <w:sz w:val="24"/>
          <w:highlight w:val="none"/>
          <w:u w:val="single"/>
        </w:rPr>
      </w:pPr>
      <w:r>
        <w:rPr>
          <w:rFonts w:ascii="宋体" w:hAnsi="宋体"/>
          <w:snapToGrid w:val="0"/>
          <w:color w:val="auto"/>
          <w:kern w:val="0"/>
          <w:sz w:val="24"/>
          <w:highlight w:val="none"/>
        </w:rPr>
        <w:t>甲   方：</w:t>
      </w:r>
      <w:r>
        <w:rPr>
          <w:rFonts w:ascii="宋体" w:hAnsi="宋体"/>
          <w:snapToGrid w:val="0"/>
          <w:color w:val="auto"/>
          <w:kern w:val="0"/>
          <w:sz w:val="24"/>
          <w:highlight w:val="none"/>
          <w:u w:val="single"/>
        </w:rPr>
        <w:t xml:space="preserve">（单位全称）   （盖单位章）  </w:t>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乙   方：</w:t>
      </w:r>
      <w:r>
        <w:rPr>
          <w:rFonts w:hint="eastAsia" w:ascii="宋体" w:hAnsi="宋体"/>
          <w:snapToGrid w:val="0"/>
          <w:color w:val="auto"/>
          <w:kern w:val="0"/>
          <w:sz w:val="24"/>
          <w:highlight w:val="none"/>
        </w:rPr>
        <w:tab/>
      </w:r>
      <w:r>
        <w:rPr>
          <w:rFonts w:ascii="宋体" w:hAnsi="宋体"/>
          <w:snapToGrid w:val="0"/>
          <w:color w:val="auto"/>
          <w:kern w:val="0"/>
          <w:sz w:val="24"/>
          <w:highlight w:val="none"/>
          <w:u w:val="single"/>
        </w:rPr>
        <w:t>（单位全称） （盖单位章）</w:t>
      </w:r>
    </w:p>
    <w:p w14:paraId="7B7B9CC7">
      <w:pPr>
        <w:snapToGrid w:val="0"/>
        <w:spacing w:line="432" w:lineRule="auto"/>
        <w:ind w:left="120"/>
        <w:rPr>
          <w:rFonts w:ascii="宋体" w:hAnsi="宋体"/>
          <w:snapToGrid w:val="0"/>
          <w:color w:val="auto"/>
          <w:kern w:val="0"/>
          <w:sz w:val="24"/>
          <w:highlight w:val="none"/>
        </w:rPr>
      </w:pPr>
      <w:r>
        <w:rPr>
          <w:rFonts w:ascii="宋体" w:hAnsi="宋体"/>
          <w:snapToGrid w:val="0"/>
          <w:color w:val="auto"/>
          <w:kern w:val="0"/>
          <w:sz w:val="24"/>
          <w:highlight w:val="none"/>
        </w:rPr>
        <w:t xml:space="preserve">法定代表人                            </w:t>
      </w:r>
      <w:r>
        <w:rPr>
          <w:rFonts w:hint="eastAsia" w:ascii="宋体" w:hAnsi="宋体"/>
          <w:snapToGrid w:val="0"/>
          <w:color w:val="auto"/>
          <w:kern w:val="0"/>
          <w:sz w:val="24"/>
          <w:highlight w:val="none"/>
        </w:rPr>
        <w:tab/>
      </w:r>
      <w:r>
        <w:rPr>
          <w:rFonts w:ascii="宋体" w:hAnsi="宋体"/>
          <w:snapToGrid w:val="0"/>
          <w:color w:val="auto"/>
          <w:kern w:val="0"/>
          <w:sz w:val="24"/>
          <w:highlight w:val="none"/>
        </w:rPr>
        <w:t xml:space="preserve">法定代表人 </w:t>
      </w:r>
    </w:p>
    <w:p w14:paraId="4191FBEC">
      <w:pPr>
        <w:snapToGrid w:val="0"/>
        <w:spacing w:line="432" w:lineRule="auto"/>
        <w:ind w:left="1080"/>
        <w:rPr>
          <w:rFonts w:ascii="宋体" w:hAnsi="宋体"/>
          <w:snapToGrid w:val="0"/>
          <w:color w:val="auto"/>
          <w:kern w:val="0"/>
          <w:sz w:val="24"/>
          <w:highlight w:val="none"/>
        </w:rPr>
      </w:pPr>
      <w:r>
        <w:rPr>
          <w:rFonts w:ascii="宋体" w:hAnsi="宋体"/>
          <w:snapToGrid w:val="0"/>
          <w:color w:val="auto"/>
          <w:kern w:val="0"/>
          <w:sz w:val="24"/>
          <w:highlight w:val="none"/>
        </w:rPr>
        <w:t xml:space="preserve">或                              </w:t>
      </w:r>
      <w:r>
        <w:rPr>
          <w:rFonts w:hint="eastAsia" w:ascii="宋体" w:hAnsi="宋体"/>
          <w:snapToGrid w:val="0"/>
          <w:color w:val="auto"/>
          <w:kern w:val="0"/>
          <w:sz w:val="24"/>
          <w:highlight w:val="none"/>
        </w:rPr>
        <w:tab/>
      </w:r>
      <w:r>
        <w:rPr>
          <w:rFonts w:ascii="宋体" w:hAnsi="宋体"/>
          <w:snapToGrid w:val="0"/>
          <w:color w:val="auto"/>
          <w:kern w:val="0"/>
          <w:sz w:val="24"/>
          <w:highlight w:val="none"/>
        </w:rPr>
        <w:t xml:space="preserve">或 </w:t>
      </w:r>
    </w:p>
    <w:p w14:paraId="4BE41819">
      <w:pPr>
        <w:snapToGrid w:val="0"/>
        <w:spacing w:line="432" w:lineRule="auto"/>
        <w:ind w:left="120"/>
        <w:rPr>
          <w:rFonts w:ascii="宋体" w:hAnsi="宋体"/>
          <w:snapToGrid w:val="0"/>
          <w:color w:val="auto"/>
          <w:kern w:val="0"/>
          <w:sz w:val="24"/>
          <w:highlight w:val="none"/>
        </w:rPr>
      </w:pPr>
      <w:r>
        <w:rPr>
          <w:rFonts w:ascii="宋体" w:hAnsi="宋体"/>
          <w:snapToGrid w:val="0"/>
          <w:color w:val="auto"/>
          <w:kern w:val="0"/>
          <w:sz w:val="24"/>
          <w:highlight w:val="none"/>
        </w:rPr>
        <w:t>委托代理人</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（职务）</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ascii="宋体" w:hAnsi="宋体"/>
          <w:snapToGrid w:val="0"/>
          <w:color w:val="auto"/>
          <w:kern w:val="0"/>
          <w:sz w:val="24"/>
          <w:highlight w:val="none"/>
        </w:rPr>
        <w:t>委托代理人</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（职务）</w:t>
      </w:r>
    </w:p>
    <w:p w14:paraId="4F2863E4">
      <w:pPr>
        <w:snapToGrid w:val="0"/>
        <w:spacing w:line="432" w:lineRule="auto"/>
        <w:ind w:left="840" w:firstLine="420"/>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（姓名）</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（姓名）</w:t>
      </w:r>
    </w:p>
    <w:p w14:paraId="3A5CE7CB">
      <w:pPr>
        <w:snapToGrid w:val="0"/>
        <w:spacing w:line="432" w:lineRule="auto"/>
        <w:ind w:left="840" w:firstLine="420"/>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（签字）</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（签字）</w:t>
      </w:r>
    </w:p>
    <w:p w14:paraId="006B09BC">
      <w:pPr>
        <w:snapToGrid w:val="0"/>
        <w:spacing w:line="432" w:lineRule="auto"/>
        <w:ind w:left="120"/>
        <w:rPr>
          <w:rFonts w:ascii="宋体" w:hAnsi="宋体"/>
          <w:snapToGrid w:val="0"/>
          <w:color w:val="auto"/>
          <w:kern w:val="0"/>
          <w:sz w:val="24"/>
          <w:highlight w:val="none"/>
          <w:u w:val="single"/>
        </w:rPr>
      </w:pPr>
      <w:r>
        <w:rPr>
          <w:rFonts w:ascii="宋体" w:hAnsi="宋体"/>
          <w:snapToGrid w:val="0"/>
          <w:color w:val="auto"/>
          <w:kern w:val="0"/>
          <w:sz w:val="24"/>
          <w:highlight w:val="none"/>
        </w:rPr>
        <w:t>地</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址：</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ascii="宋体" w:hAnsi="宋体"/>
          <w:snapToGrid w:val="0"/>
          <w:color w:val="auto"/>
          <w:kern w:val="0"/>
          <w:sz w:val="24"/>
          <w:highlight w:val="none"/>
        </w:rPr>
        <w:t>地</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址：</w:t>
      </w:r>
      <w:r>
        <w:rPr>
          <w:rFonts w:hint="eastAsia" w:ascii="宋体" w:hAnsi="宋体"/>
          <w:snapToGrid w:val="0"/>
          <w:color w:val="auto"/>
          <w:kern w:val="0"/>
          <w:sz w:val="24"/>
          <w:highlight w:val="none"/>
          <w:u w:val="single"/>
        </w:rPr>
        <w:t xml:space="preserve">              </w:t>
      </w:r>
    </w:p>
    <w:p w14:paraId="54315E88">
      <w:pPr>
        <w:snapToGrid w:val="0"/>
        <w:spacing w:line="432" w:lineRule="auto"/>
        <w:ind w:left="120"/>
        <w:rPr>
          <w:rFonts w:ascii="宋体" w:hAnsi="宋体"/>
          <w:snapToGrid w:val="0"/>
          <w:color w:val="auto"/>
          <w:kern w:val="0"/>
          <w:sz w:val="24"/>
          <w:highlight w:val="none"/>
        </w:rPr>
      </w:pPr>
      <w:r>
        <w:rPr>
          <w:rFonts w:ascii="宋体" w:hAnsi="宋体"/>
          <w:snapToGrid w:val="0"/>
          <w:color w:val="auto"/>
          <w:kern w:val="0"/>
          <w:sz w:val="24"/>
          <w:highlight w:val="none"/>
        </w:rPr>
        <w:t>电</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话：</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ascii="宋体" w:hAnsi="宋体"/>
          <w:snapToGrid w:val="0"/>
          <w:color w:val="auto"/>
          <w:kern w:val="0"/>
          <w:sz w:val="24"/>
          <w:highlight w:val="none"/>
        </w:rPr>
        <w:t>电</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话：</w:t>
      </w:r>
      <w:r>
        <w:rPr>
          <w:rFonts w:hint="eastAsia" w:ascii="宋体" w:hAnsi="宋体"/>
          <w:snapToGrid w:val="0"/>
          <w:color w:val="auto"/>
          <w:kern w:val="0"/>
          <w:sz w:val="24"/>
          <w:highlight w:val="none"/>
          <w:u w:val="single"/>
        </w:rPr>
        <w:t xml:space="preserve">               </w:t>
      </w:r>
    </w:p>
    <w:p w14:paraId="432FE77A">
      <w:pPr>
        <w:snapToGrid w:val="0"/>
        <w:spacing w:line="432" w:lineRule="auto"/>
        <w:ind w:left="120"/>
        <w:rPr>
          <w:rFonts w:ascii="宋体" w:hAnsi="宋体"/>
          <w:snapToGrid w:val="0"/>
          <w:color w:val="auto"/>
          <w:kern w:val="0"/>
          <w:sz w:val="24"/>
          <w:highlight w:val="none"/>
        </w:rPr>
      </w:pPr>
      <w:r>
        <w:rPr>
          <w:rFonts w:ascii="宋体" w:hAnsi="宋体"/>
          <w:snapToGrid w:val="0"/>
          <w:color w:val="auto"/>
          <w:kern w:val="0"/>
          <w:sz w:val="24"/>
          <w:highlight w:val="none"/>
        </w:rPr>
        <w:t>日</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期：</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ascii="宋体" w:hAnsi="宋体"/>
          <w:snapToGrid w:val="0"/>
          <w:color w:val="auto"/>
          <w:kern w:val="0"/>
          <w:sz w:val="24"/>
          <w:highlight w:val="none"/>
        </w:rPr>
        <w:t>日</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期：</w:t>
      </w:r>
      <w:r>
        <w:rPr>
          <w:rFonts w:hint="eastAsia" w:ascii="宋体" w:hAnsi="宋体"/>
          <w:snapToGrid w:val="0"/>
          <w:color w:val="auto"/>
          <w:kern w:val="0"/>
          <w:sz w:val="24"/>
          <w:highlight w:val="none"/>
          <w:u w:val="single"/>
        </w:rPr>
        <w:t xml:space="preserve">                </w:t>
      </w:r>
    </w:p>
    <w:p w14:paraId="70806477">
      <w:pPr>
        <w:pStyle w:val="3"/>
        <w:rPr>
          <w:rFonts w:eastAsia="宋体"/>
          <w:color w:val="auto"/>
          <w:highlight w:val="none"/>
        </w:rPr>
      </w:pPr>
      <w:r>
        <w:rPr>
          <w:rFonts w:eastAsia="宋体"/>
          <w:color w:val="auto"/>
          <w:highlight w:val="none"/>
        </w:rPr>
        <w:br w:type="page"/>
      </w:r>
      <w:bookmarkStart w:id="741" w:name="_Toc488649932"/>
      <w:bookmarkStart w:id="742" w:name="_Toc346269507"/>
      <w:r>
        <w:rPr>
          <w:rFonts w:hint="eastAsia" w:eastAsia="宋体"/>
          <w:color w:val="auto"/>
          <w:highlight w:val="none"/>
        </w:rPr>
        <w:t>第六章 招标人提供的基础资料</w:t>
      </w:r>
      <w:bookmarkEnd w:id="741"/>
      <w:bookmarkEnd w:id="742"/>
    </w:p>
    <w:p w14:paraId="341BCE7E">
      <w:pPr>
        <w:pStyle w:val="3"/>
        <w:rPr>
          <w:snapToGrid w:val="0"/>
          <w:color w:val="auto"/>
          <w:kern w:val="0"/>
          <w:sz w:val="24"/>
          <w:highlight w:val="none"/>
        </w:rPr>
      </w:pPr>
    </w:p>
    <w:p w14:paraId="1D06E4DC">
      <w:pPr>
        <w:snapToGrid w:val="0"/>
        <w:spacing w:line="360" w:lineRule="auto"/>
        <w:ind w:left="480" w:hanging="480" w:hangingChars="200"/>
        <w:rPr>
          <w:snapToGrid w:val="0"/>
          <w:color w:val="auto"/>
          <w:kern w:val="0"/>
          <w:sz w:val="24"/>
          <w:highlight w:val="none"/>
        </w:rPr>
      </w:pPr>
      <w:r>
        <w:rPr>
          <w:rFonts w:hint="eastAsia"/>
          <w:snapToGrid w:val="0"/>
          <w:color w:val="auto"/>
          <w:kern w:val="0"/>
          <w:sz w:val="24"/>
          <w:highlight w:val="none"/>
        </w:rPr>
        <w:t>一、项目概况</w:t>
      </w:r>
    </w:p>
    <w:p w14:paraId="30B8F57A">
      <w:pPr>
        <w:snapToGrid w:val="0"/>
        <w:spacing w:line="360" w:lineRule="auto"/>
        <w:ind w:left="480" w:hanging="480" w:hangingChars="200"/>
        <w:rPr>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建设内容、规模等：</w:t>
      </w:r>
    </w:p>
    <w:p w14:paraId="1026C6AF">
      <w:pPr>
        <w:snapToGrid w:val="0"/>
        <w:spacing w:line="360" w:lineRule="auto"/>
        <w:ind w:left="480" w:hanging="480" w:hangingChars="200"/>
        <w:rPr>
          <w:snapToGrid w:val="0"/>
          <w:color w:val="auto"/>
          <w:kern w:val="0"/>
          <w:sz w:val="24"/>
          <w:highlight w:val="none"/>
        </w:rPr>
      </w:pPr>
      <w:r>
        <w:rPr>
          <w:rFonts w:hint="eastAsia"/>
          <w:snapToGrid w:val="0"/>
          <w:color w:val="auto"/>
          <w:kern w:val="0"/>
          <w:sz w:val="24"/>
          <w:highlight w:val="none"/>
        </w:rPr>
        <w:t>二、招标人提供的资料</w:t>
      </w:r>
    </w:p>
    <w:p w14:paraId="2841E183">
      <w:pPr>
        <w:snapToGrid w:val="0"/>
        <w:spacing w:line="360" w:lineRule="auto"/>
        <w:ind w:left="480" w:hanging="480" w:hangingChars="200"/>
        <w:rPr>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1.地形测量资料</w:t>
      </w:r>
    </w:p>
    <w:p w14:paraId="0EBCDE3F">
      <w:pPr>
        <w:snapToGrid w:val="0"/>
        <w:spacing w:line="360" w:lineRule="auto"/>
        <w:ind w:left="480" w:hanging="480" w:hangingChars="200"/>
        <w:rPr>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2.地质勘察资料</w:t>
      </w:r>
    </w:p>
    <w:p w14:paraId="2951ADE0">
      <w:pPr>
        <w:snapToGrid w:val="0"/>
        <w:spacing w:line="360" w:lineRule="auto"/>
        <w:ind w:left="480" w:hanging="480" w:hangingChars="200"/>
        <w:rPr>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3.上阶段工作成果及批复资料</w:t>
      </w:r>
    </w:p>
    <w:p w14:paraId="0D494952">
      <w:pPr>
        <w:snapToGrid w:val="0"/>
        <w:spacing w:line="360" w:lineRule="auto"/>
        <w:ind w:left="480" w:hanging="480" w:hangingChars="200"/>
        <w:rPr>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4.工程场地及毗邻区域内的供水、排水、供电、供气、供热、通信条件等有关建设工程的资料。</w:t>
      </w:r>
    </w:p>
    <w:p w14:paraId="01474785">
      <w:pPr>
        <w:snapToGrid w:val="0"/>
        <w:spacing w:line="360" w:lineRule="auto"/>
        <w:ind w:left="480" w:hanging="480" w:hangingChars="200"/>
        <w:rPr>
          <w:snapToGrid w:val="0"/>
          <w:color w:val="auto"/>
          <w:kern w:val="0"/>
          <w:sz w:val="24"/>
          <w:highlight w:val="none"/>
        </w:rPr>
      </w:pPr>
      <w:r>
        <w:rPr>
          <w:rFonts w:hint="eastAsia"/>
          <w:snapToGrid w:val="0"/>
          <w:color w:val="auto"/>
          <w:kern w:val="0"/>
          <w:sz w:val="24"/>
          <w:highlight w:val="none"/>
        </w:rPr>
        <w:tab/>
      </w:r>
      <w:r>
        <w:rPr>
          <w:rFonts w:hint="eastAsia"/>
          <w:snapToGrid w:val="0"/>
          <w:color w:val="auto"/>
          <w:kern w:val="0"/>
          <w:sz w:val="24"/>
          <w:highlight w:val="none"/>
        </w:rPr>
        <w:t>5.……</w:t>
      </w:r>
    </w:p>
    <w:p w14:paraId="6398F6F1">
      <w:pPr>
        <w:pStyle w:val="3"/>
        <w:rPr>
          <w:rFonts w:eastAsia="宋体"/>
          <w:snapToGrid w:val="0"/>
          <w:color w:val="auto"/>
          <w:spacing w:val="0"/>
          <w:kern w:val="0"/>
          <w:highlight w:val="none"/>
        </w:rPr>
      </w:pPr>
    </w:p>
    <w:bookmarkEnd w:id="740"/>
    <w:p w14:paraId="0543E313">
      <w:pPr>
        <w:pStyle w:val="3"/>
        <w:rPr>
          <w:rFonts w:eastAsia="宋体"/>
          <w:snapToGrid w:val="0"/>
          <w:color w:val="auto"/>
          <w:kern w:val="0"/>
          <w:highlight w:val="none"/>
        </w:rPr>
      </w:pPr>
      <w:r>
        <w:rPr>
          <w:rFonts w:eastAsia="宋体"/>
          <w:snapToGrid w:val="0"/>
          <w:color w:val="auto"/>
          <w:kern w:val="0"/>
          <w:highlight w:val="none"/>
        </w:rPr>
        <w:br w:type="page"/>
      </w:r>
      <w:bookmarkStart w:id="743" w:name="_Toc335660926"/>
      <w:bookmarkStart w:id="744" w:name="_Toc488649933"/>
      <w:bookmarkStart w:id="745" w:name="_Toc335722008"/>
      <w:bookmarkStart w:id="746" w:name="_Toc346269508"/>
      <w:r>
        <w:rPr>
          <w:rFonts w:eastAsia="宋体"/>
          <w:snapToGrid w:val="0"/>
          <w:color w:val="auto"/>
          <w:kern w:val="0"/>
          <w:highlight w:val="none"/>
        </w:rPr>
        <w:t>第</w:t>
      </w:r>
      <w:r>
        <w:rPr>
          <w:rFonts w:hint="eastAsia" w:eastAsia="宋体"/>
          <w:snapToGrid w:val="0"/>
          <w:color w:val="auto"/>
          <w:kern w:val="0"/>
          <w:highlight w:val="none"/>
        </w:rPr>
        <w:t>七</w:t>
      </w:r>
      <w:r>
        <w:rPr>
          <w:rFonts w:eastAsia="宋体"/>
          <w:snapToGrid w:val="0"/>
          <w:color w:val="auto"/>
          <w:kern w:val="0"/>
          <w:highlight w:val="none"/>
        </w:rPr>
        <w:t>章 勘察设计技术要求</w:t>
      </w:r>
      <w:bookmarkEnd w:id="743"/>
      <w:bookmarkEnd w:id="744"/>
      <w:bookmarkEnd w:id="745"/>
      <w:bookmarkEnd w:id="746"/>
    </w:p>
    <w:p w14:paraId="598CA4DE">
      <w:pPr>
        <w:pStyle w:val="3"/>
        <w:rPr>
          <w:rFonts w:eastAsia="宋体"/>
          <w:b w:val="0"/>
          <w:snapToGrid w:val="0"/>
          <w:color w:val="auto"/>
          <w:kern w:val="0"/>
          <w:highlight w:val="none"/>
        </w:rPr>
      </w:pPr>
      <w:bookmarkStart w:id="747" w:name="_Toc488649934"/>
      <w:bookmarkStart w:id="748" w:name="_Toc346269509"/>
      <w:bookmarkStart w:id="749" w:name="_Toc335722009"/>
      <w:bookmarkStart w:id="750" w:name="_Toc335660927"/>
      <w:r>
        <w:rPr>
          <w:rFonts w:eastAsia="宋体"/>
          <w:b w:val="0"/>
          <w:snapToGrid w:val="0"/>
          <w:color w:val="auto"/>
          <w:kern w:val="0"/>
          <w:highlight w:val="none"/>
        </w:rPr>
        <w:t>1. 勘察设计技术标准与规范</w:t>
      </w:r>
      <w:bookmarkEnd w:id="747"/>
      <w:bookmarkEnd w:id="748"/>
      <w:bookmarkEnd w:id="749"/>
      <w:bookmarkEnd w:id="750"/>
    </w:p>
    <w:p w14:paraId="0A6F52BB">
      <w:pPr>
        <w:snapToGrid w:val="0"/>
        <w:spacing w:line="360" w:lineRule="auto"/>
        <w:ind w:firstLine="480" w:firstLineChars="200"/>
        <w:rPr>
          <w:snapToGrid w:val="0"/>
          <w:color w:val="auto"/>
          <w:kern w:val="0"/>
          <w:sz w:val="24"/>
          <w:highlight w:val="none"/>
        </w:rPr>
      </w:pPr>
      <w:r>
        <w:rPr>
          <w:snapToGrid w:val="0"/>
          <w:color w:val="auto"/>
          <w:kern w:val="0"/>
          <w:sz w:val="24"/>
          <w:highlight w:val="none"/>
        </w:rPr>
        <w:t>本工程的勘察设计过程和成果必须符合国家有关工程建设标准强制性条文和交通运输部关于水运工程勘察设计方面现行标准及招标项目所在地关于水运工程勘察设计方面的文件、规定。</w:t>
      </w:r>
    </w:p>
    <w:p w14:paraId="57A6A240">
      <w:pPr>
        <w:snapToGrid w:val="0"/>
        <w:spacing w:line="360" w:lineRule="auto"/>
        <w:ind w:firstLine="480" w:firstLineChars="200"/>
        <w:jc w:val="left"/>
        <w:rPr>
          <w:snapToGrid w:val="0"/>
          <w:color w:val="auto"/>
          <w:kern w:val="0"/>
          <w:sz w:val="24"/>
          <w:highlight w:val="none"/>
        </w:rPr>
      </w:pPr>
      <w:r>
        <w:rPr>
          <w:rFonts w:hint="eastAsia"/>
          <w:snapToGrid w:val="0"/>
          <w:color w:val="auto"/>
          <w:kern w:val="0"/>
          <w:sz w:val="24"/>
          <w:highlight w:val="none"/>
        </w:rPr>
        <w:t>设计人</w:t>
      </w:r>
      <w:r>
        <w:rPr>
          <w:snapToGrid w:val="0"/>
          <w:color w:val="auto"/>
          <w:kern w:val="0"/>
          <w:sz w:val="24"/>
          <w:highlight w:val="none"/>
        </w:rPr>
        <w:t>在勘察设计工作中使用或参考上述标准以外的技术标准时，应征得甲方（发包人或发包人的指定代表人）的同意。</w:t>
      </w:r>
    </w:p>
    <w:p w14:paraId="6B315C48">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设计人</w:t>
      </w:r>
      <w:r>
        <w:rPr>
          <w:snapToGrid w:val="0"/>
          <w:color w:val="auto"/>
          <w:kern w:val="0"/>
          <w:sz w:val="24"/>
          <w:highlight w:val="none"/>
        </w:rPr>
        <w:t>在勘察设计工作中必须使用中华人民共和国《工程建设标准强制性条文》。</w:t>
      </w:r>
    </w:p>
    <w:p w14:paraId="18B390C5">
      <w:pPr>
        <w:snapToGrid w:val="0"/>
        <w:spacing w:line="360" w:lineRule="auto"/>
        <w:ind w:firstLine="480" w:firstLineChars="200"/>
        <w:rPr>
          <w:snapToGrid w:val="0"/>
          <w:color w:val="auto"/>
          <w:kern w:val="0"/>
          <w:sz w:val="24"/>
          <w:highlight w:val="none"/>
        </w:rPr>
      </w:pPr>
      <w:r>
        <w:rPr>
          <w:snapToGrid w:val="0"/>
          <w:color w:val="auto"/>
          <w:kern w:val="0"/>
          <w:sz w:val="24"/>
          <w:highlight w:val="none"/>
        </w:rPr>
        <w:t>在勘察设计过程中，如果国家或有关部门颁布了新的技术标准，则设计人应采用新的标准进行勘察设计。</w:t>
      </w:r>
    </w:p>
    <w:p w14:paraId="597B0A0D">
      <w:pPr>
        <w:snapToGrid w:val="0"/>
        <w:spacing w:line="360" w:lineRule="auto"/>
        <w:ind w:left="420" w:leftChars="200"/>
        <w:rPr>
          <w:snapToGrid w:val="0"/>
          <w:color w:val="auto"/>
          <w:kern w:val="0"/>
          <w:sz w:val="24"/>
          <w:highlight w:val="none"/>
        </w:rPr>
      </w:pPr>
      <w:r>
        <w:rPr>
          <w:snapToGrid w:val="0"/>
          <w:color w:val="auto"/>
          <w:kern w:val="0"/>
          <w:sz w:val="24"/>
          <w:highlight w:val="none"/>
        </w:rPr>
        <w:t>水运工程部分标准书目索引（不限于）：</w:t>
      </w:r>
    </w:p>
    <w:p w14:paraId="019A0948">
      <w:pPr>
        <w:snapToGrid w:val="0"/>
        <w:spacing w:line="360" w:lineRule="auto"/>
        <w:ind w:left="480" w:hanging="480" w:hangingChars="200"/>
        <w:rPr>
          <w:snapToGrid w:val="0"/>
          <w:color w:val="auto"/>
          <w:kern w:val="0"/>
          <w:sz w:val="24"/>
          <w:highlight w:val="none"/>
        </w:rPr>
      </w:pPr>
      <w:bookmarkStart w:id="751" w:name="_Toc330218701"/>
      <w:bookmarkStart w:id="752" w:name="_Toc330218136"/>
      <w:bookmarkStart w:id="753" w:name="_Toc335721558"/>
      <w:bookmarkStart w:id="754" w:name="_Toc335660461"/>
      <w:bookmarkStart w:id="755" w:name="_Toc335722010"/>
      <w:bookmarkStart w:id="756" w:name="_Toc335660048"/>
      <w:bookmarkStart w:id="757" w:name="_Toc335660928"/>
      <w:r>
        <w:rPr>
          <w:snapToGrid w:val="0"/>
          <w:color w:val="auto"/>
          <w:kern w:val="0"/>
          <w:sz w:val="24"/>
          <w:highlight w:val="none"/>
        </w:rPr>
        <w:t>1.1 管理类</w:t>
      </w:r>
      <w:bookmarkEnd w:id="751"/>
      <w:bookmarkEnd w:id="752"/>
      <w:bookmarkEnd w:id="753"/>
      <w:bookmarkEnd w:id="754"/>
      <w:bookmarkEnd w:id="755"/>
      <w:bookmarkEnd w:id="756"/>
      <w:bookmarkEnd w:id="757"/>
    </w:p>
    <w:p w14:paraId="2C545471">
      <w:pPr>
        <w:snapToGrid w:val="0"/>
        <w:spacing w:line="360" w:lineRule="auto"/>
        <w:ind w:left="420" w:leftChars="200"/>
        <w:rPr>
          <w:snapToGrid w:val="0"/>
          <w:color w:val="auto"/>
          <w:kern w:val="0"/>
          <w:sz w:val="24"/>
          <w:highlight w:val="none"/>
        </w:rPr>
      </w:pPr>
      <w:r>
        <w:rPr>
          <w:snapToGrid w:val="0"/>
          <w:color w:val="auto"/>
          <w:kern w:val="0"/>
          <w:sz w:val="24"/>
          <w:highlight w:val="none"/>
        </w:rPr>
        <w:t>1.港口工程基本术语标准</w:t>
      </w:r>
    </w:p>
    <w:p w14:paraId="5A810649">
      <w:pPr>
        <w:snapToGrid w:val="0"/>
        <w:spacing w:line="360" w:lineRule="auto"/>
        <w:ind w:left="420" w:leftChars="200"/>
        <w:rPr>
          <w:snapToGrid w:val="0"/>
          <w:color w:val="auto"/>
          <w:kern w:val="0"/>
          <w:sz w:val="24"/>
          <w:highlight w:val="none"/>
        </w:rPr>
      </w:pPr>
      <w:r>
        <w:rPr>
          <w:snapToGrid w:val="0"/>
          <w:color w:val="auto"/>
          <w:kern w:val="0"/>
          <w:sz w:val="24"/>
          <w:highlight w:val="none"/>
        </w:rPr>
        <w:t>2.航道工程基本术语标准</w:t>
      </w:r>
    </w:p>
    <w:p w14:paraId="26BEC55F">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.港口工程初步设计编制规定</w:t>
      </w:r>
    </w:p>
    <w:p w14:paraId="7D366F11">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.航道工程初步设计编制规定</w:t>
      </w:r>
    </w:p>
    <w:p w14:paraId="60665739">
      <w:pPr>
        <w:snapToGrid w:val="0"/>
        <w:spacing w:line="360" w:lineRule="auto"/>
        <w:ind w:left="480" w:hanging="480" w:hangingChars="200"/>
        <w:rPr>
          <w:snapToGrid w:val="0"/>
          <w:color w:val="auto"/>
          <w:kern w:val="0"/>
          <w:sz w:val="24"/>
          <w:highlight w:val="none"/>
        </w:rPr>
      </w:pPr>
      <w:bookmarkStart w:id="758" w:name="_Toc335722011"/>
      <w:bookmarkStart w:id="759" w:name="_Toc335660462"/>
      <w:bookmarkStart w:id="760" w:name="_Toc335721559"/>
      <w:bookmarkStart w:id="761" w:name="_Toc330218137"/>
      <w:bookmarkStart w:id="762" w:name="_Toc335660929"/>
      <w:bookmarkStart w:id="763" w:name="_Toc330218702"/>
      <w:bookmarkStart w:id="764" w:name="_Toc335660049"/>
      <w:r>
        <w:rPr>
          <w:snapToGrid w:val="0"/>
          <w:color w:val="auto"/>
          <w:kern w:val="0"/>
          <w:sz w:val="24"/>
          <w:highlight w:val="none"/>
        </w:rPr>
        <w:t>1.2 勘察技术类</w:t>
      </w:r>
      <w:bookmarkEnd w:id="758"/>
      <w:bookmarkEnd w:id="759"/>
      <w:bookmarkEnd w:id="760"/>
      <w:bookmarkEnd w:id="761"/>
      <w:bookmarkEnd w:id="762"/>
      <w:bookmarkEnd w:id="763"/>
      <w:bookmarkEnd w:id="764"/>
    </w:p>
    <w:p w14:paraId="6D30E295">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.水运工程测量规范</w:t>
      </w:r>
    </w:p>
    <w:p w14:paraId="24B2B61B">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.水运工程波浪观测和分析技术规程</w:t>
      </w:r>
    </w:p>
    <w:p w14:paraId="03511C04">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w:t>
      </w:r>
      <w:r>
        <w:rPr>
          <w:rFonts w:hint="eastAsia"/>
          <w:snapToGrid w:val="0"/>
          <w:color w:val="auto"/>
          <w:kern w:val="0"/>
          <w:sz w:val="24"/>
          <w:highlight w:val="none"/>
        </w:rPr>
        <w:t>水运工程岩土勘察规范</w:t>
      </w:r>
    </w:p>
    <w:p w14:paraId="2F5A1138">
      <w:pPr>
        <w:snapToGrid w:val="0"/>
        <w:spacing w:line="360" w:lineRule="auto"/>
        <w:ind w:left="480" w:hanging="480" w:hangingChars="200"/>
        <w:rPr>
          <w:snapToGrid w:val="0"/>
          <w:color w:val="auto"/>
          <w:kern w:val="0"/>
          <w:sz w:val="24"/>
          <w:highlight w:val="none"/>
        </w:rPr>
      </w:pPr>
      <w:bookmarkStart w:id="765" w:name="_Toc330218703"/>
      <w:bookmarkStart w:id="766" w:name="_Toc335721560"/>
      <w:bookmarkStart w:id="767" w:name="_Toc335660050"/>
      <w:bookmarkStart w:id="768" w:name="_Toc330218138"/>
      <w:bookmarkStart w:id="769" w:name="_Toc335722012"/>
      <w:bookmarkStart w:id="770" w:name="_Toc335660463"/>
      <w:bookmarkStart w:id="771" w:name="_Toc335660930"/>
      <w:r>
        <w:rPr>
          <w:snapToGrid w:val="0"/>
          <w:color w:val="auto"/>
          <w:kern w:val="0"/>
          <w:sz w:val="24"/>
          <w:highlight w:val="none"/>
        </w:rPr>
        <w:t>1.3 设计技术类</w:t>
      </w:r>
      <w:bookmarkEnd w:id="765"/>
      <w:bookmarkEnd w:id="766"/>
      <w:bookmarkEnd w:id="767"/>
      <w:bookmarkEnd w:id="768"/>
      <w:bookmarkEnd w:id="769"/>
      <w:bookmarkEnd w:id="770"/>
      <w:bookmarkEnd w:id="771"/>
    </w:p>
    <w:p w14:paraId="586CA337">
      <w:pPr>
        <w:snapToGrid w:val="0"/>
        <w:spacing w:line="360" w:lineRule="auto"/>
        <w:ind w:left="420" w:leftChars="200"/>
        <w:rPr>
          <w:snapToGrid w:val="0"/>
          <w:color w:val="auto"/>
          <w:kern w:val="0"/>
          <w:sz w:val="24"/>
          <w:highlight w:val="none"/>
        </w:rPr>
      </w:pPr>
      <w:r>
        <w:rPr>
          <w:snapToGrid w:val="0"/>
          <w:color w:val="auto"/>
          <w:kern w:val="0"/>
          <w:sz w:val="24"/>
          <w:highlight w:val="none"/>
        </w:rPr>
        <w:t>第一部分：综合类标准</w:t>
      </w:r>
    </w:p>
    <w:p w14:paraId="1E7BC46B">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w:t>
      </w:r>
      <w:r>
        <w:rPr>
          <w:rFonts w:hint="eastAsia"/>
          <w:snapToGrid w:val="0"/>
          <w:color w:val="auto"/>
          <w:kern w:val="0"/>
          <w:sz w:val="24"/>
          <w:highlight w:val="none"/>
        </w:rPr>
        <w:t>港口</w:t>
      </w:r>
      <w:r>
        <w:rPr>
          <w:snapToGrid w:val="0"/>
          <w:color w:val="auto"/>
          <w:kern w:val="0"/>
          <w:sz w:val="24"/>
          <w:highlight w:val="none"/>
        </w:rPr>
        <w:t>与</w:t>
      </w:r>
      <w:r>
        <w:rPr>
          <w:rFonts w:hint="eastAsia"/>
          <w:snapToGrid w:val="0"/>
          <w:color w:val="auto"/>
          <w:kern w:val="0"/>
          <w:sz w:val="24"/>
          <w:highlight w:val="none"/>
        </w:rPr>
        <w:t>航道</w:t>
      </w:r>
      <w:r>
        <w:rPr>
          <w:snapToGrid w:val="0"/>
          <w:color w:val="auto"/>
          <w:kern w:val="0"/>
          <w:sz w:val="24"/>
          <w:highlight w:val="none"/>
        </w:rPr>
        <w:t>水文规范</w:t>
      </w:r>
    </w:p>
    <w:p w14:paraId="295F0843">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.水运工程抗震设计规范</w:t>
      </w:r>
    </w:p>
    <w:p w14:paraId="7E9467B8">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.水运工程设计节能规范</w:t>
      </w:r>
    </w:p>
    <w:p w14:paraId="1126B566">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.港口建设项目环境影响评价规范</w:t>
      </w:r>
    </w:p>
    <w:p w14:paraId="09075B02">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.港口工程环境保护设计规范</w:t>
      </w:r>
    </w:p>
    <w:p w14:paraId="5D5A740C">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w:t>
      </w:r>
      <w:r>
        <w:rPr>
          <w:rFonts w:hint="eastAsia"/>
          <w:snapToGrid w:val="0"/>
          <w:color w:val="auto"/>
          <w:kern w:val="0"/>
          <w:sz w:val="24"/>
          <w:highlight w:val="none"/>
        </w:rPr>
        <w:t>港口与航道工程制图标准</w:t>
      </w:r>
    </w:p>
    <w:p w14:paraId="643868EE">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w:t>
      </w:r>
      <w:r>
        <w:rPr>
          <w:rFonts w:hint="eastAsia"/>
          <w:snapToGrid w:val="0"/>
          <w:color w:val="auto"/>
          <w:kern w:val="0"/>
          <w:sz w:val="24"/>
          <w:highlight w:val="none"/>
        </w:rPr>
        <w:t>防波堤与护岸设计规范</w:t>
      </w:r>
    </w:p>
    <w:p w14:paraId="5CD0A74F">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8</w:t>
      </w:r>
      <w:r>
        <w:rPr>
          <w:snapToGrid w:val="0"/>
          <w:color w:val="auto"/>
          <w:kern w:val="0"/>
          <w:sz w:val="24"/>
          <w:highlight w:val="none"/>
        </w:rPr>
        <w:t>.水运工程爆破技术规范</w:t>
      </w:r>
    </w:p>
    <w:p w14:paraId="01B66807">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9</w:t>
      </w:r>
      <w:r>
        <w:rPr>
          <w:snapToGrid w:val="0"/>
          <w:color w:val="auto"/>
          <w:kern w:val="0"/>
          <w:sz w:val="24"/>
          <w:highlight w:val="none"/>
        </w:rPr>
        <w:t>.水运工程土工合成材料应用技术规范</w:t>
      </w:r>
    </w:p>
    <w:p w14:paraId="291E0633">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0</w:t>
      </w:r>
      <w:r>
        <w:rPr>
          <w:snapToGrid w:val="0"/>
          <w:color w:val="auto"/>
          <w:kern w:val="0"/>
          <w:sz w:val="24"/>
          <w:highlight w:val="none"/>
        </w:rPr>
        <w:t>.内河航运建设项目环境影响评价规范</w:t>
      </w:r>
    </w:p>
    <w:p w14:paraId="05CBAA07">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lang w:val="en-US" w:eastAsia="zh-CN"/>
        </w:rPr>
        <w:t>1</w:t>
      </w:r>
      <w:r>
        <w:rPr>
          <w:snapToGrid w:val="0"/>
          <w:color w:val="auto"/>
          <w:kern w:val="0"/>
          <w:sz w:val="24"/>
          <w:highlight w:val="none"/>
        </w:rPr>
        <w:t>.水运工程设计通则</w:t>
      </w:r>
    </w:p>
    <w:p w14:paraId="71283ED8">
      <w:pPr>
        <w:snapToGrid w:val="0"/>
        <w:spacing w:line="360" w:lineRule="auto"/>
        <w:ind w:left="420" w:leftChars="200"/>
        <w:rPr>
          <w:snapToGrid w:val="0"/>
          <w:color w:val="auto"/>
          <w:kern w:val="0"/>
          <w:sz w:val="24"/>
          <w:highlight w:val="none"/>
        </w:rPr>
      </w:pPr>
      <w:r>
        <w:rPr>
          <w:snapToGrid w:val="0"/>
          <w:color w:val="auto"/>
          <w:kern w:val="0"/>
          <w:sz w:val="24"/>
          <w:highlight w:val="none"/>
        </w:rPr>
        <w:t>第二部分：地基与基础类标准</w:t>
      </w:r>
    </w:p>
    <w:p w14:paraId="2E256762">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水运工程地基设计规范</w:t>
      </w:r>
    </w:p>
    <w:p w14:paraId="658CA688">
      <w:pPr>
        <w:snapToGrid w:val="0"/>
        <w:spacing w:line="360" w:lineRule="auto"/>
        <w:ind w:left="420" w:leftChars="200"/>
        <w:rPr>
          <w:snapToGrid w:val="0"/>
          <w:color w:val="auto"/>
          <w:kern w:val="0"/>
          <w:sz w:val="24"/>
          <w:highlight w:val="none"/>
        </w:rPr>
      </w:pPr>
      <w:r>
        <w:rPr>
          <w:snapToGrid w:val="0"/>
          <w:color w:val="auto"/>
          <w:kern w:val="0"/>
          <w:sz w:val="24"/>
          <w:highlight w:val="none"/>
        </w:rPr>
        <w:t>2.水运工程塑料排水板应用技术规程</w:t>
      </w:r>
    </w:p>
    <w:p w14:paraId="243B0F11">
      <w:pPr>
        <w:snapToGrid w:val="0"/>
        <w:spacing w:line="360" w:lineRule="auto"/>
        <w:ind w:left="420" w:leftChars="200"/>
        <w:rPr>
          <w:snapToGrid w:val="0"/>
          <w:color w:val="auto"/>
          <w:kern w:val="0"/>
          <w:sz w:val="24"/>
          <w:highlight w:val="none"/>
        </w:rPr>
      </w:pPr>
      <w:r>
        <w:rPr>
          <w:snapToGrid w:val="0"/>
          <w:color w:val="auto"/>
          <w:kern w:val="0"/>
          <w:sz w:val="24"/>
          <w:highlight w:val="none"/>
        </w:rPr>
        <w:t>3.</w:t>
      </w:r>
      <w:r>
        <w:rPr>
          <w:rFonts w:hint="eastAsia"/>
          <w:snapToGrid w:val="0"/>
          <w:color w:val="auto"/>
          <w:kern w:val="0"/>
          <w:sz w:val="24"/>
          <w:highlight w:val="none"/>
        </w:rPr>
        <w:t>码头结构设计规范</w:t>
      </w:r>
    </w:p>
    <w:p w14:paraId="1E9286AA">
      <w:pPr>
        <w:snapToGrid w:val="0"/>
        <w:spacing w:line="360" w:lineRule="auto"/>
        <w:ind w:left="420" w:leftChars="200"/>
        <w:rPr>
          <w:rFonts w:hint="default" w:eastAsia="宋体"/>
          <w:snapToGrid w:val="0"/>
          <w:color w:val="auto"/>
          <w:kern w:val="0"/>
          <w:sz w:val="24"/>
          <w:highlight w:val="none"/>
          <w:lang w:val="en-US" w:eastAsia="zh-CN"/>
        </w:rPr>
      </w:pPr>
      <w:r>
        <w:rPr>
          <w:snapToGrid w:val="0"/>
          <w:color w:val="auto"/>
          <w:kern w:val="0"/>
          <w:sz w:val="24"/>
          <w:highlight w:val="none"/>
        </w:rPr>
        <w:t>4.</w:t>
      </w:r>
      <w:r>
        <w:rPr>
          <w:rFonts w:hint="eastAsia"/>
          <w:snapToGrid w:val="0"/>
          <w:color w:val="auto"/>
          <w:kern w:val="0"/>
          <w:sz w:val="24"/>
          <w:highlight w:val="none"/>
          <w:lang w:val="en-US" w:eastAsia="zh-CN"/>
        </w:rPr>
        <w:t>预制高强度混凝土薄壁钢管桩设计与施工规程</w:t>
      </w:r>
    </w:p>
    <w:p w14:paraId="36455F11">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w:t>
      </w:r>
      <w:r>
        <w:rPr>
          <w:rFonts w:hint="eastAsia"/>
          <w:snapToGrid w:val="0"/>
          <w:color w:val="auto"/>
          <w:kern w:val="0"/>
          <w:sz w:val="24"/>
          <w:highlight w:val="none"/>
          <w:lang w:val="en-US" w:eastAsia="zh-CN"/>
        </w:rPr>
        <w:t>水运工程桩基设计规范</w:t>
      </w:r>
    </w:p>
    <w:p w14:paraId="782A3E85">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.港口工程</w:t>
      </w:r>
      <w:r>
        <w:rPr>
          <w:rFonts w:hint="eastAsia"/>
          <w:snapToGrid w:val="0"/>
          <w:color w:val="auto"/>
          <w:kern w:val="0"/>
          <w:sz w:val="24"/>
          <w:highlight w:val="none"/>
          <w:lang w:val="en-US" w:eastAsia="zh-CN"/>
        </w:rPr>
        <w:t>嵌岩桩设计与施工规范</w:t>
      </w:r>
    </w:p>
    <w:p w14:paraId="6D315F95">
      <w:pPr>
        <w:snapToGrid w:val="0"/>
        <w:spacing w:line="360" w:lineRule="auto"/>
        <w:ind w:left="420" w:leftChars="200"/>
        <w:rPr>
          <w:rFonts w:hint="default" w:eastAsia="宋体"/>
          <w:snapToGrid w:val="0"/>
          <w:color w:val="auto"/>
          <w:kern w:val="0"/>
          <w:sz w:val="24"/>
          <w:highlight w:val="none"/>
          <w:lang w:val="en-US" w:eastAsia="zh-CN"/>
        </w:rPr>
      </w:pPr>
      <w:r>
        <w:rPr>
          <w:rFonts w:hint="eastAsia"/>
          <w:snapToGrid w:val="0"/>
          <w:color w:val="auto"/>
          <w:kern w:val="0"/>
          <w:sz w:val="24"/>
          <w:highlight w:val="none"/>
        </w:rPr>
        <w:t>7</w:t>
      </w:r>
      <w:r>
        <w:rPr>
          <w:snapToGrid w:val="0"/>
          <w:color w:val="auto"/>
          <w:kern w:val="0"/>
          <w:sz w:val="24"/>
          <w:highlight w:val="none"/>
        </w:rPr>
        <w:t>.</w:t>
      </w:r>
      <w:r>
        <w:rPr>
          <w:rFonts w:hint="eastAsia"/>
          <w:snapToGrid w:val="0"/>
          <w:color w:val="auto"/>
          <w:kern w:val="0"/>
          <w:sz w:val="24"/>
          <w:highlight w:val="none"/>
          <w:lang w:val="en-US" w:eastAsia="zh-CN"/>
        </w:rPr>
        <w:t>水运工程</w:t>
      </w:r>
      <w:r>
        <w:rPr>
          <w:snapToGrid w:val="0"/>
          <w:color w:val="auto"/>
          <w:kern w:val="0"/>
          <w:sz w:val="24"/>
          <w:highlight w:val="none"/>
        </w:rPr>
        <w:t>基桩试验</w:t>
      </w:r>
      <w:r>
        <w:rPr>
          <w:rFonts w:hint="eastAsia"/>
          <w:snapToGrid w:val="0"/>
          <w:color w:val="auto"/>
          <w:kern w:val="0"/>
          <w:sz w:val="24"/>
          <w:highlight w:val="none"/>
          <w:lang w:val="en-US" w:eastAsia="zh-CN"/>
        </w:rPr>
        <w:t>检测技术规范</w:t>
      </w:r>
    </w:p>
    <w:p w14:paraId="231AF759">
      <w:pPr>
        <w:snapToGrid w:val="0"/>
        <w:spacing w:line="360" w:lineRule="auto"/>
        <w:ind w:left="420" w:leftChars="200"/>
        <w:rPr>
          <w:snapToGrid w:val="0"/>
          <w:color w:val="auto"/>
          <w:kern w:val="0"/>
          <w:sz w:val="24"/>
          <w:highlight w:val="none"/>
        </w:rPr>
      </w:pPr>
      <w:r>
        <w:rPr>
          <w:snapToGrid w:val="0"/>
          <w:color w:val="auto"/>
          <w:kern w:val="0"/>
          <w:sz w:val="24"/>
          <w:highlight w:val="none"/>
        </w:rPr>
        <w:t>第三部分：混凝土类标准</w:t>
      </w:r>
    </w:p>
    <w:p w14:paraId="541360E8">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.水运工程混凝土</w:t>
      </w:r>
      <w:r>
        <w:rPr>
          <w:rFonts w:hint="eastAsia"/>
          <w:snapToGrid w:val="0"/>
          <w:color w:val="auto"/>
          <w:kern w:val="0"/>
          <w:sz w:val="24"/>
          <w:highlight w:val="none"/>
        </w:rPr>
        <w:t>结构设计</w:t>
      </w:r>
      <w:r>
        <w:rPr>
          <w:snapToGrid w:val="0"/>
          <w:color w:val="auto"/>
          <w:kern w:val="0"/>
          <w:sz w:val="24"/>
          <w:highlight w:val="none"/>
        </w:rPr>
        <w:t>规范</w:t>
      </w:r>
    </w:p>
    <w:p w14:paraId="4A76E9BC">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.水运工程混凝土质量控制标准</w:t>
      </w:r>
    </w:p>
    <w:p w14:paraId="31ABCCDA">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w:t>
      </w:r>
      <w:r>
        <w:rPr>
          <w:rFonts w:hint="eastAsia"/>
          <w:snapToGrid w:val="0"/>
          <w:color w:val="auto"/>
          <w:kern w:val="0"/>
          <w:sz w:val="24"/>
          <w:highlight w:val="none"/>
          <w:lang w:val="en-US" w:eastAsia="zh-CN"/>
        </w:rPr>
        <w:t>水运</w:t>
      </w:r>
      <w:r>
        <w:rPr>
          <w:snapToGrid w:val="0"/>
          <w:color w:val="auto"/>
          <w:kern w:val="0"/>
          <w:sz w:val="24"/>
          <w:highlight w:val="none"/>
        </w:rPr>
        <w:t>工程</w:t>
      </w:r>
      <w:r>
        <w:rPr>
          <w:rFonts w:hint="eastAsia"/>
          <w:snapToGrid w:val="0"/>
          <w:color w:val="auto"/>
          <w:kern w:val="0"/>
          <w:sz w:val="24"/>
          <w:highlight w:val="none"/>
          <w:lang w:val="en-US" w:eastAsia="zh-CN"/>
        </w:rPr>
        <w:t>模袋</w:t>
      </w:r>
      <w:r>
        <w:rPr>
          <w:snapToGrid w:val="0"/>
          <w:color w:val="auto"/>
          <w:kern w:val="0"/>
          <w:sz w:val="24"/>
          <w:highlight w:val="none"/>
        </w:rPr>
        <w:t>混凝土</w:t>
      </w:r>
      <w:r>
        <w:rPr>
          <w:rFonts w:hint="eastAsia"/>
          <w:snapToGrid w:val="0"/>
          <w:color w:val="auto"/>
          <w:kern w:val="0"/>
          <w:sz w:val="24"/>
          <w:highlight w:val="none"/>
          <w:lang w:val="en-US" w:eastAsia="zh-CN"/>
        </w:rPr>
        <w:t>应用</w:t>
      </w:r>
      <w:r>
        <w:rPr>
          <w:snapToGrid w:val="0"/>
          <w:color w:val="auto"/>
          <w:kern w:val="0"/>
          <w:sz w:val="24"/>
          <w:highlight w:val="none"/>
        </w:rPr>
        <w:t>技术规程</w:t>
      </w:r>
    </w:p>
    <w:p w14:paraId="43EDAA00">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w:t>
      </w:r>
      <w:r>
        <w:rPr>
          <w:rFonts w:hint="eastAsia"/>
          <w:snapToGrid w:val="0"/>
          <w:color w:val="auto"/>
          <w:kern w:val="0"/>
          <w:sz w:val="24"/>
          <w:highlight w:val="none"/>
          <w:lang w:val="en-US" w:eastAsia="zh-CN"/>
        </w:rPr>
        <w:t>海港</w:t>
      </w:r>
      <w:r>
        <w:rPr>
          <w:snapToGrid w:val="0"/>
          <w:color w:val="auto"/>
          <w:kern w:val="0"/>
          <w:sz w:val="24"/>
          <w:highlight w:val="none"/>
        </w:rPr>
        <w:t>工程</w:t>
      </w:r>
      <w:r>
        <w:rPr>
          <w:rFonts w:hint="eastAsia"/>
          <w:snapToGrid w:val="0"/>
          <w:color w:val="auto"/>
          <w:kern w:val="0"/>
          <w:sz w:val="24"/>
          <w:highlight w:val="none"/>
          <w:lang w:val="en-US" w:eastAsia="zh-CN"/>
        </w:rPr>
        <w:t>钢筋</w:t>
      </w:r>
      <w:r>
        <w:rPr>
          <w:snapToGrid w:val="0"/>
          <w:color w:val="auto"/>
          <w:kern w:val="0"/>
          <w:sz w:val="24"/>
          <w:highlight w:val="none"/>
        </w:rPr>
        <w:t>混凝土</w:t>
      </w:r>
      <w:r>
        <w:rPr>
          <w:rFonts w:hint="eastAsia"/>
          <w:snapToGrid w:val="0"/>
          <w:color w:val="auto"/>
          <w:kern w:val="0"/>
          <w:sz w:val="24"/>
          <w:highlight w:val="none"/>
          <w:lang w:val="en-US" w:eastAsia="zh-CN"/>
        </w:rPr>
        <w:t>结构电化学防腐保护</w:t>
      </w:r>
      <w:r>
        <w:rPr>
          <w:snapToGrid w:val="0"/>
          <w:color w:val="auto"/>
          <w:kern w:val="0"/>
          <w:sz w:val="24"/>
          <w:highlight w:val="none"/>
        </w:rPr>
        <w:t>技术规程</w:t>
      </w:r>
    </w:p>
    <w:p w14:paraId="059E6CE9">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.海港工程混凝土结构防腐蚀技术规范</w:t>
      </w:r>
    </w:p>
    <w:p w14:paraId="45C3CE63">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w:t>
      </w:r>
      <w:r>
        <w:rPr>
          <w:rFonts w:hint="eastAsia"/>
          <w:snapToGrid w:val="0"/>
          <w:color w:val="auto"/>
          <w:kern w:val="0"/>
          <w:sz w:val="24"/>
          <w:highlight w:val="none"/>
        </w:rPr>
        <w:t>水运工程混凝土试验规范</w:t>
      </w:r>
    </w:p>
    <w:p w14:paraId="7A4CA048">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w:t>
      </w:r>
      <w:r>
        <w:rPr>
          <w:rFonts w:hint="eastAsia"/>
          <w:snapToGrid w:val="0"/>
          <w:color w:val="auto"/>
          <w:kern w:val="0"/>
          <w:sz w:val="24"/>
          <w:highlight w:val="none"/>
          <w:lang w:val="en-US" w:eastAsia="zh-CN"/>
        </w:rPr>
        <w:t>水运</w:t>
      </w:r>
      <w:r>
        <w:rPr>
          <w:snapToGrid w:val="0"/>
          <w:color w:val="auto"/>
          <w:kern w:val="0"/>
          <w:sz w:val="24"/>
          <w:highlight w:val="none"/>
        </w:rPr>
        <w:t>工程混凝土</w:t>
      </w:r>
      <w:r>
        <w:rPr>
          <w:rFonts w:hint="eastAsia"/>
          <w:snapToGrid w:val="0"/>
          <w:color w:val="auto"/>
          <w:kern w:val="0"/>
          <w:sz w:val="24"/>
          <w:highlight w:val="none"/>
          <w:lang w:val="en-US" w:eastAsia="zh-CN"/>
        </w:rPr>
        <w:t>结构实体</w:t>
      </w:r>
      <w:r>
        <w:rPr>
          <w:snapToGrid w:val="0"/>
          <w:color w:val="auto"/>
          <w:kern w:val="0"/>
          <w:sz w:val="24"/>
          <w:highlight w:val="none"/>
        </w:rPr>
        <w:t>检测技术规程</w:t>
      </w:r>
    </w:p>
    <w:p w14:paraId="65E35962">
      <w:pPr>
        <w:snapToGrid w:val="0"/>
        <w:spacing w:line="360" w:lineRule="auto"/>
        <w:ind w:left="420" w:leftChars="200"/>
        <w:rPr>
          <w:snapToGrid w:val="0"/>
          <w:color w:val="auto"/>
          <w:kern w:val="0"/>
          <w:sz w:val="24"/>
          <w:highlight w:val="none"/>
        </w:rPr>
      </w:pPr>
      <w:r>
        <w:rPr>
          <w:snapToGrid w:val="0"/>
          <w:color w:val="auto"/>
          <w:kern w:val="0"/>
          <w:sz w:val="24"/>
          <w:highlight w:val="none"/>
        </w:rPr>
        <w:t>第四部分：港口类标准</w:t>
      </w:r>
    </w:p>
    <w:p w14:paraId="55D5F870">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.海港总</w:t>
      </w:r>
      <w:r>
        <w:rPr>
          <w:rFonts w:hint="eastAsia"/>
          <w:snapToGrid w:val="0"/>
          <w:color w:val="auto"/>
          <w:kern w:val="0"/>
          <w:sz w:val="24"/>
          <w:highlight w:val="none"/>
        </w:rPr>
        <w:t>体</w:t>
      </w:r>
      <w:r>
        <w:rPr>
          <w:snapToGrid w:val="0"/>
          <w:color w:val="auto"/>
          <w:kern w:val="0"/>
          <w:sz w:val="24"/>
          <w:highlight w:val="none"/>
        </w:rPr>
        <w:t>设计规范</w:t>
      </w:r>
    </w:p>
    <w:p w14:paraId="6EE8F43B">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.河港工程</w:t>
      </w:r>
      <w:r>
        <w:rPr>
          <w:rFonts w:hint="eastAsia"/>
          <w:snapToGrid w:val="0"/>
          <w:color w:val="auto"/>
          <w:kern w:val="0"/>
          <w:sz w:val="24"/>
          <w:highlight w:val="none"/>
        </w:rPr>
        <w:t>总体</w:t>
      </w:r>
      <w:r>
        <w:rPr>
          <w:snapToGrid w:val="0"/>
          <w:color w:val="auto"/>
          <w:kern w:val="0"/>
          <w:sz w:val="24"/>
          <w:highlight w:val="none"/>
        </w:rPr>
        <w:t>设计规范</w:t>
      </w:r>
    </w:p>
    <w:p w14:paraId="4538F242">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.港口工程荷载规范</w:t>
      </w:r>
    </w:p>
    <w:p w14:paraId="06B87BEB">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.水运工程质量检验标准</w:t>
      </w:r>
    </w:p>
    <w:p w14:paraId="684538BA">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w:t>
      </w:r>
      <w:r>
        <w:rPr>
          <w:rFonts w:hint="eastAsia"/>
          <w:snapToGrid w:val="0"/>
          <w:color w:val="auto"/>
          <w:kern w:val="0"/>
          <w:sz w:val="24"/>
          <w:highlight w:val="none"/>
          <w:lang w:val="en-US" w:eastAsia="zh-CN"/>
        </w:rPr>
        <w:t>水运工程结构试验检测</w:t>
      </w:r>
      <w:r>
        <w:rPr>
          <w:snapToGrid w:val="0"/>
          <w:color w:val="auto"/>
          <w:kern w:val="0"/>
          <w:sz w:val="24"/>
          <w:highlight w:val="none"/>
        </w:rPr>
        <w:t>技术规范</w:t>
      </w:r>
    </w:p>
    <w:p w14:paraId="53AE388C">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.装卸油品码头防火设计规范</w:t>
      </w:r>
    </w:p>
    <w:p w14:paraId="22A8B356">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.港口工程钢结构设计规范</w:t>
      </w:r>
    </w:p>
    <w:p w14:paraId="30A47576">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8</w:t>
      </w:r>
      <w:r>
        <w:rPr>
          <w:snapToGrid w:val="0"/>
          <w:color w:val="auto"/>
          <w:kern w:val="0"/>
          <w:sz w:val="24"/>
          <w:highlight w:val="none"/>
        </w:rPr>
        <w:t>.海港工程钢结构防腐蚀技术规范</w:t>
      </w:r>
    </w:p>
    <w:p w14:paraId="504051CB">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9</w:t>
      </w:r>
      <w:r>
        <w:rPr>
          <w:snapToGrid w:val="0"/>
          <w:color w:val="auto"/>
          <w:kern w:val="0"/>
          <w:sz w:val="24"/>
          <w:highlight w:val="none"/>
        </w:rPr>
        <w:t>.</w:t>
      </w:r>
      <w:r>
        <w:rPr>
          <w:rFonts w:hint="eastAsia"/>
          <w:snapToGrid w:val="0"/>
          <w:color w:val="auto"/>
          <w:kern w:val="0"/>
          <w:sz w:val="24"/>
          <w:highlight w:val="none"/>
        </w:rPr>
        <w:t>码头结构设计规范</w:t>
      </w:r>
    </w:p>
    <w:p w14:paraId="1018FC99">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10</w:t>
      </w:r>
      <w:r>
        <w:rPr>
          <w:snapToGrid w:val="0"/>
          <w:color w:val="auto"/>
          <w:kern w:val="0"/>
          <w:sz w:val="24"/>
          <w:highlight w:val="none"/>
        </w:rPr>
        <w:t>.</w:t>
      </w:r>
      <w:r>
        <w:rPr>
          <w:rFonts w:hint="eastAsia"/>
          <w:snapToGrid w:val="0"/>
          <w:color w:val="auto"/>
          <w:kern w:val="0"/>
          <w:sz w:val="24"/>
          <w:highlight w:val="none"/>
        </w:rPr>
        <w:t>水运工程结构耐久性设计标准</w:t>
      </w:r>
    </w:p>
    <w:p w14:paraId="367C40AA">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11</w:t>
      </w:r>
      <w:r>
        <w:rPr>
          <w:snapToGrid w:val="0"/>
          <w:color w:val="auto"/>
          <w:kern w:val="0"/>
          <w:sz w:val="24"/>
          <w:highlight w:val="none"/>
        </w:rPr>
        <w:t>.</w:t>
      </w:r>
      <w:r>
        <w:rPr>
          <w:rFonts w:hint="eastAsia"/>
          <w:snapToGrid w:val="0"/>
          <w:color w:val="auto"/>
          <w:kern w:val="0"/>
          <w:sz w:val="24"/>
          <w:highlight w:val="none"/>
        </w:rPr>
        <w:t>邮轮码头设计规范</w:t>
      </w:r>
    </w:p>
    <w:p w14:paraId="578B609E">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12</w:t>
      </w:r>
      <w:r>
        <w:rPr>
          <w:snapToGrid w:val="0"/>
          <w:color w:val="auto"/>
          <w:kern w:val="0"/>
          <w:sz w:val="24"/>
          <w:highlight w:val="none"/>
        </w:rPr>
        <w:t>.</w:t>
      </w:r>
      <w:r>
        <w:rPr>
          <w:rFonts w:hint="eastAsia"/>
          <w:snapToGrid w:val="0"/>
          <w:color w:val="auto"/>
          <w:kern w:val="0"/>
          <w:sz w:val="24"/>
          <w:highlight w:val="none"/>
        </w:rPr>
        <w:t>码头结构加固改造技术指南</w:t>
      </w:r>
    </w:p>
    <w:p w14:paraId="620947C9">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13</w:t>
      </w:r>
      <w:r>
        <w:rPr>
          <w:snapToGrid w:val="0"/>
          <w:color w:val="auto"/>
          <w:kern w:val="0"/>
          <w:sz w:val="24"/>
          <w:highlight w:val="none"/>
        </w:rPr>
        <w:t>.</w:t>
      </w:r>
      <w:r>
        <w:rPr>
          <w:rFonts w:hint="eastAsia"/>
          <w:snapToGrid w:val="0"/>
          <w:color w:val="auto"/>
          <w:kern w:val="0"/>
          <w:sz w:val="24"/>
          <w:highlight w:val="none"/>
        </w:rPr>
        <w:t>港口道路与堆场设计规范</w:t>
      </w:r>
    </w:p>
    <w:p w14:paraId="2E8E86B8">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14</w:t>
      </w:r>
      <w:r>
        <w:rPr>
          <w:snapToGrid w:val="0"/>
          <w:color w:val="auto"/>
          <w:kern w:val="0"/>
          <w:sz w:val="24"/>
          <w:highlight w:val="none"/>
        </w:rPr>
        <w:t>.码头附属设施技术规范</w:t>
      </w:r>
    </w:p>
    <w:p w14:paraId="5E8DE9A1">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15</w:t>
      </w:r>
      <w:r>
        <w:rPr>
          <w:snapToGrid w:val="0"/>
          <w:color w:val="auto"/>
          <w:kern w:val="0"/>
          <w:sz w:val="24"/>
          <w:highlight w:val="none"/>
        </w:rPr>
        <w:t>.</w:t>
      </w:r>
      <w:r>
        <w:rPr>
          <w:rFonts w:hint="eastAsia"/>
          <w:snapToGrid w:val="0"/>
          <w:color w:val="auto"/>
          <w:kern w:val="0"/>
          <w:sz w:val="24"/>
          <w:highlight w:val="none"/>
        </w:rPr>
        <w:t>游艇码头设计规范</w:t>
      </w:r>
    </w:p>
    <w:p w14:paraId="479A62B7">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16</w:t>
      </w:r>
      <w:r>
        <w:rPr>
          <w:snapToGrid w:val="0"/>
          <w:color w:val="auto"/>
          <w:kern w:val="0"/>
          <w:sz w:val="24"/>
          <w:highlight w:val="none"/>
        </w:rPr>
        <w:t>.液化天然气码头设计规范</w:t>
      </w:r>
    </w:p>
    <w:p w14:paraId="54E13B0C">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17</w:t>
      </w:r>
      <w:r>
        <w:rPr>
          <w:snapToGrid w:val="0"/>
          <w:color w:val="auto"/>
          <w:kern w:val="0"/>
          <w:sz w:val="24"/>
          <w:highlight w:val="none"/>
        </w:rPr>
        <w:t>.港口工程桩式柔性靠船设施设计与施工技术规程</w:t>
      </w:r>
    </w:p>
    <w:p w14:paraId="07482FA8">
      <w:pPr>
        <w:snapToGrid w:val="0"/>
        <w:spacing w:line="360" w:lineRule="auto"/>
        <w:ind w:left="420" w:leftChars="200"/>
        <w:rPr>
          <w:snapToGrid w:val="0"/>
          <w:color w:val="auto"/>
          <w:kern w:val="0"/>
          <w:sz w:val="24"/>
          <w:highlight w:val="none"/>
        </w:rPr>
      </w:pPr>
      <w:r>
        <w:rPr>
          <w:snapToGrid w:val="0"/>
          <w:color w:val="auto"/>
          <w:kern w:val="0"/>
          <w:sz w:val="24"/>
          <w:highlight w:val="none"/>
        </w:rPr>
        <w:t>第五部分：航道类标准</w:t>
      </w:r>
    </w:p>
    <w:p w14:paraId="3EB13CAA">
      <w:pPr>
        <w:snapToGrid w:val="0"/>
        <w:spacing w:line="360" w:lineRule="auto"/>
        <w:ind w:left="420" w:leftChars="200"/>
        <w:rPr>
          <w:snapToGrid w:val="0"/>
          <w:color w:val="auto"/>
          <w:kern w:val="0"/>
          <w:sz w:val="24"/>
          <w:highlight w:val="none"/>
        </w:rPr>
      </w:pPr>
      <w:r>
        <w:rPr>
          <w:snapToGrid w:val="0"/>
          <w:color w:val="auto"/>
          <w:kern w:val="0"/>
          <w:sz w:val="24"/>
          <w:highlight w:val="none"/>
        </w:rPr>
        <w:t>1.内河通航标准</w:t>
      </w:r>
    </w:p>
    <w:p w14:paraId="4001D586">
      <w:pPr>
        <w:snapToGrid w:val="0"/>
        <w:spacing w:line="360" w:lineRule="auto"/>
        <w:ind w:left="420" w:leftChars="200"/>
        <w:rPr>
          <w:snapToGrid w:val="0"/>
          <w:color w:val="auto"/>
          <w:kern w:val="0"/>
          <w:sz w:val="24"/>
          <w:highlight w:val="none"/>
        </w:rPr>
      </w:pPr>
      <w:r>
        <w:rPr>
          <w:snapToGrid w:val="0"/>
          <w:color w:val="auto"/>
          <w:kern w:val="0"/>
          <w:sz w:val="24"/>
          <w:highlight w:val="none"/>
        </w:rPr>
        <w:t>2.</w:t>
      </w:r>
      <w:r>
        <w:rPr>
          <w:rFonts w:hint="eastAsia"/>
          <w:snapToGrid w:val="0"/>
          <w:color w:val="auto"/>
          <w:kern w:val="0"/>
          <w:sz w:val="24"/>
          <w:highlight w:val="none"/>
        </w:rPr>
        <w:t>海轮航道通航标准</w:t>
      </w:r>
    </w:p>
    <w:p w14:paraId="4834DD31">
      <w:pPr>
        <w:snapToGrid w:val="0"/>
        <w:spacing w:line="360" w:lineRule="auto"/>
        <w:ind w:left="420" w:leftChars="200"/>
        <w:rPr>
          <w:snapToGrid w:val="0"/>
          <w:color w:val="auto"/>
          <w:kern w:val="0"/>
          <w:sz w:val="24"/>
          <w:highlight w:val="none"/>
        </w:rPr>
      </w:pPr>
      <w:r>
        <w:rPr>
          <w:snapToGrid w:val="0"/>
          <w:color w:val="auto"/>
          <w:kern w:val="0"/>
          <w:sz w:val="24"/>
          <w:highlight w:val="none"/>
        </w:rPr>
        <w:t>3.渠化工程枢纽总体设计规范</w:t>
      </w:r>
    </w:p>
    <w:p w14:paraId="16141B63">
      <w:pPr>
        <w:snapToGrid w:val="0"/>
        <w:spacing w:line="360" w:lineRule="auto"/>
        <w:ind w:left="420" w:leftChars="200"/>
        <w:rPr>
          <w:snapToGrid w:val="0"/>
          <w:color w:val="auto"/>
          <w:kern w:val="0"/>
          <w:sz w:val="24"/>
          <w:highlight w:val="none"/>
        </w:rPr>
      </w:pPr>
      <w:r>
        <w:rPr>
          <w:snapToGrid w:val="0"/>
          <w:color w:val="auto"/>
          <w:kern w:val="0"/>
          <w:sz w:val="24"/>
          <w:highlight w:val="none"/>
        </w:rPr>
        <w:t>4.航道维护技术规范</w:t>
      </w:r>
    </w:p>
    <w:p w14:paraId="520A8724">
      <w:pPr>
        <w:snapToGrid w:val="0"/>
        <w:spacing w:line="360" w:lineRule="auto"/>
        <w:ind w:left="420" w:leftChars="200"/>
        <w:rPr>
          <w:snapToGrid w:val="0"/>
          <w:color w:val="auto"/>
          <w:kern w:val="0"/>
          <w:sz w:val="24"/>
          <w:highlight w:val="none"/>
        </w:rPr>
      </w:pPr>
      <w:r>
        <w:rPr>
          <w:snapToGrid w:val="0"/>
          <w:color w:val="auto"/>
          <w:kern w:val="0"/>
          <w:sz w:val="24"/>
          <w:highlight w:val="none"/>
        </w:rPr>
        <w:t>5.</w:t>
      </w:r>
      <w:r>
        <w:rPr>
          <w:rFonts w:hint="eastAsia"/>
          <w:snapToGrid w:val="0"/>
          <w:color w:val="auto"/>
          <w:kern w:val="0"/>
          <w:sz w:val="24"/>
          <w:highlight w:val="none"/>
        </w:rPr>
        <w:t>航道工程设计规范</w:t>
      </w:r>
    </w:p>
    <w:p w14:paraId="6D72F330">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.船闸总体设计规范</w:t>
      </w:r>
    </w:p>
    <w:p w14:paraId="165EBB38">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.船闸输水系统设计规范</w:t>
      </w:r>
    </w:p>
    <w:p w14:paraId="1D8DF62B">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8</w:t>
      </w:r>
      <w:r>
        <w:rPr>
          <w:snapToGrid w:val="0"/>
          <w:color w:val="auto"/>
          <w:kern w:val="0"/>
          <w:sz w:val="24"/>
          <w:highlight w:val="none"/>
        </w:rPr>
        <w:t>.船闸水工建筑物设计规范</w:t>
      </w:r>
    </w:p>
    <w:p w14:paraId="1AF26926">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9</w:t>
      </w:r>
      <w:r>
        <w:rPr>
          <w:snapToGrid w:val="0"/>
          <w:color w:val="auto"/>
          <w:kern w:val="0"/>
          <w:sz w:val="24"/>
          <w:highlight w:val="none"/>
        </w:rPr>
        <w:t>.船闸闸阀门设计规范</w:t>
      </w:r>
    </w:p>
    <w:p w14:paraId="633F2EF8">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0</w:t>
      </w:r>
      <w:r>
        <w:rPr>
          <w:snapToGrid w:val="0"/>
          <w:color w:val="auto"/>
          <w:kern w:val="0"/>
          <w:sz w:val="24"/>
          <w:highlight w:val="none"/>
        </w:rPr>
        <w:t>.船闸启闭机设计规范</w:t>
      </w:r>
    </w:p>
    <w:p w14:paraId="360B8940">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1</w:t>
      </w:r>
      <w:r>
        <w:rPr>
          <w:snapToGrid w:val="0"/>
          <w:color w:val="auto"/>
          <w:kern w:val="0"/>
          <w:sz w:val="24"/>
          <w:highlight w:val="none"/>
        </w:rPr>
        <w:t>.船闸电气设计规范</w:t>
      </w:r>
    </w:p>
    <w:p w14:paraId="327F6FB8">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2</w:t>
      </w:r>
      <w:r>
        <w:rPr>
          <w:snapToGrid w:val="0"/>
          <w:color w:val="auto"/>
          <w:kern w:val="0"/>
          <w:sz w:val="24"/>
          <w:highlight w:val="none"/>
        </w:rPr>
        <w:t>.</w:t>
      </w:r>
      <w:r>
        <w:rPr>
          <w:rFonts w:hint="eastAsia"/>
          <w:snapToGrid w:val="0"/>
          <w:color w:val="auto"/>
          <w:kern w:val="0"/>
          <w:sz w:val="24"/>
          <w:highlight w:val="none"/>
        </w:rPr>
        <w:t>疏浚与吹填工程设计规范</w:t>
      </w:r>
    </w:p>
    <w:p w14:paraId="25C92B55">
      <w:pPr>
        <w:snapToGrid w:val="0"/>
        <w:spacing w:line="360" w:lineRule="auto"/>
        <w:ind w:left="420" w:leftChars="200"/>
        <w:rPr>
          <w:snapToGrid w:val="0"/>
          <w:color w:val="auto"/>
          <w:kern w:val="0"/>
          <w:sz w:val="24"/>
          <w:highlight w:val="none"/>
        </w:rPr>
      </w:pPr>
      <w:r>
        <w:rPr>
          <w:snapToGrid w:val="0"/>
          <w:color w:val="auto"/>
          <w:kern w:val="0"/>
          <w:sz w:val="24"/>
          <w:highlight w:val="none"/>
        </w:rPr>
        <w:t>第六部分：船厂类标准</w:t>
      </w:r>
    </w:p>
    <w:p w14:paraId="2F9EC131">
      <w:pPr>
        <w:snapToGrid w:val="0"/>
        <w:spacing w:line="360" w:lineRule="auto"/>
        <w:ind w:left="420" w:leftChars="200"/>
        <w:rPr>
          <w:snapToGrid w:val="0"/>
          <w:color w:val="auto"/>
          <w:kern w:val="0"/>
          <w:sz w:val="24"/>
          <w:highlight w:val="none"/>
        </w:rPr>
      </w:pPr>
      <w:r>
        <w:rPr>
          <w:snapToGrid w:val="0"/>
          <w:color w:val="auto"/>
          <w:kern w:val="0"/>
          <w:sz w:val="24"/>
          <w:highlight w:val="none"/>
        </w:rPr>
        <w:t>1.</w:t>
      </w:r>
      <w:r>
        <w:rPr>
          <w:rFonts w:hint="eastAsia"/>
          <w:snapToGrid w:val="0"/>
          <w:color w:val="auto"/>
          <w:kern w:val="0"/>
          <w:sz w:val="24"/>
          <w:highlight w:val="none"/>
        </w:rPr>
        <w:t>船厂水工工程设计规范</w:t>
      </w:r>
    </w:p>
    <w:p w14:paraId="09E8AC26">
      <w:pPr>
        <w:snapToGrid w:val="0"/>
        <w:spacing w:line="360" w:lineRule="auto"/>
        <w:ind w:left="420" w:leftChars="200"/>
        <w:rPr>
          <w:snapToGrid w:val="0"/>
          <w:color w:val="auto"/>
          <w:kern w:val="0"/>
          <w:sz w:val="24"/>
          <w:highlight w:val="none"/>
        </w:rPr>
      </w:pPr>
      <w:r>
        <w:rPr>
          <w:snapToGrid w:val="0"/>
          <w:color w:val="auto"/>
          <w:kern w:val="0"/>
          <w:sz w:val="24"/>
          <w:highlight w:val="none"/>
        </w:rPr>
        <w:t>第七部分：通信导航类标准</w:t>
      </w:r>
    </w:p>
    <w:p w14:paraId="75886739">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w:t>
      </w:r>
      <w:r>
        <w:rPr>
          <w:snapToGrid w:val="0"/>
          <w:color w:val="auto"/>
          <w:kern w:val="0"/>
          <w:sz w:val="24"/>
          <w:highlight w:val="none"/>
        </w:rPr>
        <w:t>.中国海区水上助航标志形状显示规定</w:t>
      </w:r>
    </w:p>
    <w:p w14:paraId="2E36DA22">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w:t>
      </w:r>
      <w:r>
        <w:rPr>
          <w:snapToGrid w:val="0"/>
          <w:color w:val="auto"/>
          <w:kern w:val="0"/>
          <w:sz w:val="24"/>
          <w:highlight w:val="none"/>
        </w:rPr>
        <w:t>.中国海区视觉航标表面色规定</w:t>
      </w:r>
    </w:p>
    <w:p w14:paraId="686F4325">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3</w:t>
      </w:r>
      <w:r>
        <w:rPr>
          <w:snapToGrid w:val="0"/>
          <w:color w:val="auto"/>
          <w:kern w:val="0"/>
          <w:sz w:val="24"/>
          <w:highlight w:val="none"/>
        </w:rPr>
        <w:t>.航标灯光信号颜色</w:t>
      </w:r>
    </w:p>
    <w:p w14:paraId="39B70CBF">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4</w:t>
      </w:r>
      <w:r>
        <w:rPr>
          <w:snapToGrid w:val="0"/>
          <w:color w:val="auto"/>
          <w:kern w:val="0"/>
          <w:sz w:val="24"/>
          <w:highlight w:val="none"/>
        </w:rPr>
        <w:t>.航标产品图样及技术文件编号方法</w:t>
      </w:r>
    </w:p>
    <w:p w14:paraId="2A5B585B">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5</w:t>
      </w:r>
      <w:r>
        <w:rPr>
          <w:snapToGrid w:val="0"/>
          <w:color w:val="auto"/>
          <w:kern w:val="0"/>
          <w:sz w:val="24"/>
          <w:highlight w:val="none"/>
        </w:rPr>
        <w:t>.航标灯通用技术条件</w:t>
      </w:r>
    </w:p>
    <w:p w14:paraId="395F8E97">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6</w:t>
      </w:r>
      <w:r>
        <w:rPr>
          <w:snapToGrid w:val="0"/>
          <w:color w:val="auto"/>
          <w:kern w:val="0"/>
          <w:sz w:val="24"/>
          <w:highlight w:val="none"/>
        </w:rPr>
        <w:t>.航道用灯桩、岸标</w:t>
      </w:r>
    </w:p>
    <w:p w14:paraId="490BA8D1">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7</w:t>
      </w:r>
      <w:r>
        <w:rPr>
          <w:snapToGrid w:val="0"/>
          <w:color w:val="auto"/>
          <w:kern w:val="0"/>
          <w:sz w:val="24"/>
          <w:highlight w:val="none"/>
        </w:rPr>
        <w:t>.船舶交通管理系统工程技术规范</w:t>
      </w:r>
    </w:p>
    <w:p w14:paraId="7A0AC656">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8</w:t>
      </w:r>
      <w:r>
        <w:rPr>
          <w:snapToGrid w:val="0"/>
          <w:color w:val="auto"/>
          <w:kern w:val="0"/>
          <w:sz w:val="24"/>
          <w:highlight w:val="none"/>
        </w:rPr>
        <w:t>.集装箱码头计算机管理控制系统设计规范</w:t>
      </w:r>
    </w:p>
    <w:p w14:paraId="7AF97A2A">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9</w:t>
      </w:r>
      <w:r>
        <w:rPr>
          <w:snapToGrid w:val="0"/>
          <w:color w:val="auto"/>
          <w:kern w:val="0"/>
          <w:sz w:val="24"/>
          <w:highlight w:val="none"/>
        </w:rPr>
        <w:t>.港口地区有线电话通信系统工程设计规范</w:t>
      </w:r>
    </w:p>
    <w:p w14:paraId="7107FAA1">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10</w:t>
      </w:r>
      <w:r>
        <w:rPr>
          <w:snapToGrid w:val="0"/>
          <w:color w:val="auto"/>
          <w:kern w:val="0"/>
          <w:sz w:val="24"/>
          <w:highlight w:val="none"/>
        </w:rPr>
        <w:t>.海岸电台总体及工艺设计规范</w:t>
      </w:r>
    </w:p>
    <w:p w14:paraId="6909CE0A">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11</w:t>
      </w:r>
      <w:r>
        <w:rPr>
          <w:snapToGrid w:val="0"/>
          <w:color w:val="auto"/>
          <w:kern w:val="0"/>
          <w:sz w:val="24"/>
          <w:highlight w:val="none"/>
        </w:rPr>
        <w:t>.甚高频海岸电台工程设计规范</w:t>
      </w:r>
    </w:p>
    <w:p w14:paraId="54770C15">
      <w:pPr>
        <w:snapToGrid w:val="0"/>
        <w:spacing w:line="360" w:lineRule="auto"/>
        <w:ind w:left="420" w:leftChars="200"/>
        <w:rPr>
          <w:snapToGrid w:val="0"/>
          <w:color w:val="auto"/>
          <w:kern w:val="0"/>
          <w:sz w:val="24"/>
          <w:highlight w:val="none"/>
        </w:rPr>
      </w:pPr>
      <w:r>
        <w:rPr>
          <w:snapToGrid w:val="0"/>
          <w:color w:val="auto"/>
          <w:kern w:val="0"/>
          <w:sz w:val="24"/>
          <w:highlight w:val="none"/>
        </w:rPr>
        <w:t>第八部分：概预算定额类</w:t>
      </w:r>
    </w:p>
    <w:p w14:paraId="614355E3">
      <w:pPr>
        <w:snapToGrid w:val="0"/>
        <w:spacing w:line="360" w:lineRule="auto"/>
        <w:ind w:left="420" w:leftChars="200"/>
        <w:rPr>
          <w:snapToGrid w:val="0"/>
          <w:color w:val="auto"/>
          <w:kern w:val="0"/>
          <w:sz w:val="24"/>
          <w:highlight w:val="none"/>
        </w:rPr>
      </w:pPr>
      <w:r>
        <w:rPr>
          <w:snapToGrid w:val="0"/>
          <w:color w:val="auto"/>
          <w:kern w:val="0"/>
          <w:sz w:val="24"/>
          <w:highlight w:val="none"/>
        </w:rPr>
        <w:t>1.水运工程工程量清单计价规范</w:t>
      </w:r>
    </w:p>
    <w:p w14:paraId="7BEBE85B">
      <w:pPr>
        <w:snapToGrid w:val="0"/>
        <w:spacing w:line="360" w:lineRule="auto"/>
        <w:ind w:left="420" w:leftChars="200"/>
        <w:rPr>
          <w:snapToGrid w:val="0"/>
          <w:color w:val="auto"/>
          <w:kern w:val="0"/>
          <w:sz w:val="24"/>
          <w:highlight w:val="none"/>
        </w:rPr>
      </w:pPr>
      <w:r>
        <w:rPr>
          <w:snapToGrid w:val="0"/>
          <w:color w:val="auto"/>
          <w:kern w:val="0"/>
          <w:sz w:val="24"/>
          <w:highlight w:val="none"/>
        </w:rPr>
        <w:t>2.</w:t>
      </w:r>
      <w:r>
        <w:rPr>
          <w:rFonts w:hint="eastAsia"/>
          <w:snapToGrid w:val="0"/>
          <w:color w:val="auto"/>
          <w:kern w:val="0"/>
          <w:sz w:val="24"/>
          <w:highlight w:val="none"/>
        </w:rPr>
        <w:t>水运</w:t>
      </w:r>
      <w:r>
        <w:rPr>
          <w:snapToGrid w:val="0"/>
          <w:color w:val="auto"/>
          <w:kern w:val="0"/>
          <w:sz w:val="24"/>
          <w:highlight w:val="none"/>
        </w:rPr>
        <w:t>建设工程概算预算编制规定</w:t>
      </w:r>
    </w:p>
    <w:p w14:paraId="7E953F8B">
      <w:pPr>
        <w:snapToGrid w:val="0"/>
        <w:spacing w:line="360" w:lineRule="auto"/>
        <w:ind w:left="420" w:leftChars="200"/>
        <w:rPr>
          <w:snapToGrid w:val="0"/>
          <w:color w:val="auto"/>
          <w:kern w:val="0"/>
          <w:sz w:val="24"/>
          <w:highlight w:val="none"/>
        </w:rPr>
      </w:pPr>
      <w:r>
        <w:rPr>
          <w:snapToGrid w:val="0"/>
          <w:color w:val="auto"/>
          <w:kern w:val="0"/>
          <w:sz w:val="24"/>
          <w:highlight w:val="none"/>
        </w:rPr>
        <w:t>3.内河航运水工建筑工程定额</w:t>
      </w:r>
    </w:p>
    <w:p w14:paraId="0B470E52">
      <w:pPr>
        <w:snapToGrid w:val="0"/>
        <w:spacing w:line="360" w:lineRule="auto"/>
        <w:ind w:left="420" w:leftChars="200"/>
        <w:rPr>
          <w:snapToGrid w:val="0"/>
          <w:color w:val="auto"/>
          <w:kern w:val="0"/>
          <w:sz w:val="24"/>
          <w:highlight w:val="none"/>
        </w:rPr>
      </w:pPr>
      <w:r>
        <w:rPr>
          <w:snapToGrid w:val="0"/>
          <w:color w:val="auto"/>
          <w:kern w:val="0"/>
          <w:sz w:val="24"/>
          <w:highlight w:val="none"/>
        </w:rPr>
        <w:t>4.内河航运设备安装工程定额</w:t>
      </w:r>
    </w:p>
    <w:p w14:paraId="7896560D">
      <w:pPr>
        <w:snapToGrid w:val="0"/>
        <w:spacing w:line="360" w:lineRule="auto"/>
        <w:ind w:left="420" w:leftChars="200"/>
        <w:rPr>
          <w:snapToGrid w:val="0"/>
          <w:color w:val="auto"/>
          <w:kern w:val="0"/>
          <w:sz w:val="24"/>
          <w:highlight w:val="none"/>
        </w:rPr>
      </w:pPr>
      <w:r>
        <w:rPr>
          <w:snapToGrid w:val="0"/>
          <w:color w:val="auto"/>
          <w:kern w:val="0"/>
          <w:sz w:val="24"/>
          <w:highlight w:val="none"/>
        </w:rPr>
        <w:t>5.内河航运工程</w:t>
      </w:r>
      <w:r>
        <w:rPr>
          <w:rFonts w:hint="eastAsia"/>
          <w:snapToGrid w:val="0"/>
          <w:color w:val="auto"/>
          <w:kern w:val="0"/>
          <w:sz w:val="24"/>
          <w:highlight w:val="none"/>
        </w:rPr>
        <w:t>参考</w:t>
      </w:r>
      <w:r>
        <w:rPr>
          <w:snapToGrid w:val="0"/>
          <w:color w:val="auto"/>
          <w:kern w:val="0"/>
          <w:sz w:val="24"/>
          <w:highlight w:val="none"/>
        </w:rPr>
        <w:t>定额</w:t>
      </w:r>
    </w:p>
    <w:p w14:paraId="4CC0D919">
      <w:pPr>
        <w:snapToGrid w:val="0"/>
        <w:spacing w:line="360" w:lineRule="auto"/>
        <w:ind w:left="420" w:leftChars="200"/>
        <w:rPr>
          <w:snapToGrid w:val="0"/>
          <w:color w:val="auto"/>
          <w:kern w:val="0"/>
          <w:sz w:val="24"/>
          <w:highlight w:val="none"/>
        </w:rPr>
      </w:pPr>
      <w:r>
        <w:rPr>
          <w:snapToGrid w:val="0"/>
          <w:color w:val="auto"/>
          <w:kern w:val="0"/>
          <w:sz w:val="24"/>
          <w:highlight w:val="none"/>
        </w:rPr>
        <w:t>6.沿海港口水工建筑工程定额</w:t>
      </w:r>
    </w:p>
    <w:p w14:paraId="5AABDA07">
      <w:pPr>
        <w:snapToGrid w:val="0"/>
        <w:spacing w:line="360" w:lineRule="auto"/>
        <w:ind w:left="420" w:leftChars="200"/>
        <w:rPr>
          <w:snapToGrid w:val="0"/>
          <w:color w:val="auto"/>
          <w:kern w:val="0"/>
          <w:sz w:val="24"/>
          <w:highlight w:val="none"/>
        </w:rPr>
      </w:pPr>
      <w:r>
        <w:rPr>
          <w:snapToGrid w:val="0"/>
          <w:color w:val="auto"/>
          <w:kern w:val="0"/>
          <w:sz w:val="24"/>
          <w:highlight w:val="none"/>
        </w:rPr>
        <w:t>7.沿海港口工程</w:t>
      </w:r>
      <w:r>
        <w:rPr>
          <w:rFonts w:hint="eastAsia"/>
          <w:snapToGrid w:val="0"/>
          <w:color w:val="auto"/>
          <w:kern w:val="0"/>
          <w:sz w:val="24"/>
          <w:highlight w:val="none"/>
        </w:rPr>
        <w:t>参考</w:t>
      </w:r>
      <w:r>
        <w:rPr>
          <w:snapToGrid w:val="0"/>
          <w:color w:val="auto"/>
          <w:kern w:val="0"/>
          <w:sz w:val="24"/>
          <w:highlight w:val="none"/>
        </w:rPr>
        <w:t>定额</w:t>
      </w:r>
    </w:p>
    <w:p w14:paraId="0B59E73F">
      <w:pPr>
        <w:snapToGrid w:val="0"/>
        <w:spacing w:line="360" w:lineRule="auto"/>
        <w:ind w:left="420" w:leftChars="200"/>
        <w:rPr>
          <w:snapToGrid w:val="0"/>
          <w:color w:val="auto"/>
          <w:kern w:val="0"/>
          <w:sz w:val="24"/>
          <w:highlight w:val="none"/>
        </w:rPr>
      </w:pPr>
      <w:r>
        <w:rPr>
          <w:snapToGrid w:val="0"/>
          <w:color w:val="auto"/>
          <w:kern w:val="0"/>
          <w:sz w:val="24"/>
          <w:highlight w:val="none"/>
        </w:rPr>
        <w:t>8.疏浚工程预算定额</w:t>
      </w:r>
    </w:p>
    <w:p w14:paraId="33E237D7">
      <w:pPr>
        <w:snapToGrid w:val="0"/>
        <w:spacing w:line="360" w:lineRule="auto"/>
        <w:ind w:left="420" w:leftChars="200"/>
        <w:rPr>
          <w:snapToGrid w:val="0"/>
          <w:color w:val="auto"/>
          <w:kern w:val="0"/>
          <w:sz w:val="24"/>
          <w:highlight w:val="none"/>
        </w:rPr>
      </w:pPr>
      <w:r>
        <w:rPr>
          <w:snapToGrid w:val="0"/>
          <w:color w:val="auto"/>
          <w:kern w:val="0"/>
          <w:sz w:val="24"/>
          <w:highlight w:val="none"/>
        </w:rPr>
        <w:t>9.疏浚工程船舶艘（台）班费用定额</w:t>
      </w:r>
    </w:p>
    <w:p w14:paraId="79093845">
      <w:pPr>
        <w:snapToGrid w:val="0"/>
        <w:spacing w:line="360" w:lineRule="auto"/>
        <w:ind w:left="420" w:leftChars="200"/>
        <w:rPr>
          <w:snapToGrid w:val="0"/>
          <w:color w:val="auto"/>
          <w:kern w:val="0"/>
          <w:sz w:val="24"/>
          <w:highlight w:val="none"/>
        </w:rPr>
      </w:pPr>
      <w:r>
        <w:rPr>
          <w:snapToGrid w:val="0"/>
          <w:color w:val="auto"/>
          <w:kern w:val="0"/>
          <w:sz w:val="24"/>
          <w:highlight w:val="none"/>
        </w:rPr>
        <w:t>10.水运工程混凝土和砂浆材料用量定额</w:t>
      </w:r>
    </w:p>
    <w:p w14:paraId="7EA25993">
      <w:pPr>
        <w:snapToGrid w:val="0"/>
        <w:spacing w:line="360" w:lineRule="auto"/>
        <w:ind w:left="480" w:hanging="480" w:hangingChars="200"/>
        <w:rPr>
          <w:snapToGrid w:val="0"/>
          <w:color w:val="auto"/>
          <w:kern w:val="0"/>
          <w:sz w:val="24"/>
          <w:highlight w:val="none"/>
        </w:rPr>
      </w:pPr>
      <w:bookmarkStart w:id="772" w:name="_Toc346269510"/>
      <w:bookmarkStart w:id="773" w:name="_Toc335660931"/>
      <w:bookmarkStart w:id="774" w:name="_Toc335722013"/>
    </w:p>
    <w:p w14:paraId="21609F75">
      <w:pPr>
        <w:pStyle w:val="3"/>
        <w:rPr>
          <w:rFonts w:eastAsia="宋体"/>
          <w:b w:val="0"/>
          <w:snapToGrid w:val="0"/>
          <w:color w:val="auto"/>
          <w:kern w:val="0"/>
          <w:sz w:val="24"/>
          <w:highlight w:val="none"/>
        </w:rPr>
      </w:pPr>
      <w:bookmarkStart w:id="775" w:name="_Toc488649935"/>
      <w:r>
        <w:rPr>
          <w:rFonts w:eastAsia="宋体"/>
          <w:b w:val="0"/>
          <w:snapToGrid w:val="0"/>
          <w:color w:val="auto"/>
          <w:kern w:val="0"/>
          <w:highlight w:val="none"/>
        </w:rPr>
        <w:br w:type="page"/>
      </w:r>
      <w:r>
        <w:rPr>
          <w:rFonts w:eastAsia="宋体"/>
          <w:b w:val="0"/>
          <w:snapToGrid w:val="0"/>
          <w:color w:val="auto"/>
          <w:kern w:val="0"/>
          <w:highlight w:val="none"/>
        </w:rPr>
        <w:t>2.</w:t>
      </w:r>
      <w:r>
        <w:rPr>
          <w:rFonts w:hint="eastAsia" w:eastAsia="宋体"/>
          <w:b w:val="0"/>
          <w:snapToGrid w:val="0"/>
          <w:color w:val="auto"/>
          <w:kern w:val="0"/>
          <w:highlight w:val="none"/>
        </w:rPr>
        <w:t xml:space="preserve"> </w:t>
      </w:r>
      <w:r>
        <w:rPr>
          <w:rFonts w:eastAsia="宋体"/>
          <w:b w:val="0"/>
          <w:snapToGrid w:val="0"/>
          <w:color w:val="auto"/>
          <w:kern w:val="0"/>
          <w:highlight w:val="none"/>
        </w:rPr>
        <w:t>勘察设计技术要求</w:t>
      </w:r>
      <w:bookmarkEnd w:id="772"/>
      <w:bookmarkEnd w:id="773"/>
      <w:bookmarkEnd w:id="774"/>
      <w:bookmarkEnd w:id="775"/>
    </w:p>
    <w:p w14:paraId="05814D36">
      <w:pPr>
        <w:snapToGrid w:val="0"/>
        <w:spacing w:line="360" w:lineRule="auto"/>
        <w:ind w:left="480" w:hanging="480" w:hangingChars="200"/>
        <w:rPr>
          <w:snapToGrid w:val="0"/>
          <w:color w:val="auto"/>
          <w:kern w:val="0"/>
          <w:sz w:val="24"/>
          <w:highlight w:val="none"/>
        </w:rPr>
      </w:pPr>
      <w:r>
        <w:rPr>
          <w:snapToGrid w:val="0"/>
          <w:color w:val="auto"/>
          <w:kern w:val="0"/>
          <w:sz w:val="24"/>
          <w:highlight w:val="none"/>
        </w:rPr>
        <w:t>（如有，不限于以下内容）</w:t>
      </w:r>
    </w:p>
    <w:p w14:paraId="5EA0D7C0">
      <w:pPr>
        <w:snapToGrid w:val="0"/>
        <w:spacing w:line="360" w:lineRule="auto"/>
        <w:ind w:firstLine="480" w:firstLineChars="200"/>
        <w:rPr>
          <w:snapToGrid w:val="0"/>
          <w:color w:val="auto"/>
          <w:kern w:val="0"/>
          <w:sz w:val="24"/>
          <w:highlight w:val="none"/>
        </w:rPr>
      </w:pPr>
      <w:bookmarkStart w:id="776" w:name="_Toc335660932"/>
      <w:r>
        <w:rPr>
          <w:snapToGrid w:val="0"/>
          <w:color w:val="auto"/>
          <w:kern w:val="0"/>
          <w:sz w:val="24"/>
          <w:highlight w:val="none"/>
        </w:rPr>
        <w:t>2.1 工程测量技术要求</w:t>
      </w:r>
      <w:bookmarkEnd w:id="776"/>
      <w:r>
        <w:rPr>
          <w:rFonts w:hint="eastAsia"/>
          <w:snapToGrid w:val="0"/>
          <w:color w:val="auto"/>
          <w:kern w:val="0"/>
          <w:sz w:val="24"/>
          <w:highlight w:val="none"/>
        </w:rPr>
        <w:t>（</w:t>
      </w:r>
      <w:r>
        <w:rPr>
          <w:snapToGrid w:val="0"/>
          <w:color w:val="auto"/>
          <w:kern w:val="0"/>
          <w:sz w:val="24"/>
          <w:highlight w:val="none"/>
        </w:rPr>
        <w:t>工程区域、勘察阶段、坐标系统、高程基准、勘察工作量、测图比例等</w:t>
      </w:r>
      <w:r>
        <w:rPr>
          <w:rFonts w:hint="eastAsia"/>
          <w:snapToGrid w:val="0"/>
          <w:color w:val="auto"/>
          <w:kern w:val="0"/>
          <w:sz w:val="24"/>
          <w:highlight w:val="none"/>
        </w:rPr>
        <w:t>）</w:t>
      </w:r>
    </w:p>
    <w:p w14:paraId="52EB9BEF">
      <w:pPr>
        <w:snapToGrid w:val="0"/>
        <w:spacing w:line="360" w:lineRule="auto"/>
        <w:ind w:firstLine="480" w:firstLineChars="200"/>
        <w:rPr>
          <w:snapToGrid w:val="0"/>
          <w:color w:val="auto"/>
          <w:kern w:val="0"/>
          <w:sz w:val="24"/>
          <w:highlight w:val="none"/>
        </w:rPr>
      </w:pPr>
      <w:bookmarkStart w:id="777" w:name="_Toc335660933"/>
      <w:r>
        <w:rPr>
          <w:snapToGrid w:val="0"/>
          <w:color w:val="auto"/>
          <w:kern w:val="0"/>
          <w:sz w:val="24"/>
          <w:highlight w:val="none"/>
        </w:rPr>
        <w:t>2.2</w:t>
      </w:r>
      <w:r>
        <w:rPr>
          <w:rFonts w:hint="eastAsia"/>
          <w:snapToGrid w:val="0"/>
          <w:color w:val="auto"/>
          <w:kern w:val="0"/>
          <w:sz w:val="24"/>
          <w:highlight w:val="none"/>
        </w:rPr>
        <w:t xml:space="preserve"> </w:t>
      </w:r>
      <w:r>
        <w:rPr>
          <w:snapToGrid w:val="0"/>
          <w:color w:val="auto"/>
          <w:kern w:val="0"/>
          <w:sz w:val="24"/>
          <w:highlight w:val="none"/>
        </w:rPr>
        <w:t>岩土工程勘察技术要求</w:t>
      </w:r>
      <w:bookmarkEnd w:id="777"/>
      <w:r>
        <w:rPr>
          <w:rFonts w:hint="eastAsia"/>
          <w:snapToGrid w:val="0"/>
          <w:color w:val="auto"/>
          <w:kern w:val="0"/>
          <w:sz w:val="24"/>
          <w:highlight w:val="none"/>
        </w:rPr>
        <w:t>（</w:t>
      </w:r>
      <w:r>
        <w:rPr>
          <w:snapToGrid w:val="0"/>
          <w:color w:val="auto"/>
          <w:kern w:val="0"/>
          <w:sz w:val="24"/>
          <w:highlight w:val="none"/>
        </w:rPr>
        <w:t>工程规模、工程区域、地形地貌、勘察目的和阶段、坐标系统、高程基准、勘察工作量、试验要求、成果要求等</w:t>
      </w:r>
      <w:r>
        <w:rPr>
          <w:rFonts w:hint="eastAsia"/>
          <w:snapToGrid w:val="0"/>
          <w:color w:val="auto"/>
          <w:kern w:val="0"/>
          <w:sz w:val="24"/>
          <w:highlight w:val="none"/>
        </w:rPr>
        <w:t>）</w:t>
      </w:r>
    </w:p>
    <w:p w14:paraId="198118BA">
      <w:pPr>
        <w:snapToGrid w:val="0"/>
        <w:spacing w:line="360" w:lineRule="auto"/>
        <w:ind w:left="420" w:leftChars="200"/>
        <w:rPr>
          <w:snapToGrid w:val="0"/>
          <w:color w:val="auto"/>
          <w:kern w:val="0"/>
          <w:sz w:val="24"/>
          <w:highlight w:val="none"/>
        </w:rPr>
      </w:pPr>
      <w:r>
        <w:rPr>
          <w:rFonts w:hint="eastAsia"/>
          <w:snapToGrid w:val="0"/>
          <w:color w:val="auto"/>
          <w:kern w:val="0"/>
          <w:sz w:val="24"/>
          <w:highlight w:val="none"/>
        </w:rPr>
        <w:t>2.3 项目技术说明及设计技术要求</w:t>
      </w:r>
    </w:p>
    <w:p w14:paraId="086F5B06">
      <w:pPr>
        <w:snapToGrid w:val="0"/>
        <w:spacing w:line="360" w:lineRule="auto"/>
        <w:ind w:left="480" w:hanging="480" w:hangingChars="200"/>
        <w:rPr>
          <w:snapToGrid w:val="0"/>
          <w:color w:val="auto"/>
          <w:kern w:val="0"/>
          <w:sz w:val="24"/>
          <w:highlight w:val="none"/>
        </w:rPr>
      </w:pPr>
    </w:p>
    <w:p w14:paraId="03C49208">
      <w:pPr>
        <w:snapToGrid w:val="0"/>
        <w:spacing w:line="360" w:lineRule="auto"/>
        <w:ind w:left="480" w:hanging="480" w:hangingChars="200"/>
        <w:rPr>
          <w:snapToGrid w:val="0"/>
          <w:color w:val="auto"/>
          <w:kern w:val="0"/>
          <w:sz w:val="24"/>
          <w:highlight w:val="none"/>
        </w:rPr>
      </w:pPr>
    </w:p>
    <w:p w14:paraId="1E7C1799">
      <w:pPr>
        <w:tabs>
          <w:tab w:val="left" w:pos="480"/>
        </w:tabs>
        <w:adjustRightInd w:val="0"/>
        <w:snapToGrid w:val="0"/>
        <w:spacing w:line="360" w:lineRule="auto"/>
        <w:ind w:left="240" w:hanging="240" w:hangingChars="100"/>
        <w:rPr>
          <w:snapToGrid w:val="0"/>
          <w:color w:val="auto"/>
          <w:kern w:val="0"/>
          <w:sz w:val="24"/>
          <w:highlight w:val="none"/>
          <w:u w:val="single"/>
        </w:rPr>
      </w:pPr>
      <w:r>
        <w:rPr>
          <w:snapToGrid w:val="0"/>
          <w:color w:val="auto"/>
          <w:kern w:val="0"/>
          <w:sz w:val="24"/>
          <w:highlight w:val="none"/>
          <w:u w:val="single"/>
        </w:rPr>
        <w:br w:type="page"/>
      </w:r>
    </w:p>
    <w:p w14:paraId="546EBC4C">
      <w:pPr>
        <w:pStyle w:val="3"/>
        <w:rPr>
          <w:rFonts w:eastAsia="宋体"/>
          <w:snapToGrid w:val="0"/>
          <w:color w:val="auto"/>
          <w:kern w:val="0"/>
          <w:highlight w:val="none"/>
        </w:rPr>
      </w:pPr>
      <w:bookmarkStart w:id="778" w:name="_Toc488649936"/>
      <w:bookmarkStart w:id="779" w:name="_Toc346269511"/>
      <w:bookmarkStart w:id="780" w:name="_Toc335722014"/>
      <w:bookmarkStart w:id="781" w:name="_Toc326241920"/>
      <w:bookmarkStart w:id="782" w:name="_Toc335660934"/>
      <w:r>
        <w:rPr>
          <w:rFonts w:hint="eastAsia" w:eastAsia="宋体"/>
          <w:snapToGrid w:val="0"/>
          <w:color w:val="auto"/>
          <w:kern w:val="0"/>
          <w:highlight w:val="none"/>
        </w:rPr>
        <w:t>第八章 投标文件格式</w:t>
      </w:r>
      <w:bookmarkEnd w:id="778"/>
      <w:bookmarkEnd w:id="779"/>
      <w:bookmarkEnd w:id="780"/>
      <w:bookmarkEnd w:id="781"/>
      <w:bookmarkEnd w:id="782"/>
    </w:p>
    <w:p w14:paraId="0BC580D0">
      <w:pPr>
        <w:pStyle w:val="92"/>
        <w:rPr>
          <w:rFonts w:ascii="宋体" w:hAnsi="宋体" w:eastAsia="宋体"/>
          <w:b/>
          <w:snapToGrid w:val="0"/>
          <w:color w:val="auto"/>
          <w:kern w:val="0"/>
          <w:highlight w:val="none"/>
        </w:rPr>
      </w:pPr>
      <w:r>
        <w:rPr>
          <w:rFonts w:ascii="宋体" w:hAnsi="宋体" w:eastAsia="宋体"/>
          <w:b/>
          <w:snapToGrid w:val="0"/>
          <w:color w:val="auto"/>
          <w:kern w:val="0"/>
          <w:highlight w:val="none"/>
        </w:rPr>
        <w:br w:type="page"/>
      </w:r>
    </w:p>
    <w:p w14:paraId="5F2CB3D6">
      <w:pPr>
        <w:rPr>
          <w:rFonts w:ascii="宋体" w:hAnsi="宋体"/>
          <w:snapToGrid w:val="0"/>
          <w:color w:val="auto"/>
          <w:kern w:val="0"/>
          <w:highlight w:val="none"/>
        </w:rPr>
      </w:pPr>
    </w:p>
    <w:p w14:paraId="4F737E83">
      <w:pPr>
        <w:rPr>
          <w:rFonts w:ascii="宋体" w:hAnsi="宋体"/>
          <w:snapToGrid w:val="0"/>
          <w:color w:val="auto"/>
          <w:kern w:val="0"/>
          <w:highlight w:val="none"/>
        </w:rPr>
      </w:pPr>
    </w:p>
    <w:p w14:paraId="7DFB1985">
      <w:pPr>
        <w:rPr>
          <w:rFonts w:ascii="宋体" w:hAnsi="宋体"/>
          <w:snapToGrid w:val="0"/>
          <w:color w:val="auto"/>
          <w:kern w:val="0"/>
          <w:highlight w:val="none"/>
        </w:rPr>
      </w:pPr>
    </w:p>
    <w:p w14:paraId="439026FD">
      <w:pPr>
        <w:rPr>
          <w:rFonts w:ascii="宋体" w:hAnsi="宋体"/>
          <w:snapToGrid w:val="0"/>
          <w:color w:val="auto"/>
          <w:kern w:val="0"/>
          <w:highlight w:val="none"/>
        </w:rPr>
      </w:pPr>
    </w:p>
    <w:p w14:paraId="47A1E157">
      <w:pPr>
        <w:rPr>
          <w:rFonts w:ascii="宋体" w:hAnsi="宋体"/>
          <w:snapToGrid w:val="0"/>
          <w:color w:val="auto"/>
          <w:kern w:val="0"/>
          <w:highlight w:val="none"/>
        </w:rPr>
      </w:pPr>
    </w:p>
    <w:p w14:paraId="3E980775">
      <w:pPr>
        <w:rPr>
          <w:rFonts w:ascii="宋体" w:hAnsi="宋体"/>
          <w:snapToGrid w:val="0"/>
          <w:color w:val="auto"/>
          <w:kern w:val="0"/>
          <w:highlight w:val="none"/>
        </w:rPr>
      </w:pPr>
    </w:p>
    <w:p w14:paraId="67C8A088">
      <w:pPr>
        <w:snapToGrid w:val="0"/>
        <w:spacing w:line="360" w:lineRule="auto"/>
        <w:jc w:val="center"/>
        <w:rPr>
          <w:rFonts w:ascii="宋体" w:hAnsi="宋体"/>
          <w:snapToGrid w:val="0"/>
          <w:color w:val="auto"/>
          <w:kern w:val="0"/>
          <w:sz w:val="44"/>
          <w:szCs w:val="44"/>
          <w:highlight w:val="none"/>
        </w:rPr>
      </w:pP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u w:val="single"/>
        </w:rPr>
        <w:tab/>
      </w:r>
      <w:r>
        <w:rPr>
          <w:rFonts w:hint="eastAsia" w:ascii="宋体" w:hAnsi="宋体"/>
          <w:snapToGrid w:val="0"/>
          <w:color w:val="auto"/>
          <w:kern w:val="0"/>
          <w:sz w:val="44"/>
          <w:szCs w:val="44"/>
          <w:highlight w:val="none"/>
        </w:rPr>
        <w:t>（项目名称）</w:t>
      </w:r>
    </w:p>
    <w:p w14:paraId="5780902F">
      <w:pPr>
        <w:snapToGrid w:val="0"/>
        <w:spacing w:line="360" w:lineRule="auto"/>
        <w:jc w:val="center"/>
        <w:rPr>
          <w:rFonts w:ascii="宋体" w:hAnsi="宋体"/>
          <w:snapToGrid w:val="0"/>
          <w:color w:val="auto"/>
          <w:kern w:val="0"/>
          <w:sz w:val="44"/>
          <w:szCs w:val="44"/>
          <w:highlight w:val="none"/>
        </w:rPr>
      </w:pPr>
      <w:r>
        <w:rPr>
          <w:rFonts w:hint="eastAsia" w:ascii="宋体" w:hAnsi="宋体"/>
          <w:snapToGrid w:val="0"/>
          <w:color w:val="auto"/>
          <w:kern w:val="0"/>
          <w:sz w:val="44"/>
          <w:szCs w:val="44"/>
          <w:highlight w:val="none"/>
        </w:rPr>
        <w:t>勘察设计投标文件</w:t>
      </w:r>
    </w:p>
    <w:p w14:paraId="3FADF692">
      <w:pPr>
        <w:rPr>
          <w:rFonts w:ascii="宋体" w:hAnsi="宋体"/>
          <w:snapToGrid w:val="0"/>
          <w:color w:val="auto"/>
          <w:kern w:val="0"/>
          <w:highlight w:val="none"/>
        </w:rPr>
      </w:pPr>
    </w:p>
    <w:p w14:paraId="76204409">
      <w:pPr>
        <w:rPr>
          <w:rFonts w:ascii="宋体" w:hAnsi="宋体"/>
          <w:snapToGrid w:val="0"/>
          <w:color w:val="auto"/>
          <w:kern w:val="0"/>
          <w:highlight w:val="none"/>
        </w:rPr>
      </w:pPr>
    </w:p>
    <w:p w14:paraId="08EEA1FD">
      <w:pPr>
        <w:rPr>
          <w:rFonts w:ascii="宋体" w:hAnsi="宋体"/>
          <w:snapToGrid w:val="0"/>
          <w:color w:val="auto"/>
          <w:kern w:val="0"/>
          <w:highlight w:val="none"/>
        </w:rPr>
      </w:pPr>
    </w:p>
    <w:p w14:paraId="2F54E1AB">
      <w:pPr>
        <w:rPr>
          <w:rFonts w:ascii="宋体" w:hAnsi="宋体"/>
          <w:snapToGrid w:val="0"/>
          <w:color w:val="auto"/>
          <w:kern w:val="0"/>
          <w:highlight w:val="none"/>
        </w:rPr>
      </w:pPr>
    </w:p>
    <w:p w14:paraId="2076CF37">
      <w:pPr>
        <w:rPr>
          <w:rFonts w:ascii="宋体" w:hAnsi="宋体"/>
          <w:snapToGrid w:val="0"/>
          <w:color w:val="auto"/>
          <w:kern w:val="0"/>
          <w:highlight w:val="none"/>
        </w:rPr>
      </w:pPr>
    </w:p>
    <w:p w14:paraId="68E04543">
      <w:pPr>
        <w:rPr>
          <w:rFonts w:ascii="宋体" w:hAnsi="宋体"/>
          <w:snapToGrid w:val="0"/>
          <w:color w:val="auto"/>
          <w:kern w:val="0"/>
          <w:highlight w:val="none"/>
        </w:rPr>
      </w:pPr>
    </w:p>
    <w:p w14:paraId="4FD4166C">
      <w:pPr>
        <w:rPr>
          <w:rFonts w:ascii="宋体" w:hAnsi="宋体"/>
          <w:snapToGrid w:val="0"/>
          <w:color w:val="auto"/>
          <w:kern w:val="0"/>
          <w:highlight w:val="none"/>
        </w:rPr>
      </w:pPr>
    </w:p>
    <w:p w14:paraId="1B695D1F">
      <w:pPr>
        <w:rPr>
          <w:rFonts w:ascii="宋体" w:hAnsi="宋体"/>
          <w:snapToGrid w:val="0"/>
          <w:color w:val="auto"/>
          <w:kern w:val="0"/>
          <w:highlight w:val="none"/>
        </w:rPr>
      </w:pPr>
    </w:p>
    <w:p w14:paraId="644E065A">
      <w:pPr>
        <w:rPr>
          <w:rFonts w:ascii="宋体" w:hAnsi="宋体"/>
          <w:snapToGrid w:val="0"/>
          <w:color w:val="auto"/>
          <w:kern w:val="0"/>
          <w:highlight w:val="none"/>
        </w:rPr>
      </w:pPr>
    </w:p>
    <w:p w14:paraId="6658DEDE">
      <w:pPr>
        <w:rPr>
          <w:rFonts w:ascii="宋体" w:hAnsi="宋体"/>
          <w:snapToGrid w:val="0"/>
          <w:color w:val="auto"/>
          <w:kern w:val="0"/>
          <w:highlight w:val="none"/>
        </w:rPr>
      </w:pPr>
    </w:p>
    <w:p w14:paraId="3BF9D2C2">
      <w:pPr>
        <w:rPr>
          <w:rFonts w:ascii="宋体" w:hAnsi="宋体"/>
          <w:snapToGrid w:val="0"/>
          <w:color w:val="auto"/>
          <w:kern w:val="0"/>
          <w:highlight w:val="none"/>
        </w:rPr>
      </w:pPr>
    </w:p>
    <w:p w14:paraId="01B83B42">
      <w:pPr>
        <w:rPr>
          <w:rFonts w:ascii="宋体" w:hAnsi="宋体"/>
          <w:snapToGrid w:val="0"/>
          <w:color w:val="auto"/>
          <w:kern w:val="0"/>
          <w:highlight w:val="none"/>
        </w:rPr>
      </w:pPr>
    </w:p>
    <w:p w14:paraId="12A1C7D7">
      <w:pPr>
        <w:rPr>
          <w:rFonts w:ascii="宋体" w:hAnsi="宋体"/>
          <w:snapToGrid w:val="0"/>
          <w:color w:val="auto"/>
          <w:kern w:val="0"/>
          <w:highlight w:val="none"/>
        </w:rPr>
      </w:pPr>
    </w:p>
    <w:p w14:paraId="3B80C363">
      <w:pPr>
        <w:rPr>
          <w:rFonts w:ascii="宋体" w:hAnsi="宋体"/>
          <w:snapToGrid w:val="0"/>
          <w:color w:val="auto"/>
          <w:kern w:val="0"/>
          <w:highlight w:val="none"/>
        </w:rPr>
      </w:pPr>
    </w:p>
    <w:p w14:paraId="615F183E">
      <w:pPr>
        <w:rPr>
          <w:rFonts w:ascii="宋体" w:hAnsi="宋体"/>
          <w:snapToGrid w:val="0"/>
          <w:color w:val="auto"/>
          <w:kern w:val="0"/>
          <w:highlight w:val="none"/>
        </w:rPr>
      </w:pPr>
    </w:p>
    <w:p w14:paraId="7885D6FD">
      <w:pPr>
        <w:rPr>
          <w:rFonts w:ascii="宋体" w:hAnsi="宋体"/>
          <w:snapToGrid w:val="0"/>
          <w:color w:val="auto"/>
          <w:kern w:val="0"/>
          <w:highlight w:val="none"/>
        </w:rPr>
      </w:pPr>
    </w:p>
    <w:p w14:paraId="7BFFBBDB">
      <w:pPr>
        <w:rPr>
          <w:rFonts w:ascii="宋体" w:hAnsi="宋体"/>
          <w:snapToGrid w:val="0"/>
          <w:color w:val="auto"/>
          <w:kern w:val="0"/>
          <w:highlight w:val="none"/>
        </w:rPr>
      </w:pPr>
    </w:p>
    <w:p w14:paraId="7A7B728A">
      <w:pPr>
        <w:rPr>
          <w:rFonts w:ascii="宋体" w:hAnsi="宋体"/>
          <w:snapToGrid w:val="0"/>
          <w:color w:val="auto"/>
          <w:kern w:val="0"/>
          <w:highlight w:val="none"/>
        </w:rPr>
      </w:pPr>
    </w:p>
    <w:p w14:paraId="25543DA2">
      <w:pPr>
        <w:rPr>
          <w:rFonts w:ascii="宋体" w:hAnsi="宋体"/>
          <w:snapToGrid w:val="0"/>
          <w:color w:val="auto"/>
          <w:kern w:val="0"/>
          <w:highlight w:val="none"/>
        </w:rPr>
      </w:pPr>
    </w:p>
    <w:p w14:paraId="5B1B6BF9">
      <w:pPr>
        <w:rPr>
          <w:rFonts w:ascii="宋体" w:hAnsi="宋体"/>
          <w:snapToGrid w:val="0"/>
          <w:color w:val="auto"/>
          <w:kern w:val="0"/>
          <w:highlight w:val="none"/>
        </w:rPr>
      </w:pPr>
    </w:p>
    <w:p w14:paraId="0C1ECBEE">
      <w:pPr>
        <w:rPr>
          <w:rFonts w:ascii="宋体" w:hAnsi="宋体"/>
          <w:b/>
          <w:snapToGrid w:val="0"/>
          <w:color w:val="auto"/>
          <w:kern w:val="0"/>
          <w:highlight w:val="none"/>
        </w:rPr>
      </w:pPr>
    </w:p>
    <w:p w14:paraId="51B34FCF">
      <w:pPr>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投标人（盖单位电子章）：</w:t>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p>
    <w:p w14:paraId="502BC24C">
      <w:pPr>
        <w:jc w:val="center"/>
        <w:rPr>
          <w:rFonts w:ascii="宋体" w:hAnsi="宋体"/>
          <w:snapToGrid w:val="0"/>
          <w:color w:val="auto"/>
          <w:kern w:val="0"/>
          <w:sz w:val="28"/>
          <w:szCs w:val="28"/>
          <w:highlight w:val="none"/>
        </w:rPr>
      </w:pPr>
    </w:p>
    <w:p w14:paraId="46F2D210">
      <w:pPr>
        <w:jc w:val="center"/>
        <w:rPr>
          <w:rFonts w:ascii="宋体" w:hAnsi="宋体"/>
          <w:snapToGrid w:val="0"/>
          <w:color w:val="auto"/>
          <w:kern w:val="0"/>
          <w:sz w:val="28"/>
          <w:szCs w:val="28"/>
          <w:highlight w:val="none"/>
        </w:rPr>
      </w:pP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rPr>
        <w:t>年</w:t>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rPr>
        <w:t>月</w:t>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u w:val="single"/>
        </w:rPr>
        <w:tab/>
      </w:r>
      <w:r>
        <w:rPr>
          <w:rFonts w:hint="eastAsia" w:ascii="宋体" w:hAnsi="宋体"/>
          <w:snapToGrid w:val="0"/>
          <w:color w:val="auto"/>
          <w:kern w:val="0"/>
          <w:sz w:val="28"/>
          <w:szCs w:val="28"/>
          <w:highlight w:val="none"/>
        </w:rPr>
        <w:t>日</w:t>
      </w:r>
    </w:p>
    <w:p w14:paraId="35A823C2">
      <w:pPr>
        <w:pStyle w:val="92"/>
        <w:outlineLvl w:val="0"/>
        <w:rPr>
          <w:rFonts w:ascii="宋体" w:hAnsi="宋体" w:eastAsia="宋体"/>
          <w:snapToGrid w:val="0"/>
          <w:color w:val="auto"/>
          <w:kern w:val="0"/>
          <w:highlight w:val="none"/>
        </w:rPr>
      </w:pPr>
      <w:r>
        <w:rPr>
          <w:rFonts w:ascii="宋体" w:hAnsi="宋体" w:eastAsia="宋体"/>
          <w:snapToGrid w:val="0"/>
          <w:color w:val="auto"/>
          <w:kern w:val="0"/>
          <w:highlight w:val="none"/>
        </w:rPr>
        <w:br w:type="page"/>
      </w:r>
      <w:bookmarkStart w:id="783" w:name="_Toc335660467"/>
      <w:bookmarkStart w:id="784" w:name="_Toc335660054"/>
      <w:bookmarkStart w:id="785" w:name="_Toc335722016"/>
      <w:bookmarkStart w:id="786" w:name="_Toc346269513"/>
      <w:bookmarkStart w:id="787" w:name="_Toc488649937"/>
      <w:bookmarkStart w:id="788" w:name="_Toc335721564"/>
      <w:bookmarkStart w:id="789" w:name="_Toc335660936"/>
      <w:bookmarkStart w:id="790" w:name="_Toc326241922"/>
      <w:r>
        <w:rPr>
          <w:rFonts w:hint="eastAsia" w:ascii="宋体" w:hAnsi="宋体" w:eastAsia="宋体"/>
          <w:snapToGrid w:val="0"/>
          <w:color w:val="auto"/>
          <w:kern w:val="0"/>
          <w:highlight w:val="none"/>
        </w:rPr>
        <w:t>目  录</w:t>
      </w:r>
      <w:bookmarkEnd w:id="783"/>
      <w:bookmarkEnd w:id="784"/>
      <w:bookmarkEnd w:id="785"/>
      <w:bookmarkEnd w:id="786"/>
      <w:bookmarkEnd w:id="787"/>
      <w:bookmarkEnd w:id="788"/>
      <w:bookmarkEnd w:id="789"/>
    </w:p>
    <w:p w14:paraId="25A5FF52">
      <w:pPr>
        <w:rPr>
          <w:rFonts w:ascii="宋体" w:hAnsi="宋体"/>
          <w:snapToGrid w:val="0"/>
          <w:color w:val="auto"/>
          <w:kern w:val="0"/>
          <w:highlight w:val="none"/>
        </w:rPr>
      </w:pPr>
    </w:p>
    <w:p w14:paraId="79C933D5">
      <w:pPr>
        <w:numPr>
          <w:ilvl w:val="0"/>
          <w:numId w:val="11"/>
        </w:num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投标函</w:t>
      </w:r>
    </w:p>
    <w:p w14:paraId="45D96C50">
      <w:pPr>
        <w:numPr>
          <w:ilvl w:val="0"/>
          <w:numId w:val="11"/>
        </w:num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法定代表人身份证明</w:t>
      </w:r>
    </w:p>
    <w:p w14:paraId="669AAF4D">
      <w:p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3、授权委托书（如有）</w:t>
      </w:r>
    </w:p>
    <w:p w14:paraId="25B09FC3">
      <w:p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4、联合体协议书（如有）</w:t>
      </w:r>
    </w:p>
    <w:p w14:paraId="0BAD1852">
      <w:p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5、投标保证金</w:t>
      </w:r>
    </w:p>
    <w:p w14:paraId="48F52568">
      <w:p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6、投标人基本情况</w:t>
      </w:r>
    </w:p>
    <w:p w14:paraId="53FAC098">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7</w:t>
      </w:r>
      <w:r>
        <w:rPr>
          <w:rFonts w:hint="eastAsia" w:ascii="宋体" w:hAnsi="宋体"/>
          <w:snapToGrid w:val="0"/>
          <w:color w:val="auto"/>
          <w:kern w:val="0"/>
          <w:sz w:val="24"/>
          <w:highlight w:val="none"/>
        </w:rPr>
        <w:t>、近年完成项目情况汇总表</w:t>
      </w:r>
    </w:p>
    <w:p w14:paraId="0662EFED">
      <w:pPr>
        <w:snapToGrid w:val="0"/>
        <w:spacing w:line="360" w:lineRule="auto"/>
        <w:rPr>
          <w:rFonts w:ascii="宋体" w:hAnsi="宋体"/>
          <w:snapToGrid w:val="0"/>
          <w:color w:val="auto"/>
          <w:kern w:val="0"/>
          <w:sz w:val="24"/>
          <w:highlight w:val="none"/>
        </w:rPr>
      </w:pPr>
      <w:r>
        <w:rPr>
          <w:rFonts w:ascii="宋体" w:hAnsi="宋体"/>
          <w:snapToGrid w:val="0"/>
          <w:color w:val="auto"/>
          <w:kern w:val="0"/>
          <w:sz w:val="24"/>
          <w:highlight w:val="none"/>
        </w:rPr>
        <w:t>8</w:t>
      </w:r>
      <w:r>
        <w:rPr>
          <w:rFonts w:hint="eastAsia" w:ascii="宋体" w:hAnsi="宋体"/>
          <w:snapToGrid w:val="0"/>
          <w:color w:val="auto"/>
          <w:kern w:val="0"/>
          <w:sz w:val="24"/>
          <w:highlight w:val="none"/>
        </w:rPr>
        <w:t>、拟委任的主要人员资历表</w:t>
      </w:r>
    </w:p>
    <w:p w14:paraId="29275F4F">
      <w:p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9、报价文件</w:t>
      </w:r>
    </w:p>
    <w:p w14:paraId="73BDAACA">
      <w:p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10、定标要素情况表</w:t>
      </w:r>
    </w:p>
    <w:p w14:paraId="210A453D">
      <w:pPr>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11、其他</w:t>
      </w:r>
    </w:p>
    <w:p w14:paraId="40694E04">
      <w:pPr>
        <w:snapToGrid w:val="0"/>
        <w:spacing w:line="360" w:lineRule="auto"/>
        <w:rPr>
          <w:rFonts w:ascii="宋体" w:hAnsi="宋体"/>
          <w:snapToGrid w:val="0"/>
          <w:color w:val="auto"/>
          <w:kern w:val="0"/>
          <w:sz w:val="24"/>
          <w:highlight w:val="none"/>
        </w:rPr>
      </w:pPr>
    </w:p>
    <w:p w14:paraId="1BD7EE89">
      <w:pPr>
        <w:pStyle w:val="92"/>
        <w:spacing w:before="0" w:beforeLines="0"/>
        <w:outlineLvl w:val="0"/>
        <w:rPr>
          <w:rFonts w:ascii="宋体" w:hAnsi="宋体" w:eastAsia="宋体" w:cs="微软雅黑"/>
          <w:b/>
          <w:snapToGrid w:val="0"/>
          <w:color w:val="auto"/>
          <w:kern w:val="0"/>
          <w:highlight w:val="none"/>
        </w:rPr>
      </w:pPr>
      <w:r>
        <w:rPr>
          <w:rFonts w:hint="eastAsia" w:ascii="宋体" w:hAnsi="宋体" w:eastAsia="宋体" w:cs="宋体"/>
          <w:snapToGrid w:val="0"/>
          <w:color w:val="auto"/>
          <w:kern w:val="0"/>
          <w:highlight w:val="none"/>
        </w:rPr>
        <w:br w:type="page"/>
      </w:r>
      <w:bookmarkStart w:id="791" w:name="_Toc488649938"/>
      <w:bookmarkStart w:id="792" w:name="_Toc335660937"/>
      <w:bookmarkStart w:id="793" w:name="_Toc335722017"/>
      <w:bookmarkStart w:id="794" w:name="_Toc346269514"/>
      <w:r>
        <w:rPr>
          <w:rFonts w:hint="eastAsia" w:ascii="宋体" w:hAnsi="宋体" w:eastAsia="宋体"/>
          <w:b/>
          <w:snapToGrid w:val="0"/>
          <w:color w:val="auto"/>
          <w:kern w:val="0"/>
          <w:highlight w:val="none"/>
        </w:rPr>
        <w:t>1. 投标函</w:t>
      </w:r>
      <w:bookmarkEnd w:id="790"/>
      <w:bookmarkEnd w:id="791"/>
      <w:bookmarkEnd w:id="792"/>
      <w:bookmarkEnd w:id="793"/>
      <w:bookmarkEnd w:id="794"/>
    </w:p>
    <w:p w14:paraId="465A3D1B">
      <w:pPr>
        <w:tabs>
          <w:tab w:val="left" w:pos="2020"/>
        </w:tabs>
        <w:adjustRightInd w:val="0"/>
        <w:spacing w:line="500" w:lineRule="exact"/>
        <w:ind w:left="100"/>
        <w:rPr>
          <w:rFonts w:ascii="宋体" w:hAnsi="宋体" w:cs="Arial Unicode MS"/>
          <w:snapToGrid w:val="0"/>
          <w:color w:val="auto"/>
          <w:kern w:val="0"/>
          <w:sz w:val="24"/>
          <w:highlight w:val="none"/>
        </w:rPr>
      </w:pP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（招标人全称）：</w:t>
      </w:r>
    </w:p>
    <w:p w14:paraId="7A4A8FE6">
      <w:pPr>
        <w:tabs>
          <w:tab w:val="left" w:pos="3645"/>
          <w:tab w:val="left" w:pos="8700"/>
        </w:tabs>
        <w:adjustRightInd w:val="0"/>
        <w:spacing w:line="500" w:lineRule="exact"/>
        <w:ind w:firstLine="480" w:firstLineChars="200"/>
        <w:jc w:val="left"/>
        <w:rPr>
          <w:rFonts w:ascii="宋体" w:hAnsi="宋体" w:cs="Arial Unicode MS"/>
          <w:snapToGrid w:val="0"/>
          <w:color w:val="auto"/>
          <w:kern w:val="0"/>
          <w:sz w:val="24"/>
          <w:highlight w:val="none"/>
        </w:rPr>
      </w:pPr>
      <w:r>
        <w:rPr>
          <w:rFonts w:ascii="宋体" w:hAnsi="宋体"/>
          <w:snapToGrid w:val="0"/>
          <w:color w:val="auto"/>
          <w:kern w:val="0"/>
          <w:sz w:val="24"/>
          <w:highlight w:val="none"/>
        </w:rPr>
        <w:t xml:space="preserve">1.  </w:t>
      </w:r>
      <w:r>
        <w:rPr>
          <w:rFonts w:hint="eastAsia" w:ascii="宋体" w:hAnsi="宋体" w:cs="Arial Unicode MS"/>
          <w:snapToGrid w:val="0"/>
          <w:color w:val="auto"/>
          <w:kern w:val="0"/>
          <w:sz w:val="24"/>
          <w:highlight w:val="none"/>
        </w:rPr>
        <w:t>经现场踏勘和研究</w:t>
      </w: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w:t>
      </w:r>
      <w:r>
        <w:rPr>
          <w:rFonts w:hint="eastAsia" w:ascii="宋体" w:hAnsi="宋体" w:cs="Arial Unicode MS"/>
          <w:snapToGrid w:val="0"/>
          <w:color w:val="auto"/>
          <w:kern w:val="0"/>
          <w:sz w:val="24"/>
          <w:highlight w:val="none"/>
        </w:rPr>
        <w:t>项目名称</w:t>
      </w:r>
      <w:r>
        <w:rPr>
          <w:rFonts w:ascii="宋体" w:hAnsi="宋体"/>
          <w:snapToGrid w:val="0"/>
          <w:color w:val="auto"/>
          <w:kern w:val="0"/>
          <w:sz w:val="24"/>
          <w:highlight w:val="none"/>
        </w:rPr>
        <w:t>)</w:t>
      </w:r>
      <w:r>
        <w:rPr>
          <w:rFonts w:hint="eastAsia" w:ascii="宋体" w:hAnsi="宋体" w:cs="Arial Unicode MS"/>
          <w:snapToGrid w:val="0"/>
          <w:color w:val="auto"/>
          <w:kern w:val="0"/>
          <w:sz w:val="24"/>
          <w:highlight w:val="none"/>
        </w:rPr>
        <w:t>勘察设计招标文件的全部（含第</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号至第</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号补遗书）后，我方就上述勘察设计任务及相关服务进行投标，其中投标价为人民币：</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元（大写：</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w:t>
      </w:r>
      <w:r>
        <w:rPr>
          <w:rFonts w:hint="eastAsia"/>
          <w:snapToGrid w:val="0"/>
          <w:color w:val="auto"/>
          <w:kern w:val="0"/>
          <w:sz w:val="24"/>
          <w:highlight w:val="none"/>
        </w:rPr>
        <w:t>工期：</w:t>
      </w:r>
      <w:r>
        <w:rPr>
          <w:rFonts w:hint="eastAsia"/>
          <w:snapToGrid w:val="0"/>
          <w:color w:val="auto"/>
          <w:kern w:val="0"/>
          <w:sz w:val="24"/>
          <w:highlight w:val="none"/>
          <w:u w:val="single"/>
        </w:rPr>
        <w:t xml:space="preserve">     </w:t>
      </w:r>
      <w:r>
        <w:rPr>
          <w:rFonts w:hint="eastAsia"/>
          <w:snapToGrid w:val="0"/>
          <w:color w:val="auto"/>
          <w:kern w:val="0"/>
          <w:sz w:val="24"/>
          <w:highlight w:val="none"/>
        </w:rPr>
        <w:t>天</w:t>
      </w:r>
      <w:r>
        <w:rPr>
          <w:rFonts w:hint="eastAsia" w:ascii="宋体" w:hAnsi="宋体" w:cs="Arial Unicode MS"/>
          <w:snapToGrid w:val="0"/>
          <w:color w:val="auto"/>
          <w:kern w:val="0"/>
          <w:sz w:val="24"/>
          <w:highlight w:val="none"/>
        </w:rPr>
        <w:t>。</w:t>
      </w:r>
    </w:p>
    <w:p w14:paraId="2A656601">
      <w:pPr>
        <w:tabs>
          <w:tab w:val="left" w:pos="1120"/>
        </w:tabs>
        <w:adjustRightInd w:val="0"/>
        <w:spacing w:line="500" w:lineRule="exact"/>
        <w:ind w:firstLine="480" w:firstLineChars="200"/>
        <w:jc w:val="left"/>
        <w:rPr>
          <w:rFonts w:ascii="宋体" w:hAnsi="宋体" w:cs="Arial Unicode MS"/>
          <w:snapToGrid w:val="0"/>
          <w:color w:val="auto"/>
          <w:kern w:val="0"/>
          <w:sz w:val="24"/>
          <w:highlight w:val="none"/>
        </w:rPr>
      </w:pPr>
      <w:r>
        <w:rPr>
          <w:rFonts w:ascii="宋体" w:hAnsi="宋体"/>
          <w:snapToGrid w:val="0"/>
          <w:color w:val="auto"/>
          <w:kern w:val="0"/>
          <w:sz w:val="24"/>
          <w:highlight w:val="none"/>
        </w:rPr>
        <w:t>2.</w:t>
      </w:r>
      <w:r>
        <w:rPr>
          <w:rFonts w:ascii="宋体" w:hAnsi="宋体"/>
          <w:snapToGrid w:val="0"/>
          <w:color w:val="auto"/>
          <w:kern w:val="0"/>
          <w:sz w:val="24"/>
          <w:highlight w:val="none"/>
        </w:rPr>
        <w:tab/>
      </w:r>
      <w:r>
        <w:rPr>
          <w:rFonts w:hint="eastAsia" w:ascii="宋体" w:hAnsi="宋体" w:cs="Arial Unicode MS"/>
          <w:snapToGrid w:val="0"/>
          <w:color w:val="auto"/>
          <w:kern w:val="0"/>
          <w:sz w:val="24"/>
          <w:highlight w:val="none"/>
        </w:rPr>
        <w:t>一旦我方中标，</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我方保证在收到中标通知书规定的期限内与你方签订合同协议书，并在勘察设计合同书所规定的时间内完成合同要求的勘察设计任务。</w:t>
      </w:r>
    </w:p>
    <w:p w14:paraId="28157A7B">
      <w:pPr>
        <w:tabs>
          <w:tab w:val="left" w:pos="1416"/>
          <w:tab w:val="left" w:pos="3204"/>
          <w:tab w:val="left" w:pos="5180"/>
          <w:tab w:val="left" w:pos="8376"/>
        </w:tabs>
        <w:adjustRightInd w:val="0"/>
        <w:spacing w:line="500" w:lineRule="exact"/>
        <w:ind w:firstLine="480" w:firstLineChars="200"/>
        <w:jc w:val="left"/>
        <w:rPr>
          <w:rFonts w:ascii="宋体" w:hAnsi="宋体" w:cs="Arial Unicode MS"/>
          <w:snapToGrid w:val="0"/>
          <w:color w:val="auto"/>
          <w:kern w:val="0"/>
          <w:sz w:val="24"/>
          <w:highlight w:val="none"/>
        </w:rPr>
      </w:pPr>
      <w:r>
        <w:rPr>
          <w:rFonts w:ascii="宋体" w:hAnsi="宋体"/>
          <w:snapToGrid w:val="0"/>
          <w:color w:val="auto"/>
          <w:kern w:val="0"/>
          <w:sz w:val="24"/>
          <w:highlight w:val="none"/>
        </w:rPr>
        <w:t xml:space="preserve">3.  </w:t>
      </w:r>
      <w:r>
        <w:rPr>
          <w:rFonts w:hint="eastAsia" w:ascii="宋体" w:hAnsi="宋体" w:cs="Arial Unicode MS"/>
          <w:snapToGrid w:val="0"/>
          <w:color w:val="auto"/>
          <w:kern w:val="0"/>
          <w:sz w:val="24"/>
          <w:highlight w:val="none"/>
        </w:rPr>
        <w:t>项目负责人姓名：</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年龄：</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现任职务：</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职称：</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w:t>
      </w:r>
    </w:p>
    <w:p w14:paraId="653AA78B">
      <w:pPr>
        <w:adjustRightInd w:val="0"/>
        <w:spacing w:line="500" w:lineRule="exact"/>
        <w:ind w:firstLine="480" w:firstLineChars="200"/>
        <w:jc w:val="left"/>
        <w:rPr>
          <w:rFonts w:ascii="宋体" w:hAnsi="宋体" w:cs="Arial Unicode MS"/>
          <w:snapToGrid w:val="0"/>
          <w:color w:val="auto"/>
          <w:kern w:val="0"/>
          <w:sz w:val="24"/>
          <w:highlight w:val="none"/>
        </w:rPr>
      </w:pPr>
      <w:r>
        <w:rPr>
          <w:rFonts w:ascii="宋体" w:hAnsi="宋体"/>
          <w:snapToGrid w:val="0"/>
          <w:color w:val="auto"/>
          <w:kern w:val="0"/>
          <w:sz w:val="24"/>
          <w:highlight w:val="none"/>
        </w:rPr>
        <w:t xml:space="preserve">4.  </w:t>
      </w:r>
      <w:r>
        <w:rPr>
          <w:rFonts w:hint="eastAsia" w:ascii="宋体" w:hAnsi="宋体" w:cs="Arial Unicode MS"/>
          <w:snapToGrid w:val="0"/>
          <w:color w:val="auto"/>
          <w:kern w:val="0"/>
          <w:sz w:val="24"/>
          <w:highlight w:val="none"/>
        </w:rPr>
        <w:t>我方承诺在本投标文件有效期内，本投标函对我方具有约束力，并随时接受中标，完成合同约定的内容完成勘察设计任务。</w:t>
      </w:r>
    </w:p>
    <w:p w14:paraId="26995529">
      <w:pPr>
        <w:tabs>
          <w:tab w:val="left" w:pos="1120"/>
        </w:tabs>
        <w:adjustRightInd w:val="0"/>
        <w:spacing w:line="500" w:lineRule="exact"/>
        <w:ind w:firstLine="480" w:firstLineChars="200"/>
        <w:jc w:val="left"/>
        <w:rPr>
          <w:rFonts w:ascii="宋体" w:hAnsi="宋体" w:cs="Arial Unicode MS"/>
          <w:snapToGrid w:val="0"/>
          <w:color w:val="auto"/>
          <w:kern w:val="0"/>
          <w:sz w:val="24"/>
          <w:highlight w:val="none"/>
        </w:rPr>
      </w:pPr>
      <w:r>
        <w:rPr>
          <w:rFonts w:hint="eastAsia" w:ascii="宋体" w:hAnsi="宋体"/>
          <w:snapToGrid w:val="0"/>
          <w:color w:val="auto"/>
          <w:kern w:val="0"/>
          <w:sz w:val="24"/>
          <w:highlight w:val="none"/>
        </w:rPr>
        <w:t>5</w:t>
      </w:r>
      <w:r>
        <w:rPr>
          <w:rFonts w:ascii="宋体" w:hAnsi="宋体"/>
          <w:snapToGrid w:val="0"/>
          <w:color w:val="auto"/>
          <w:kern w:val="0"/>
          <w:sz w:val="24"/>
          <w:highlight w:val="none"/>
        </w:rPr>
        <w:t>.</w:t>
      </w:r>
      <w:r>
        <w:rPr>
          <w:rFonts w:ascii="宋体" w:hAnsi="宋体"/>
          <w:snapToGrid w:val="0"/>
          <w:color w:val="auto"/>
          <w:kern w:val="0"/>
          <w:sz w:val="24"/>
          <w:highlight w:val="none"/>
        </w:rPr>
        <w:tab/>
      </w:r>
      <w:r>
        <w:rPr>
          <w:rFonts w:hint="eastAsia" w:ascii="宋体" w:hAnsi="宋体" w:cs="Arial Unicode MS"/>
          <w:snapToGrid w:val="0"/>
          <w:color w:val="auto"/>
          <w:kern w:val="0"/>
          <w:sz w:val="24"/>
          <w:highlight w:val="none"/>
        </w:rPr>
        <w:t>在合同协议书正式签署生效之前，本投标函连同你方的中标通知书将构成我们双方之间共同遵守的文件，对双方具有约束力。</w:t>
      </w:r>
    </w:p>
    <w:p w14:paraId="15CBD85B">
      <w:pPr>
        <w:tabs>
          <w:tab w:val="left" w:pos="3580"/>
        </w:tabs>
        <w:adjustRightInd w:val="0"/>
        <w:spacing w:line="500" w:lineRule="exact"/>
        <w:ind w:firstLine="480" w:firstLineChars="200"/>
        <w:jc w:val="left"/>
        <w:rPr>
          <w:rFonts w:ascii="宋体" w:hAnsi="宋体" w:cs="Arial Unicode MS"/>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 xml:space="preserve">.  </w:t>
      </w:r>
      <w:r>
        <w:rPr>
          <w:rFonts w:hint="eastAsia" w:ascii="宋体" w:hAnsi="宋体" w:cs="Arial Unicode MS"/>
          <w:snapToGrid w:val="0"/>
          <w:color w:val="auto"/>
          <w:kern w:val="0"/>
          <w:sz w:val="24"/>
          <w:highlight w:val="none"/>
        </w:rPr>
        <w:t>□随同本投标函提交投标保证金一份，金额为人民币（大写）</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元（¥</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 xml:space="preserve"> 元）（符合招标文件规定的投标保证金优惠情形的，此处按实际金额填写）；</w:t>
      </w:r>
    </w:p>
    <w:p w14:paraId="050847D6">
      <w:pPr>
        <w:tabs>
          <w:tab w:val="left" w:pos="3580"/>
        </w:tabs>
        <w:adjustRightInd w:val="0"/>
        <w:spacing w:line="500" w:lineRule="exact"/>
        <w:ind w:firstLine="480" w:firstLineChars="200"/>
        <w:jc w:val="left"/>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□我方按招标文件规定免缴投标保证金。</w:t>
      </w:r>
    </w:p>
    <w:p w14:paraId="069DA452">
      <w:pPr>
        <w:tabs>
          <w:tab w:val="left" w:pos="3580"/>
        </w:tabs>
        <w:adjustRightInd w:val="0"/>
        <w:spacing w:line="500" w:lineRule="exact"/>
        <w:ind w:firstLine="480" w:firstLineChars="200"/>
        <w:jc w:val="left"/>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7.如我方为满足投标保证金优惠规定的投标人，出现法律法规规定的没收投标保证金情形的，我方承诺按招标文件要求的金额缴足投标保证金。</w:t>
      </w:r>
    </w:p>
    <w:p w14:paraId="7BC44C9A">
      <w:pPr>
        <w:adjustRightInd w:val="0"/>
        <w:spacing w:line="500" w:lineRule="exact"/>
        <w:rPr>
          <w:rFonts w:ascii="宋体" w:hAnsi="宋体" w:cs="Arial Unicode MS"/>
          <w:snapToGrid w:val="0"/>
          <w:color w:val="auto"/>
          <w:kern w:val="0"/>
          <w:sz w:val="24"/>
          <w:highlight w:val="none"/>
        </w:rPr>
      </w:pPr>
    </w:p>
    <w:p w14:paraId="757FBB0E">
      <w:pPr>
        <w:tabs>
          <w:tab w:val="left" w:pos="7320"/>
        </w:tabs>
        <w:adjustRightInd w:val="0"/>
        <w:spacing w:line="500" w:lineRule="exact"/>
        <w:ind w:left="2835" w:right="12"/>
        <w:rPr>
          <w:rFonts w:ascii="宋体" w:hAnsi="宋体"/>
          <w:snapToGrid w:val="0"/>
          <w:color w:val="auto"/>
          <w:kern w:val="0"/>
          <w:szCs w:val="21"/>
          <w:highlight w:val="none"/>
        </w:rPr>
      </w:pPr>
      <w:r>
        <w:rPr>
          <w:rFonts w:hint="eastAsia" w:ascii="宋体" w:hAnsi="宋体" w:cs="Arial Unicode MS"/>
          <w:snapToGrid w:val="0"/>
          <w:color w:val="auto"/>
          <w:kern w:val="0"/>
          <w:sz w:val="24"/>
          <w:highlight w:val="none"/>
        </w:rPr>
        <w:t>投</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标</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人：</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盖单位电子章</w:t>
      </w:r>
      <w:r>
        <w:rPr>
          <w:rFonts w:ascii="宋体" w:hAnsi="宋体"/>
          <w:snapToGrid w:val="0"/>
          <w:color w:val="auto"/>
          <w:kern w:val="0"/>
          <w:sz w:val="24"/>
          <w:highlight w:val="none"/>
        </w:rPr>
        <w:t>)</w:t>
      </w:r>
    </w:p>
    <w:p w14:paraId="5DC0997C">
      <w:pPr>
        <w:tabs>
          <w:tab w:val="left" w:pos="4480"/>
          <w:tab w:val="left" w:pos="8920"/>
        </w:tabs>
        <w:adjustRightInd w:val="0"/>
        <w:spacing w:line="500" w:lineRule="exact"/>
        <w:ind w:left="2835" w:right="556"/>
        <w:rPr>
          <w:rFonts w:ascii="宋体" w:hAnsi="宋体" w:cs="Arial Unicode MS"/>
          <w:snapToGrid w:val="0"/>
          <w:color w:val="auto"/>
          <w:kern w:val="0"/>
          <w:sz w:val="24"/>
          <w:highlight w:val="none"/>
          <w:u w:val="single"/>
        </w:rPr>
      </w:pPr>
      <w:r>
        <w:rPr>
          <w:rFonts w:hint="eastAsia" w:ascii="宋体" w:hAnsi="宋体" w:cs="Arial Unicode MS"/>
          <w:snapToGrid w:val="0"/>
          <w:color w:val="auto"/>
          <w:kern w:val="0"/>
          <w:sz w:val="24"/>
          <w:highlight w:val="none"/>
        </w:rPr>
        <w:t>地</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址：</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14:paraId="57D32CB8">
      <w:pPr>
        <w:tabs>
          <w:tab w:val="left" w:pos="4480"/>
          <w:tab w:val="left" w:pos="8920"/>
        </w:tabs>
        <w:adjustRightInd w:val="0"/>
        <w:spacing w:line="500" w:lineRule="exact"/>
        <w:ind w:left="2835" w:right="556"/>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网</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址：</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14:paraId="2218A16D">
      <w:pPr>
        <w:tabs>
          <w:tab w:val="left" w:pos="4480"/>
          <w:tab w:val="left" w:pos="8920"/>
        </w:tabs>
        <w:adjustRightInd w:val="0"/>
        <w:spacing w:line="500" w:lineRule="exact"/>
        <w:ind w:left="2835" w:right="556"/>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电</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话：</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14:paraId="0DB28D98">
      <w:pPr>
        <w:tabs>
          <w:tab w:val="left" w:pos="4480"/>
          <w:tab w:val="left" w:pos="8920"/>
        </w:tabs>
        <w:adjustRightInd w:val="0"/>
        <w:spacing w:line="500" w:lineRule="exact"/>
        <w:ind w:left="2835" w:right="556"/>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传</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真：</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14:paraId="09D696FF">
      <w:pPr>
        <w:tabs>
          <w:tab w:val="left" w:pos="8800"/>
        </w:tabs>
        <w:adjustRightInd w:val="0"/>
        <w:spacing w:line="500" w:lineRule="exact"/>
        <w:ind w:left="2835" w:right="703"/>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邮   政  编  码：</w:t>
      </w:r>
      <w:r>
        <w:rPr>
          <w:rFonts w:ascii="宋体" w:hAnsi="宋体" w:cs="Arial Unicode MS"/>
          <w:snapToGrid w:val="0"/>
          <w:color w:val="auto"/>
          <w:kern w:val="0"/>
          <w:sz w:val="24"/>
          <w:highlight w:val="none"/>
          <w:u w:val="single"/>
        </w:rPr>
        <w:tab/>
      </w:r>
    </w:p>
    <w:p w14:paraId="20955A97">
      <w:pPr>
        <w:spacing w:line="440" w:lineRule="exact"/>
        <w:ind w:firstLine="4920" w:firstLineChars="2050"/>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2BF8FC46">
      <w:pPr>
        <w:tabs>
          <w:tab w:val="left" w:pos="7120"/>
          <w:tab w:val="left" w:pos="7725"/>
        </w:tabs>
        <w:adjustRightInd w:val="0"/>
        <w:spacing w:line="500" w:lineRule="exact"/>
        <w:ind w:left="6041"/>
        <w:rPr>
          <w:rFonts w:ascii="宋体" w:hAnsi="宋体" w:cs="Arial Unicode MS"/>
          <w:snapToGrid w:val="0"/>
          <w:color w:val="auto"/>
          <w:kern w:val="0"/>
          <w:sz w:val="24"/>
          <w:highlight w:val="none"/>
        </w:rPr>
      </w:pPr>
      <w:r>
        <w:rPr>
          <w:rFonts w:ascii="宋体" w:hAnsi="宋体" w:cs="Arial Unicode MS"/>
          <w:snapToGrid w:val="0"/>
          <w:color w:val="auto"/>
          <w:kern w:val="0"/>
          <w:sz w:val="24"/>
          <w:highlight w:val="none"/>
        </w:rPr>
        <w:br w:type="page"/>
      </w:r>
    </w:p>
    <w:p w14:paraId="70B4D832">
      <w:pPr>
        <w:pStyle w:val="6"/>
        <w:numPr>
          <w:ilvl w:val="0"/>
          <w:numId w:val="0"/>
        </w:numPr>
        <w:ind w:left="851"/>
        <w:jc w:val="center"/>
        <w:rPr>
          <w:b/>
          <w:color w:val="auto"/>
          <w:sz w:val="28"/>
          <w:szCs w:val="28"/>
          <w:highlight w:val="none"/>
        </w:rPr>
      </w:pPr>
      <w:r>
        <w:rPr>
          <w:rFonts w:hint="eastAsia"/>
          <w:b/>
          <w:color w:val="auto"/>
          <w:sz w:val="28"/>
          <w:szCs w:val="28"/>
          <w:highlight w:val="none"/>
        </w:rPr>
        <w:t>投标函附录</w:t>
      </w:r>
    </w:p>
    <w:p w14:paraId="44426DB1">
      <w:pPr>
        <w:spacing w:line="360" w:lineRule="auto"/>
        <w:ind w:firstLine="420" w:firstLineChars="200"/>
        <w:rPr>
          <w:rFonts w:ascii="宋体" w:hAnsi="宋体"/>
          <w:color w:val="auto"/>
          <w:szCs w:val="21"/>
          <w:highlight w:val="none"/>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377"/>
        <w:gridCol w:w="4834"/>
        <w:gridCol w:w="1239"/>
      </w:tblGrid>
      <w:tr w14:paraId="764C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50" w:type="dxa"/>
            <w:vAlign w:val="center"/>
          </w:tcPr>
          <w:p w14:paraId="4B41382B">
            <w:pPr>
              <w:jc w:val="center"/>
              <w:rPr>
                <w:rFonts w:ascii="宋体" w:hAnsi="宋体"/>
                <w:color w:val="auto"/>
                <w:sz w:val="24"/>
                <w:highlight w:val="none"/>
              </w:rPr>
            </w:pPr>
            <w:r>
              <w:rPr>
                <w:rFonts w:hint="eastAsia" w:ascii="宋体" w:hAnsi="宋体"/>
                <w:color w:val="auto"/>
                <w:sz w:val="24"/>
                <w:highlight w:val="none"/>
              </w:rPr>
              <w:t>序号</w:t>
            </w:r>
          </w:p>
        </w:tc>
        <w:tc>
          <w:tcPr>
            <w:tcW w:w="2377" w:type="dxa"/>
            <w:vAlign w:val="center"/>
          </w:tcPr>
          <w:p w14:paraId="7B0AE16F">
            <w:pPr>
              <w:jc w:val="center"/>
              <w:rPr>
                <w:rFonts w:ascii="宋体" w:hAnsi="宋体"/>
                <w:color w:val="auto"/>
                <w:sz w:val="24"/>
                <w:highlight w:val="none"/>
              </w:rPr>
            </w:pPr>
            <w:r>
              <w:rPr>
                <w:rFonts w:hint="eastAsia" w:ascii="宋体" w:hAnsi="宋体"/>
                <w:color w:val="auto"/>
                <w:sz w:val="24"/>
                <w:highlight w:val="none"/>
              </w:rPr>
              <w:t>条款名称</w:t>
            </w:r>
          </w:p>
        </w:tc>
        <w:tc>
          <w:tcPr>
            <w:tcW w:w="4834" w:type="dxa"/>
            <w:vAlign w:val="center"/>
          </w:tcPr>
          <w:p w14:paraId="2725E36F">
            <w:pPr>
              <w:jc w:val="center"/>
              <w:rPr>
                <w:rFonts w:ascii="宋体" w:hAnsi="宋体"/>
                <w:color w:val="auto"/>
                <w:sz w:val="24"/>
                <w:highlight w:val="none"/>
              </w:rPr>
            </w:pPr>
            <w:r>
              <w:rPr>
                <w:rFonts w:hint="eastAsia" w:ascii="宋体" w:hAnsi="宋体"/>
                <w:color w:val="auto"/>
                <w:sz w:val="24"/>
                <w:highlight w:val="none"/>
              </w:rPr>
              <w:t>约定内容</w:t>
            </w:r>
          </w:p>
        </w:tc>
        <w:tc>
          <w:tcPr>
            <w:tcW w:w="1239" w:type="dxa"/>
            <w:vAlign w:val="center"/>
          </w:tcPr>
          <w:p w14:paraId="00486906">
            <w:pPr>
              <w:jc w:val="center"/>
              <w:rPr>
                <w:rFonts w:ascii="宋体" w:hAnsi="宋体"/>
                <w:color w:val="auto"/>
                <w:sz w:val="24"/>
                <w:highlight w:val="none"/>
              </w:rPr>
            </w:pPr>
            <w:r>
              <w:rPr>
                <w:rFonts w:hint="eastAsia" w:ascii="宋体" w:hAnsi="宋体"/>
                <w:color w:val="auto"/>
                <w:sz w:val="24"/>
                <w:highlight w:val="none"/>
              </w:rPr>
              <w:t>备注</w:t>
            </w:r>
          </w:p>
        </w:tc>
      </w:tr>
      <w:tr w14:paraId="3C0E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50" w:type="dxa"/>
            <w:vAlign w:val="center"/>
          </w:tcPr>
          <w:p w14:paraId="4BB1BDB1">
            <w:pPr>
              <w:jc w:val="center"/>
              <w:rPr>
                <w:rFonts w:ascii="宋体" w:hAnsi="宋体"/>
                <w:color w:val="auto"/>
                <w:sz w:val="24"/>
                <w:highlight w:val="none"/>
              </w:rPr>
            </w:pPr>
            <w:r>
              <w:rPr>
                <w:rFonts w:hint="eastAsia" w:ascii="宋体" w:hAnsi="宋体"/>
                <w:color w:val="auto"/>
                <w:sz w:val="24"/>
                <w:highlight w:val="none"/>
              </w:rPr>
              <w:t>1</w:t>
            </w:r>
          </w:p>
        </w:tc>
        <w:tc>
          <w:tcPr>
            <w:tcW w:w="2377" w:type="dxa"/>
            <w:vAlign w:val="center"/>
          </w:tcPr>
          <w:p w14:paraId="71DF534A">
            <w:pPr>
              <w:rPr>
                <w:rFonts w:ascii="宋体" w:hAnsi="宋体"/>
                <w:color w:val="auto"/>
                <w:sz w:val="24"/>
                <w:highlight w:val="none"/>
              </w:rPr>
            </w:pPr>
            <w:r>
              <w:rPr>
                <w:rFonts w:hint="eastAsia" w:ascii="宋体" w:hAnsi="宋体"/>
                <w:color w:val="auto"/>
                <w:sz w:val="24"/>
                <w:highlight w:val="none"/>
              </w:rPr>
              <w:t>项目负责人</w:t>
            </w:r>
          </w:p>
        </w:tc>
        <w:tc>
          <w:tcPr>
            <w:tcW w:w="4834" w:type="dxa"/>
            <w:vAlign w:val="center"/>
          </w:tcPr>
          <w:p w14:paraId="08B2A112">
            <w:pPr>
              <w:rPr>
                <w:rFonts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p>
          <w:p w14:paraId="668316D5">
            <w:pPr>
              <w:rPr>
                <w:rFonts w:ascii="宋体" w:hAnsi="宋体"/>
                <w:color w:val="auto"/>
                <w:sz w:val="24"/>
                <w:highlight w:val="none"/>
              </w:rPr>
            </w:pPr>
            <w:r>
              <w:rPr>
                <w:rFonts w:hint="eastAsia" w:ascii="宋体" w:hAnsi="宋体"/>
                <w:color w:val="auto"/>
                <w:sz w:val="24"/>
                <w:highlight w:val="none"/>
              </w:rPr>
              <w:t>职称证书：</w:t>
            </w:r>
            <w:r>
              <w:rPr>
                <w:rFonts w:hint="eastAsia" w:ascii="宋体" w:hAnsi="宋体"/>
                <w:color w:val="auto"/>
                <w:sz w:val="24"/>
                <w:highlight w:val="none"/>
                <w:u w:val="single"/>
              </w:rPr>
              <w:t xml:space="preserve">             </w:t>
            </w:r>
          </w:p>
          <w:p w14:paraId="16B60C89">
            <w:pPr>
              <w:rPr>
                <w:rFonts w:ascii="宋体" w:hAnsi="宋体"/>
                <w:color w:val="auto"/>
                <w:sz w:val="24"/>
                <w:highlight w:val="none"/>
              </w:rPr>
            </w:pPr>
            <w:r>
              <w:rPr>
                <w:rFonts w:hint="eastAsia" w:ascii="宋体" w:hAnsi="宋体"/>
                <w:color w:val="auto"/>
                <w:sz w:val="24"/>
                <w:highlight w:val="none"/>
              </w:rPr>
              <w:t>执业资格证书：</w:t>
            </w:r>
            <w:r>
              <w:rPr>
                <w:rFonts w:hint="eastAsia" w:ascii="宋体" w:hAnsi="宋体"/>
                <w:color w:val="auto"/>
                <w:sz w:val="24"/>
                <w:highlight w:val="none"/>
                <w:u w:val="single"/>
              </w:rPr>
              <w:t xml:space="preserve">         </w:t>
            </w:r>
          </w:p>
        </w:tc>
        <w:tc>
          <w:tcPr>
            <w:tcW w:w="1239" w:type="dxa"/>
          </w:tcPr>
          <w:p w14:paraId="6135A4C8">
            <w:pPr>
              <w:spacing w:line="360" w:lineRule="auto"/>
              <w:rPr>
                <w:rFonts w:ascii="宋体" w:hAnsi="宋体"/>
                <w:color w:val="auto"/>
                <w:sz w:val="24"/>
                <w:highlight w:val="none"/>
              </w:rPr>
            </w:pPr>
          </w:p>
        </w:tc>
      </w:tr>
      <w:tr w14:paraId="0182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50" w:type="dxa"/>
            <w:vAlign w:val="center"/>
          </w:tcPr>
          <w:p w14:paraId="7B26B42E">
            <w:pPr>
              <w:jc w:val="center"/>
              <w:rPr>
                <w:rFonts w:ascii="宋体" w:hAnsi="宋体"/>
                <w:color w:val="auto"/>
                <w:sz w:val="24"/>
                <w:highlight w:val="none"/>
              </w:rPr>
            </w:pPr>
            <w:r>
              <w:rPr>
                <w:rFonts w:hint="eastAsia" w:ascii="宋体" w:hAnsi="宋体"/>
                <w:color w:val="auto"/>
                <w:sz w:val="24"/>
                <w:highlight w:val="none"/>
              </w:rPr>
              <w:t>2</w:t>
            </w:r>
          </w:p>
        </w:tc>
        <w:tc>
          <w:tcPr>
            <w:tcW w:w="2377" w:type="dxa"/>
            <w:vAlign w:val="center"/>
          </w:tcPr>
          <w:p w14:paraId="12BFD497">
            <w:pPr>
              <w:rPr>
                <w:rFonts w:ascii="宋体" w:hAnsi="宋体"/>
                <w:color w:val="auto"/>
                <w:sz w:val="24"/>
                <w:highlight w:val="none"/>
              </w:rPr>
            </w:pPr>
            <w:r>
              <w:rPr>
                <w:rFonts w:hint="eastAsia" w:ascii="宋体" w:hAnsi="宋体"/>
                <w:color w:val="auto"/>
                <w:sz w:val="24"/>
                <w:highlight w:val="none"/>
              </w:rPr>
              <w:t>质量要求</w:t>
            </w:r>
          </w:p>
        </w:tc>
        <w:tc>
          <w:tcPr>
            <w:tcW w:w="4834" w:type="dxa"/>
            <w:vAlign w:val="center"/>
          </w:tcPr>
          <w:p w14:paraId="039BD7EE">
            <w:pPr>
              <w:rPr>
                <w:rFonts w:ascii="宋体" w:hAnsi="宋体"/>
                <w:color w:val="auto"/>
                <w:sz w:val="24"/>
                <w:highlight w:val="none"/>
              </w:rPr>
            </w:pPr>
            <w:r>
              <w:rPr>
                <w:rFonts w:hint="eastAsia" w:ascii="宋体" w:hAnsi="宋体"/>
                <w:color w:val="auto"/>
                <w:sz w:val="24"/>
                <w:highlight w:val="none"/>
                <w:u w:val="single"/>
              </w:rPr>
              <w:t xml:space="preserve">         </w:t>
            </w:r>
          </w:p>
        </w:tc>
        <w:tc>
          <w:tcPr>
            <w:tcW w:w="1239" w:type="dxa"/>
          </w:tcPr>
          <w:p w14:paraId="578270C7">
            <w:pPr>
              <w:spacing w:line="360" w:lineRule="auto"/>
              <w:rPr>
                <w:rFonts w:ascii="宋体" w:hAnsi="宋体"/>
                <w:color w:val="auto"/>
                <w:sz w:val="24"/>
                <w:highlight w:val="none"/>
              </w:rPr>
            </w:pPr>
          </w:p>
        </w:tc>
      </w:tr>
      <w:tr w14:paraId="432C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14:paraId="738152F2">
            <w:pPr>
              <w:jc w:val="center"/>
              <w:rPr>
                <w:rFonts w:ascii="宋体" w:hAnsi="宋体"/>
                <w:color w:val="auto"/>
                <w:sz w:val="24"/>
                <w:highlight w:val="none"/>
              </w:rPr>
            </w:pPr>
            <w:r>
              <w:rPr>
                <w:rFonts w:hint="eastAsia" w:ascii="宋体" w:hAnsi="宋体"/>
                <w:color w:val="auto"/>
                <w:sz w:val="24"/>
                <w:highlight w:val="none"/>
              </w:rPr>
              <w:t>3</w:t>
            </w:r>
          </w:p>
        </w:tc>
        <w:tc>
          <w:tcPr>
            <w:tcW w:w="2377" w:type="dxa"/>
            <w:vAlign w:val="center"/>
          </w:tcPr>
          <w:p w14:paraId="6CD226F3">
            <w:pPr>
              <w:rPr>
                <w:rFonts w:ascii="宋体" w:hAnsi="宋体"/>
                <w:color w:val="auto"/>
                <w:sz w:val="24"/>
                <w:highlight w:val="none"/>
              </w:rPr>
            </w:pPr>
            <w:r>
              <w:rPr>
                <w:rFonts w:hint="eastAsia" w:ascii="宋体" w:hAnsi="宋体"/>
                <w:color w:val="auto"/>
                <w:sz w:val="24"/>
                <w:highlight w:val="none"/>
              </w:rPr>
              <w:t>投标有效期</w:t>
            </w:r>
          </w:p>
        </w:tc>
        <w:tc>
          <w:tcPr>
            <w:tcW w:w="4834" w:type="dxa"/>
            <w:vAlign w:val="center"/>
          </w:tcPr>
          <w:p w14:paraId="37BA832F">
            <w:pPr>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天</w:t>
            </w:r>
          </w:p>
        </w:tc>
        <w:tc>
          <w:tcPr>
            <w:tcW w:w="1239" w:type="dxa"/>
          </w:tcPr>
          <w:p w14:paraId="3F241BE5">
            <w:pPr>
              <w:spacing w:line="360" w:lineRule="auto"/>
              <w:rPr>
                <w:rFonts w:ascii="宋体" w:hAnsi="宋体"/>
                <w:color w:val="auto"/>
                <w:sz w:val="24"/>
                <w:highlight w:val="none"/>
              </w:rPr>
            </w:pPr>
          </w:p>
        </w:tc>
      </w:tr>
      <w:tr w14:paraId="7ED3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14:paraId="728E787E">
            <w:pPr>
              <w:jc w:val="center"/>
              <w:rPr>
                <w:rFonts w:ascii="宋体" w:hAnsi="宋体"/>
                <w:color w:val="auto"/>
                <w:sz w:val="24"/>
                <w:highlight w:val="none"/>
              </w:rPr>
            </w:pPr>
            <w:r>
              <w:rPr>
                <w:rFonts w:hint="eastAsia" w:ascii="宋体" w:hAnsi="宋体"/>
                <w:color w:val="auto"/>
                <w:sz w:val="24"/>
                <w:highlight w:val="none"/>
              </w:rPr>
              <w:t>4</w:t>
            </w:r>
          </w:p>
        </w:tc>
        <w:tc>
          <w:tcPr>
            <w:tcW w:w="2377" w:type="dxa"/>
            <w:vAlign w:val="center"/>
          </w:tcPr>
          <w:p w14:paraId="30DD0A41">
            <w:pPr>
              <w:rPr>
                <w:rFonts w:ascii="宋体" w:hAnsi="宋体"/>
                <w:color w:val="auto"/>
                <w:sz w:val="24"/>
                <w:highlight w:val="none"/>
              </w:rPr>
            </w:pPr>
            <w:r>
              <w:rPr>
                <w:rFonts w:hint="eastAsia" w:ascii="宋体" w:hAnsi="宋体"/>
                <w:color w:val="auto"/>
                <w:sz w:val="24"/>
                <w:highlight w:val="none"/>
              </w:rPr>
              <w:t>投标保证金</w:t>
            </w:r>
          </w:p>
        </w:tc>
        <w:tc>
          <w:tcPr>
            <w:tcW w:w="4834" w:type="dxa"/>
            <w:vAlign w:val="center"/>
          </w:tcPr>
          <w:p w14:paraId="3C90D897">
            <w:pPr>
              <w:rPr>
                <w:rFonts w:ascii="宋体" w:hAnsi="宋体"/>
                <w:color w:val="auto"/>
                <w:sz w:val="24"/>
                <w:highlight w:val="none"/>
                <w:u w:val="single"/>
              </w:rPr>
            </w:pPr>
            <w:r>
              <w:rPr>
                <w:rFonts w:hint="eastAsia" w:ascii="宋体" w:hAnsi="宋体"/>
                <w:color w:val="auto"/>
                <w:sz w:val="24"/>
                <w:highlight w:val="none"/>
                <w:u w:val="single"/>
              </w:rPr>
              <w:t xml:space="preserve">      元</w:t>
            </w:r>
          </w:p>
        </w:tc>
        <w:tc>
          <w:tcPr>
            <w:tcW w:w="1239" w:type="dxa"/>
          </w:tcPr>
          <w:p w14:paraId="22B8FB33">
            <w:pPr>
              <w:spacing w:line="360" w:lineRule="auto"/>
              <w:rPr>
                <w:rFonts w:ascii="宋体" w:hAnsi="宋体"/>
                <w:color w:val="auto"/>
                <w:sz w:val="24"/>
                <w:highlight w:val="none"/>
              </w:rPr>
            </w:pPr>
          </w:p>
        </w:tc>
      </w:tr>
      <w:tr w14:paraId="32E1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14:paraId="06FCFE15">
            <w:pPr>
              <w:jc w:val="center"/>
              <w:rPr>
                <w:rFonts w:ascii="宋体" w:hAnsi="宋体"/>
                <w:color w:val="auto"/>
                <w:sz w:val="24"/>
                <w:highlight w:val="none"/>
              </w:rPr>
            </w:pPr>
            <w:r>
              <w:rPr>
                <w:rFonts w:hint="eastAsia" w:ascii="宋体" w:hAnsi="宋体"/>
                <w:color w:val="auto"/>
                <w:sz w:val="24"/>
                <w:highlight w:val="none"/>
              </w:rPr>
              <w:t>5</w:t>
            </w:r>
          </w:p>
        </w:tc>
        <w:tc>
          <w:tcPr>
            <w:tcW w:w="2377" w:type="dxa"/>
            <w:vAlign w:val="center"/>
          </w:tcPr>
          <w:p w14:paraId="214AEC64">
            <w:pPr>
              <w:rPr>
                <w:rFonts w:ascii="宋体" w:hAnsi="宋体"/>
                <w:color w:val="auto"/>
                <w:sz w:val="24"/>
                <w:highlight w:val="none"/>
              </w:rPr>
            </w:pPr>
            <w:r>
              <w:rPr>
                <w:rFonts w:hint="eastAsia" w:ascii="宋体" w:hAnsi="宋体"/>
                <w:color w:val="auto"/>
                <w:sz w:val="24"/>
                <w:highlight w:val="none"/>
              </w:rPr>
              <w:t>权利义务</w:t>
            </w:r>
          </w:p>
        </w:tc>
        <w:tc>
          <w:tcPr>
            <w:tcW w:w="4834" w:type="dxa"/>
            <w:vAlign w:val="center"/>
          </w:tcPr>
          <w:p w14:paraId="52514126">
            <w:pPr>
              <w:rPr>
                <w:rFonts w:ascii="宋体" w:hAnsi="宋体"/>
                <w:color w:val="auto"/>
                <w:sz w:val="24"/>
                <w:highlight w:val="none"/>
              </w:rPr>
            </w:pPr>
            <w:r>
              <w:rPr>
                <w:rFonts w:hint="eastAsia" w:ascii="宋体" w:hAnsi="宋体"/>
                <w:color w:val="auto"/>
                <w:sz w:val="24"/>
                <w:highlight w:val="none"/>
              </w:rPr>
              <w:t>按</w:t>
            </w:r>
            <w:r>
              <w:rPr>
                <w:rFonts w:hint="eastAsia"/>
                <w:color w:val="auto"/>
                <w:sz w:val="24"/>
                <w:highlight w:val="none"/>
              </w:rPr>
              <w:t>招标文件</w:t>
            </w:r>
            <w:r>
              <w:rPr>
                <w:rFonts w:hint="eastAsia" w:ascii="宋体" w:hAnsi="宋体"/>
                <w:color w:val="auto"/>
                <w:sz w:val="24"/>
                <w:highlight w:val="none"/>
              </w:rPr>
              <w:t>第五章“合同条款及格式”规定</w:t>
            </w:r>
          </w:p>
        </w:tc>
        <w:tc>
          <w:tcPr>
            <w:tcW w:w="1239" w:type="dxa"/>
            <w:vAlign w:val="center"/>
          </w:tcPr>
          <w:p w14:paraId="2071B2B1">
            <w:pPr>
              <w:rPr>
                <w:rFonts w:ascii="宋体" w:hAnsi="宋体"/>
                <w:color w:val="auto"/>
                <w:sz w:val="24"/>
                <w:highlight w:val="none"/>
              </w:rPr>
            </w:pPr>
          </w:p>
        </w:tc>
      </w:tr>
      <w:tr w14:paraId="223D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14:paraId="63234557">
            <w:pPr>
              <w:jc w:val="center"/>
              <w:rPr>
                <w:rFonts w:ascii="宋体" w:hAnsi="宋体"/>
                <w:color w:val="auto"/>
                <w:sz w:val="24"/>
                <w:highlight w:val="none"/>
              </w:rPr>
            </w:pPr>
            <w:r>
              <w:rPr>
                <w:rFonts w:hint="eastAsia" w:ascii="宋体" w:hAnsi="宋体"/>
                <w:color w:val="auto"/>
                <w:sz w:val="24"/>
                <w:highlight w:val="none"/>
              </w:rPr>
              <w:t>6</w:t>
            </w:r>
          </w:p>
        </w:tc>
        <w:tc>
          <w:tcPr>
            <w:tcW w:w="2377" w:type="dxa"/>
            <w:vAlign w:val="center"/>
          </w:tcPr>
          <w:p w14:paraId="369CA058">
            <w:pPr>
              <w:rPr>
                <w:rFonts w:ascii="宋体" w:hAnsi="宋体"/>
                <w:color w:val="auto"/>
                <w:sz w:val="24"/>
                <w:highlight w:val="none"/>
              </w:rPr>
            </w:pPr>
            <w:r>
              <w:rPr>
                <w:rFonts w:hint="eastAsia" w:ascii="宋体" w:hAnsi="宋体"/>
                <w:color w:val="auto"/>
                <w:sz w:val="24"/>
                <w:highlight w:val="none"/>
              </w:rPr>
              <w:t>信誉承诺</w:t>
            </w:r>
          </w:p>
        </w:tc>
        <w:tc>
          <w:tcPr>
            <w:tcW w:w="4834" w:type="dxa"/>
            <w:vAlign w:val="center"/>
          </w:tcPr>
          <w:p w14:paraId="76C87E3E">
            <w:pPr>
              <w:rPr>
                <w:rFonts w:ascii="宋体" w:hAnsi="宋体"/>
                <w:color w:val="auto"/>
                <w:sz w:val="24"/>
                <w:highlight w:val="none"/>
              </w:rPr>
            </w:pPr>
            <w:r>
              <w:rPr>
                <w:rFonts w:hint="eastAsia"/>
                <w:color w:val="auto"/>
                <w:sz w:val="24"/>
                <w:highlight w:val="none"/>
              </w:rPr>
              <w:t>符合投标人须知前附表1.4.1条最低信誉要求。</w:t>
            </w:r>
          </w:p>
        </w:tc>
        <w:tc>
          <w:tcPr>
            <w:tcW w:w="1239" w:type="dxa"/>
            <w:vAlign w:val="center"/>
          </w:tcPr>
          <w:p w14:paraId="1F677809">
            <w:pPr>
              <w:rPr>
                <w:rFonts w:ascii="宋体" w:hAnsi="宋体"/>
                <w:color w:val="auto"/>
                <w:sz w:val="24"/>
                <w:highlight w:val="none"/>
              </w:rPr>
            </w:pPr>
          </w:p>
        </w:tc>
      </w:tr>
      <w:tr w14:paraId="5A74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50" w:type="dxa"/>
            <w:vAlign w:val="center"/>
          </w:tcPr>
          <w:p w14:paraId="18BFBBB8">
            <w:pPr>
              <w:jc w:val="center"/>
              <w:rPr>
                <w:rFonts w:ascii="宋体" w:hAnsi="宋体"/>
                <w:color w:val="auto"/>
                <w:sz w:val="24"/>
                <w:highlight w:val="none"/>
              </w:rPr>
            </w:pPr>
            <w:r>
              <w:rPr>
                <w:rFonts w:hint="eastAsia" w:ascii="宋体" w:hAnsi="宋体"/>
                <w:color w:val="auto"/>
                <w:sz w:val="24"/>
                <w:highlight w:val="none"/>
              </w:rPr>
              <w:t>7</w:t>
            </w:r>
          </w:p>
        </w:tc>
        <w:tc>
          <w:tcPr>
            <w:tcW w:w="2377" w:type="dxa"/>
            <w:vAlign w:val="center"/>
          </w:tcPr>
          <w:p w14:paraId="53FC7137">
            <w:pPr>
              <w:rPr>
                <w:rFonts w:ascii="宋体" w:hAnsi="宋体"/>
                <w:color w:val="auto"/>
                <w:sz w:val="24"/>
                <w:highlight w:val="none"/>
              </w:rPr>
            </w:pPr>
            <w:r>
              <w:rPr>
                <w:rFonts w:hint="eastAsia" w:ascii="宋体" w:hAnsi="宋体"/>
                <w:color w:val="auto"/>
                <w:sz w:val="24"/>
                <w:highlight w:val="none"/>
              </w:rPr>
              <w:t>其他主要人员配置</w:t>
            </w:r>
          </w:p>
        </w:tc>
        <w:tc>
          <w:tcPr>
            <w:tcW w:w="4834" w:type="dxa"/>
            <w:vAlign w:val="center"/>
          </w:tcPr>
          <w:p w14:paraId="06A1B9CB">
            <w:pPr>
              <w:rPr>
                <w:color w:val="auto"/>
                <w:sz w:val="24"/>
                <w:highlight w:val="none"/>
              </w:rPr>
            </w:pPr>
            <w:r>
              <w:rPr>
                <w:rFonts w:hint="eastAsia"/>
                <w:color w:val="auto"/>
                <w:sz w:val="24"/>
                <w:highlight w:val="none"/>
              </w:rPr>
              <w:t>按招标文件中“其他主要</w:t>
            </w:r>
            <w:r>
              <w:rPr>
                <w:rFonts w:hint="eastAsia"/>
                <w:color w:val="auto"/>
                <w:sz w:val="24"/>
                <w:highlight w:val="none"/>
                <w:lang w:val="en-US" w:eastAsia="zh-CN"/>
              </w:rPr>
              <w:t>专业负责</w:t>
            </w:r>
            <w:r>
              <w:rPr>
                <w:rFonts w:hint="eastAsia"/>
                <w:color w:val="auto"/>
                <w:sz w:val="24"/>
                <w:highlight w:val="none"/>
              </w:rPr>
              <w:t>人最低要求”配置。</w:t>
            </w:r>
          </w:p>
        </w:tc>
        <w:tc>
          <w:tcPr>
            <w:tcW w:w="1239" w:type="dxa"/>
            <w:vAlign w:val="center"/>
          </w:tcPr>
          <w:p w14:paraId="7D0B11FC">
            <w:pPr>
              <w:rPr>
                <w:rFonts w:ascii="宋体" w:hAnsi="宋体"/>
                <w:color w:val="auto"/>
                <w:sz w:val="24"/>
                <w:highlight w:val="none"/>
              </w:rPr>
            </w:pPr>
          </w:p>
        </w:tc>
      </w:tr>
      <w:tr w14:paraId="439B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14:paraId="757BC560">
            <w:pPr>
              <w:jc w:val="center"/>
              <w:rPr>
                <w:rFonts w:ascii="宋体" w:hAnsi="宋体"/>
                <w:color w:val="auto"/>
                <w:sz w:val="24"/>
                <w:highlight w:val="none"/>
              </w:rPr>
            </w:pPr>
            <w:r>
              <w:rPr>
                <w:rFonts w:hint="eastAsia" w:ascii="宋体" w:hAnsi="宋体"/>
                <w:color w:val="auto"/>
                <w:sz w:val="24"/>
                <w:highlight w:val="none"/>
              </w:rPr>
              <w:t>…</w:t>
            </w:r>
          </w:p>
        </w:tc>
        <w:tc>
          <w:tcPr>
            <w:tcW w:w="2377" w:type="dxa"/>
            <w:vAlign w:val="center"/>
          </w:tcPr>
          <w:p w14:paraId="30CF1606">
            <w:pPr>
              <w:rPr>
                <w:rFonts w:ascii="宋体" w:hAnsi="宋体"/>
                <w:color w:val="auto"/>
                <w:sz w:val="24"/>
                <w:highlight w:val="none"/>
              </w:rPr>
            </w:pPr>
            <w:r>
              <w:rPr>
                <w:rFonts w:hint="eastAsia" w:ascii="宋体" w:hAnsi="宋体"/>
                <w:color w:val="auto"/>
                <w:sz w:val="24"/>
                <w:highlight w:val="none"/>
              </w:rPr>
              <w:t>…</w:t>
            </w:r>
          </w:p>
        </w:tc>
        <w:tc>
          <w:tcPr>
            <w:tcW w:w="4834" w:type="dxa"/>
          </w:tcPr>
          <w:p w14:paraId="7A5F37EE">
            <w:pPr>
              <w:rPr>
                <w:color w:val="auto"/>
                <w:sz w:val="24"/>
                <w:highlight w:val="none"/>
              </w:rPr>
            </w:pPr>
            <w:r>
              <w:rPr>
                <w:rFonts w:hint="eastAsia" w:ascii="宋体" w:hAnsi="宋体"/>
                <w:color w:val="auto"/>
                <w:sz w:val="24"/>
                <w:highlight w:val="none"/>
              </w:rPr>
              <w:t>…</w:t>
            </w:r>
          </w:p>
        </w:tc>
        <w:tc>
          <w:tcPr>
            <w:tcW w:w="1239" w:type="dxa"/>
            <w:vAlign w:val="center"/>
          </w:tcPr>
          <w:p w14:paraId="5074496E">
            <w:pPr>
              <w:rPr>
                <w:rFonts w:ascii="宋体" w:hAnsi="宋体"/>
                <w:color w:val="auto"/>
                <w:sz w:val="24"/>
                <w:highlight w:val="none"/>
              </w:rPr>
            </w:pPr>
          </w:p>
        </w:tc>
      </w:tr>
    </w:tbl>
    <w:p w14:paraId="64A27254">
      <w:pPr>
        <w:spacing w:line="360" w:lineRule="auto"/>
        <w:rPr>
          <w:rFonts w:ascii="宋体" w:hAnsi="宋体"/>
          <w:color w:val="auto"/>
          <w:szCs w:val="21"/>
          <w:highlight w:val="none"/>
        </w:rPr>
      </w:pPr>
    </w:p>
    <w:p w14:paraId="6462F3E0">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14:paraId="1C72466D">
      <w:pPr>
        <w:spacing w:line="360" w:lineRule="auto"/>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26A2940">
      <w:pPr>
        <w:tabs>
          <w:tab w:val="left" w:pos="7120"/>
          <w:tab w:val="left" w:pos="8200"/>
        </w:tabs>
        <w:adjustRightInd w:val="0"/>
        <w:spacing w:line="500" w:lineRule="exact"/>
        <w:ind w:left="6041"/>
        <w:rPr>
          <w:rFonts w:ascii="宋体" w:hAnsi="宋体" w:cs="Arial Unicode MS"/>
          <w:snapToGrid w:val="0"/>
          <w:color w:val="auto"/>
          <w:kern w:val="0"/>
          <w:sz w:val="24"/>
          <w:highlight w:val="none"/>
        </w:rPr>
      </w:pPr>
    </w:p>
    <w:p w14:paraId="4F81D94C">
      <w:pPr>
        <w:adjustRightInd w:val="0"/>
        <w:ind w:right="4656"/>
        <w:rPr>
          <w:rFonts w:ascii="宋体" w:hAnsi="宋体"/>
          <w:snapToGrid w:val="0"/>
          <w:color w:val="auto"/>
          <w:kern w:val="0"/>
          <w:sz w:val="18"/>
          <w:szCs w:val="18"/>
          <w:highlight w:val="none"/>
        </w:rPr>
        <w:sectPr>
          <w:pgSz w:w="11920" w:h="16960"/>
          <w:pgMar w:top="1440" w:right="1418" w:bottom="1440" w:left="1418" w:header="720" w:footer="720" w:gutter="0"/>
          <w:cols w:space="720" w:num="1"/>
          <w:docGrid w:linePitch="286" w:charSpace="0"/>
        </w:sectPr>
      </w:pPr>
    </w:p>
    <w:p w14:paraId="539DBFAF">
      <w:pPr>
        <w:pStyle w:val="92"/>
        <w:outlineLvl w:val="0"/>
        <w:rPr>
          <w:rFonts w:ascii="宋体" w:hAnsi="宋体" w:eastAsia="宋体"/>
          <w:b/>
          <w:snapToGrid w:val="0"/>
          <w:color w:val="auto"/>
          <w:kern w:val="0"/>
          <w:highlight w:val="none"/>
        </w:rPr>
      </w:pPr>
      <w:bookmarkStart w:id="795" w:name="_Toc346269515"/>
      <w:bookmarkStart w:id="796" w:name="_Toc488649939"/>
      <w:bookmarkStart w:id="797" w:name="_Toc326241923"/>
      <w:bookmarkStart w:id="798" w:name="_Toc335660938"/>
      <w:bookmarkStart w:id="799" w:name="_Toc335722018"/>
      <w:r>
        <w:rPr>
          <w:rFonts w:hint="eastAsia" w:ascii="宋体" w:hAnsi="宋体" w:eastAsia="宋体"/>
          <w:b/>
          <w:snapToGrid w:val="0"/>
          <w:color w:val="auto"/>
          <w:kern w:val="0"/>
          <w:highlight w:val="none"/>
        </w:rPr>
        <w:t>2. 法定代表人身份证明</w:t>
      </w:r>
      <w:bookmarkEnd w:id="795"/>
      <w:bookmarkEnd w:id="796"/>
    </w:p>
    <w:p w14:paraId="02A487A5">
      <w:pPr>
        <w:spacing w:line="270" w:lineRule="atLeast"/>
        <w:jc w:val="left"/>
        <w:rPr>
          <w:rFonts w:ascii="宋体" w:hAnsi="宋体"/>
          <w:snapToGrid w:val="0"/>
          <w:color w:val="auto"/>
          <w:kern w:val="0"/>
          <w:sz w:val="24"/>
          <w:highlight w:val="none"/>
        </w:rPr>
      </w:pPr>
      <w:r>
        <w:rPr>
          <w:rFonts w:hint="eastAsia" w:ascii="宋体" w:hAnsi="宋体"/>
          <w:snapToGrid w:val="0"/>
          <w:color w:val="auto"/>
          <w:kern w:val="0"/>
          <w:sz w:val="24"/>
          <w:highlight w:val="none"/>
        </w:rPr>
        <w:t>投标人名称：</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 xml:space="preserve">        </w:t>
      </w:r>
    </w:p>
    <w:p w14:paraId="37BE1666">
      <w:pPr>
        <w:spacing w:line="460" w:lineRule="exact"/>
        <w:rPr>
          <w:rFonts w:ascii="宋体" w:hAnsi="宋体"/>
          <w:snapToGrid w:val="0"/>
          <w:color w:val="auto"/>
          <w:kern w:val="0"/>
          <w:sz w:val="24"/>
          <w:highlight w:val="none"/>
          <w:u w:val="single"/>
        </w:rPr>
      </w:pPr>
      <w:r>
        <w:rPr>
          <w:rFonts w:hint="eastAsia" w:ascii="宋体" w:hAnsi="宋体"/>
          <w:snapToGrid w:val="0"/>
          <w:color w:val="auto"/>
          <w:kern w:val="0"/>
          <w:sz w:val="24"/>
          <w:highlight w:val="none"/>
        </w:rPr>
        <w:t>单位性质：</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p>
    <w:p w14:paraId="6675188F">
      <w:pPr>
        <w:spacing w:line="460" w:lineRule="exact"/>
        <w:rPr>
          <w:rFonts w:ascii="宋体" w:hAnsi="宋体"/>
          <w:snapToGrid w:val="0"/>
          <w:color w:val="auto"/>
          <w:kern w:val="0"/>
          <w:sz w:val="24"/>
          <w:highlight w:val="none"/>
        </w:rPr>
      </w:pPr>
      <w:r>
        <w:rPr>
          <w:rFonts w:hint="eastAsia" w:ascii="宋体" w:hAnsi="宋体"/>
          <w:snapToGrid w:val="0"/>
          <w:color w:val="auto"/>
          <w:kern w:val="0"/>
          <w:sz w:val="24"/>
          <w:highlight w:val="none"/>
        </w:rPr>
        <w:t>地址：</w:t>
      </w:r>
      <w:r>
        <w:rPr>
          <w:rFonts w:hint="eastAsia" w:ascii="宋体" w:hAnsi="宋体"/>
          <w:snapToGrid w:val="0"/>
          <w:color w:val="auto"/>
          <w:kern w:val="0"/>
          <w:sz w:val="24"/>
          <w:highlight w:val="none"/>
          <w:u w:val="single"/>
        </w:rPr>
        <w:t xml:space="preserve">              </w:t>
      </w:r>
    </w:p>
    <w:p w14:paraId="27803746">
      <w:pPr>
        <w:spacing w:line="460" w:lineRule="exact"/>
        <w:rPr>
          <w:rFonts w:ascii="宋体" w:hAnsi="宋体"/>
          <w:snapToGrid w:val="0"/>
          <w:color w:val="auto"/>
          <w:kern w:val="0"/>
          <w:sz w:val="24"/>
          <w:highlight w:val="none"/>
        </w:rPr>
      </w:pPr>
      <w:r>
        <w:rPr>
          <w:rFonts w:hint="eastAsia" w:ascii="宋体" w:hAnsi="宋体"/>
          <w:snapToGrid w:val="0"/>
          <w:color w:val="auto"/>
          <w:kern w:val="0"/>
          <w:sz w:val="24"/>
          <w:highlight w:val="none"/>
        </w:rPr>
        <w:t>成立时间：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日</w:t>
      </w:r>
    </w:p>
    <w:p w14:paraId="080DE51C">
      <w:pPr>
        <w:spacing w:line="460" w:lineRule="exact"/>
        <w:rPr>
          <w:rFonts w:ascii="宋体" w:hAnsi="宋体"/>
          <w:snapToGrid w:val="0"/>
          <w:color w:val="auto"/>
          <w:kern w:val="0"/>
          <w:szCs w:val="21"/>
          <w:highlight w:val="none"/>
          <w:u w:val="single"/>
        </w:rPr>
      </w:pPr>
      <w:r>
        <w:rPr>
          <w:rFonts w:hint="eastAsia" w:ascii="宋体" w:hAnsi="宋体"/>
          <w:snapToGrid w:val="0"/>
          <w:color w:val="auto"/>
          <w:kern w:val="0"/>
          <w:sz w:val="24"/>
          <w:highlight w:val="none"/>
        </w:rPr>
        <w:t>姓名：</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性别：</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年龄：</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职务：</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Cs w:val="21"/>
          <w:highlight w:val="none"/>
          <w:u w:val="single"/>
        </w:rPr>
        <w:t xml:space="preserve"> </w:t>
      </w:r>
    </w:p>
    <w:p w14:paraId="7FEB8DA6">
      <w:pPr>
        <w:spacing w:line="460" w:lineRule="exact"/>
        <w:rPr>
          <w:rFonts w:ascii="宋体" w:hAnsi="宋体"/>
          <w:snapToGrid w:val="0"/>
          <w:color w:val="auto"/>
          <w:kern w:val="0"/>
          <w:sz w:val="24"/>
          <w:highlight w:val="none"/>
        </w:rPr>
      </w:pPr>
      <w:r>
        <w:rPr>
          <w:rFonts w:hint="eastAsia" w:ascii="宋体" w:hAnsi="宋体"/>
          <w:snapToGrid w:val="0"/>
          <w:color w:val="auto"/>
          <w:kern w:val="0"/>
          <w:sz w:val="24"/>
          <w:highlight w:val="none"/>
        </w:rPr>
        <w:t>系：</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（投标人名称）的法定代表人。</w:t>
      </w:r>
    </w:p>
    <w:p w14:paraId="5FE0C239">
      <w:pPr>
        <w:spacing w:line="440" w:lineRule="exact"/>
        <w:rPr>
          <w:rFonts w:ascii="宋体" w:hAnsi="宋体"/>
          <w:snapToGrid w:val="0"/>
          <w:color w:val="auto"/>
          <w:kern w:val="0"/>
          <w:sz w:val="24"/>
          <w:highlight w:val="none"/>
        </w:rPr>
      </w:pPr>
    </w:p>
    <w:p w14:paraId="56E22EB4">
      <w:pPr>
        <w:spacing w:line="440" w:lineRule="exact"/>
        <w:rPr>
          <w:rFonts w:ascii="宋体" w:hAnsi="宋体"/>
          <w:snapToGrid w:val="0"/>
          <w:color w:val="auto"/>
          <w:kern w:val="0"/>
          <w:sz w:val="24"/>
          <w:highlight w:val="none"/>
        </w:rPr>
      </w:pPr>
      <w:r>
        <w:rPr>
          <w:rFonts w:hint="eastAsia" w:ascii="宋体" w:hAnsi="宋体"/>
          <w:snapToGrid w:val="0"/>
          <w:color w:val="auto"/>
          <w:kern w:val="0"/>
          <w:sz w:val="24"/>
          <w:highlight w:val="none"/>
        </w:rPr>
        <w:t>特此证明。</w:t>
      </w:r>
    </w:p>
    <w:p w14:paraId="568AFFA2">
      <w:pPr>
        <w:spacing w:line="440" w:lineRule="exact"/>
        <w:rPr>
          <w:rFonts w:ascii="宋体" w:hAnsi="宋体"/>
          <w:snapToGrid w:val="0"/>
          <w:color w:val="auto"/>
          <w:kern w:val="0"/>
          <w:sz w:val="24"/>
          <w:highlight w:val="none"/>
        </w:rPr>
      </w:pPr>
    </w:p>
    <w:p w14:paraId="709574D8">
      <w:pPr>
        <w:spacing w:before="120" w:beforeLines="50" w:after="120" w:afterLines="50" w:line="440" w:lineRule="exact"/>
        <w:rPr>
          <w:rFonts w:ascii="宋体" w:hAnsi="宋体"/>
          <w:snapToGrid w:val="0"/>
          <w:color w:val="auto"/>
          <w:kern w:val="0"/>
          <w:sz w:val="24"/>
          <w:highlight w:val="none"/>
        </w:rPr>
      </w:pPr>
      <w:r>
        <w:rPr>
          <w:rFonts w:hint="eastAsia" w:ascii="宋体" w:hAnsi="宋体"/>
          <w:snapToGrid w:val="0"/>
          <w:color w:val="auto"/>
          <w:kern w:val="0"/>
          <w:sz w:val="24"/>
          <w:highlight w:val="none"/>
        </w:rPr>
        <w:t>附：法定代表人身份证扫描件。</w:t>
      </w:r>
    </w:p>
    <w:p w14:paraId="513C6503">
      <w:pPr>
        <w:wordWrap w:val="0"/>
        <w:spacing w:before="120" w:beforeLines="50" w:after="120" w:afterLines="50" w:line="440" w:lineRule="exact"/>
        <w:ind w:firstLine="480" w:firstLineChars="200"/>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投标人：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 w:val="24"/>
          <w:highlight w:val="none"/>
        </w:rPr>
        <w:t>（盖单位电子章）</w:t>
      </w:r>
    </w:p>
    <w:p w14:paraId="59140077">
      <w:pPr>
        <w:spacing w:line="440" w:lineRule="exact"/>
        <w:ind w:firstLine="4920" w:firstLineChars="2050"/>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29947078">
      <w:pPr>
        <w:spacing w:line="440" w:lineRule="exact"/>
        <w:rPr>
          <w:rFonts w:ascii="宋体" w:hAnsi="宋体"/>
          <w:snapToGrid w:val="0"/>
          <w:color w:val="auto"/>
          <w:kern w:val="0"/>
          <w:sz w:val="24"/>
          <w:highlight w:val="none"/>
        </w:rPr>
      </w:pPr>
    </w:p>
    <w:p w14:paraId="5ADDACA8">
      <w:pPr>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（注：联合体投标，非牵头人方可采用盖章彩色扫描件上传）</w:t>
      </w:r>
    </w:p>
    <w:p w14:paraId="1A34E75C">
      <w:pPr>
        <w:rPr>
          <w:rFonts w:ascii="宋体" w:hAnsi="宋体"/>
          <w:color w:val="auto"/>
          <w:sz w:val="2"/>
          <w:highlight w:val="none"/>
        </w:rPr>
      </w:pPr>
      <w:r>
        <w:rPr>
          <w:rFonts w:ascii="宋体" w:hAnsi="宋体"/>
          <w:snapToGrid w:val="0"/>
          <w:color w:val="auto"/>
          <w:kern w:val="0"/>
          <w:highlight w:val="none"/>
        </w:rPr>
        <w:br w:type="page"/>
      </w:r>
    </w:p>
    <w:p w14:paraId="6EDCD8B5">
      <w:pPr>
        <w:pStyle w:val="92"/>
        <w:outlineLvl w:val="0"/>
        <w:rPr>
          <w:rFonts w:ascii="宋体" w:hAnsi="宋体" w:eastAsia="宋体"/>
          <w:b/>
          <w:snapToGrid w:val="0"/>
          <w:color w:val="auto"/>
          <w:kern w:val="0"/>
          <w:highlight w:val="none"/>
        </w:rPr>
      </w:pPr>
      <w:bookmarkStart w:id="800" w:name="_Toc346269516"/>
      <w:bookmarkStart w:id="801" w:name="_Toc488649940"/>
      <w:r>
        <w:rPr>
          <w:rFonts w:hint="eastAsia" w:ascii="宋体" w:hAnsi="宋体" w:eastAsia="宋体"/>
          <w:b/>
          <w:snapToGrid w:val="0"/>
          <w:color w:val="auto"/>
          <w:kern w:val="0"/>
          <w:highlight w:val="none"/>
        </w:rPr>
        <w:t xml:space="preserve">3. </w:t>
      </w:r>
      <w:r>
        <w:rPr>
          <w:rFonts w:ascii="宋体" w:hAnsi="宋体" w:eastAsia="宋体"/>
          <w:b/>
          <w:snapToGrid w:val="0"/>
          <w:color w:val="auto"/>
          <w:kern w:val="0"/>
          <w:highlight w:val="none"/>
        </w:rPr>
        <w:t>授权委托书</w:t>
      </w:r>
      <w:bookmarkEnd w:id="797"/>
      <w:bookmarkEnd w:id="798"/>
      <w:bookmarkEnd w:id="799"/>
      <w:bookmarkEnd w:id="800"/>
      <w:bookmarkEnd w:id="801"/>
      <w:r>
        <w:rPr>
          <w:rStyle w:val="49"/>
          <w:rFonts w:ascii="宋体" w:hAnsi="宋体" w:eastAsia="宋体"/>
          <w:b/>
          <w:snapToGrid w:val="0"/>
          <w:color w:val="auto"/>
          <w:kern w:val="0"/>
          <w:highlight w:val="none"/>
        </w:rPr>
        <w:footnoteReference w:id="7"/>
      </w:r>
    </w:p>
    <w:p w14:paraId="02A8C398">
      <w:pPr>
        <w:spacing w:line="360" w:lineRule="auto"/>
        <w:jc w:val="center"/>
        <w:rPr>
          <w:rFonts w:ascii="宋体" w:hAnsi="宋体"/>
          <w:b/>
          <w:snapToGrid w:val="0"/>
          <w:color w:val="auto"/>
          <w:kern w:val="0"/>
          <w:sz w:val="24"/>
          <w:highlight w:val="none"/>
        </w:rPr>
      </w:pPr>
      <w:r>
        <w:rPr>
          <w:rFonts w:hint="eastAsia" w:ascii="宋体" w:hAnsi="宋体"/>
          <w:b/>
          <w:snapToGrid w:val="0"/>
          <w:color w:val="auto"/>
          <w:kern w:val="0"/>
          <w:sz w:val="24"/>
          <w:highlight w:val="none"/>
        </w:rPr>
        <w:t>法定代表人</w:t>
      </w:r>
      <w:r>
        <w:rPr>
          <w:rFonts w:ascii="宋体" w:hAnsi="宋体"/>
          <w:b/>
          <w:snapToGrid w:val="0"/>
          <w:color w:val="auto"/>
          <w:kern w:val="0"/>
          <w:sz w:val="24"/>
          <w:highlight w:val="none"/>
        </w:rPr>
        <w:t>的授权委托书</w:t>
      </w:r>
    </w:p>
    <w:p w14:paraId="580CB5FB">
      <w:pPr>
        <w:spacing w:line="360" w:lineRule="auto"/>
        <w:rPr>
          <w:rFonts w:ascii="宋体" w:hAnsi="宋体"/>
          <w:snapToGrid w:val="0"/>
          <w:color w:val="auto"/>
          <w:kern w:val="0"/>
          <w:sz w:val="24"/>
          <w:highlight w:val="none"/>
        </w:rPr>
      </w:pPr>
    </w:p>
    <w:p w14:paraId="78AEB954">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姓名</w:t>
      </w:r>
      <w:r>
        <w:rPr>
          <w:rFonts w:ascii="宋体" w:hAnsi="宋体"/>
          <w:snapToGrid w:val="0"/>
          <w:color w:val="auto"/>
          <w:kern w:val="0"/>
          <w:sz w:val="24"/>
          <w:highlight w:val="none"/>
        </w:rPr>
        <w:t>）</w:t>
      </w:r>
      <w:r>
        <w:rPr>
          <w:rFonts w:hint="eastAsia" w:ascii="宋体" w:hAnsi="宋体"/>
          <w:snapToGrid w:val="0"/>
          <w:color w:val="auto"/>
          <w:kern w:val="0"/>
          <w:sz w:val="24"/>
          <w:highlight w:val="none"/>
        </w:rPr>
        <w:t>系</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投标人名称</w:t>
      </w:r>
      <w:r>
        <w:rPr>
          <w:rFonts w:ascii="宋体" w:hAnsi="宋体"/>
          <w:snapToGrid w:val="0"/>
          <w:color w:val="auto"/>
          <w:kern w:val="0"/>
          <w:sz w:val="24"/>
          <w:highlight w:val="none"/>
        </w:rPr>
        <w:t>）</w:t>
      </w:r>
      <w:r>
        <w:rPr>
          <w:rFonts w:hint="eastAsia" w:ascii="宋体" w:hAnsi="宋体"/>
          <w:snapToGrid w:val="0"/>
          <w:color w:val="auto"/>
          <w:kern w:val="0"/>
          <w:sz w:val="24"/>
          <w:highlight w:val="none"/>
        </w:rPr>
        <w:t>的法定代表人，在此授权</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（单位）（姓名），其身份证号码：</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，作为我方合法授权代表，以我方名义并代表我单位全权处理</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（项目名称）项目投标相关事宜：</w:t>
      </w:r>
    </w:p>
    <w:p w14:paraId="45E8A1CA">
      <w:pPr>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1.</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p>
    <w:p w14:paraId="381FB92D">
      <w:pPr>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2.</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p>
    <w:p w14:paraId="1CC9E604">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本授权书期限自</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日起至</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日止。</w:t>
      </w:r>
    </w:p>
    <w:p w14:paraId="18676C8A">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在此授权范围和期限内，被授权人所实施的行为具有法律效力，授权人予以认可。</w:t>
      </w:r>
    </w:p>
    <w:p w14:paraId="17C38C26">
      <w:pPr>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授权代表无权转让委托权，特此委托。</w:t>
      </w:r>
    </w:p>
    <w:p w14:paraId="5DD997E5">
      <w:pPr>
        <w:spacing w:before="120" w:beforeLines="50" w:after="120" w:afterLines="50" w:line="440" w:lineRule="exact"/>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附：委托代理人身份证扫描件。</w:t>
      </w:r>
    </w:p>
    <w:p w14:paraId="1D5460C7">
      <w:pPr>
        <w:spacing w:line="360" w:lineRule="auto"/>
        <w:rPr>
          <w:rFonts w:ascii="宋体" w:hAnsi="宋体"/>
          <w:snapToGrid w:val="0"/>
          <w:color w:val="auto"/>
          <w:kern w:val="0"/>
          <w:sz w:val="24"/>
          <w:highlight w:val="none"/>
        </w:rPr>
      </w:pPr>
    </w:p>
    <w:p w14:paraId="4BF8C447">
      <w:pPr>
        <w:spacing w:line="360" w:lineRule="auto"/>
        <w:rPr>
          <w:rFonts w:ascii="宋体" w:hAnsi="宋体"/>
          <w:snapToGrid w:val="0"/>
          <w:color w:val="auto"/>
          <w:kern w:val="0"/>
          <w:sz w:val="24"/>
          <w:highlight w:val="none"/>
        </w:rPr>
      </w:pPr>
    </w:p>
    <w:p w14:paraId="30AAF66C">
      <w:pPr>
        <w:wordWrap w:val="0"/>
        <w:spacing w:line="360" w:lineRule="auto"/>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投标人：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p>
    <w:p w14:paraId="0E7B66CF">
      <w:pPr>
        <w:spacing w:line="360" w:lineRule="auto"/>
        <w:ind w:right="593" w:firstLine="3480" w:firstLineChars="145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14:paraId="27F3EA9A">
      <w:pPr>
        <w:spacing w:line="360" w:lineRule="auto"/>
        <w:ind w:right="240"/>
        <w:jc w:val="right"/>
        <w:rPr>
          <w:rFonts w:ascii="宋体" w:hAnsi="宋体"/>
          <w:snapToGrid w:val="0"/>
          <w:color w:val="auto"/>
          <w:kern w:val="0"/>
          <w:sz w:val="24"/>
          <w:highlight w:val="none"/>
          <w:u w:val="single"/>
        </w:rPr>
      </w:pPr>
      <w:r>
        <w:rPr>
          <w:rFonts w:hint="eastAsia" w:ascii="宋体" w:hAnsi="宋体"/>
          <w:snapToGrid w:val="0"/>
          <w:color w:val="auto"/>
          <w:kern w:val="0"/>
          <w:sz w:val="24"/>
          <w:highlight w:val="none"/>
        </w:rPr>
        <w:t>身份证号码：</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p>
    <w:p w14:paraId="3CBC15D7">
      <w:pPr>
        <w:spacing w:line="360" w:lineRule="auto"/>
        <w:ind w:right="120"/>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委托代理人：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14:paraId="285CA620">
      <w:pPr>
        <w:spacing w:line="360" w:lineRule="auto"/>
        <w:ind w:right="240"/>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身份证号码：</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p>
    <w:p w14:paraId="640CE09D">
      <w:pPr>
        <w:spacing w:line="360" w:lineRule="auto"/>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日</w:t>
      </w:r>
    </w:p>
    <w:p w14:paraId="144181EA">
      <w:pPr>
        <w:rPr>
          <w:rFonts w:ascii="宋体" w:hAnsi="宋体"/>
          <w:snapToGrid w:val="0"/>
          <w:color w:val="auto"/>
          <w:kern w:val="0"/>
          <w:highlight w:val="none"/>
        </w:rPr>
      </w:pPr>
    </w:p>
    <w:p w14:paraId="170A69C3">
      <w:pPr>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（注：联合体投标，联合体各方可采用盖章彩色扫描件上传）</w:t>
      </w:r>
    </w:p>
    <w:p w14:paraId="219C5708">
      <w:pPr>
        <w:rPr>
          <w:rFonts w:ascii="宋体" w:hAnsi="宋体"/>
          <w:snapToGrid w:val="0"/>
          <w:color w:val="auto"/>
          <w:kern w:val="0"/>
          <w:highlight w:val="none"/>
        </w:rPr>
      </w:pPr>
    </w:p>
    <w:p w14:paraId="573FCDF5">
      <w:pPr>
        <w:rPr>
          <w:rFonts w:ascii="宋体" w:hAnsi="宋体"/>
          <w:snapToGrid w:val="0"/>
          <w:color w:val="auto"/>
          <w:kern w:val="0"/>
          <w:highlight w:val="none"/>
        </w:rPr>
      </w:pPr>
    </w:p>
    <w:p w14:paraId="293371AF">
      <w:pPr>
        <w:rPr>
          <w:rFonts w:ascii="宋体" w:hAnsi="宋体"/>
          <w:snapToGrid w:val="0"/>
          <w:color w:val="auto"/>
          <w:kern w:val="0"/>
          <w:highlight w:val="none"/>
        </w:rPr>
      </w:pPr>
    </w:p>
    <w:p w14:paraId="562311CD">
      <w:pPr>
        <w:pStyle w:val="92"/>
        <w:outlineLvl w:val="0"/>
        <w:rPr>
          <w:rFonts w:ascii="宋体" w:hAnsi="宋体" w:eastAsia="宋体"/>
          <w:b/>
          <w:snapToGrid w:val="0"/>
          <w:color w:val="auto"/>
          <w:kern w:val="0"/>
          <w:highlight w:val="none"/>
        </w:rPr>
      </w:pPr>
      <w:r>
        <w:rPr>
          <w:rFonts w:ascii="宋体" w:hAnsi="宋体" w:eastAsia="宋体"/>
          <w:snapToGrid w:val="0"/>
          <w:color w:val="auto"/>
          <w:kern w:val="0"/>
          <w:highlight w:val="none"/>
        </w:rPr>
        <w:br w:type="page"/>
      </w:r>
      <w:bookmarkStart w:id="802" w:name="_Toc326241924"/>
      <w:bookmarkStart w:id="803" w:name="_Toc335660939"/>
      <w:bookmarkStart w:id="804" w:name="_Toc346269517"/>
      <w:bookmarkStart w:id="805" w:name="_Toc335722019"/>
      <w:bookmarkStart w:id="806" w:name="_Toc488649941"/>
      <w:r>
        <w:rPr>
          <w:rFonts w:hint="eastAsia" w:ascii="宋体" w:hAnsi="宋体" w:eastAsia="宋体"/>
          <w:b/>
          <w:snapToGrid w:val="0"/>
          <w:color w:val="auto"/>
          <w:kern w:val="0"/>
          <w:highlight w:val="none"/>
        </w:rPr>
        <w:t>4. 联合体协议书</w:t>
      </w:r>
      <w:bookmarkEnd w:id="802"/>
      <w:bookmarkEnd w:id="803"/>
      <w:bookmarkEnd w:id="804"/>
      <w:bookmarkEnd w:id="805"/>
      <w:r>
        <w:rPr>
          <w:rFonts w:hint="eastAsia" w:ascii="宋体" w:hAnsi="宋体" w:eastAsia="宋体"/>
          <w:b/>
          <w:snapToGrid w:val="0"/>
          <w:color w:val="auto"/>
          <w:kern w:val="0"/>
          <w:highlight w:val="none"/>
        </w:rPr>
        <w:t>（如有）</w:t>
      </w:r>
      <w:bookmarkEnd w:id="806"/>
    </w:p>
    <w:p w14:paraId="2344F838">
      <w:pPr>
        <w:spacing w:line="360" w:lineRule="auto"/>
        <w:ind w:firstLine="480" w:firstLineChars="200"/>
        <w:rPr>
          <w:rFonts w:ascii="宋体" w:hAnsi="宋体"/>
          <w:snapToGrid w:val="0"/>
          <w:color w:val="auto"/>
          <w:kern w:val="0"/>
          <w:sz w:val="24"/>
          <w:highlight w:val="none"/>
        </w:rPr>
      </w:pPr>
    </w:p>
    <w:p w14:paraId="56706683">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所有成员单位名称</w:t>
      </w:r>
      <w:r>
        <w:rPr>
          <w:rFonts w:ascii="宋体" w:hAnsi="宋体"/>
          <w:snapToGrid w:val="0"/>
          <w:color w:val="auto"/>
          <w:kern w:val="0"/>
          <w:sz w:val="24"/>
          <w:highlight w:val="none"/>
        </w:rPr>
        <w:t>）</w:t>
      </w:r>
      <w:r>
        <w:rPr>
          <w:rFonts w:hint="eastAsia" w:ascii="宋体" w:hAnsi="宋体"/>
          <w:snapToGrid w:val="0"/>
          <w:color w:val="auto"/>
          <w:kern w:val="0"/>
          <w:sz w:val="24"/>
          <w:highlight w:val="none"/>
        </w:rPr>
        <w:t>自愿组成联合体，共同参加</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项目名称</w:t>
      </w:r>
      <w:r>
        <w:rPr>
          <w:rFonts w:ascii="宋体" w:hAnsi="宋体"/>
          <w:snapToGrid w:val="0"/>
          <w:color w:val="auto"/>
          <w:kern w:val="0"/>
          <w:sz w:val="24"/>
          <w:highlight w:val="none"/>
        </w:rPr>
        <w:t>）</w:t>
      </w:r>
      <w:r>
        <w:rPr>
          <w:rFonts w:hint="eastAsia" w:ascii="宋体" w:hAnsi="宋体"/>
          <w:snapToGrid w:val="0"/>
          <w:color w:val="auto"/>
          <w:kern w:val="0"/>
          <w:sz w:val="24"/>
          <w:highlight w:val="none"/>
        </w:rPr>
        <w:t>勘察设计投标。现就联合体投标事宜订立如下协议。</w:t>
      </w:r>
    </w:p>
    <w:p w14:paraId="7D06BC90">
      <w:pPr>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w:t>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某成员单位名称</w:t>
      </w:r>
      <w:r>
        <w:rPr>
          <w:rFonts w:ascii="宋体" w:hAnsi="宋体"/>
          <w:snapToGrid w:val="0"/>
          <w:color w:val="auto"/>
          <w:kern w:val="0"/>
          <w:sz w:val="24"/>
          <w:highlight w:val="none"/>
        </w:rPr>
        <w:t>）</w:t>
      </w:r>
      <w:r>
        <w:rPr>
          <w:rFonts w:hint="eastAsia" w:ascii="宋体" w:hAnsi="宋体"/>
          <w:snapToGrid w:val="0"/>
          <w:color w:val="auto"/>
          <w:kern w:val="0"/>
          <w:sz w:val="24"/>
          <w:highlight w:val="none"/>
        </w:rPr>
        <w:t>为牵头人。</w:t>
      </w:r>
    </w:p>
    <w:p w14:paraId="58AFF999">
      <w:pPr>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2.</w:t>
      </w:r>
      <w:r>
        <w:rPr>
          <w:rFonts w:hint="eastAsia" w:ascii="宋体" w:hAnsi="宋体"/>
          <w:snapToGrid w:val="0"/>
          <w:color w:val="auto"/>
          <w:kern w:val="0"/>
          <w:sz w:val="24"/>
          <w:highlight w:val="none"/>
        </w:rPr>
        <w:t xml:space="preserve"> 联合体牵头人合法代表联合体各成员负责本招标项目投标文件编制和合同谈判活动，代表联合体提交和接收相关的资料、信息及指示，处理与之有关的一切事务，并负责合同实施阶段的主办、组织和协调工作。</w:t>
      </w:r>
    </w:p>
    <w:p w14:paraId="61594E94">
      <w:pPr>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3.</w:t>
      </w:r>
      <w:r>
        <w:rPr>
          <w:rFonts w:hint="eastAsia" w:ascii="宋体" w:hAnsi="宋体"/>
          <w:snapToGrid w:val="0"/>
          <w:color w:val="auto"/>
          <w:kern w:val="0"/>
          <w:sz w:val="24"/>
          <w:highlight w:val="none"/>
        </w:rPr>
        <w:t xml:space="preserve"> 联合体将严格按照招标文件的各项要求，递交投标文件，履行合同，并对外承担连带责任。</w:t>
      </w:r>
    </w:p>
    <w:p w14:paraId="030CC16A">
      <w:pPr>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4.</w:t>
      </w:r>
      <w:r>
        <w:rPr>
          <w:rFonts w:hint="eastAsia" w:ascii="宋体" w:hAnsi="宋体"/>
          <w:snapToGrid w:val="0"/>
          <w:color w:val="auto"/>
          <w:kern w:val="0"/>
          <w:sz w:val="24"/>
          <w:highlight w:val="none"/>
        </w:rPr>
        <w:t xml:space="preserve"> 联合体牵头人代表联合体签署投标文件，联合体牵头人的所有承诺均认为代表了联合体各成员。</w:t>
      </w:r>
    </w:p>
    <w:p w14:paraId="207C57F6">
      <w:pPr>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5.</w:t>
      </w:r>
      <w:r>
        <w:rPr>
          <w:rFonts w:hint="eastAsia" w:ascii="宋体" w:hAnsi="宋体"/>
          <w:snapToGrid w:val="0"/>
          <w:color w:val="auto"/>
          <w:kern w:val="0"/>
          <w:sz w:val="24"/>
          <w:highlight w:val="none"/>
        </w:rPr>
        <w:t xml:space="preserve"> 联合体各成员单位内部的职责分工如下：</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 xml:space="preserve">。        </w:t>
      </w:r>
    </w:p>
    <w:p w14:paraId="52433DA6">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6</w:t>
      </w:r>
      <w:r>
        <w:rPr>
          <w:rFonts w:ascii="宋体" w:hAnsi="宋体"/>
          <w:snapToGrid w:val="0"/>
          <w:color w:val="auto"/>
          <w:kern w:val="0"/>
          <w:sz w:val="24"/>
          <w:highlight w:val="none"/>
        </w:rPr>
        <w:t>.</w:t>
      </w:r>
      <w:r>
        <w:rPr>
          <w:rFonts w:hint="eastAsia" w:ascii="宋体" w:hAnsi="宋体"/>
          <w:snapToGrid w:val="0"/>
          <w:color w:val="auto"/>
          <w:kern w:val="0"/>
          <w:sz w:val="24"/>
          <w:highlight w:val="none"/>
        </w:rPr>
        <w:t xml:space="preserve"> 本协议书自签署之日起生效，合同履行完毕后自动失效。</w:t>
      </w:r>
    </w:p>
    <w:p w14:paraId="5D433E47">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7</w:t>
      </w:r>
      <w:r>
        <w:rPr>
          <w:rFonts w:ascii="宋体" w:hAnsi="宋体"/>
          <w:snapToGrid w:val="0"/>
          <w:color w:val="auto"/>
          <w:kern w:val="0"/>
          <w:sz w:val="24"/>
          <w:highlight w:val="none"/>
        </w:rPr>
        <w:t>.</w:t>
      </w:r>
      <w:r>
        <w:rPr>
          <w:rFonts w:hint="eastAsia" w:ascii="宋体" w:hAnsi="宋体"/>
          <w:snapToGrid w:val="0"/>
          <w:color w:val="auto"/>
          <w:kern w:val="0"/>
          <w:sz w:val="24"/>
          <w:highlight w:val="none"/>
        </w:rPr>
        <w:t xml:space="preserve"> 本协议书一式</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份，联合体成员和招标人各执一份。</w:t>
      </w:r>
    </w:p>
    <w:p w14:paraId="2392A0F4">
      <w:pPr>
        <w:spacing w:line="360" w:lineRule="auto"/>
        <w:ind w:firstLine="480" w:firstLineChars="200"/>
        <w:rPr>
          <w:rFonts w:ascii="宋体" w:hAnsi="宋体"/>
          <w:snapToGrid w:val="0"/>
          <w:color w:val="auto"/>
          <w:kern w:val="0"/>
          <w:sz w:val="24"/>
          <w:highlight w:val="none"/>
        </w:rPr>
      </w:pPr>
    </w:p>
    <w:p w14:paraId="10BB3893">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牵头人名称：</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p>
    <w:p w14:paraId="2268BB8A">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14:paraId="63819B0C">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成员一名称：</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p>
    <w:p w14:paraId="3F5F9476">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14:paraId="01BDB49C">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成员二名称：</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全称并盖章</w:t>
      </w:r>
      <w:r>
        <w:rPr>
          <w:rFonts w:ascii="宋体" w:hAnsi="宋体"/>
          <w:snapToGrid w:val="0"/>
          <w:color w:val="auto"/>
          <w:kern w:val="0"/>
          <w:sz w:val="24"/>
          <w:highlight w:val="none"/>
        </w:rPr>
        <w:t>）</w:t>
      </w:r>
    </w:p>
    <w:p w14:paraId="09148879">
      <w:pPr>
        <w:spacing w:line="360" w:lineRule="auto"/>
        <w:ind w:firstLine="2834" w:firstLineChars="1181"/>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签字</w:t>
      </w:r>
      <w:r>
        <w:rPr>
          <w:rFonts w:ascii="宋体" w:hAnsi="宋体"/>
          <w:snapToGrid w:val="0"/>
          <w:color w:val="auto"/>
          <w:kern w:val="0"/>
          <w:sz w:val="24"/>
          <w:highlight w:val="none"/>
        </w:rPr>
        <w:t>）</w:t>
      </w:r>
    </w:p>
    <w:p w14:paraId="3090BD73">
      <w:pPr>
        <w:spacing w:line="360" w:lineRule="auto"/>
        <w:ind w:firstLine="2834" w:firstLineChars="1181"/>
        <w:rPr>
          <w:rFonts w:ascii="宋体" w:hAnsi="宋体"/>
          <w:snapToGrid w:val="0"/>
          <w:color w:val="auto"/>
          <w:kern w:val="0"/>
          <w:sz w:val="24"/>
          <w:highlight w:val="none"/>
        </w:rPr>
      </w:pPr>
      <w:r>
        <w:rPr>
          <w:rFonts w:ascii="宋体" w:hAnsi="宋体"/>
          <w:snapToGrid w:val="0"/>
          <w:color w:val="auto"/>
          <w:kern w:val="0"/>
          <w:sz w:val="24"/>
          <w:highlight w:val="none"/>
        </w:rPr>
        <w:t>……………</w:t>
      </w:r>
    </w:p>
    <w:p w14:paraId="7CA75492">
      <w:pPr>
        <w:spacing w:line="360" w:lineRule="auto"/>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日期：</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年</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月</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rPr>
        <w:t>日</w:t>
      </w:r>
    </w:p>
    <w:p w14:paraId="107AC161">
      <w:pPr>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（注：可采用彩色扫描件上传）</w:t>
      </w:r>
    </w:p>
    <w:p w14:paraId="21E653FB">
      <w:pPr>
        <w:spacing w:line="360" w:lineRule="auto"/>
        <w:ind w:firstLine="4677" w:firstLineChars="1949"/>
        <w:rPr>
          <w:rFonts w:ascii="宋体" w:hAnsi="宋体"/>
          <w:snapToGrid w:val="0"/>
          <w:color w:val="auto"/>
          <w:kern w:val="0"/>
          <w:sz w:val="24"/>
          <w:highlight w:val="none"/>
        </w:rPr>
      </w:pPr>
    </w:p>
    <w:p w14:paraId="22C8117A">
      <w:pPr>
        <w:pStyle w:val="92"/>
        <w:outlineLvl w:val="0"/>
        <w:rPr>
          <w:rFonts w:ascii="宋体" w:hAnsi="宋体" w:eastAsia="宋体"/>
          <w:b/>
          <w:snapToGrid w:val="0"/>
          <w:color w:val="auto"/>
          <w:kern w:val="0"/>
          <w:highlight w:val="none"/>
        </w:rPr>
      </w:pPr>
      <w:r>
        <w:rPr>
          <w:rFonts w:ascii="宋体" w:hAnsi="宋体" w:eastAsia="宋体"/>
          <w:snapToGrid w:val="0"/>
          <w:color w:val="auto"/>
          <w:kern w:val="0"/>
          <w:highlight w:val="none"/>
        </w:rPr>
        <w:br w:type="page"/>
      </w:r>
      <w:bookmarkStart w:id="807" w:name="_Toc335660940"/>
      <w:bookmarkStart w:id="808" w:name="_Toc346269518"/>
      <w:bookmarkStart w:id="809" w:name="_Toc488649942"/>
      <w:bookmarkStart w:id="810" w:name="_Toc335722020"/>
      <w:bookmarkStart w:id="811" w:name="_Toc326241925"/>
      <w:r>
        <w:rPr>
          <w:rFonts w:hint="eastAsia" w:ascii="宋体" w:hAnsi="宋体" w:eastAsia="宋体"/>
          <w:b/>
          <w:snapToGrid w:val="0"/>
          <w:color w:val="auto"/>
          <w:kern w:val="0"/>
          <w:highlight w:val="none"/>
        </w:rPr>
        <w:t>5. 投标保证金</w:t>
      </w:r>
      <w:bookmarkEnd w:id="807"/>
      <w:bookmarkEnd w:id="808"/>
      <w:bookmarkEnd w:id="809"/>
      <w:bookmarkEnd w:id="810"/>
      <w:bookmarkEnd w:id="811"/>
      <w:r>
        <w:rPr>
          <w:rStyle w:val="49"/>
          <w:rFonts w:hint="eastAsia" w:ascii="宋体" w:hAnsi="宋体" w:eastAsia="宋体"/>
          <w:b/>
          <w:snapToGrid w:val="0"/>
          <w:color w:val="auto"/>
          <w:kern w:val="0"/>
          <w:highlight w:val="none"/>
        </w:rPr>
        <w:footnoteReference w:id="8"/>
      </w:r>
    </w:p>
    <w:p w14:paraId="37D01A75">
      <w:pPr>
        <w:jc w:val="center"/>
        <w:rPr>
          <w:rFonts w:ascii="宋体" w:hAnsi="宋体"/>
          <w:snapToGrid w:val="0"/>
          <w:color w:val="auto"/>
          <w:kern w:val="0"/>
          <w:sz w:val="24"/>
          <w:highlight w:val="none"/>
        </w:rPr>
      </w:pPr>
    </w:p>
    <w:p w14:paraId="1EC40F72">
      <w:pPr>
        <w:wordWrap w:val="0"/>
        <w:spacing w:before="240" w:beforeLines="100" w:line="300" w:lineRule="auto"/>
        <w:jc w:val="center"/>
        <w:rPr>
          <w:rFonts w:eastAsia="黑体"/>
          <w:bCs/>
          <w:color w:val="auto"/>
          <w:kern w:val="44"/>
          <w:sz w:val="28"/>
          <w:szCs w:val="28"/>
          <w:highlight w:val="none"/>
          <w:shd w:val="clear" w:color="auto" w:fill="auto"/>
        </w:rPr>
      </w:pPr>
      <w:bookmarkStart w:id="812" w:name="_Toc838584650_WPSOffice_Level2"/>
      <w:r>
        <w:rPr>
          <w:rFonts w:hint="eastAsia" w:eastAsia="黑体"/>
          <w:bCs/>
          <w:color w:val="auto"/>
          <w:kern w:val="44"/>
          <w:sz w:val="28"/>
          <w:szCs w:val="28"/>
          <w:highlight w:val="none"/>
          <w:shd w:val="clear" w:color="auto" w:fill="auto"/>
        </w:rPr>
        <w:t>（</w:t>
      </w:r>
      <w:r>
        <w:rPr>
          <w:rFonts w:hint="eastAsia" w:eastAsia="黑体"/>
          <w:bCs/>
          <w:color w:val="auto"/>
          <w:kern w:val="44"/>
          <w:sz w:val="28"/>
          <w:szCs w:val="28"/>
          <w:highlight w:val="none"/>
          <w:shd w:val="clear" w:color="auto" w:fill="auto"/>
          <w:lang w:val="en-US" w:eastAsia="zh-CN"/>
        </w:rPr>
        <w:t>1</w:t>
      </w:r>
      <w:r>
        <w:rPr>
          <w:rFonts w:hint="eastAsia" w:eastAsia="黑体"/>
          <w:bCs/>
          <w:color w:val="auto"/>
          <w:kern w:val="44"/>
          <w:sz w:val="28"/>
          <w:szCs w:val="28"/>
          <w:highlight w:val="none"/>
          <w:shd w:val="clear" w:color="auto" w:fill="auto"/>
        </w:rPr>
        <w:t>）投标保证金</w:t>
      </w:r>
      <w:bookmarkEnd w:id="812"/>
      <w:r>
        <w:rPr>
          <w:rFonts w:hint="eastAsia" w:eastAsia="黑体"/>
          <w:bCs/>
          <w:color w:val="auto"/>
          <w:kern w:val="44"/>
          <w:sz w:val="28"/>
          <w:szCs w:val="28"/>
          <w:highlight w:val="none"/>
          <w:shd w:val="clear" w:color="auto" w:fill="auto"/>
          <w:lang w:val="en-US" w:eastAsia="zh-CN"/>
        </w:rPr>
        <w:t>凭证</w:t>
      </w:r>
    </w:p>
    <w:p w14:paraId="462232AB">
      <w:pPr>
        <w:jc w:val="center"/>
        <w:rPr>
          <w:color w:val="auto"/>
          <w:sz w:val="24"/>
          <w:highlight w:val="none"/>
        </w:rPr>
      </w:pPr>
    </w:p>
    <w:p w14:paraId="59A1BAE6">
      <w:pPr>
        <w:spacing w:line="400" w:lineRule="exact"/>
        <w:ind w:firstLine="480" w:firstLineChars="200"/>
        <w:jc w:val="center"/>
        <w:rPr>
          <w:color w:val="auto"/>
          <w:sz w:val="24"/>
          <w:highlight w:val="none"/>
        </w:rPr>
      </w:pPr>
      <w:r>
        <w:rPr>
          <w:rFonts w:hint="eastAsia"/>
          <w:color w:val="auto"/>
          <w:sz w:val="24"/>
          <w:highlight w:val="none"/>
          <w:shd w:val="clear" w:color="auto" w:fill="auto"/>
        </w:rPr>
        <w:t>（上传转账、电汇单据的扫描件）</w:t>
      </w:r>
    </w:p>
    <w:p w14:paraId="06288D45">
      <w:pPr>
        <w:pStyle w:val="92"/>
        <w:outlineLvl w:val="0"/>
        <w:rPr>
          <w:rFonts w:ascii="宋体" w:hAnsi="宋体"/>
          <w:snapToGrid w:val="0"/>
          <w:color w:val="auto"/>
          <w:kern w:val="0"/>
          <w:sz w:val="24"/>
          <w:highlight w:val="none"/>
        </w:rPr>
      </w:pPr>
    </w:p>
    <w:p w14:paraId="48E7B18A">
      <w:pPr>
        <w:pStyle w:val="92"/>
        <w:outlineLvl w:val="0"/>
        <w:rPr>
          <w:rFonts w:ascii="宋体" w:hAnsi="宋体"/>
          <w:snapToGrid w:val="0"/>
          <w:color w:val="auto"/>
          <w:kern w:val="0"/>
          <w:sz w:val="24"/>
          <w:highlight w:val="none"/>
        </w:rPr>
      </w:pPr>
    </w:p>
    <w:p w14:paraId="7D1CB308">
      <w:pPr>
        <w:pStyle w:val="92"/>
        <w:outlineLvl w:val="0"/>
        <w:rPr>
          <w:rFonts w:ascii="宋体" w:hAnsi="宋体"/>
          <w:snapToGrid w:val="0"/>
          <w:color w:val="auto"/>
          <w:kern w:val="0"/>
          <w:sz w:val="24"/>
          <w:highlight w:val="none"/>
        </w:rPr>
      </w:pPr>
    </w:p>
    <w:p w14:paraId="79824570">
      <w:pPr>
        <w:pStyle w:val="92"/>
        <w:outlineLvl w:val="0"/>
        <w:rPr>
          <w:rFonts w:ascii="宋体" w:hAnsi="宋体"/>
          <w:snapToGrid w:val="0"/>
          <w:color w:val="auto"/>
          <w:kern w:val="0"/>
          <w:sz w:val="24"/>
          <w:highlight w:val="none"/>
        </w:rPr>
      </w:pPr>
    </w:p>
    <w:p w14:paraId="5CBE3B3F">
      <w:pPr>
        <w:pStyle w:val="92"/>
        <w:outlineLvl w:val="0"/>
        <w:rPr>
          <w:rFonts w:ascii="宋体" w:hAnsi="宋体"/>
          <w:snapToGrid w:val="0"/>
          <w:color w:val="auto"/>
          <w:kern w:val="0"/>
          <w:sz w:val="24"/>
          <w:highlight w:val="none"/>
        </w:rPr>
      </w:pPr>
    </w:p>
    <w:p w14:paraId="11AFFF8C">
      <w:pPr>
        <w:pStyle w:val="92"/>
        <w:outlineLvl w:val="0"/>
        <w:rPr>
          <w:rFonts w:ascii="宋体" w:hAnsi="宋体"/>
          <w:snapToGrid w:val="0"/>
          <w:color w:val="auto"/>
          <w:kern w:val="0"/>
          <w:sz w:val="24"/>
          <w:highlight w:val="none"/>
        </w:rPr>
      </w:pPr>
    </w:p>
    <w:p w14:paraId="139A19A3">
      <w:pPr>
        <w:pStyle w:val="92"/>
        <w:outlineLvl w:val="0"/>
        <w:rPr>
          <w:rFonts w:ascii="宋体" w:hAnsi="宋体"/>
          <w:snapToGrid w:val="0"/>
          <w:color w:val="auto"/>
          <w:kern w:val="0"/>
          <w:sz w:val="24"/>
          <w:highlight w:val="none"/>
        </w:rPr>
      </w:pPr>
    </w:p>
    <w:p w14:paraId="7E14F7F0">
      <w:pPr>
        <w:pStyle w:val="92"/>
        <w:outlineLvl w:val="0"/>
        <w:rPr>
          <w:rFonts w:ascii="宋体" w:hAnsi="宋体"/>
          <w:snapToGrid w:val="0"/>
          <w:color w:val="auto"/>
          <w:kern w:val="0"/>
          <w:sz w:val="24"/>
          <w:highlight w:val="none"/>
        </w:rPr>
      </w:pPr>
    </w:p>
    <w:p w14:paraId="5BCFA081">
      <w:pPr>
        <w:pStyle w:val="92"/>
        <w:jc w:val="left"/>
        <w:outlineLvl w:val="0"/>
        <w:rPr>
          <w:rFonts w:ascii="宋体" w:hAnsi="宋体" w:eastAsia="宋体" w:cs="宋体"/>
          <w:color w:val="auto"/>
          <w:highlight w:val="none"/>
        </w:rPr>
      </w:pPr>
    </w:p>
    <w:p w14:paraId="6C9A310E">
      <w:pPr>
        <w:jc w:val="left"/>
        <w:outlineLvl w:val="0"/>
        <w:rPr>
          <w:rFonts w:ascii="宋体" w:hAnsi="宋体" w:cs="宋体"/>
          <w:color w:val="auto"/>
          <w:highlight w:val="none"/>
        </w:rPr>
      </w:pPr>
      <w:r>
        <w:rPr>
          <w:rFonts w:hint="eastAsia" w:ascii="宋体" w:hAnsi="宋体" w:cs="宋体"/>
          <w:color w:val="auto"/>
          <w:highlight w:val="none"/>
        </w:rPr>
        <w:br w:type="page"/>
      </w:r>
    </w:p>
    <w:p w14:paraId="543793AD">
      <w:pPr>
        <w:jc w:val="left"/>
        <w:rPr>
          <w:rFonts w:ascii="黑体" w:hAnsi="黑体" w:eastAsia="黑体"/>
          <w:color w:val="auto"/>
          <w:kern w:val="1"/>
          <w:highlight w:val="none"/>
        </w:rPr>
        <w:sectPr>
          <w:pgSz w:w="11910" w:h="16840"/>
          <w:pgMar w:top="1928" w:right="1587" w:bottom="1928" w:left="1587" w:header="0" w:footer="982" w:gutter="0"/>
          <w:cols w:space="720" w:num="1"/>
        </w:sectPr>
      </w:pPr>
    </w:p>
    <w:p w14:paraId="315CA38D">
      <w:pPr>
        <w:numPr>
          <w:ilvl w:val="0"/>
          <w:numId w:val="0"/>
        </w:numPr>
        <w:spacing w:line="360" w:lineRule="auto"/>
        <w:jc w:val="center"/>
        <w:rPr>
          <w:rFonts w:hint="eastAsia" w:eastAsia="黑体"/>
          <w:bCs/>
          <w:color w:val="auto"/>
          <w:kern w:val="44"/>
          <w:sz w:val="28"/>
          <w:szCs w:val="28"/>
          <w:highlight w:val="none"/>
          <w:shd w:val="clear" w:color="auto" w:fill="auto"/>
        </w:rPr>
      </w:pPr>
      <w:r>
        <w:rPr>
          <w:rFonts w:hint="eastAsia" w:eastAsia="黑体"/>
          <w:bCs/>
          <w:color w:val="auto"/>
          <w:kern w:val="44"/>
          <w:sz w:val="28"/>
          <w:szCs w:val="28"/>
          <w:highlight w:val="none"/>
          <w:shd w:val="clear" w:color="auto" w:fill="auto"/>
          <w:lang w:eastAsia="zh-CN"/>
        </w:rPr>
        <w:t>（</w:t>
      </w:r>
      <w:r>
        <w:rPr>
          <w:rFonts w:hint="eastAsia" w:eastAsia="黑体"/>
          <w:bCs/>
          <w:color w:val="auto"/>
          <w:kern w:val="44"/>
          <w:sz w:val="28"/>
          <w:szCs w:val="28"/>
          <w:highlight w:val="none"/>
          <w:shd w:val="clear" w:color="auto" w:fill="auto"/>
          <w:lang w:val="en-US" w:eastAsia="zh-CN"/>
        </w:rPr>
        <w:t>2</w:t>
      </w:r>
      <w:r>
        <w:rPr>
          <w:rFonts w:hint="eastAsia" w:eastAsia="黑体"/>
          <w:bCs/>
          <w:color w:val="auto"/>
          <w:kern w:val="44"/>
          <w:sz w:val="28"/>
          <w:szCs w:val="28"/>
          <w:highlight w:val="none"/>
          <w:shd w:val="clear" w:color="auto" w:fill="auto"/>
          <w:lang w:eastAsia="zh-CN"/>
        </w:rPr>
        <w:t>）</w:t>
      </w:r>
      <w:r>
        <w:rPr>
          <w:rFonts w:hint="eastAsia" w:eastAsia="黑体"/>
          <w:bCs/>
          <w:color w:val="auto"/>
          <w:kern w:val="44"/>
          <w:sz w:val="28"/>
          <w:szCs w:val="28"/>
          <w:highlight w:val="none"/>
          <w:shd w:val="clear" w:color="auto" w:fill="auto"/>
        </w:rPr>
        <w:t>投标保函（独立保函）</w:t>
      </w:r>
      <w:r>
        <w:rPr>
          <w:rFonts w:hint="eastAsia" w:eastAsia="黑体"/>
          <w:bCs/>
          <w:color w:val="auto"/>
          <w:kern w:val="44"/>
          <w:sz w:val="28"/>
          <w:szCs w:val="28"/>
          <w:highlight w:val="none"/>
          <w:shd w:val="clear" w:color="auto" w:fill="auto"/>
          <w:lang w:eastAsia="zh-CN"/>
        </w:rPr>
        <w:t>（</w:t>
      </w:r>
      <w:r>
        <w:rPr>
          <w:rFonts w:hint="eastAsia" w:eastAsia="黑体"/>
          <w:bCs/>
          <w:color w:val="auto"/>
          <w:kern w:val="44"/>
          <w:sz w:val="28"/>
          <w:szCs w:val="28"/>
          <w:highlight w:val="none"/>
          <w:shd w:val="clear" w:color="auto" w:fill="auto"/>
          <w:lang w:val="en-US" w:eastAsia="zh-CN"/>
        </w:rPr>
        <w:t>如有</w:t>
      </w:r>
      <w:r>
        <w:rPr>
          <w:rFonts w:hint="eastAsia" w:eastAsia="黑体"/>
          <w:bCs/>
          <w:color w:val="auto"/>
          <w:kern w:val="44"/>
          <w:sz w:val="28"/>
          <w:szCs w:val="28"/>
          <w:highlight w:val="none"/>
          <w:shd w:val="clear" w:color="auto" w:fill="auto"/>
          <w:lang w:eastAsia="zh-CN"/>
        </w:rPr>
        <w:t>）</w:t>
      </w:r>
    </w:p>
    <w:p w14:paraId="3BA3956B">
      <w:pPr>
        <w:pStyle w:val="41"/>
        <w:ind w:left="0" w:leftChars="0" w:firstLine="0" w:firstLineChars="0"/>
        <w:jc w:val="left"/>
        <w:rPr>
          <w:rFonts w:hint="eastAsia" w:ascii="黑体" w:hAnsi="黑体" w:eastAsia="黑体"/>
          <w:color w:val="auto"/>
          <w:highlight w:val="none"/>
        </w:rPr>
        <w:sectPr>
          <w:pgSz w:w="11910" w:h="16840"/>
          <w:pgMar w:top="1600" w:right="520" w:bottom="1180" w:left="820" w:header="0" w:footer="982" w:gutter="0"/>
          <w:cols w:space="720" w:num="1"/>
        </w:sectPr>
      </w:pPr>
    </w:p>
    <w:p w14:paraId="2A2648C4">
      <w:pPr>
        <w:numPr>
          <w:ilvl w:val="0"/>
          <w:numId w:val="0"/>
        </w:numPr>
        <w:spacing w:line="360" w:lineRule="auto"/>
        <w:jc w:val="center"/>
        <w:rPr>
          <w:rFonts w:hint="eastAsia" w:eastAsia="黑体" w:cs="Times New Roman"/>
          <w:bCs/>
          <w:color w:val="auto"/>
          <w:kern w:val="44"/>
          <w:sz w:val="28"/>
          <w:szCs w:val="28"/>
          <w:highlight w:val="none"/>
          <w:shd w:val="clear" w:color="auto" w:fill="auto"/>
        </w:rPr>
      </w:pPr>
      <w:r>
        <w:rPr>
          <w:rFonts w:hint="eastAsia" w:eastAsia="黑体" w:cs="Times New Roman"/>
          <w:bCs/>
          <w:color w:val="auto"/>
          <w:kern w:val="44"/>
          <w:sz w:val="28"/>
          <w:szCs w:val="28"/>
          <w:highlight w:val="none"/>
          <w:shd w:val="clear" w:color="auto" w:fill="auto"/>
          <w:lang w:eastAsia="zh-CN"/>
        </w:rPr>
        <w:t>（</w:t>
      </w:r>
      <w:r>
        <w:rPr>
          <w:rFonts w:hint="eastAsia" w:eastAsia="黑体" w:cs="Times New Roman"/>
          <w:bCs/>
          <w:color w:val="auto"/>
          <w:kern w:val="44"/>
          <w:sz w:val="28"/>
          <w:szCs w:val="28"/>
          <w:highlight w:val="none"/>
          <w:shd w:val="clear" w:color="auto" w:fill="auto"/>
          <w:lang w:val="en-US" w:eastAsia="zh-CN"/>
        </w:rPr>
        <w:t>3</w:t>
      </w:r>
      <w:r>
        <w:rPr>
          <w:rFonts w:hint="eastAsia" w:eastAsia="黑体" w:cs="Times New Roman"/>
          <w:bCs/>
          <w:color w:val="auto"/>
          <w:kern w:val="44"/>
          <w:sz w:val="28"/>
          <w:szCs w:val="28"/>
          <w:highlight w:val="none"/>
          <w:shd w:val="clear" w:color="auto" w:fill="auto"/>
          <w:lang w:eastAsia="zh-CN"/>
        </w:rPr>
        <w:t>）</w:t>
      </w:r>
      <w:r>
        <w:rPr>
          <w:rFonts w:hint="eastAsia" w:eastAsia="黑体" w:cs="Times New Roman"/>
          <w:bCs/>
          <w:color w:val="auto"/>
          <w:kern w:val="44"/>
          <w:sz w:val="28"/>
          <w:szCs w:val="28"/>
          <w:highlight w:val="none"/>
          <w:shd w:val="clear" w:color="auto" w:fill="auto"/>
        </w:rPr>
        <w:t>免缴投标保证金承诺函</w:t>
      </w:r>
    </w:p>
    <w:p w14:paraId="5E2AC423">
      <w:pPr>
        <w:adjustRightInd w:val="0"/>
        <w:spacing w:line="360" w:lineRule="auto"/>
        <w:jc w:val="center"/>
        <w:textAlignment w:val="baseline"/>
        <w:rPr>
          <w:rFonts w:ascii="黑体" w:hAnsi="黑体" w:eastAsia="黑体"/>
          <w:color w:val="auto"/>
          <w:kern w:val="1"/>
          <w:highlight w:val="none"/>
        </w:rPr>
      </w:pPr>
      <w:r>
        <w:rPr>
          <w:rFonts w:hint="eastAsia" w:ascii="黑体" w:hAnsi="黑体" w:eastAsia="黑体"/>
          <w:color w:val="auto"/>
          <w:kern w:val="1"/>
          <w:highlight w:val="none"/>
        </w:rPr>
        <w:t>免缴投标保证金承诺函</w:t>
      </w:r>
    </w:p>
    <w:p w14:paraId="112521CE">
      <w:pPr>
        <w:widowControl/>
        <w:adjustRightInd w:val="0"/>
        <w:spacing w:line="360" w:lineRule="auto"/>
        <w:jc w:val="left"/>
        <w:textAlignment w:val="bottom"/>
        <w:rPr>
          <w:rFonts w:cs="宋体"/>
          <w:color w:val="auto"/>
          <w:szCs w:val="21"/>
          <w:highlight w:val="none"/>
        </w:rPr>
      </w:pPr>
      <w:r>
        <w:rPr>
          <w:rFonts w:hint="eastAsia" w:cs="宋体"/>
          <w:color w:val="auto"/>
          <w:szCs w:val="21"/>
          <w:highlight w:val="none"/>
          <w:u w:val="single"/>
        </w:rPr>
        <w:t xml:space="preserve">                         （招标人名称）</w:t>
      </w:r>
      <w:r>
        <w:rPr>
          <w:rFonts w:hint="eastAsia" w:cs="宋体"/>
          <w:color w:val="auto"/>
          <w:szCs w:val="21"/>
          <w:highlight w:val="none"/>
        </w:rPr>
        <w:t>：</w:t>
      </w:r>
    </w:p>
    <w:p w14:paraId="525A7534">
      <w:pPr>
        <w:widowControl/>
        <w:adjustRightInd w:val="0"/>
        <w:spacing w:line="360" w:lineRule="auto"/>
        <w:ind w:firstLine="480"/>
        <w:jc w:val="left"/>
        <w:textAlignment w:val="bottom"/>
        <w:rPr>
          <w:color w:val="auto"/>
          <w:szCs w:val="21"/>
          <w:highlight w:val="none"/>
        </w:rPr>
      </w:pPr>
      <w:r>
        <w:rPr>
          <w:rFonts w:hint="eastAsia" w:cs="宋体"/>
          <w:color w:val="auto"/>
          <w:szCs w:val="21"/>
          <w:highlight w:val="none"/>
        </w:rPr>
        <w:t>我司参加</w:t>
      </w:r>
      <w:r>
        <w:rPr>
          <w:rFonts w:hint="eastAsia" w:cs="宋体"/>
          <w:color w:val="auto"/>
          <w:szCs w:val="21"/>
          <w:highlight w:val="none"/>
          <w:u w:val="single"/>
        </w:rPr>
        <w:t xml:space="preserve">                        （招标项目名称及标段）   </w:t>
      </w:r>
      <w:r>
        <w:rPr>
          <w:rFonts w:hint="eastAsia" w:cs="宋体"/>
          <w:color w:val="auto"/>
          <w:szCs w:val="21"/>
          <w:highlight w:val="none"/>
        </w:rPr>
        <w:t>投标活动，符合招标文件规定的允许免缴投标保证金第</w:t>
      </w:r>
      <w:r>
        <w:rPr>
          <w:rFonts w:hint="eastAsia" w:cs="宋体"/>
          <w:color w:val="auto"/>
          <w:szCs w:val="21"/>
          <w:highlight w:val="none"/>
          <w:u w:val="single"/>
        </w:rPr>
        <w:t xml:space="preserve">         </w:t>
      </w:r>
      <w:r>
        <w:rPr>
          <w:rFonts w:hint="eastAsia" w:cs="宋体"/>
          <w:color w:val="auto"/>
          <w:szCs w:val="21"/>
          <w:highlight w:val="none"/>
        </w:rPr>
        <w:t>种情形，现免缴投标保证金参与投标。我司承诺按照招</w:t>
      </w:r>
      <w:r>
        <w:rPr>
          <w:rFonts w:hint="eastAsia"/>
          <w:color w:val="auto"/>
          <w:szCs w:val="21"/>
          <w:highlight w:val="none"/>
        </w:rPr>
        <w:t>标文件要求依法履行投标人义务。若我司存在下列任何一种事实的，收到你方书面通知，我司在7日内无条件地向你方全额付清本招标文件规定的投标保证金金额。</w:t>
      </w:r>
    </w:p>
    <w:p w14:paraId="0159B8D1">
      <w:pPr>
        <w:spacing w:line="360" w:lineRule="auto"/>
        <w:ind w:left="480"/>
        <w:rPr>
          <w:color w:val="auto"/>
          <w:szCs w:val="21"/>
          <w:highlight w:val="none"/>
        </w:rPr>
      </w:pPr>
      <w:r>
        <w:rPr>
          <w:rFonts w:hint="eastAsia"/>
          <w:color w:val="auto"/>
          <w:szCs w:val="21"/>
          <w:highlight w:val="none"/>
        </w:rPr>
        <w:t>（1）投标人在投标有效期内撤销其投标文件。</w:t>
      </w:r>
      <w:r>
        <w:rPr>
          <w:color w:val="auto"/>
          <w:szCs w:val="21"/>
          <w:highlight w:val="none"/>
        </w:rPr>
        <w:t xml:space="preserve"> </w:t>
      </w:r>
    </w:p>
    <w:p w14:paraId="799D9EF2">
      <w:pPr>
        <w:spacing w:line="360" w:lineRule="auto"/>
        <w:ind w:firstLine="480"/>
        <w:rPr>
          <w:color w:val="auto"/>
          <w:szCs w:val="21"/>
          <w:highlight w:val="none"/>
        </w:rPr>
      </w:pPr>
      <w:r>
        <w:rPr>
          <w:rFonts w:hint="eastAsia"/>
          <w:color w:val="auto"/>
          <w:szCs w:val="21"/>
          <w:highlight w:val="none"/>
        </w:rPr>
        <w:t>（2）中标人无正当理由不与招标人订立合同，在签订合同时向贵方提出附加条件，或者不按照招标文件要求提交履约保证金。</w:t>
      </w:r>
      <w:r>
        <w:rPr>
          <w:color w:val="auto"/>
          <w:szCs w:val="21"/>
          <w:highlight w:val="none"/>
        </w:rPr>
        <w:t xml:space="preserve"> </w:t>
      </w:r>
    </w:p>
    <w:p w14:paraId="169DAAD4">
      <w:pPr>
        <w:tabs>
          <w:tab w:val="left" w:pos="800"/>
          <w:tab w:val="left" w:pos="1134"/>
        </w:tabs>
        <w:spacing w:line="360" w:lineRule="auto"/>
        <w:ind w:left="-210" w:leftChars="-100" w:firstLine="735" w:firstLineChars="350"/>
        <w:rPr>
          <w:color w:val="auto"/>
          <w:szCs w:val="21"/>
          <w:highlight w:val="none"/>
        </w:rPr>
      </w:pPr>
      <w:r>
        <w:rPr>
          <w:rFonts w:hint="eastAsia"/>
          <w:color w:val="auto"/>
          <w:szCs w:val="21"/>
          <w:highlight w:val="none"/>
        </w:rPr>
        <w:t>（3）投标人的投标文件存在雷同情形；</w:t>
      </w:r>
    </w:p>
    <w:p w14:paraId="3C536321">
      <w:pPr>
        <w:tabs>
          <w:tab w:val="left" w:pos="800"/>
          <w:tab w:val="left" w:pos="1134"/>
        </w:tabs>
        <w:spacing w:line="360" w:lineRule="auto"/>
        <w:ind w:left="-210" w:leftChars="-100" w:firstLine="735" w:firstLineChars="350"/>
        <w:rPr>
          <w:color w:val="auto"/>
          <w:szCs w:val="21"/>
          <w:highlight w:val="none"/>
        </w:rPr>
      </w:pPr>
      <w:r>
        <w:rPr>
          <w:rFonts w:hint="eastAsia"/>
          <w:color w:val="auto"/>
          <w:szCs w:val="21"/>
          <w:highlight w:val="none"/>
        </w:rPr>
        <w:t>（4）因中标人的违法行为导致中标被依法确认无效；</w:t>
      </w:r>
    </w:p>
    <w:p w14:paraId="06B895B7">
      <w:pPr>
        <w:spacing w:line="360" w:lineRule="auto"/>
        <w:ind w:firstLine="420" w:firstLineChars="200"/>
        <w:rPr>
          <w:color w:val="auto"/>
          <w:szCs w:val="21"/>
          <w:highlight w:val="none"/>
        </w:rPr>
      </w:pPr>
      <w:r>
        <w:rPr>
          <w:rFonts w:hint="eastAsia"/>
          <w:color w:val="auto"/>
          <w:szCs w:val="21"/>
          <w:highlight w:val="none"/>
        </w:rPr>
        <w:t>（5）法律、法规规定的其他情形。</w:t>
      </w:r>
    </w:p>
    <w:p w14:paraId="547B6B44">
      <w:pPr>
        <w:adjustRightInd w:val="0"/>
        <w:spacing w:line="360" w:lineRule="auto"/>
        <w:textAlignment w:val="baseline"/>
        <w:rPr>
          <w:rFonts w:cs="宋体"/>
          <w:b/>
          <w:bCs/>
          <w:color w:val="auto"/>
          <w:szCs w:val="21"/>
          <w:highlight w:val="none"/>
        </w:rPr>
      </w:pPr>
    </w:p>
    <w:p w14:paraId="290BF2FF">
      <w:pPr>
        <w:widowControl/>
        <w:tabs>
          <w:tab w:val="left" w:pos="0"/>
          <w:tab w:val="left" w:pos="993"/>
          <w:tab w:val="left" w:pos="1134"/>
        </w:tabs>
        <w:spacing w:line="360" w:lineRule="auto"/>
        <w:ind w:firstLine="422" w:firstLineChars="200"/>
        <w:rPr>
          <w:rFonts w:cs="宋体"/>
          <w:b/>
          <w:bCs/>
          <w:color w:val="auto"/>
          <w:szCs w:val="21"/>
          <w:highlight w:val="none"/>
        </w:rPr>
      </w:pPr>
    </w:p>
    <w:p w14:paraId="00B98285">
      <w:pPr>
        <w:widowControl/>
        <w:tabs>
          <w:tab w:val="left" w:pos="0"/>
          <w:tab w:val="left" w:pos="993"/>
          <w:tab w:val="left" w:pos="1134"/>
        </w:tabs>
        <w:spacing w:line="360" w:lineRule="auto"/>
        <w:ind w:firstLine="422" w:firstLineChars="200"/>
        <w:rPr>
          <w:rFonts w:cs="宋体"/>
          <w:b/>
          <w:bCs/>
          <w:color w:val="auto"/>
          <w:szCs w:val="21"/>
          <w:highlight w:val="none"/>
        </w:rPr>
      </w:pPr>
    </w:p>
    <w:p w14:paraId="58263706">
      <w:pPr>
        <w:adjustRightInd w:val="0"/>
        <w:spacing w:line="360" w:lineRule="auto"/>
        <w:ind w:firstLine="210" w:firstLineChars="100"/>
        <w:jc w:val="right"/>
        <w:textAlignment w:val="baseline"/>
        <w:rPr>
          <w:rFonts w:cs="宋体"/>
          <w:color w:val="auto"/>
          <w:szCs w:val="21"/>
          <w:highlight w:val="none"/>
        </w:rPr>
      </w:pPr>
      <w:r>
        <w:rPr>
          <w:rFonts w:hint="eastAsia" w:cs="宋体"/>
          <w:color w:val="auto"/>
          <w:szCs w:val="21"/>
          <w:highlight w:val="none"/>
        </w:rPr>
        <w:t>投标人：</w:t>
      </w:r>
      <w:r>
        <w:rPr>
          <w:rFonts w:hint="eastAsia" w:cs="宋体"/>
          <w:color w:val="auto"/>
          <w:szCs w:val="21"/>
          <w:highlight w:val="none"/>
          <w:u w:val="single"/>
        </w:rPr>
        <w:t xml:space="preserve">             </w:t>
      </w:r>
      <w:r>
        <w:rPr>
          <w:rFonts w:hint="eastAsia" w:cs="宋体"/>
          <w:color w:val="auto"/>
          <w:szCs w:val="21"/>
          <w:highlight w:val="none"/>
        </w:rPr>
        <w:t>（盖单位章）</w:t>
      </w:r>
    </w:p>
    <w:p w14:paraId="0459E5DD">
      <w:pPr>
        <w:pStyle w:val="41"/>
        <w:spacing w:after="0" w:line="360" w:lineRule="auto"/>
        <w:ind w:left="0" w:leftChars="0"/>
        <w:jc w:val="right"/>
        <w:rPr>
          <w:rFonts w:ascii="宋体" w:hAnsi="宋体" w:cs="宋体"/>
          <w:color w:val="auto"/>
          <w:kern w:val="0"/>
          <w:highlight w:val="none"/>
        </w:rPr>
      </w:pPr>
      <w:r>
        <w:rPr>
          <w:rFonts w:hint="eastAsia" w:ascii="宋体" w:hAnsi="宋体" w:cs="宋体"/>
          <w:color w:val="auto"/>
          <w:kern w:val="0"/>
          <w:highlight w:val="none"/>
        </w:rPr>
        <w:t>日期：</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年</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月</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日</w:t>
      </w:r>
    </w:p>
    <w:p w14:paraId="5336E7F6">
      <w:pPr>
        <w:jc w:val="right"/>
        <w:rPr>
          <w:rFonts w:ascii="黑体" w:hAnsi="黑体" w:eastAsia="黑体"/>
          <w:color w:val="auto"/>
          <w:kern w:val="1"/>
          <w:highlight w:val="none"/>
        </w:rPr>
        <w:sectPr>
          <w:pgSz w:w="11910" w:h="16840"/>
          <w:pgMar w:top="1600" w:right="520" w:bottom="1180" w:left="820" w:header="0" w:footer="982" w:gutter="0"/>
          <w:cols w:space="720" w:num="1"/>
        </w:sectPr>
      </w:pPr>
    </w:p>
    <w:p w14:paraId="510B9D42">
      <w:pPr>
        <w:rPr>
          <w:rFonts w:ascii="宋体" w:hAnsi="宋体" w:cs="宋体"/>
          <w:color w:val="auto"/>
          <w:szCs w:val="21"/>
          <w:highlight w:val="none"/>
        </w:rPr>
      </w:pPr>
    </w:p>
    <w:p w14:paraId="7ED0C42D">
      <w:pPr>
        <w:jc w:val="center"/>
        <w:rPr>
          <w:rFonts w:ascii="宋体" w:hAnsi="宋体" w:cs="宋体"/>
          <w:color w:val="auto"/>
          <w:szCs w:val="21"/>
          <w:highlight w:val="none"/>
        </w:rPr>
      </w:pPr>
      <w:r>
        <w:rPr>
          <w:rFonts w:hint="eastAsia" w:ascii="宋体" w:hAnsi="宋体" w:cs="宋体"/>
          <w:color w:val="auto"/>
          <w:szCs w:val="21"/>
          <w:highlight w:val="none"/>
        </w:rPr>
        <w:t>符合减缴/免缴投标保证金形式规定的证明材料</w:t>
      </w:r>
    </w:p>
    <w:p w14:paraId="5FDBAB4C">
      <w:pPr>
        <w:ind w:firstLine="420" w:firstLineChars="200"/>
        <w:rPr>
          <w:rFonts w:ascii="宋体" w:hAnsi="宋体" w:cs="宋体"/>
          <w:color w:val="auto"/>
          <w:szCs w:val="21"/>
          <w:highlight w:val="none"/>
        </w:rPr>
      </w:pPr>
    </w:p>
    <w:p w14:paraId="5D919F1B">
      <w:pPr>
        <w:ind w:firstLine="420" w:firstLineChars="200"/>
        <w:rPr>
          <w:rFonts w:ascii="宋体" w:hAnsi="宋体" w:cs="宋体"/>
          <w:color w:val="auto"/>
          <w:szCs w:val="21"/>
          <w:highlight w:val="none"/>
        </w:rPr>
      </w:pPr>
    </w:p>
    <w:p w14:paraId="41F4FCEA">
      <w:pPr>
        <w:ind w:firstLine="420" w:firstLineChars="200"/>
        <w:rPr>
          <w:rFonts w:ascii="宋体" w:hAnsi="宋体" w:cs="宋体"/>
          <w:color w:val="auto"/>
          <w:szCs w:val="21"/>
          <w:highlight w:val="none"/>
        </w:rPr>
      </w:pPr>
    </w:p>
    <w:p w14:paraId="772C0930">
      <w:pPr>
        <w:ind w:firstLine="420" w:firstLineChars="200"/>
        <w:rPr>
          <w:rFonts w:ascii="宋体" w:hAnsi="宋体" w:cs="宋体"/>
          <w:color w:val="auto"/>
          <w:szCs w:val="21"/>
          <w:highlight w:val="none"/>
        </w:rPr>
      </w:pPr>
    </w:p>
    <w:p w14:paraId="1699D2C1">
      <w:pPr>
        <w:ind w:firstLine="5250" w:firstLineChars="2500"/>
        <w:rPr>
          <w:rFonts w:ascii="宋体" w:hAnsi="宋体" w:cs="宋体"/>
          <w:color w:val="auto"/>
          <w:kern w:val="0"/>
          <w:szCs w:val="21"/>
          <w:highlight w:val="none"/>
        </w:rPr>
      </w:pPr>
    </w:p>
    <w:p w14:paraId="227FCB5E">
      <w:pPr>
        <w:ind w:firstLine="5250" w:firstLineChars="2500"/>
        <w:rPr>
          <w:rFonts w:ascii="宋体" w:hAnsi="宋体" w:cs="宋体"/>
          <w:color w:val="auto"/>
          <w:kern w:val="0"/>
          <w:szCs w:val="21"/>
          <w:highlight w:val="none"/>
        </w:rPr>
      </w:pPr>
    </w:p>
    <w:p w14:paraId="2E4191F0">
      <w:pPr>
        <w:ind w:firstLine="5250" w:firstLineChars="2500"/>
        <w:rPr>
          <w:rFonts w:ascii="宋体" w:hAnsi="宋体" w:cs="宋体"/>
          <w:color w:val="auto"/>
          <w:kern w:val="0"/>
          <w:szCs w:val="21"/>
          <w:highlight w:val="none"/>
        </w:rPr>
      </w:pPr>
    </w:p>
    <w:p w14:paraId="6C0B5C35">
      <w:pPr>
        <w:ind w:firstLine="5250" w:firstLineChars="2500"/>
        <w:rPr>
          <w:rFonts w:ascii="宋体" w:hAnsi="宋体" w:cs="宋体"/>
          <w:color w:val="auto"/>
          <w:kern w:val="0"/>
          <w:szCs w:val="21"/>
          <w:highlight w:val="none"/>
        </w:rPr>
      </w:pPr>
    </w:p>
    <w:p w14:paraId="50D7A128">
      <w:pPr>
        <w:ind w:firstLine="5250" w:firstLineChars="2500"/>
        <w:rPr>
          <w:rFonts w:ascii="宋体" w:hAnsi="宋体" w:cs="宋体"/>
          <w:color w:val="auto"/>
          <w:kern w:val="0"/>
          <w:szCs w:val="21"/>
          <w:highlight w:val="none"/>
        </w:rPr>
      </w:pPr>
    </w:p>
    <w:p w14:paraId="2AE62941">
      <w:pPr>
        <w:ind w:firstLine="5250" w:firstLineChars="2500"/>
        <w:rPr>
          <w:rFonts w:ascii="宋体" w:hAnsi="宋体" w:cs="宋体"/>
          <w:color w:val="auto"/>
          <w:kern w:val="0"/>
          <w:szCs w:val="21"/>
          <w:highlight w:val="none"/>
        </w:rPr>
      </w:pPr>
    </w:p>
    <w:p w14:paraId="57035545">
      <w:pPr>
        <w:ind w:firstLine="5250" w:firstLineChars="2500"/>
        <w:rPr>
          <w:rFonts w:ascii="宋体" w:hAnsi="宋体" w:cs="宋体"/>
          <w:color w:val="auto"/>
          <w:kern w:val="0"/>
          <w:szCs w:val="21"/>
          <w:highlight w:val="none"/>
        </w:rPr>
      </w:pPr>
    </w:p>
    <w:p w14:paraId="30B09614">
      <w:pPr>
        <w:ind w:firstLine="5250" w:firstLineChars="2500"/>
        <w:rPr>
          <w:rFonts w:ascii="宋体" w:hAnsi="宋体" w:cs="宋体"/>
          <w:color w:val="auto"/>
          <w:kern w:val="0"/>
          <w:szCs w:val="21"/>
          <w:highlight w:val="none"/>
        </w:rPr>
      </w:pPr>
    </w:p>
    <w:p w14:paraId="0B59FF23">
      <w:pPr>
        <w:ind w:firstLine="5250" w:firstLineChars="2500"/>
        <w:rPr>
          <w:rFonts w:ascii="宋体" w:hAnsi="宋体" w:cs="宋体"/>
          <w:color w:val="auto"/>
          <w:kern w:val="0"/>
          <w:szCs w:val="21"/>
          <w:highlight w:val="none"/>
        </w:rPr>
      </w:pPr>
    </w:p>
    <w:p w14:paraId="49CC2808">
      <w:pPr>
        <w:ind w:firstLine="5250" w:firstLineChars="2500"/>
        <w:rPr>
          <w:rFonts w:ascii="宋体" w:hAnsi="宋体" w:cs="宋体"/>
          <w:color w:val="auto"/>
          <w:kern w:val="0"/>
          <w:szCs w:val="21"/>
          <w:highlight w:val="none"/>
        </w:rPr>
      </w:pPr>
    </w:p>
    <w:p w14:paraId="1D2B46A0">
      <w:pPr>
        <w:ind w:firstLine="5250" w:firstLineChars="2500"/>
        <w:rPr>
          <w:rFonts w:ascii="宋体" w:hAnsi="宋体" w:cs="宋体"/>
          <w:color w:val="auto"/>
          <w:kern w:val="0"/>
          <w:szCs w:val="21"/>
          <w:highlight w:val="none"/>
        </w:rPr>
      </w:pPr>
    </w:p>
    <w:p w14:paraId="4B847AA5">
      <w:pPr>
        <w:ind w:firstLine="5250" w:firstLineChars="2500"/>
        <w:rPr>
          <w:rFonts w:ascii="宋体" w:hAnsi="宋体" w:cs="宋体"/>
          <w:color w:val="auto"/>
          <w:kern w:val="0"/>
          <w:szCs w:val="21"/>
          <w:highlight w:val="none"/>
        </w:rPr>
      </w:pPr>
    </w:p>
    <w:p w14:paraId="4C166D2B">
      <w:pPr>
        <w:ind w:firstLine="5250" w:firstLineChars="2500"/>
        <w:rPr>
          <w:rFonts w:ascii="宋体" w:hAnsi="宋体" w:cs="宋体"/>
          <w:color w:val="auto"/>
          <w:kern w:val="0"/>
          <w:szCs w:val="21"/>
          <w:highlight w:val="none"/>
        </w:rPr>
      </w:pPr>
    </w:p>
    <w:p w14:paraId="72213483">
      <w:pPr>
        <w:ind w:firstLine="5250" w:firstLineChars="2500"/>
        <w:rPr>
          <w:rFonts w:ascii="宋体" w:hAnsi="宋体" w:cs="宋体"/>
          <w:color w:val="auto"/>
          <w:kern w:val="0"/>
          <w:szCs w:val="21"/>
          <w:highlight w:val="none"/>
        </w:rPr>
      </w:pPr>
    </w:p>
    <w:p w14:paraId="174CDB78">
      <w:pPr>
        <w:ind w:firstLine="5250" w:firstLineChars="2500"/>
        <w:rPr>
          <w:rFonts w:ascii="宋体" w:hAnsi="宋体" w:cs="宋体"/>
          <w:color w:val="auto"/>
          <w:kern w:val="0"/>
          <w:szCs w:val="21"/>
          <w:highlight w:val="none"/>
        </w:rPr>
      </w:pPr>
    </w:p>
    <w:p w14:paraId="74601F09">
      <w:pPr>
        <w:ind w:firstLine="5250" w:firstLineChars="2500"/>
        <w:rPr>
          <w:rFonts w:ascii="宋体" w:hAnsi="宋体" w:cs="宋体"/>
          <w:color w:val="auto"/>
          <w:kern w:val="0"/>
          <w:szCs w:val="21"/>
          <w:highlight w:val="none"/>
        </w:rPr>
      </w:pPr>
    </w:p>
    <w:p w14:paraId="39676E2F">
      <w:pPr>
        <w:ind w:firstLine="5250" w:firstLineChars="2500"/>
        <w:rPr>
          <w:rFonts w:ascii="宋体" w:hAnsi="宋体" w:cs="宋体"/>
          <w:color w:val="auto"/>
          <w:kern w:val="0"/>
          <w:szCs w:val="21"/>
          <w:highlight w:val="none"/>
        </w:rPr>
      </w:pPr>
    </w:p>
    <w:p w14:paraId="5DD1CFDE">
      <w:pPr>
        <w:ind w:firstLine="5250" w:firstLineChars="2500"/>
        <w:rPr>
          <w:rFonts w:ascii="宋体" w:hAnsi="宋体" w:cs="宋体"/>
          <w:color w:val="auto"/>
          <w:kern w:val="0"/>
          <w:szCs w:val="21"/>
          <w:highlight w:val="none"/>
        </w:rPr>
      </w:pPr>
    </w:p>
    <w:p w14:paraId="7D9FD7B3">
      <w:pPr>
        <w:ind w:firstLine="5250" w:firstLineChars="2500"/>
        <w:rPr>
          <w:rFonts w:ascii="宋体" w:hAnsi="宋体" w:cs="宋体"/>
          <w:color w:val="auto"/>
          <w:kern w:val="0"/>
          <w:szCs w:val="21"/>
          <w:highlight w:val="none"/>
        </w:rPr>
      </w:pPr>
    </w:p>
    <w:p w14:paraId="14CDF491">
      <w:pPr>
        <w:ind w:firstLine="5250" w:firstLineChars="2500"/>
        <w:rPr>
          <w:rFonts w:ascii="宋体" w:hAnsi="宋体" w:cs="宋体"/>
          <w:color w:val="auto"/>
          <w:kern w:val="0"/>
          <w:szCs w:val="21"/>
          <w:highlight w:val="none"/>
        </w:rPr>
      </w:pPr>
    </w:p>
    <w:p w14:paraId="295C03AC">
      <w:pPr>
        <w:pStyle w:val="92"/>
        <w:jc w:val="right"/>
        <w:outlineLvl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投标人：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（盖单位公章）</w:t>
      </w:r>
    </w:p>
    <w:p w14:paraId="2C2CD690">
      <w:pPr>
        <w:pStyle w:val="92"/>
        <w:jc w:val="right"/>
        <w:outlineLvl w:val="0"/>
        <w:rPr>
          <w:rFonts w:ascii="宋体" w:hAnsi="宋体" w:cs="宋体"/>
          <w:color w:val="auto"/>
          <w:kern w:val="0"/>
          <w:sz w:val="21"/>
          <w:szCs w:val="21"/>
          <w:highlight w:val="none"/>
        </w:rPr>
      </w:pPr>
    </w:p>
    <w:p w14:paraId="0597197D">
      <w:pPr>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（注：联合体投标，联合体各方可采用盖章彩色扫描件上传）</w:t>
      </w:r>
    </w:p>
    <w:p w14:paraId="75110826">
      <w:pPr>
        <w:pStyle w:val="92"/>
        <w:jc w:val="left"/>
        <w:outlineLvl w:val="0"/>
        <w:rPr>
          <w:rFonts w:ascii="宋体" w:hAnsi="宋体" w:eastAsia="宋体" w:cs="宋体"/>
          <w:color w:val="auto"/>
          <w:highlight w:val="none"/>
        </w:rPr>
      </w:pPr>
      <w:r>
        <w:rPr>
          <w:rFonts w:ascii="宋体" w:hAnsi="宋体" w:cs="宋体"/>
          <w:color w:val="auto"/>
          <w:kern w:val="0"/>
          <w:sz w:val="34"/>
          <w:szCs w:val="21"/>
          <w:highlight w:val="none"/>
        </w:rPr>
        <w:br w:type="page"/>
      </w:r>
    </w:p>
    <w:p w14:paraId="5C746C39">
      <w:pPr>
        <w:pStyle w:val="92"/>
        <w:outlineLvl w:val="0"/>
        <w:rPr>
          <w:rFonts w:ascii="宋体" w:hAnsi="宋体" w:eastAsia="宋体"/>
          <w:b/>
          <w:snapToGrid w:val="0"/>
          <w:color w:val="auto"/>
          <w:kern w:val="0"/>
          <w:highlight w:val="none"/>
        </w:rPr>
      </w:pPr>
      <w:bookmarkStart w:id="813" w:name="_Toc488649944"/>
      <w:bookmarkStart w:id="814" w:name="_Toc335660942"/>
      <w:bookmarkStart w:id="815" w:name="_Toc335722022"/>
      <w:bookmarkStart w:id="816" w:name="_Toc346269520"/>
      <w:bookmarkStart w:id="817" w:name="_Toc326241927"/>
      <w:r>
        <w:rPr>
          <w:rFonts w:hint="eastAsia" w:ascii="宋体" w:hAnsi="宋体" w:eastAsia="宋体"/>
          <w:b/>
          <w:snapToGrid w:val="0"/>
          <w:color w:val="auto"/>
          <w:kern w:val="0"/>
          <w:highlight w:val="none"/>
        </w:rPr>
        <w:t>6. 投标人基本情况</w:t>
      </w:r>
      <w:bookmarkEnd w:id="813"/>
      <w:bookmarkEnd w:id="814"/>
      <w:bookmarkEnd w:id="815"/>
      <w:bookmarkEnd w:id="816"/>
      <w:bookmarkEnd w:id="817"/>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960"/>
        <w:gridCol w:w="1099"/>
        <w:gridCol w:w="822"/>
        <w:gridCol w:w="92"/>
        <w:gridCol w:w="594"/>
        <w:gridCol w:w="1235"/>
        <w:gridCol w:w="688"/>
        <w:gridCol w:w="1323"/>
      </w:tblGrid>
      <w:tr w14:paraId="3418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0B38F53F">
            <w:pPr>
              <w:jc w:val="center"/>
              <w:rPr>
                <w:rFonts w:ascii="宋体" w:hAnsi="宋体"/>
                <w:snapToGrid w:val="0"/>
                <w:color w:val="auto"/>
                <w:kern w:val="0"/>
                <w:highlight w:val="none"/>
              </w:rPr>
            </w:pPr>
            <w:r>
              <w:rPr>
                <w:rFonts w:hint="eastAsia" w:ascii="宋体" w:hAnsi="宋体"/>
                <w:snapToGrid w:val="0"/>
                <w:color w:val="auto"/>
                <w:kern w:val="0"/>
                <w:highlight w:val="none"/>
              </w:rPr>
              <w:t>投标人名称</w:t>
            </w:r>
          </w:p>
        </w:tc>
        <w:tc>
          <w:tcPr>
            <w:tcW w:w="6813" w:type="dxa"/>
            <w:gridSpan w:val="8"/>
            <w:vAlign w:val="center"/>
          </w:tcPr>
          <w:p w14:paraId="5F92DFEF">
            <w:pPr>
              <w:jc w:val="center"/>
              <w:rPr>
                <w:rFonts w:ascii="宋体" w:hAnsi="宋体"/>
                <w:snapToGrid w:val="0"/>
                <w:color w:val="auto"/>
                <w:kern w:val="0"/>
                <w:highlight w:val="none"/>
              </w:rPr>
            </w:pPr>
          </w:p>
        </w:tc>
      </w:tr>
      <w:tr w14:paraId="6034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109C6666">
            <w:pPr>
              <w:jc w:val="center"/>
              <w:rPr>
                <w:rFonts w:ascii="宋体" w:hAnsi="宋体"/>
                <w:snapToGrid w:val="0"/>
                <w:color w:val="auto"/>
                <w:kern w:val="0"/>
                <w:highlight w:val="none"/>
              </w:rPr>
            </w:pPr>
            <w:r>
              <w:rPr>
                <w:rFonts w:hint="eastAsia" w:ascii="宋体" w:hAnsi="宋体"/>
                <w:snapToGrid w:val="0"/>
                <w:color w:val="auto"/>
                <w:kern w:val="0"/>
                <w:highlight w:val="none"/>
              </w:rPr>
              <w:t>注册地址</w:t>
            </w:r>
          </w:p>
        </w:tc>
        <w:tc>
          <w:tcPr>
            <w:tcW w:w="6813" w:type="dxa"/>
            <w:gridSpan w:val="8"/>
            <w:vAlign w:val="center"/>
          </w:tcPr>
          <w:p w14:paraId="4FBDC7D4">
            <w:pPr>
              <w:jc w:val="center"/>
              <w:rPr>
                <w:rFonts w:ascii="宋体" w:hAnsi="宋体"/>
                <w:snapToGrid w:val="0"/>
                <w:color w:val="auto"/>
                <w:kern w:val="0"/>
                <w:highlight w:val="none"/>
              </w:rPr>
            </w:pPr>
          </w:p>
        </w:tc>
      </w:tr>
      <w:tr w14:paraId="7D66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Merge w:val="restart"/>
            <w:vAlign w:val="center"/>
          </w:tcPr>
          <w:p w14:paraId="67309255">
            <w:pPr>
              <w:jc w:val="center"/>
              <w:rPr>
                <w:rFonts w:ascii="宋体" w:hAnsi="宋体"/>
                <w:snapToGrid w:val="0"/>
                <w:color w:val="auto"/>
                <w:kern w:val="0"/>
                <w:highlight w:val="none"/>
              </w:rPr>
            </w:pPr>
            <w:r>
              <w:rPr>
                <w:rFonts w:hint="eastAsia" w:ascii="宋体" w:hAnsi="宋体"/>
                <w:snapToGrid w:val="0"/>
                <w:color w:val="auto"/>
                <w:kern w:val="0"/>
                <w:highlight w:val="none"/>
              </w:rPr>
              <w:t>联系方式</w:t>
            </w:r>
          </w:p>
        </w:tc>
        <w:tc>
          <w:tcPr>
            <w:tcW w:w="960" w:type="dxa"/>
            <w:vAlign w:val="center"/>
          </w:tcPr>
          <w:p w14:paraId="5B90970B">
            <w:pPr>
              <w:jc w:val="center"/>
              <w:rPr>
                <w:rFonts w:ascii="宋体" w:hAnsi="宋体"/>
                <w:snapToGrid w:val="0"/>
                <w:color w:val="auto"/>
                <w:kern w:val="0"/>
                <w:highlight w:val="none"/>
              </w:rPr>
            </w:pPr>
            <w:r>
              <w:rPr>
                <w:rFonts w:hint="eastAsia" w:ascii="宋体" w:hAnsi="宋体"/>
                <w:snapToGrid w:val="0"/>
                <w:color w:val="auto"/>
                <w:kern w:val="0"/>
                <w:highlight w:val="none"/>
              </w:rPr>
              <w:t>联系人</w:t>
            </w:r>
          </w:p>
        </w:tc>
        <w:tc>
          <w:tcPr>
            <w:tcW w:w="2013" w:type="dxa"/>
            <w:gridSpan w:val="3"/>
            <w:vAlign w:val="center"/>
          </w:tcPr>
          <w:p w14:paraId="77EB819E">
            <w:pPr>
              <w:jc w:val="center"/>
              <w:rPr>
                <w:rFonts w:ascii="宋体" w:hAnsi="宋体"/>
                <w:snapToGrid w:val="0"/>
                <w:color w:val="auto"/>
                <w:kern w:val="0"/>
                <w:highlight w:val="none"/>
              </w:rPr>
            </w:pPr>
          </w:p>
        </w:tc>
        <w:tc>
          <w:tcPr>
            <w:tcW w:w="1829" w:type="dxa"/>
            <w:gridSpan w:val="2"/>
            <w:vAlign w:val="center"/>
          </w:tcPr>
          <w:p w14:paraId="02E8F2BF">
            <w:pPr>
              <w:jc w:val="center"/>
              <w:rPr>
                <w:rFonts w:ascii="宋体" w:hAnsi="宋体"/>
                <w:snapToGrid w:val="0"/>
                <w:color w:val="auto"/>
                <w:kern w:val="0"/>
                <w:highlight w:val="none"/>
              </w:rPr>
            </w:pPr>
            <w:r>
              <w:rPr>
                <w:rFonts w:hint="eastAsia" w:ascii="宋体" w:hAnsi="宋体"/>
                <w:snapToGrid w:val="0"/>
                <w:color w:val="auto"/>
                <w:kern w:val="0"/>
                <w:highlight w:val="none"/>
              </w:rPr>
              <w:t>邮政编码</w:t>
            </w:r>
          </w:p>
        </w:tc>
        <w:tc>
          <w:tcPr>
            <w:tcW w:w="2011" w:type="dxa"/>
            <w:gridSpan w:val="2"/>
            <w:vAlign w:val="center"/>
          </w:tcPr>
          <w:p w14:paraId="7B86F34A">
            <w:pPr>
              <w:jc w:val="center"/>
              <w:rPr>
                <w:rFonts w:ascii="宋体" w:hAnsi="宋体"/>
                <w:snapToGrid w:val="0"/>
                <w:color w:val="auto"/>
                <w:kern w:val="0"/>
                <w:highlight w:val="none"/>
              </w:rPr>
            </w:pPr>
          </w:p>
        </w:tc>
      </w:tr>
      <w:tr w14:paraId="2C76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Merge w:val="continue"/>
            <w:vAlign w:val="center"/>
          </w:tcPr>
          <w:p w14:paraId="2CF24824">
            <w:pPr>
              <w:jc w:val="center"/>
              <w:rPr>
                <w:rFonts w:ascii="宋体" w:hAnsi="宋体"/>
                <w:snapToGrid w:val="0"/>
                <w:color w:val="auto"/>
                <w:kern w:val="0"/>
                <w:highlight w:val="none"/>
              </w:rPr>
            </w:pPr>
          </w:p>
        </w:tc>
        <w:tc>
          <w:tcPr>
            <w:tcW w:w="960" w:type="dxa"/>
            <w:vAlign w:val="center"/>
          </w:tcPr>
          <w:p w14:paraId="5FBDDF86">
            <w:pPr>
              <w:jc w:val="center"/>
              <w:rPr>
                <w:rFonts w:ascii="宋体" w:hAnsi="宋体"/>
                <w:snapToGrid w:val="0"/>
                <w:color w:val="auto"/>
                <w:kern w:val="0"/>
                <w:highlight w:val="none"/>
              </w:rPr>
            </w:pPr>
            <w:r>
              <w:rPr>
                <w:rFonts w:hint="eastAsia" w:ascii="宋体" w:hAnsi="宋体"/>
                <w:snapToGrid w:val="0"/>
                <w:color w:val="auto"/>
                <w:kern w:val="0"/>
                <w:highlight w:val="none"/>
              </w:rPr>
              <w:t>传真</w:t>
            </w:r>
          </w:p>
        </w:tc>
        <w:tc>
          <w:tcPr>
            <w:tcW w:w="2013" w:type="dxa"/>
            <w:gridSpan w:val="3"/>
            <w:vAlign w:val="center"/>
          </w:tcPr>
          <w:p w14:paraId="2464FBE8">
            <w:pPr>
              <w:jc w:val="center"/>
              <w:rPr>
                <w:rFonts w:ascii="宋体" w:hAnsi="宋体"/>
                <w:snapToGrid w:val="0"/>
                <w:color w:val="auto"/>
                <w:kern w:val="0"/>
                <w:highlight w:val="none"/>
              </w:rPr>
            </w:pPr>
          </w:p>
        </w:tc>
        <w:tc>
          <w:tcPr>
            <w:tcW w:w="1829" w:type="dxa"/>
            <w:gridSpan w:val="2"/>
            <w:vAlign w:val="center"/>
          </w:tcPr>
          <w:p w14:paraId="6437602E">
            <w:pPr>
              <w:jc w:val="center"/>
              <w:rPr>
                <w:rFonts w:ascii="宋体" w:hAnsi="宋体"/>
                <w:snapToGrid w:val="0"/>
                <w:color w:val="auto"/>
                <w:kern w:val="0"/>
                <w:highlight w:val="none"/>
              </w:rPr>
            </w:pPr>
            <w:r>
              <w:rPr>
                <w:rFonts w:hint="eastAsia" w:ascii="宋体" w:hAnsi="宋体"/>
                <w:snapToGrid w:val="0"/>
                <w:color w:val="auto"/>
                <w:kern w:val="0"/>
                <w:highlight w:val="none"/>
              </w:rPr>
              <w:t>电子邮件</w:t>
            </w:r>
          </w:p>
        </w:tc>
        <w:tc>
          <w:tcPr>
            <w:tcW w:w="2011" w:type="dxa"/>
            <w:gridSpan w:val="2"/>
            <w:vAlign w:val="center"/>
          </w:tcPr>
          <w:p w14:paraId="1723A5D5">
            <w:pPr>
              <w:jc w:val="center"/>
              <w:rPr>
                <w:rFonts w:ascii="宋体" w:hAnsi="宋体"/>
                <w:snapToGrid w:val="0"/>
                <w:color w:val="auto"/>
                <w:kern w:val="0"/>
                <w:highlight w:val="none"/>
              </w:rPr>
            </w:pPr>
          </w:p>
        </w:tc>
      </w:tr>
      <w:tr w14:paraId="49B9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5546B5CA">
            <w:pPr>
              <w:jc w:val="center"/>
              <w:rPr>
                <w:rFonts w:ascii="宋体" w:hAnsi="宋体"/>
                <w:snapToGrid w:val="0"/>
                <w:color w:val="auto"/>
                <w:kern w:val="0"/>
                <w:highlight w:val="none"/>
              </w:rPr>
            </w:pPr>
            <w:r>
              <w:rPr>
                <w:rFonts w:hint="eastAsia" w:ascii="宋体" w:hAnsi="宋体"/>
                <w:snapToGrid w:val="0"/>
                <w:color w:val="auto"/>
                <w:kern w:val="0"/>
                <w:highlight w:val="none"/>
              </w:rPr>
              <w:t>法定代表人</w:t>
            </w:r>
          </w:p>
        </w:tc>
        <w:tc>
          <w:tcPr>
            <w:tcW w:w="960" w:type="dxa"/>
            <w:vAlign w:val="center"/>
          </w:tcPr>
          <w:p w14:paraId="16C75408">
            <w:pPr>
              <w:jc w:val="center"/>
              <w:rPr>
                <w:rFonts w:ascii="宋体" w:hAnsi="宋体"/>
                <w:snapToGrid w:val="0"/>
                <w:color w:val="auto"/>
                <w:kern w:val="0"/>
                <w:highlight w:val="none"/>
              </w:rPr>
            </w:pPr>
            <w:r>
              <w:rPr>
                <w:rFonts w:hint="eastAsia" w:ascii="宋体" w:hAnsi="宋体"/>
                <w:snapToGrid w:val="0"/>
                <w:color w:val="auto"/>
                <w:kern w:val="0"/>
                <w:highlight w:val="none"/>
              </w:rPr>
              <w:t>姓名</w:t>
            </w:r>
          </w:p>
        </w:tc>
        <w:tc>
          <w:tcPr>
            <w:tcW w:w="1099" w:type="dxa"/>
            <w:vAlign w:val="center"/>
          </w:tcPr>
          <w:p w14:paraId="293FAA71">
            <w:pPr>
              <w:jc w:val="center"/>
              <w:rPr>
                <w:rFonts w:ascii="宋体" w:hAnsi="宋体"/>
                <w:snapToGrid w:val="0"/>
                <w:color w:val="auto"/>
                <w:kern w:val="0"/>
                <w:highlight w:val="none"/>
              </w:rPr>
            </w:pPr>
          </w:p>
        </w:tc>
        <w:tc>
          <w:tcPr>
            <w:tcW w:w="1508" w:type="dxa"/>
            <w:gridSpan w:val="3"/>
            <w:vAlign w:val="center"/>
          </w:tcPr>
          <w:p w14:paraId="1D6C86D5">
            <w:pPr>
              <w:jc w:val="center"/>
              <w:rPr>
                <w:rFonts w:ascii="宋体" w:hAnsi="宋体"/>
                <w:snapToGrid w:val="0"/>
                <w:color w:val="auto"/>
                <w:kern w:val="0"/>
                <w:highlight w:val="none"/>
              </w:rPr>
            </w:pPr>
            <w:r>
              <w:rPr>
                <w:rFonts w:hint="eastAsia" w:ascii="宋体" w:hAnsi="宋体"/>
                <w:snapToGrid w:val="0"/>
                <w:color w:val="auto"/>
                <w:kern w:val="0"/>
                <w:highlight w:val="none"/>
              </w:rPr>
              <w:t>职务</w:t>
            </w:r>
          </w:p>
        </w:tc>
        <w:tc>
          <w:tcPr>
            <w:tcW w:w="1235" w:type="dxa"/>
            <w:vAlign w:val="center"/>
          </w:tcPr>
          <w:p w14:paraId="61DD1ADC">
            <w:pPr>
              <w:jc w:val="center"/>
              <w:rPr>
                <w:rFonts w:ascii="宋体" w:hAnsi="宋体"/>
                <w:snapToGrid w:val="0"/>
                <w:color w:val="auto"/>
                <w:kern w:val="0"/>
                <w:highlight w:val="none"/>
              </w:rPr>
            </w:pPr>
          </w:p>
        </w:tc>
        <w:tc>
          <w:tcPr>
            <w:tcW w:w="688" w:type="dxa"/>
            <w:vAlign w:val="center"/>
          </w:tcPr>
          <w:p w14:paraId="0A1F86D8">
            <w:pPr>
              <w:jc w:val="center"/>
              <w:rPr>
                <w:rFonts w:ascii="宋体" w:hAnsi="宋体"/>
                <w:snapToGrid w:val="0"/>
                <w:color w:val="auto"/>
                <w:kern w:val="0"/>
                <w:highlight w:val="none"/>
              </w:rPr>
            </w:pPr>
            <w:r>
              <w:rPr>
                <w:rFonts w:hint="eastAsia" w:ascii="宋体" w:hAnsi="宋体"/>
                <w:snapToGrid w:val="0"/>
                <w:color w:val="auto"/>
                <w:kern w:val="0"/>
                <w:highlight w:val="none"/>
              </w:rPr>
              <w:t>电话</w:t>
            </w:r>
          </w:p>
        </w:tc>
        <w:tc>
          <w:tcPr>
            <w:tcW w:w="1323" w:type="dxa"/>
            <w:vAlign w:val="center"/>
          </w:tcPr>
          <w:p w14:paraId="476DB411">
            <w:pPr>
              <w:jc w:val="center"/>
              <w:rPr>
                <w:rFonts w:ascii="宋体" w:hAnsi="宋体"/>
                <w:snapToGrid w:val="0"/>
                <w:color w:val="auto"/>
                <w:kern w:val="0"/>
                <w:highlight w:val="none"/>
              </w:rPr>
            </w:pPr>
          </w:p>
        </w:tc>
      </w:tr>
      <w:tr w14:paraId="41C1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6B02C853">
            <w:pPr>
              <w:jc w:val="center"/>
              <w:rPr>
                <w:rFonts w:ascii="宋体" w:hAnsi="宋体"/>
                <w:snapToGrid w:val="0"/>
                <w:color w:val="auto"/>
                <w:kern w:val="0"/>
                <w:highlight w:val="none"/>
              </w:rPr>
            </w:pPr>
            <w:r>
              <w:rPr>
                <w:rFonts w:hint="eastAsia" w:ascii="宋体" w:hAnsi="宋体"/>
                <w:snapToGrid w:val="0"/>
                <w:color w:val="auto"/>
                <w:kern w:val="0"/>
                <w:highlight w:val="none"/>
                <w:lang w:val="en-US" w:eastAsia="zh-CN"/>
              </w:rPr>
              <w:t>设计</w:t>
            </w:r>
            <w:r>
              <w:rPr>
                <w:rFonts w:hint="eastAsia" w:ascii="宋体" w:hAnsi="宋体"/>
                <w:snapToGrid w:val="0"/>
                <w:color w:val="auto"/>
                <w:kern w:val="0"/>
                <w:highlight w:val="none"/>
              </w:rPr>
              <w:t>负责人</w:t>
            </w:r>
          </w:p>
        </w:tc>
        <w:tc>
          <w:tcPr>
            <w:tcW w:w="960" w:type="dxa"/>
            <w:vAlign w:val="center"/>
          </w:tcPr>
          <w:p w14:paraId="08776A06">
            <w:pPr>
              <w:jc w:val="center"/>
              <w:rPr>
                <w:rFonts w:ascii="宋体" w:hAnsi="宋体"/>
                <w:snapToGrid w:val="0"/>
                <w:color w:val="auto"/>
                <w:kern w:val="0"/>
                <w:highlight w:val="none"/>
              </w:rPr>
            </w:pPr>
            <w:r>
              <w:rPr>
                <w:rFonts w:hint="eastAsia" w:ascii="宋体" w:hAnsi="宋体"/>
                <w:snapToGrid w:val="0"/>
                <w:color w:val="auto"/>
                <w:kern w:val="0"/>
                <w:highlight w:val="none"/>
              </w:rPr>
              <w:t>姓名</w:t>
            </w:r>
          </w:p>
        </w:tc>
        <w:tc>
          <w:tcPr>
            <w:tcW w:w="1099" w:type="dxa"/>
            <w:vAlign w:val="center"/>
          </w:tcPr>
          <w:p w14:paraId="51821D67">
            <w:pPr>
              <w:jc w:val="center"/>
              <w:rPr>
                <w:rFonts w:ascii="宋体" w:hAnsi="宋体"/>
                <w:snapToGrid w:val="0"/>
                <w:color w:val="auto"/>
                <w:kern w:val="0"/>
                <w:highlight w:val="none"/>
              </w:rPr>
            </w:pPr>
          </w:p>
        </w:tc>
        <w:tc>
          <w:tcPr>
            <w:tcW w:w="1508" w:type="dxa"/>
            <w:gridSpan w:val="3"/>
            <w:vAlign w:val="center"/>
          </w:tcPr>
          <w:p w14:paraId="43AD5D1C">
            <w:pPr>
              <w:jc w:val="center"/>
              <w:rPr>
                <w:rFonts w:ascii="宋体" w:hAnsi="宋体"/>
                <w:snapToGrid w:val="0"/>
                <w:color w:val="auto"/>
                <w:kern w:val="0"/>
                <w:highlight w:val="none"/>
              </w:rPr>
            </w:pPr>
            <w:r>
              <w:rPr>
                <w:rFonts w:hint="eastAsia" w:ascii="宋体" w:hAnsi="宋体"/>
                <w:snapToGrid w:val="0"/>
                <w:color w:val="auto"/>
                <w:kern w:val="0"/>
                <w:highlight w:val="none"/>
              </w:rPr>
              <w:t>职务</w:t>
            </w:r>
          </w:p>
        </w:tc>
        <w:tc>
          <w:tcPr>
            <w:tcW w:w="1235" w:type="dxa"/>
            <w:vAlign w:val="center"/>
          </w:tcPr>
          <w:p w14:paraId="1558B62C">
            <w:pPr>
              <w:jc w:val="center"/>
              <w:rPr>
                <w:rFonts w:ascii="宋体" w:hAnsi="宋体"/>
                <w:snapToGrid w:val="0"/>
                <w:color w:val="auto"/>
                <w:kern w:val="0"/>
                <w:highlight w:val="none"/>
              </w:rPr>
            </w:pPr>
          </w:p>
        </w:tc>
        <w:tc>
          <w:tcPr>
            <w:tcW w:w="688" w:type="dxa"/>
            <w:vAlign w:val="center"/>
          </w:tcPr>
          <w:p w14:paraId="3B1DBFC2">
            <w:pPr>
              <w:jc w:val="center"/>
              <w:rPr>
                <w:rFonts w:ascii="宋体" w:hAnsi="宋体"/>
                <w:snapToGrid w:val="0"/>
                <w:color w:val="auto"/>
                <w:kern w:val="0"/>
                <w:highlight w:val="none"/>
              </w:rPr>
            </w:pPr>
            <w:r>
              <w:rPr>
                <w:rFonts w:hint="eastAsia" w:ascii="宋体" w:hAnsi="宋体"/>
                <w:snapToGrid w:val="0"/>
                <w:color w:val="auto"/>
                <w:kern w:val="0"/>
                <w:highlight w:val="none"/>
              </w:rPr>
              <w:t>电话</w:t>
            </w:r>
          </w:p>
        </w:tc>
        <w:tc>
          <w:tcPr>
            <w:tcW w:w="1323" w:type="dxa"/>
            <w:vAlign w:val="center"/>
          </w:tcPr>
          <w:p w14:paraId="54AA065D">
            <w:pPr>
              <w:jc w:val="center"/>
              <w:rPr>
                <w:rFonts w:ascii="宋体" w:hAnsi="宋体"/>
                <w:snapToGrid w:val="0"/>
                <w:color w:val="auto"/>
                <w:kern w:val="0"/>
                <w:highlight w:val="none"/>
              </w:rPr>
            </w:pPr>
          </w:p>
        </w:tc>
      </w:tr>
      <w:tr w14:paraId="7061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0AC627F5">
            <w:pPr>
              <w:jc w:val="center"/>
              <w:rPr>
                <w:rFonts w:ascii="宋体" w:hAnsi="宋体"/>
                <w:snapToGrid w:val="0"/>
                <w:color w:val="auto"/>
                <w:kern w:val="0"/>
                <w:highlight w:val="none"/>
              </w:rPr>
            </w:pPr>
            <w:r>
              <w:rPr>
                <w:rFonts w:hint="eastAsia" w:ascii="宋体" w:hAnsi="宋体"/>
                <w:snapToGrid w:val="0"/>
                <w:color w:val="auto"/>
                <w:kern w:val="0"/>
                <w:highlight w:val="none"/>
              </w:rPr>
              <w:t>成立时间</w:t>
            </w:r>
          </w:p>
        </w:tc>
        <w:tc>
          <w:tcPr>
            <w:tcW w:w="2059" w:type="dxa"/>
            <w:gridSpan w:val="2"/>
            <w:vAlign w:val="center"/>
          </w:tcPr>
          <w:p w14:paraId="1EF1C291">
            <w:pPr>
              <w:jc w:val="center"/>
              <w:rPr>
                <w:rFonts w:ascii="宋体" w:hAnsi="宋体"/>
                <w:snapToGrid w:val="0"/>
                <w:color w:val="auto"/>
                <w:kern w:val="0"/>
                <w:highlight w:val="none"/>
              </w:rPr>
            </w:pPr>
          </w:p>
        </w:tc>
        <w:tc>
          <w:tcPr>
            <w:tcW w:w="2743" w:type="dxa"/>
            <w:gridSpan w:val="4"/>
            <w:vAlign w:val="center"/>
          </w:tcPr>
          <w:p w14:paraId="29B112CE">
            <w:pPr>
              <w:jc w:val="center"/>
              <w:rPr>
                <w:rFonts w:ascii="宋体" w:hAnsi="宋体"/>
                <w:snapToGrid w:val="0"/>
                <w:color w:val="auto"/>
                <w:kern w:val="0"/>
                <w:highlight w:val="none"/>
              </w:rPr>
            </w:pPr>
            <w:r>
              <w:rPr>
                <w:rFonts w:hint="eastAsia" w:ascii="宋体" w:hAnsi="宋体"/>
                <w:snapToGrid w:val="0"/>
                <w:color w:val="auto"/>
                <w:kern w:val="0"/>
                <w:highlight w:val="none"/>
              </w:rPr>
              <w:t>员工总人数</w:t>
            </w:r>
          </w:p>
        </w:tc>
        <w:tc>
          <w:tcPr>
            <w:tcW w:w="2011" w:type="dxa"/>
            <w:gridSpan w:val="2"/>
            <w:vAlign w:val="center"/>
          </w:tcPr>
          <w:p w14:paraId="2925B1AF">
            <w:pPr>
              <w:jc w:val="center"/>
              <w:rPr>
                <w:rFonts w:ascii="宋体" w:hAnsi="宋体"/>
                <w:snapToGrid w:val="0"/>
                <w:color w:val="auto"/>
                <w:kern w:val="0"/>
                <w:highlight w:val="none"/>
              </w:rPr>
            </w:pPr>
          </w:p>
        </w:tc>
      </w:tr>
      <w:tr w14:paraId="50B0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081962B8">
            <w:pPr>
              <w:jc w:val="center"/>
              <w:rPr>
                <w:rFonts w:ascii="宋体" w:hAnsi="宋体"/>
                <w:snapToGrid w:val="0"/>
                <w:color w:val="auto"/>
                <w:kern w:val="0"/>
                <w:highlight w:val="none"/>
              </w:rPr>
            </w:pPr>
            <w:r>
              <w:rPr>
                <w:rFonts w:hint="eastAsia" w:ascii="宋体" w:hAnsi="宋体"/>
                <w:snapToGrid w:val="0"/>
                <w:color w:val="auto"/>
                <w:kern w:val="0"/>
                <w:highlight w:val="none"/>
              </w:rPr>
              <w:t>勘察资质等级</w:t>
            </w:r>
          </w:p>
        </w:tc>
        <w:tc>
          <w:tcPr>
            <w:tcW w:w="2059" w:type="dxa"/>
            <w:gridSpan w:val="2"/>
            <w:vAlign w:val="center"/>
          </w:tcPr>
          <w:p w14:paraId="40AF1D51">
            <w:pPr>
              <w:jc w:val="center"/>
              <w:rPr>
                <w:rFonts w:ascii="宋体" w:hAnsi="宋体"/>
                <w:snapToGrid w:val="0"/>
                <w:color w:val="auto"/>
                <w:kern w:val="0"/>
                <w:highlight w:val="none"/>
              </w:rPr>
            </w:pPr>
          </w:p>
        </w:tc>
        <w:tc>
          <w:tcPr>
            <w:tcW w:w="822" w:type="dxa"/>
            <w:vMerge w:val="restart"/>
            <w:vAlign w:val="center"/>
          </w:tcPr>
          <w:p w14:paraId="7E5B8999">
            <w:pPr>
              <w:jc w:val="center"/>
              <w:rPr>
                <w:rFonts w:ascii="宋体" w:hAnsi="宋体"/>
                <w:snapToGrid w:val="0"/>
                <w:color w:val="auto"/>
                <w:kern w:val="0"/>
                <w:highlight w:val="none"/>
              </w:rPr>
            </w:pPr>
            <w:r>
              <w:rPr>
                <w:rFonts w:hint="eastAsia" w:ascii="宋体" w:hAnsi="宋体"/>
                <w:snapToGrid w:val="0"/>
                <w:color w:val="auto"/>
                <w:kern w:val="0"/>
                <w:highlight w:val="none"/>
              </w:rPr>
              <w:t>其中</w:t>
            </w:r>
          </w:p>
        </w:tc>
        <w:tc>
          <w:tcPr>
            <w:tcW w:w="1921" w:type="dxa"/>
            <w:gridSpan w:val="3"/>
            <w:vAlign w:val="center"/>
          </w:tcPr>
          <w:p w14:paraId="36B1C04E">
            <w:pPr>
              <w:jc w:val="center"/>
              <w:rPr>
                <w:rFonts w:ascii="宋体" w:hAnsi="宋体"/>
                <w:snapToGrid w:val="0"/>
                <w:color w:val="auto"/>
                <w:kern w:val="0"/>
                <w:highlight w:val="none"/>
              </w:rPr>
            </w:pPr>
            <w:r>
              <w:rPr>
                <w:rFonts w:hint="eastAsia" w:ascii="宋体" w:hAnsi="宋体"/>
                <w:snapToGrid w:val="0"/>
                <w:color w:val="auto"/>
                <w:kern w:val="0"/>
                <w:highlight w:val="none"/>
              </w:rPr>
              <w:t>高级工程师</w:t>
            </w:r>
          </w:p>
          <w:p w14:paraId="222B3F1E">
            <w:pPr>
              <w:jc w:val="center"/>
              <w:rPr>
                <w:rFonts w:ascii="宋体" w:hAnsi="宋体"/>
                <w:snapToGrid w:val="0"/>
                <w:color w:val="auto"/>
                <w:kern w:val="0"/>
                <w:highlight w:val="none"/>
              </w:rPr>
            </w:pPr>
            <w:r>
              <w:rPr>
                <w:rFonts w:hint="eastAsia" w:ascii="宋体" w:hAnsi="宋体"/>
                <w:snapToGrid w:val="0"/>
                <w:color w:val="auto"/>
                <w:kern w:val="0"/>
                <w:highlight w:val="none"/>
              </w:rPr>
              <w:t>（高级经济师）</w:t>
            </w:r>
          </w:p>
        </w:tc>
        <w:tc>
          <w:tcPr>
            <w:tcW w:w="2011" w:type="dxa"/>
            <w:gridSpan w:val="2"/>
            <w:vAlign w:val="center"/>
          </w:tcPr>
          <w:p w14:paraId="1C8F6358">
            <w:pPr>
              <w:jc w:val="center"/>
              <w:rPr>
                <w:rFonts w:ascii="宋体" w:hAnsi="宋体"/>
                <w:snapToGrid w:val="0"/>
                <w:color w:val="auto"/>
                <w:kern w:val="0"/>
                <w:highlight w:val="none"/>
              </w:rPr>
            </w:pPr>
          </w:p>
        </w:tc>
      </w:tr>
      <w:tr w14:paraId="3416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522477D4">
            <w:pPr>
              <w:jc w:val="center"/>
              <w:rPr>
                <w:rFonts w:ascii="宋体" w:hAnsi="宋体"/>
                <w:snapToGrid w:val="0"/>
                <w:color w:val="auto"/>
                <w:kern w:val="0"/>
                <w:highlight w:val="none"/>
              </w:rPr>
            </w:pPr>
            <w:r>
              <w:rPr>
                <w:rFonts w:hint="eastAsia" w:ascii="宋体" w:hAnsi="宋体"/>
                <w:snapToGrid w:val="0"/>
                <w:color w:val="auto"/>
                <w:kern w:val="0"/>
                <w:highlight w:val="none"/>
              </w:rPr>
              <w:t>设计资质等级</w:t>
            </w:r>
          </w:p>
        </w:tc>
        <w:tc>
          <w:tcPr>
            <w:tcW w:w="2059" w:type="dxa"/>
            <w:gridSpan w:val="2"/>
            <w:vAlign w:val="center"/>
          </w:tcPr>
          <w:p w14:paraId="3CD0F23D">
            <w:pPr>
              <w:jc w:val="center"/>
              <w:rPr>
                <w:rFonts w:ascii="宋体" w:hAnsi="宋体"/>
                <w:snapToGrid w:val="0"/>
                <w:color w:val="auto"/>
                <w:kern w:val="0"/>
                <w:highlight w:val="none"/>
              </w:rPr>
            </w:pPr>
          </w:p>
        </w:tc>
        <w:tc>
          <w:tcPr>
            <w:tcW w:w="822" w:type="dxa"/>
            <w:vMerge w:val="continue"/>
            <w:vAlign w:val="center"/>
          </w:tcPr>
          <w:p w14:paraId="706C22D8">
            <w:pPr>
              <w:jc w:val="center"/>
              <w:rPr>
                <w:rFonts w:ascii="宋体" w:hAnsi="宋体"/>
                <w:snapToGrid w:val="0"/>
                <w:color w:val="auto"/>
                <w:kern w:val="0"/>
                <w:highlight w:val="none"/>
              </w:rPr>
            </w:pPr>
          </w:p>
        </w:tc>
        <w:tc>
          <w:tcPr>
            <w:tcW w:w="1921" w:type="dxa"/>
            <w:gridSpan w:val="3"/>
            <w:vAlign w:val="center"/>
          </w:tcPr>
          <w:p w14:paraId="13EE70E2">
            <w:pPr>
              <w:jc w:val="center"/>
              <w:rPr>
                <w:rFonts w:ascii="宋体" w:hAnsi="宋体"/>
                <w:snapToGrid w:val="0"/>
                <w:color w:val="auto"/>
                <w:kern w:val="0"/>
                <w:highlight w:val="none"/>
              </w:rPr>
            </w:pPr>
            <w:r>
              <w:rPr>
                <w:rFonts w:hint="eastAsia" w:ascii="宋体" w:hAnsi="宋体"/>
                <w:snapToGrid w:val="0"/>
                <w:color w:val="auto"/>
                <w:kern w:val="0"/>
                <w:highlight w:val="none"/>
              </w:rPr>
              <w:t>工程师</w:t>
            </w:r>
          </w:p>
        </w:tc>
        <w:tc>
          <w:tcPr>
            <w:tcW w:w="2011" w:type="dxa"/>
            <w:gridSpan w:val="2"/>
            <w:vAlign w:val="center"/>
          </w:tcPr>
          <w:p w14:paraId="7577FEAE">
            <w:pPr>
              <w:jc w:val="center"/>
              <w:rPr>
                <w:rFonts w:ascii="宋体" w:hAnsi="宋体"/>
                <w:snapToGrid w:val="0"/>
                <w:color w:val="auto"/>
                <w:kern w:val="0"/>
                <w:highlight w:val="none"/>
              </w:rPr>
            </w:pPr>
          </w:p>
        </w:tc>
      </w:tr>
      <w:tr w14:paraId="4637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0B4E384D">
            <w:pPr>
              <w:jc w:val="center"/>
              <w:rPr>
                <w:rFonts w:ascii="宋体" w:hAnsi="宋体"/>
                <w:snapToGrid w:val="0"/>
                <w:color w:val="auto"/>
                <w:kern w:val="0"/>
                <w:highlight w:val="none"/>
              </w:rPr>
            </w:pPr>
            <w:r>
              <w:rPr>
                <w:rFonts w:hint="eastAsia" w:ascii="宋体" w:hAnsi="宋体"/>
                <w:snapToGrid w:val="0"/>
                <w:color w:val="auto"/>
                <w:kern w:val="0"/>
                <w:highlight w:val="none"/>
              </w:rPr>
              <w:t>营业执照号</w:t>
            </w:r>
          </w:p>
        </w:tc>
        <w:tc>
          <w:tcPr>
            <w:tcW w:w="2059" w:type="dxa"/>
            <w:gridSpan w:val="2"/>
            <w:vAlign w:val="center"/>
          </w:tcPr>
          <w:p w14:paraId="5F04BEEA">
            <w:pPr>
              <w:jc w:val="center"/>
              <w:rPr>
                <w:rFonts w:ascii="宋体" w:hAnsi="宋体"/>
                <w:snapToGrid w:val="0"/>
                <w:color w:val="auto"/>
                <w:kern w:val="0"/>
                <w:highlight w:val="none"/>
              </w:rPr>
            </w:pPr>
          </w:p>
        </w:tc>
        <w:tc>
          <w:tcPr>
            <w:tcW w:w="822" w:type="dxa"/>
            <w:vMerge w:val="continue"/>
            <w:vAlign w:val="center"/>
          </w:tcPr>
          <w:p w14:paraId="3F13B6D0">
            <w:pPr>
              <w:jc w:val="center"/>
              <w:rPr>
                <w:rFonts w:ascii="宋体" w:hAnsi="宋体"/>
                <w:snapToGrid w:val="0"/>
                <w:color w:val="auto"/>
                <w:kern w:val="0"/>
                <w:highlight w:val="none"/>
              </w:rPr>
            </w:pPr>
          </w:p>
        </w:tc>
        <w:tc>
          <w:tcPr>
            <w:tcW w:w="1921" w:type="dxa"/>
            <w:gridSpan w:val="3"/>
            <w:vAlign w:val="center"/>
          </w:tcPr>
          <w:p w14:paraId="7C2BDCD3">
            <w:pPr>
              <w:jc w:val="center"/>
              <w:rPr>
                <w:rFonts w:ascii="宋体" w:hAnsi="宋体"/>
                <w:snapToGrid w:val="0"/>
                <w:color w:val="auto"/>
                <w:kern w:val="0"/>
                <w:highlight w:val="none"/>
              </w:rPr>
            </w:pPr>
            <w:r>
              <w:rPr>
                <w:rFonts w:hint="eastAsia" w:ascii="宋体" w:hAnsi="宋体"/>
                <w:snapToGrid w:val="0"/>
                <w:color w:val="auto"/>
                <w:kern w:val="0"/>
                <w:highlight w:val="none"/>
              </w:rPr>
              <w:t>各类注册人员</w:t>
            </w:r>
          </w:p>
        </w:tc>
        <w:tc>
          <w:tcPr>
            <w:tcW w:w="2011" w:type="dxa"/>
            <w:gridSpan w:val="2"/>
            <w:vAlign w:val="center"/>
          </w:tcPr>
          <w:p w14:paraId="092C31F6">
            <w:pPr>
              <w:jc w:val="center"/>
              <w:rPr>
                <w:rFonts w:ascii="宋体" w:hAnsi="宋体"/>
                <w:snapToGrid w:val="0"/>
                <w:color w:val="auto"/>
                <w:kern w:val="0"/>
                <w:highlight w:val="none"/>
              </w:rPr>
            </w:pPr>
          </w:p>
        </w:tc>
      </w:tr>
      <w:tr w14:paraId="4BB9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37150F06">
            <w:pPr>
              <w:jc w:val="center"/>
              <w:rPr>
                <w:rFonts w:ascii="宋体" w:hAnsi="宋体"/>
                <w:snapToGrid w:val="0"/>
                <w:color w:val="auto"/>
                <w:kern w:val="0"/>
                <w:highlight w:val="none"/>
              </w:rPr>
            </w:pPr>
            <w:r>
              <w:rPr>
                <w:rFonts w:hint="eastAsia" w:ascii="宋体" w:hAnsi="宋体"/>
                <w:snapToGrid w:val="0"/>
                <w:color w:val="auto"/>
                <w:kern w:val="0"/>
                <w:highlight w:val="none"/>
              </w:rPr>
              <w:t>注册资金</w:t>
            </w:r>
          </w:p>
        </w:tc>
        <w:tc>
          <w:tcPr>
            <w:tcW w:w="6813" w:type="dxa"/>
            <w:gridSpan w:val="8"/>
            <w:vAlign w:val="center"/>
          </w:tcPr>
          <w:p w14:paraId="1575D589">
            <w:pPr>
              <w:jc w:val="center"/>
              <w:rPr>
                <w:rFonts w:ascii="宋体" w:hAnsi="宋体"/>
                <w:snapToGrid w:val="0"/>
                <w:color w:val="auto"/>
                <w:kern w:val="0"/>
                <w:highlight w:val="none"/>
              </w:rPr>
            </w:pPr>
          </w:p>
        </w:tc>
      </w:tr>
      <w:tr w14:paraId="127E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5FF2CE1B">
            <w:pPr>
              <w:jc w:val="center"/>
              <w:rPr>
                <w:rFonts w:ascii="宋体" w:hAnsi="宋体"/>
                <w:snapToGrid w:val="0"/>
                <w:color w:val="auto"/>
                <w:kern w:val="0"/>
                <w:highlight w:val="none"/>
              </w:rPr>
            </w:pPr>
            <w:r>
              <w:rPr>
                <w:rFonts w:hint="eastAsia" w:ascii="宋体" w:hAnsi="宋体"/>
                <w:snapToGrid w:val="0"/>
                <w:color w:val="auto"/>
                <w:kern w:val="0"/>
                <w:highlight w:val="none"/>
              </w:rPr>
              <w:t>基本账户开户银行</w:t>
            </w:r>
          </w:p>
        </w:tc>
        <w:tc>
          <w:tcPr>
            <w:tcW w:w="6813" w:type="dxa"/>
            <w:gridSpan w:val="8"/>
            <w:vAlign w:val="center"/>
          </w:tcPr>
          <w:p w14:paraId="2320F839">
            <w:pPr>
              <w:jc w:val="center"/>
              <w:rPr>
                <w:rFonts w:ascii="宋体" w:hAnsi="宋体"/>
                <w:snapToGrid w:val="0"/>
                <w:color w:val="auto"/>
                <w:kern w:val="0"/>
                <w:highlight w:val="none"/>
              </w:rPr>
            </w:pPr>
          </w:p>
        </w:tc>
      </w:tr>
      <w:tr w14:paraId="708D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3" w:type="dxa"/>
            <w:vAlign w:val="center"/>
          </w:tcPr>
          <w:p w14:paraId="6BBDF589">
            <w:pPr>
              <w:jc w:val="center"/>
              <w:rPr>
                <w:rFonts w:ascii="宋体" w:hAnsi="宋体"/>
                <w:snapToGrid w:val="0"/>
                <w:color w:val="auto"/>
                <w:kern w:val="0"/>
                <w:highlight w:val="none"/>
              </w:rPr>
            </w:pPr>
            <w:r>
              <w:rPr>
                <w:rFonts w:hint="eastAsia" w:ascii="宋体" w:hAnsi="宋体"/>
                <w:snapToGrid w:val="0"/>
                <w:color w:val="auto"/>
                <w:kern w:val="0"/>
                <w:highlight w:val="none"/>
              </w:rPr>
              <w:t>基本账户账号</w:t>
            </w:r>
          </w:p>
        </w:tc>
        <w:tc>
          <w:tcPr>
            <w:tcW w:w="6813" w:type="dxa"/>
            <w:gridSpan w:val="8"/>
            <w:vAlign w:val="center"/>
          </w:tcPr>
          <w:p w14:paraId="666D3A2D">
            <w:pPr>
              <w:jc w:val="center"/>
              <w:rPr>
                <w:rFonts w:ascii="宋体" w:hAnsi="宋体"/>
                <w:snapToGrid w:val="0"/>
                <w:color w:val="auto"/>
                <w:kern w:val="0"/>
                <w:highlight w:val="none"/>
              </w:rPr>
            </w:pPr>
          </w:p>
        </w:tc>
      </w:tr>
      <w:tr w14:paraId="3F6E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trPr>
        <w:tc>
          <w:tcPr>
            <w:tcW w:w="2163" w:type="dxa"/>
            <w:vAlign w:val="center"/>
          </w:tcPr>
          <w:p w14:paraId="036B0F5E">
            <w:pPr>
              <w:jc w:val="center"/>
              <w:rPr>
                <w:rFonts w:ascii="宋体" w:hAnsi="宋体"/>
                <w:snapToGrid w:val="0"/>
                <w:color w:val="auto"/>
                <w:kern w:val="0"/>
                <w:highlight w:val="none"/>
              </w:rPr>
            </w:pPr>
            <w:r>
              <w:rPr>
                <w:rFonts w:hint="eastAsia" w:ascii="宋体" w:hAnsi="宋体"/>
                <w:snapToGrid w:val="0"/>
                <w:color w:val="auto"/>
                <w:kern w:val="0"/>
                <w:highlight w:val="none"/>
              </w:rPr>
              <w:t>经营范围</w:t>
            </w:r>
          </w:p>
        </w:tc>
        <w:tc>
          <w:tcPr>
            <w:tcW w:w="6813" w:type="dxa"/>
            <w:gridSpan w:val="8"/>
            <w:vAlign w:val="center"/>
          </w:tcPr>
          <w:p w14:paraId="07CE10ED">
            <w:pPr>
              <w:jc w:val="center"/>
              <w:rPr>
                <w:rFonts w:ascii="宋体" w:hAnsi="宋体"/>
                <w:snapToGrid w:val="0"/>
                <w:color w:val="auto"/>
                <w:kern w:val="0"/>
                <w:highlight w:val="none"/>
              </w:rPr>
            </w:pPr>
          </w:p>
        </w:tc>
      </w:tr>
      <w:tr w14:paraId="71DC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163" w:type="dxa"/>
            <w:vAlign w:val="center"/>
          </w:tcPr>
          <w:p w14:paraId="18621191">
            <w:pPr>
              <w:jc w:val="center"/>
              <w:rPr>
                <w:rFonts w:ascii="宋体" w:hAnsi="宋体"/>
                <w:snapToGrid w:val="0"/>
                <w:color w:val="auto"/>
                <w:kern w:val="0"/>
                <w:highlight w:val="none"/>
              </w:rPr>
            </w:pPr>
            <w:r>
              <w:rPr>
                <w:rFonts w:hint="eastAsia" w:ascii="宋体" w:hAnsi="宋体"/>
                <w:snapToGrid w:val="0"/>
                <w:color w:val="auto"/>
                <w:kern w:val="0"/>
                <w:highlight w:val="none"/>
              </w:rPr>
              <w:t>备注</w:t>
            </w:r>
          </w:p>
        </w:tc>
        <w:tc>
          <w:tcPr>
            <w:tcW w:w="6813" w:type="dxa"/>
            <w:gridSpan w:val="8"/>
            <w:vAlign w:val="center"/>
          </w:tcPr>
          <w:p w14:paraId="1CD3805A">
            <w:pPr>
              <w:jc w:val="center"/>
              <w:rPr>
                <w:rFonts w:ascii="宋体" w:hAnsi="宋体"/>
                <w:snapToGrid w:val="0"/>
                <w:color w:val="auto"/>
                <w:kern w:val="0"/>
                <w:highlight w:val="none"/>
              </w:rPr>
            </w:pPr>
          </w:p>
        </w:tc>
      </w:tr>
    </w:tbl>
    <w:p w14:paraId="14A8E7D1">
      <w:pPr>
        <w:rPr>
          <w:rFonts w:ascii="宋体" w:hAnsi="宋体"/>
          <w:snapToGrid w:val="0"/>
          <w:color w:val="auto"/>
          <w:kern w:val="0"/>
          <w:highlight w:val="none"/>
        </w:rPr>
      </w:pPr>
      <w:r>
        <w:rPr>
          <w:rFonts w:hint="eastAsia" w:ascii="宋体" w:hAnsi="宋体"/>
          <w:snapToGrid w:val="0"/>
          <w:color w:val="auto"/>
          <w:kern w:val="0"/>
          <w:highlight w:val="none"/>
        </w:rPr>
        <w:t>注</w:t>
      </w:r>
      <w:r>
        <w:rPr>
          <w:rFonts w:ascii="宋体" w:hAnsi="宋体"/>
          <w:snapToGrid w:val="0"/>
          <w:color w:val="auto"/>
          <w:kern w:val="0"/>
          <w:highlight w:val="none"/>
        </w:rPr>
        <w:t>:</w:t>
      </w:r>
      <w:r>
        <w:rPr>
          <w:rFonts w:hint="eastAsia" w:ascii="宋体" w:hAnsi="宋体"/>
          <w:snapToGrid w:val="0"/>
          <w:color w:val="auto"/>
          <w:kern w:val="0"/>
          <w:highlight w:val="none"/>
        </w:rPr>
        <w:t xml:space="preserve"> ①在本表后应附加盖投标人单位章的企业营业执照副本扫描件、勘察资质证书副本扫描件、设计资质证书副本扫描件。</w:t>
      </w:r>
    </w:p>
    <w:p w14:paraId="0EA96397">
      <w:pPr>
        <w:ind w:firstLine="315" w:firstLineChars="150"/>
        <w:jc w:val="left"/>
        <w:rPr>
          <w:rFonts w:hint="eastAsia" w:ascii="宋体" w:hAnsi="宋体"/>
          <w:snapToGrid w:val="0"/>
          <w:color w:val="auto"/>
          <w:kern w:val="0"/>
          <w:highlight w:val="none"/>
        </w:rPr>
        <w:sectPr>
          <w:pgSz w:w="11910" w:h="16840"/>
          <w:pgMar w:top="1928" w:right="1587" w:bottom="1928" w:left="1587" w:header="0" w:footer="982" w:gutter="0"/>
          <w:cols w:space="720" w:num="1"/>
        </w:sectPr>
      </w:pPr>
      <w:r>
        <w:rPr>
          <w:rFonts w:hint="eastAsia" w:ascii="宋体" w:hAnsi="宋体"/>
          <w:snapToGrid w:val="0"/>
          <w:color w:val="auto"/>
          <w:kern w:val="0"/>
          <w:highlight w:val="none"/>
        </w:rPr>
        <w:t>②以联合体形式参与投标的，联合体各成员应分别填写。</w:t>
      </w:r>
    </w:p>
    <w:p w14:paraId="5152E58B">
      <w:pPr>
        <w:wordWrap w:val="0"/>
        <w:spacing w:before="240" w:beforeLines="100" w:line="300" w:lineRule="auto"/>
        <w:jc w:val="center"/>
        <w:rPr>
          <w:rFonts w:hint="eastAsia" w:eastAsia="黑体"/>
          <w:bCs/>
          <w:color w:val="auto"/>
          <w:kern w:val="44"/>
          <w:sz w:val="28"/>
          <w:szCs w:val="28"/>
          <w:highlight w:val="none"/>
          <w:shd w:val="clear" w:color="auto" w:fill="auto"/>
        </w:rPr>
      </w:pPr>
      <w:r>
        <w:rPr>
          <w:rFonts w:hint="eastAsia" w:eastAsia="黑体"/>
          <w:bCs/>
          <w:color w:val="auto"/>
          <w:kern w:val="44"/>
          <w:sz w:val="28"/>
          <w:szCs w:val="28"/>
          <w:highlight w:val="none"/>
          <w:shd w:val="clear" w:color="auto" w:fill="auto"/>
        </w:rPr>
        <w:t>投标人的信誉情况表</w:t>
      </w:r>
      <w:r>
        <w:rPr>
          <w:rStyle w:val="49"/>
          <w:rFonts w:hint="eastAsia" w:eastAsia="黑体"/>
          <w:bCs/>
          <w:color w:val="auto"/>
          <w:kern w:val="44"/>
          <w:sz w:val="28"/>
          <w:szCs w:val="28"/>
          <w:highlight w:val="none"/>
          <w:shd w:val="clear" w:color="auto" w:fill="auto"/>
        </w:rPr>
        <w:footnoteReference w:id="9"/>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64"/>
        <w:gridCol w:w="6598"/>
      </w:tblGrid>
      <w:tr w14:paraId="5E16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0" w:hRule="exact"/>
          <w:jc w:val="center"/>
        </w:trPr>
        <w:tc>
          <w:tcPr>
            <w:tcW w:w="2164" w:type="dxa"/>
            <w:shd w:val="clear" w:color="auto" w:fill="FFFFFF"/>
            <w:noWrap w:val="0"/>
            <w:vAlign w:val="center"/>
          </w:tcPr>
          <w:p w14:paraId="5910C1FE">
            <w:pPr>
              <w:pStyle w:val="115"/>
              <w:wordWrap w:val="0"/>
              <w:spacing w:before="120" w:beforeLines="50" w:line="300" w:lineRule="auto"/>
              <w:ind w:firstLine="0"/>
              <w:jc w:val="center"/>
              <w:rPr>
                <w:color w:val="auto"/>
                <w:sz w:val="21"/>
                <w:szCs w:val="21"/>
                <w:highlight w:val="none"/>
                <w:shd w:val="clear" w:color="auto" w:fill="auto"/>
              </w:rPr>
            </w:pPr>
            <w:bookmarkStart w:id="818" w:name="bookmark1962"/>
            <w:r>
              <w:rPr>
                <w:color w:val="auto"/>
                <w:sz w:val="21"/>
                <w:szCs w:val="21"/>
                <w:highlight w:val="none"/>
                <w:shd w:val="clear" w:color="auto" w:fill="auto"/>
              </w:rPr>
              <w:t>项目</w:t>
            </w:r>
            <w:bookmarkEnd w:id="818"/>
          </w:p>
        </w:tc>
        <w:tc>
          <w:tcPr>
            <w:tcW w:w="6598" w:type="dxa"/>
            <w:shd w:val="clear" w:color="auto" w:fill="FFFFFF"/>
            <w:noWrap w:val="0"/>
            <w:vAlign w:val="center"/>
          </w:tcPr>
          <w:p w14:paraId="19767414">
            <w:pPr>
              <w:pStyle w:val="115"/>
              <w:wordWrap w:val="0"/>
              <w:spacing w:before="120" w:beforeLines="50" w:line="300" w:lineRule="auto"/>
              <w:ind w:firstLine="0"/>
              <w:jc w:val="center"/>
              <w:rPr>
                <w:color w:val="auto"/>
                <w:sz w:val="21"/>
                <w:szCs w:val="21"/>
                <w:highlight w:val="none"/>
                <w:shd w:val="clear" w:color="auto" w:fill="auto"/>
              </w:rPr>
            </w:pPr>
            <w:r>
              <w:rPr>
                <w:color w:val="auto"/>
                <w:sz w:val="21"/>
                <w:szCs w:val="21"/>
                <w:highlight w:val="none"/>
                <w:shd w:val="clear" w:color="auto" w:fill="auto"/>
              </w:rPr>
              <w:t>投标人情况说明</w:t>
            </w:r>
          </w:p>
        </w:tc>
      </w:tr>
      <w:tr w14:paraId="0CD2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14:paraId="194CEF9C">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364C5FF5">
            <w:pPr>
              <w:wordWrap w:val="0"/>
              <w:spacing w:before="120" w:beforeLines="50" w:line="300" w:lineRule="auto"/>
              <w:rPr>
                <w:color w:val="auto"/>
                <w:szCs w:val="21"/>
                <w:highlight w:val="none"/>
                <w:shd w:val="clear" w:color="auto" w:fill="auto"/>
              </w:rPr>
            </w:pPr>
          </w:p>
        </w:tc>
      </w:tr>
      <w:tr w14:paraId="1112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14:paraId="19BFA1FE">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69F37F09">
            <w:pPr>
              <w:wordWrap w:val="0"/>
              <w:spacing w:before="120" w:beforeLines="50" w:line="300" w:lineRule="auto"/>
              <w:rPr>
                <w:color w:val="auto"/>
                <w:szCs w:val="21"/>
                <w:highlight w:val="none"/>
                <w:shd w:val="clear" w:color="auto" w:fill="auto"/>
              </w:rPr>
            </w:pPr>
          </w:p>
        </w:tc>
      </w:tr>
      <w:tr w14:paraId="1D68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14:paraId="7A67B48A">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38A3E85E">
            <w:pPr>
              <w:wordWrap w:val="0"/>
              <w:spacing w:before="120" w:beforeLines="50" w:line="300" w:lineRule="auto"/>
              <w:rPr>
                <w:color w:val="auto"/>
                <w:szCs w:val="21"/>
                <w:highlight w:val="none"/>
                <w:shd w:val="clear" w:color="auto" w:fill="auto"/>
              </w:rPr>
            </w:pPr>
          </w:p>
        </w:tc>
      </w:tr>
      <w:tr w14:paraId="407F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14:paraId="75B37A0F">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1EEB68AF">
            <w:pPr>
              <w:wordWrap w:val="0"/>
              <w:spacing w:before="120" w:beforeLines="50" w:line="300" w:lineRule="auto"/>
              <w:rPr>
                <w:color w:val="auto"/>
                <w:szCs w:val="21"/>
                <w:highlight w:val="none"/>
                <w:shd w:val="clear" w:color="auto" w:fill="auto"/>
              </w:rPr>
            </w:pPr>
          </w:p>
        </w:tc>
      </w:tr>
      <w:tr w14:paraId="23F5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14:paraId="3A8958B8">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7E3FD990">
            <w:pPr>
              <w:wordWrap w:val="0"/>
              <w:spacing w:before="120" w:beforeLines="50" w:line="300" w:lineRule="auto"/>
              <w:rPr>
                <w:color w:val="auto"/>
                <w:szCs w:val="21"/>
                <w:highlight w:val="none"/>
                <w:shd w:val="clear" w:color="auto" w:fill="auto"/>
              </w:rPr>
            </w:pPr>
          </w:p>
        </w:tc>
      </w:tr>
      <w:tr w14:paraId="4A55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14:paraId="5A412244">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7CC0E489">
            <w:pPr>
              <w:wordWrap w:val="0"/>
              <w:spacing w:before="120" w:beforeLines="50" w:line="300" w:lineRule="auto"/>
              <w:rPr>
                <w:color w:val="auto"/>
                <w:szCs w:val="21"/>
                <w:highlight w:val="none"/>
                <w:shd w:val="clear" w:color="auto" w:fill="auto"/>
              </w:rPr>
            </w:pPr>
          </w:p>
        </w:tc>
      </w:tr>
      <w:tr w14:paraId="7E80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14:paraId="68875F5A">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4354E60E">
            <w:pPr>
              <w:wordWrap w:val="0"/>
              <w:spacing w:before="120" w:beforeLines="50" w:line="300" w:lineRule="auto"/>
              <w:rPr>
                <w:color w:val="auto"/>
                <w:szCs w:val="21"/>
                <w:highlight w:val="none"/>
                <w:shd w:val="clear" w:color="auto" w:fill="auto"/>
              </w:rPr>
            </w:pPr>
          </w:p>
        </w:tc>
      </w:tr>
      <w:tr w14:paraId="719F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2" w:hRule="exact"/>
          <w:jc w:val="center"/>
        </w:trPr>
        <w:tc>
          <w:tcPr>
            <w:tcW w:w="2164" w:type="dxa"/>
            <w:shd w:val="clear" w:color="auto" w:fill="FFFFFF"/>
            <w:noWrap w:val="0"/>
            <w:vAlign w:val="top"/>
          </w:tcPr>
          <w:p w14:paraId="172870D3">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79BDAAB5">
            <w:pPr>
              <w:wordWrap w:val="0"/>
              <w:spacing w:before="120" w:beforeLines="50" w:line="300" w:lineRule="auto"/>
              <w:rPr>
                <w:color w:val="auto"/>
                <w:szCs w:val="21"/>
                <w:highlight w:val="none"/>
                <w:shd w:val="clear" w:color="auto" w:fill="auto"/>
              </w:rPr>
            </w:pPr>
          </w:p>
        </w:tc>
      </w:tr>
    </w:tbl>
    <w:p w14:paraId="281C2866">
      <w:pPr>
        <w:rPr>
          <w:color w:val="auto"/>
          <w:highlight w:val="none"/>
        </w:rPr>
      </w:pPr>
    </w:p>
    <w:p w14:paraId="493221CA">
      <w:pPr>
        <w:rPr>
          <w:color w:val="auto"/>
          <w:highlight w:val="none"/>
        </w:rPr>
        <w:sectPr>
          <w:pgSz w:w="11910" w:h="16840"/>
          <w:pgMar w:top="1600" w:right="520" w:bottom="1180" w:left="820" w:header="0" w:footer="982" w:gutter="0"/>
          <w:cols w:space="720" w:num="1"/>
        </w:sectPr>
      </w:pPr>
    </w:p>
    <w:p w14:paraId="72E85A3D">
      <w:pPr>
        <w:pStyle w:val="5"/>
        <w:jc w:val="center"/>
        <w:rPr>
          <w:color w:val="auto"/>
          <w:highlight w:val="none"/>
        </w:rPr>
      </w:pPr>
      <w:r>
        <w:rPr>
          <w:rFonts w:hint="eastAsia"/>
          <w:color w:val="auto"/>
          <w:highlight w:val="none"/>
        </w:rPr>
        <w:t>无行贿犯罪记录承诺书</w:t>
      </w:r>
    </w:p>
    <w:p w14:paraId="250D64DF">
      <w:pPr>
        <w:widowControl/>
        <w:adjustRightInd w:val="0"/>
        <w:spacing w:line="360" w:lineRule="auto"/>
        <w:jc w:val="left"/>
        <w:textAlignment w:val="bottom"/>
        <w:rPr>
          <w:rFonts w:ascii="宋体" w:hAnsi="宋体" w:cs="宋体"/>
          <w:color w:val="auto"/>
          <w:sz w:val="24"/>
          <w:highlight w:val="none"/>
          <w:u w:val="single"/>
        </w:rPr>
      </w:pPr>
    </w:p>
    <w:p w14:paraId="52C131BD">
      <w:pPr>
        <w:widowControl/>
        <w:adjustRightIn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u w:val="single"/>
        </w:rPr>
        <w:t xml:space="preserve">                         （招标人名称）</w:t>
      </w:r>
      <w:r>
        <w:rPr>
          <w:rFonts w:hint="eastAsia" w:ascii="宋体" w:hAnsi="宋体" w:cs="宋体"/>
          <w:color w:val="auto"/>
          <w:sz w:val="24"/>
          <w:highlight w:val="none"/>
        </w:rPr>
        <w:t>：</w:t>
      </w:r>
    </w:p>
    <w:p w14:paraId="6F4742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我方在此声明，本公司包括企业本身、法定代表人及拟委任的项目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近三年内在检察机关无行贿犯罪记录。</w:t>
      </w:r>
    </w:p>
    <w:p w14:paraId="4025CA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我方保证上述信息的真实和准确，并愿意承担因我方就此弄虚作假所引起的一切法律后果。</w:t>
      </w:r>
    </w:p>
    <w:p w14:paraId="6BFBA7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10BE7A29">
      <w:pPr>
        <w:spacing w:line="360" w:lineRule="auto"/>
        <w:ind w:firstLine="480" w:firstLineChars="200"/>
        <w:rPr>
          <w:rFonts w:ascii="宋体" w:hAnsi="宋体" w:cs="宋体"/>
          <w:color w:val="auto"/>
          <w:sz w:val="24"/>
          <w:highlight w:val="none"/>
        </w:rPr>
      </w:pPr>
    </w:p>
    <w:p w14:paraId="20AFB66E">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投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（盖单位电子章）</w:t>
      </w:r>
    </w:p>
    <w:p w14:paraId="25865666">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14:paraId="49A1D06D">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14:paraId="511A1011">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EEE9596">
      <w:pPr>
        <w:pStyle w:val="2"/>
        <w:rPr>
          <w:color w:val="auto"/>
          <w:highlight w:val="none"/>
        </w:rPr>
      </w:pPr>
    </w:p>
    <w:p w14:paraId="4E28B437">
      <w:pPr>
        <w:pStyle w:val="92"/>
        <w:spacing w:beforeLines="0" w:afterLines="0"/>
        <w:ind w:left="426"/>
        <w:outlineLvl w:val="0"/>
        <w:rPr>
          <w:snapToGrid w:val="0"/>
          <w:color w:val="auto"/>
          <w:highlight w:val="none"/>
        </w:rPr>
      </w:pPr>
      <w:r>
        <w:rPr>
          <w:rFonts w:ascii="宋体" w:hAnsi="宋体" w:eastAsia="宋体"/>
          <w:snapToGrid w:val="0"/>
          <w:color w:val="auto"/>
          <w:kern w:val="0"/>
          <w:sz w:val="30"/>
          <w:szCs w:val="30"/>
          <w:highlight w:val="none"/>
        </w:rPr>
        <w:br w:type="page"/>
      </w:r>
      <w:r>
        <w:rPr>
          <w:rFonts w:hint="eastAsia"/>
          <w:snapToGrid w:val="0"/>
          <w:color w:val="auto"/>
          <w:highlight w:val="none"/>
        </w:rPr>
        <w:t>7.</w:t>
      </w:r>
      <w:r>
        <w:rPr>
          <w:rFonts w:hint="eastAsia"/>
          <w:b/>
          <w:bCs/>
          <w:snapToGrid w:val="0"/>
          <w:color w:val="auto"/>
          <w:sz w:val="32"/>
          <w:szCs w:val="32"/>
          <w:highlight w:val="none"/>
        </w:rPr>
        <w:t>近年完成项目情况表</w:t>
      </w:r>
    </w:p>
    <w:p w14:paraId="5994307F">
      <w:pPr>
        <w:adjustRightInd w:val="0"/>
        <w:rPr>
          <w:rFonts w:ascii="宋体" w:hAnsi="宋体" w:cs="微软雅黑"/>
          <w:snapToGrid w:val="0"/>
          <w:color w:val="auto"/>
          <w:kern w:val="0"/>
          <w:highlight w:val="none"/>
        </w:rPr>
      </w:pPr>
    </w:p>
    <w:tbl>
      <w:tblPr>
        <w:tblStyle w:val="42"/>
        <w:tblW w:w="0" w:type="auto"/>
        <w:tblInd w:w="102" w:type="dxa"/>
        <w:tblLayout w:type="fixed"/>
        <w:tblCellMar>
          <w:top w:w="0" w:type="dxa"/>
          <w:left w:w="0" w:type="dxa"/>
          <w:bottom w:w="0" w:type="dxa"/>
          <w:right w:w="0" w:type="dxa"/>
        </w:tblCellMar>
      </w:tblPr>
      <w:tblGrid>
        <w:gridCol w:w="2356"/>
        <w:gridCol w:w="5785"/>
      </w:tblGrid>
      <w:tr w14:paraId="6DBE9D27">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2341FC0B">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项目名称</w:t>
            </w:r>
          </w:p>
        </w:tc>
        <w:tc>
          <w:tcPr>
            <w:tcW w:w="5785" w:type="dxa"/>
            <w:tcBorders>
              <w:top w:val="single" w:color="000000" w:sz="4" w:space="0"/>
              <w:left w:val="single" w:color="000000" w:sz="4" w:space="0"/>
              <w:bottom w:val="single" w:color="000000" w:sz="4" w:space="0"/>
              <w:right w:val="single" w:color="000000" w:sz="4" w:space="0"/>
            </w:tcBorders>
            <w:vAlign w:val="center"/>
          </w:tcPr>
          <w:p w14:paraId="46C6E390">
            <w:pPr>
              <w:adjustRightInd w:val="0"/>
              <w:snapToGrid w:val="0"/>
              <w:spacing w:before="48" w:beforeLines="20" w:after="48" w:afterLines="20"/>
              <w:jc w:val="center"/>
              <w:rPr>
                <w:rFonts w:ascii="宋体" w:hAnsi="宋体"/>
                <w:snapToGrid w:val="0"/>
                <w:color w:val="auto"/>
                <w:kern w:val="0"/>
                <w:highlight w:val="none"/>
              </w:rPr>
            </w:pPr>
          </w:p>
        </w:tc>
      </w:tr>
      <w:tr w14:paraId="18B0A47A">
        <w:tblPrEx>
          <w:tblCellMar>
            <w:top w:w="0" w:type="dxa"/>
            <w:left w:w="0" w:type="dxa"/>
            <w:bottom w:w="0" w:type="dxa"/>
            <w:right w:w="0" w:type="dxa"/>
          </w:tblCellMar>
        </w:tblPrEx>
        <w:trPr>
          <w:trHeight w:val="570"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49932E62">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项目所在地</w:t>
            </w:r>
          </w:p>
        </w:tc>
        <w:tc>
          <w:tcPr>
            <w:tcW w:w="5785" w:type="dxa"/>
            <w:tcBorders>
              <w:top w:val="single" w:color="000000" w:sz="4" w:space="0"/>
              <w:left w:val="single" w:color="000000" w:sz="4" w:space="0"/>
              <w:bottom w:val="single" w:color="000000" w:sz="4" w:space="0"/>
              <w:right w:val="single" w:color="000000" w:sz="4" w:space="0"/>
            </w:tcBorders>
            <w:vAlign w:val="center"/>
          </w:tcPr>
          <w:p w14:paraId="61B89749">
            <w:pPr>
              <w:adjustRightInd w:val="0"/>
              <w:snapToGrid w:val="0"/>
              <w:spacing w:before="48" w:beforeLines="20" w:after="48" w:afterLines="20"/>
              <w:jc w:val="center"/>
              <w:rPr>
                <w:rFonts w:ascii="宋体" w:hAnsi="宋体"/>
                <w:snapToGrid w:val="0"/>
                <w:color w:val="auto"/>
                <w:kern w:val="0"/>
                <w:highlight w:val="none"/>
              </w:rPr>
            </w:pPr>
          </w:p>
        </w:tc>
      </w:tr>
      <w:tr w14:paraId="341EABAD">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4663AB9F">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发包人名称</w:t>
            </w:r>
          </w:p>
        </w:tc>
        <w:tc>
          <w:tcPr>
            <w:tcW w:w="5785" w:type="dxa"/>
            <w:tcBorders>
              <w:top w:val="single" w:color="000000" w:sz="4" w:space="0"/>
              <w:left w:val="single" w:color="000000" w:sz="4" w:space="0"/>
              <w:bottom w:val="single" w:color="000000" w:sz="4" w:space="0"/>
              <w:right w:val="single" w:color="000000" w:sz="4" w:space="0"/>
            </w:tcBorders>
            <w:vAlign w:val="center"/>
          </w:tcPr>
          <w:p w14:paraId="57D3CCA0">
            <w:pPr>
              <w:adjustRightInd w:val="0"/>
              <w:snapToGrid w:val="0"/>
              <w:spacing w:before="48" w:beforeLines="20" w:after="48" w:afterLines="20"/>
              <w:jc w:val="center"/>
              <w:rPr>
                <w:rFonts w:ascii="宋体" w:hAnsi="宋体"/>
                <w:snapToGrid w:val="0"/>
                <w:color w:val="auto"/>
                <w:kern w:val="0"/>
                <w:highlight w:val="none"/>
              </w:rPr>
            </w:pPr>
          </w:p>
        </w:tc>
      </w:tr>
      <w:tr w14:paraId="6DCACD35">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3A692ADB">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发包人地址</w:t>
            </w:r>
          </w:p>
        </w:tc>
        <w:tc>
          <w:tcPr>
            <w:tcW w:w="5785" w:type="dxa"/>
            <w:tcBorders>
              <w:top w:val="single" w:color="000000" w:sz="4" w:space="0"/>
              <w:left w:val="single" w:color="000000" w:sz="4" w:space="0"/>
              <w:bottom w:val="single" w:color="000000" w:sz="4" w:space="0"/>
              <w:right w:val="single" w:color="000000" w:sz="4" w:space="0"/>
            </w:tcBorders>
            <w:vAlign w:val="center"/>
          </w:tcPr>
          <w:p w14:paraId="6339AC50">
            <w:pPr>
              <w:adjustRightInd w:val="0"/>
              <w:snapToGrid w:val="0"/>
              <w:spacing w:before="48" w:beforeLines="20" w:after="48" w:afterLines="20"/>
              <w:jc w:val="center"/>
              <w:rPr>
                <w:rFonts w:ascii="宋体" w:hAnsi="宋体"/>
                <w:snapToGrid w:val="0"/>
                <w:color w:val="auto"/>
                <w:kern w:val="0"/>
                <w:highlight w:val="none"/>
              </w:rPr>
            </w:pPr>
          </w:p>
        </w:tc>
      </w:tr>
      <w:tr w14:paraId="6C81107B">
        <w:tblPrEx>
          <w:tblCellMar>
            <w:top w:w="0" w:type="dxa"/>
            <w:left w:w="0" w:type="dxa"/>
            <w:bottom w:w="0" w:type="dxa"/>
            <w:right w:w="0" w:type="dxa"/>
          </w:tblCellMar>
        </w:tblPrEx>
        <w:trPr>
          <w:trHeight w:val="487"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735FAB0F">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发包人电话</w:t>
            </w:r>
          </w:p>
        </w:tc>
        <w:tc>
          <w:tcPr>
            <w:tcW w:w="5785" w:type="dxa"/>
            <w:tcBorders>
              <w:top w:val="single" w:color="000000" w:sz="4" w:space="0"/>
              <w:left w:val="single" w:color="000000" w:sz="4" w:space="0"/>
              <w:bottom w:val="single" w:color="000000" w:sz="4" w:space="0"/>
              <w:right w:val="single" w:color="000000" w:sz="4" w:space="0"/>
            </w:tcBorders>
            <w:vAlign w:val="center"/>
          </w:tcPr>
          <w:p w14:paraId="08B8D049">
            <w:pPr>
              <w:adjustRightInd w:val="0"/>
              <w:snapToGrid w:val="0"/>
              <w:spacing w:before="48" w:beforeLines="20" w:after="48" w:afterLines="20"/>
              <w:jc w:val="center"/>
              <w:rPr>
                <w:rFonts w:ascii="宋体" w:hAnsi="宋体"/>
                <w:snapToGrid w:val="0"/>
                <w:color w:val="auto"/>
                <w:kern w:val="0"/>
                <w:highlight w:val="none"/>
              </w:rPr>
            </w:pPr>
          </w:p>
        </w:tc>
      </w:tr>
      <w:tr w14:paraId="28B11F08">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706E9324">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项目规模</w:t>
            </w:r>
          </w:p>
        </w:tc>
        <w:tc>
          <w:tcPr>
            <w:tcW w:w="5785" w:type="dxa"/>
            <w:tcBorders>
              <w:top w:val="single" w:color="000000" w:sz="4" w:space="0"/>
              <w:left w:val="single" w:color="000000" w:sz="4" w:space="0"/>
              <w:bottom w:val="single" w:color="000000" w:sz="4" w:space="0"/>
              <w:right w:val="single" w:color="000000" w:sz="4" w:space="0"/>
            </w:tcBorders>
            <w:vAlign w:val="center"/>
          </w:tcPr>
          <w:p w14:paraId="11FF7512">
            <w:pPr>
              <w:adjustRightInd w:val="0"/>
              <w:snapToGrid w:val="0"/>
              <w:spacing w:before="48" w:beforeLines="20" w:after="48" w:afterLines="20"/>
              <w:jc w:val="center"/>
              <w:rPr>
                <w:rFonts w:ascii="宋体" w:hAnsi="宋体"/>
                <w:snapToGrid w:val="0"/>
                <w:color w:val="auto"/>
                <w:kern w:val="0"/>
                <w:highlight w:val="none"/>
              </w:rPr>
            </w:pPr>
          </w:p>
        </w:tc>
      </w:tr>
      <w:tr w14:paraId="4CC06699">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496563CC">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项目总投资</w:t>
            </w:r>
          </w:p>
        </w:tc>
        <w:tc>
          <w:tcPr>
            <w:tcW w:w="5785" w:type="dxa"/>
            <w:tcBorders>
              <w:top w:val="single" w:color="000000" w:sz="4" w:space="0"/>
              <w:left w:val="single" w:color="000000" w:sz="4" w:space="0"/>
              <w:bottom w:val="single" w:color="000000" w:sz="4" w:space="0"/>
              <w:right w:val="single" w:color="000000" w:sz="4" w:space="0"/>
            </w:tcBorders>
            <w:vAlign w:val="center"/>
          </w:tcPr>
          <w:p w14:paraId="2CE58341">
            <w:pPr>
              <w:adjustRightInd w:val="0"/>
              <w:snapToGrid w:val="0"/>
              <w:spacing w:before="48" w:beforeLines="20" w:after="48" w:afterLines="20"/>
              <w:jc w:val="center"/>
              <w:rPr>
                <w:rFonts w:ascii="宋体" w:hAnsi="宋体"/>
                <w:snapToGrid w:val="0"/>
                <w:color w:val="auto"/>
                <w:kern w:val="0"/>
                <w:highlight w:val="none"/>
              </w:rPr>
            </w:pPr>
          </w:p>
        </w:tc>
      </w:tr>
      <w:tr w14:paraId="36FAF9F0">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3AB999A4">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承担的勘察设计工作</w:t>
            </w:r>
          </w:p>
        </w:tc>
        <w:tc>
          <w:tcPr>
            <w:tcW w:w="5785" w:type="dxa"/>
            <w:tcBorders>
              <w:top w:val="single" w:color="000000" w:sz="4" w:space="0"/>
              <w:left w:val="single" w:color="000000" w:sz="4" w:space="0"/>
              <w:bottom w:val="single" w:color="000000" w:sz="4" w:space="0"/>
              <w:right w:val="single" w:color="000000" w:sz="4" w:space="0"/>
            </w:tcBorders>
            <w:vAlign w:val="center"/>
          </w:tcPr>
          <w:p w14:paraId="2D53A9C0">
            <w:pPr>
              <w:adjustRightInd w:val="0"/>
              <w:snapToGrid w:val="0"/>
              <w:spacing w:before="48" w:beforeLines="20" w:after="48" w:afterLines="20"/>
              <w:jc w:val="center"/>
              <w:rPr>
                <w:rFonts w:ascii="宋体" w:hAnsi="宋体"/>
                <w:snapToGrid w:val="0"/>
                <w:color w:val="auto"/>
                <w:kern w:val="0"/>
                <w:highlight w:val="none"/>
              </w:rPr>
            </w:pPr>
          </w:p>
        </w:tc>
      </w:tr>
      <w:tr w14:paraId="65FA0BB3">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2863D9D9">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勘察设计周期</w:t>
            </w:r>
          </w:p>
        </w:tc>
        <w:tc>
          <w:tcPr>
            <w:tcW w:w="5785" w:type="dxa"/>
            <w:tcBorders>
              <w:top w:val="single" w:color="000000" w:sz="4" w:space="0"/>
              <w:left w:val="single" w:color="000000" w:sz="4" w:space="0"/>
              <w:bottom w:val="single" w:color="000000" w:sz="4" w:space="0"/>
              <w:right w:val="single" w:color="000000" w:sz="4" w:space="0"/>
            </w:tcBorders>
            <w:vAlign w:val="center"/>
          </w:tcPr>
          <w:p w14:paraId="62065D9F">
            <w:pPr>
              <w:adjustRightInd w:val="0"/>
              <w:snapToGrid w:val="0"/>
              <w:spacing w:before="48" w:beforeLines="20" w:after="48" w:afterLines="20"/>
              <w:jc w:val="center"/>
              <w:rPr>
                <w:rFonts w:ascii="宋体" w:hAnsi="宋体"/>
                <w:snapToGrid w:val="0"/>
                <w:color w:val="auto"/>
                <w:kern w:val="0"/>
                <w:highlight w:val="none"/>
              </w:rPr>
            </w:pPr>
          </w:p>
        </w:tc>
      </w:tr>
      <w:tr w14:paraId="0289E213">
        <w:tblPrEx>
          <w:tblCellMar>
            <w:top w:w="0" w:type="dxa"/>
            <w:left w:w="0" w:type="dxa"/>
            <w:bottom w:w="0" w:type="dxa"/>
            <w:right w:w="0" w:type="dxa"/>
          </w:tblCellMar>
        </w:tblPrEx>
        <w:trPr>
          <w:trHeight w:val="487"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26DFA5A8">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项目负责人</w:t>
            </w:r>
          </w:p>
        </w:tc>
        <w:tc>
          <w:tcPr>
            <w:tcW w:w="5785" w:type="dxa"/>
            <w:tcBorders>
              <w:top w:val="single" w:color="000000" w:sz="4" w:space="0"/>
              <w:left w:val="single" w:color="000000" w:sz="4" w:space="0"/>
              <w:bottom w:val="single" w:color="000000" w:sz="4" w:space="0"/>
              <w:right w:val="single" w:color="000000" w:sz="4" w:space="0"/>
            </w:tcBorders>
            <w:vAlign w:val="center"/>
          </w:tcPr>
          <w:p w14:paraId="70C99B66">
            <w:pPr>
              <w:adjustRightInd w:val="0"/>
              <w:snapToGrid w:val="0"/>
              <w:spacing w:before="48" w:beforeLines="20" w:after="48" w:afterLines="20"/>
              <w:jc w:val="center"/>
              <w:rPr>
                <w:rFonts w:ascii="宋体" w:hAnsi="宋体"/>
                <w:snapToGrid w:val="0"/>
                <w:color w:val="auto"/>
                <w:kern w:val="0"/>
                <w:highlight w:val="none"/>
              </w:rPr>
            </w:pPr>
          </w:p>
        </w:tc>
      </w:tr>
      <w:tr w14:paraId="04B870F7">
        <w:tblPrEx>
          <w:tblCellMar>
            <w:top w:w="0" w:type="dxa"/>
            <w:left w:w="0" w:type="dxa"/>
            <w:bottom w:w="0" w:type="dxa"/>
            <w:right w:w="0" w:type="dxa"/>
          </w:tblCellMar>
        </w:tblPrEx>
        <w:trPr>
          <w:trHeight w:val="488"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6FC2C12A">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项目完成情况</w:t>
            </w:r>
          </w:p>
        </w:tc>
        <w:tc>
          <w:tcPr>
            <w:tcW w:w="5785" w:type="dxa"/>
            <w:tcBorders>
              <w:top w:val="single" w:color="000000" w:sz="4" w:space="0"/>
              <w:left w:val="single" w:color="000000" w:sz="4" w:space="0"/>
              <w:bottom w:val="single" w:color="000000" w:sz="4" w:space="0"/>
              <w:right w:val="single" w:color="000000" w:sz="4" w:space="0"/>
            </w:tcBorders>
            <w:vAlign w:val="center"/>
          </w:tcPr>
          <w:p w14:paraId="5C66F113">
            <w:pPr>
              <w:adjustRightInd w:val="0"/>
              <w:snapToGrid w:val="0"/>
              <w:spacing w:before="48" w:beforeLines="20" w:after="48" w:afterLines="20"/>
              <w:jc w:val="center"/>
              <w:rPr>
                <w:rFonts w:ascii="宋体" w:hAnsi="宋体"/>
                <w:snapToGrid w:val="0"/>
                <w:color w:val="auto"/>
                <w:kern w:val="0"/>
                <w:highlight w:val="none"/>
              </w:rPr>
            </w:pPr>
          </w:p>
        </w:tc>
      </w:tr>
      <w:tr w14:paraId="3AA361DC">
        <w:tblPrEx>
          <w:tblCellMar>
            <w:top w:w="0" w:type="dxa"/>
            <w:left w:w="0" w:type="dxa"/>
            <w:bottom w:w="0" w:type="dxa"/>
            <w:right w:w="0" w:type="dxa"/>
          </w:tblCellMar>
        </w:tblPrEx>
        <w:trPr>
          <w:trHeight w:val="624" w:hRule="exact"/>
        </w:trPr>
        <w:tc>
          <w:tcPr>
            <w:tcW w:w="2356" w:type="dxa"/>
            <w:tcBorders>
              <w:top w:val="single" w:color="000000" w:sz="4" w:space="0"/>
              <w:left w:val="single" w:color="000000" w:sz="4" w:space="0"/>
              <w:bottom w:val="single" w:color="000000" w:sz="4" w:space="0"/>
              <w:right w:val="single" w:color="000000" w:sz="4" w:space="0"/>
            </w:tcBorders>
            <w:vAlign w:val="center"/>
          </w:tcPr>
          <w:p w14:paraId="266ECE21">
            <w:pPr>
              <w:adjustRightInd w:val="0"/>
              <w:snapToGrid w:val="0"/>
              <w:spacing w:before="48" w:beforeLines="20" w:after="48" w:afterLines="20"/>
              <w:jc w:val="center"/>
              <w:rPr>
                <w:rFonts w:ascii="宋体" w:hAnsi="宋体"/>
                <w:snapToGrid w:val="0"/>
                <w:color w:val="auto"/>
                <w:kern w:val="0"/>
                <w:highlight w:val="none"/>
              </w:rPr>
            </w:pPr>
            <w:r>
              <w:rPr>
                <w:rFonts w:hint="eastAsia" w:ascii="宋体" w:hAnsi="宋体" w:cs="Arial Unicode MS"/>
                <w:snapToGrid w:val="0"/>
                <w:color w:val="auto"/>
                <w:kern w:val="0"/>
                <w:highlight w:val="none"/>
              </w:rPr>
              <w:t>备注</w:t>
            </w:r>
          </w:p>
        </w:tc>
        <w:tc>
          <w:tcPr>
            <w:tcW w:w="5785" w:type="dxa"/>
            <w:tcBorders>
              <w:top w:val="single" w:color="000000" w:sz="4" w:space="0"/>
              <w:left w:val="single" w:color="000000" w:sz="4" w:space="0"/>
              <w:bottom w:val="single" w:color="000000" w:sz="4" w:space="0"/>
              <w:right w:val="single" w:color="000000" w:sz="4" w:space="0"/>
            </w:tcBorders>
            <w:vAlign w:val="center"/>
          </w:tcPr>
          <w:p w14:paraId="46CD2689">
            <w:pPr>
              <w:adjustRightInd w:val="0"/>
              <w:snapToGrid w:val="0"/>
              <w:spacing w:before="48" w:beforeLines="20" w:after="48" w:afterLines="20"/>
              <w:jc w:val="center"/>
              <w:rPr>
                <w:rFonts w:ascii="宋体" w:hAnsi="宋体"/>
                <w:snapToGrid w:val="0"/>
                <w:color w:val="auto"/>
                <w:kern w:val="0"/>
                <w:highlight w:val="none"/>
              </w:rPr>
            </w:pPr>
          </w:p>
        </w:tc>
      </w:tr>
    </w:tbl>
    <w:p w14:paraId="5DF45FF2">
      <w:pPr>
        <w:pStyle w:val="92"/>
        <w:spacing w:before="0" w:beforeLines="0" w:after="0" w:afterLines="0"/>
        <w:outlineLvl w:val="0"/>
        <w:rPr>
          <w:b/>
          <w:snapToGrid w:val="0"/>
          <w:color w:val="auto"/>
          <w:kern w:val="0"/>
          <w:highlight w:val="none"/>
        </w:rPr>
      </w:pPr>
      <w:r>
        <w:rPr>
          <w:rFonts w:ascii="宋体" w:hAnsi="宋体" w:eastAsia="宋体"/>
          <w:snapToGrid w:val="0"/>
          <w:color w:val="auto"/>
          <w:kern w:val="0"/>
          <w:highlight w:val="none"/>
        </w:rPr>
        <w:br w:type="page"/>
      </w:r>
      <w:bookmarkStart w:id="819" w:name="_Toc346269523"/>
      <w:bookmarkStart w:id="820" w:name="_Toc335722024"/>
      <w:bookmarkStart w:id="821" w:name="_Toc335660944"/>
      <w:bookmarkStart w:id="822" w:name="_Toc488649946"/>
      <w:r>
        <w:rPr>
          <w:rFonts w:hint="eastAsia" w:ascii="宋体" w:hAnsi="宋体"/>
          <w:snapToGrid w:val="0"/>
          <w:color w:val="auto"/>
          <w:kern w:val="0"/>
          <w:highlight w:val="none"/>
        </w:rPr>
        <w:t>8</w:t>
      </w:r>
      <w:r>
        <w:rPr>
          <w:rFonts w:hint="eastAsia" w:ascii="宋体" w:hAnsi="宋体" w:eastAsia="宋体"/>
          <w:b/>
          <w:snapToGrid w:val="0"/>
          <w:color w:val="auto"/>
          <w:kern w:val="0"/>
          <w:highlight w:val="none"/>
        </w:rPr>
        <w:t xml:space="preserve">. </w:t>
      </w:r>
      <w:bookmarkEnd w:id="819"/>
      <w:bookmarkEnd w:id="820"/>
      <w:bookmarkEnd w:id="821"/>
      <w:bookmarkStart w:id="823" w:name="_Toc346269524"/>
      <w:bookmarkStart w:id="824" w:name="_Toc335722025"/>
      <w:bookmarkStart w:id="825" w:name="_Toc335660945"/>
      <w:r>
        <w:rPr>
          <w:rFonts w:hint="eastAsia"/>
          <w:b/>
          <w:snapToGrid w:val="0"/>
          <w:color w:val="auto"/>
          <w:kern w:val="0"/>
          <w:highlight w:val="none"/>
        </w:rPr>
        <w:t>参加本项目的主要人员资历表</w:t>
      </w:r>
      <w:bookmarkEnd w:id="822"/>
    </w:p>
    <w:bookmarkEnd w:id="823"/>
    <w:bookmarkEnd w:id="824"/>
    <w:bookmarkEnd w:id="825"/>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4"/>
        <w:gridCol w:w="908"/>
        <w:gridCol w:w="563"/>
        <w:gridCol w:w="533"/>
        <w:gridCol w:w="533"/>
        <w:gridCol w:w="567"/>
        <w:gridCol w:w="1071"/>
        <w:gridCol w:w="572"/>
        <w:gridCol w:w="838"/>
        <w:gridCol w:w="740"/>
        <w:gridCol w:w="277"/>
        <w:gridCol w:w="509"/>
        <w:gridCol w:w="1394"/>
      </w:tblGrid>
      <w:tr w14:paraId="78E4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29" w:type="dxa"/>
            <w:gridSpan w:val="13"/>
            <w:vAlign w:val="center"/>
          </w:tcPr>
          <w:p w14:paraId="6679687B">
            <w:pPr>
              <w:jc w:val="center"/>
              <w:rPr>
                <w:rFonts w:ascii="宋体" w:hAnsi="宋体"/>
                <w:snapToGrid w:val="0"/>
                <w:color w:val="auto"/>
                <w:kern w:val="0"/>
                <w:highlight w:val="none"/>
              </w:rPr>
            </w:pPr>
            <w:r>
              <w:rPr>
                <w:rFonts w:hint="eastAsia" w:ascii="宋体" w:hAnsi="宋体"/>
                <w:snapToGrid w:val="0"/>
                <w:color w:val="auto"/>
                <w:kern w:val="0"/>
                <w:highlight w:val="none"/>
              </w:rPr>
              <w:t>一般情况</w:t>
            </w:r>
          </w:p>
        </w:tc>
      </w:tr>
      <w:tr w14:paraId="4997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24" w:type="dxa"/>
            <w:vAlign w:val="center"/>
          </w:tcPr>
          <w:p w14:paraId="54E38245">
            <w:pPr>
              <w:jc w:val="center"/>
              <w:rPr>
                <w:rFonts w:ascii="宋体" w:hAnsi="宋体"/>
                <w:snapToGrid w:val="0"/>
                <w:color w:val="auto"/>
                <w:kern w:val="0"/>
                <w:highlight w:val="none"/>
              </w:rPr>
            </w:pPr>
            <w:r>
              <w:rPr>
                <w:rFonts w:hint="eastAsia" w:ascii="宋体" w:hAnsi="宋体"/>
                <w:snapToGrid w:val="0"/>
                <w:color w:val="auto"/>
                <w:kern w:val="0"/>
                <w:highlight w:val="none"/>
              </w:rPr>
              <w:t>姓名</w:t>
            </w:r>
          </w:p>
        </w:tc>
        <w:tc>
          <w:tcPr>
            <w:tcW w:w="908" w:type="dxa"/>
            <w:vAlign w:val="center"/>
          </w:tcPr>
          <w:p w14:paraId="3C325826">
            <w:pPr>
              <w:jc w:val="center"/>
              <w:rPr>
                <w:rFonts w:ascii="宋体" w:hAnsi="宋体"/>
                <w:snapToGrid w:val="0"/>
                <w:color w:val="auto"/>
                <w:kern w:val="0"/>
                <w:highlight w:val="none"/>
              </w:rPr>
            </w:pPr>
          </w:p>
        </w:tc>
        <w:tc>
          <w:tcPr>
            <w:tcW w:w="563" w:type="dxa"/>
            <w:vAlign w:val="center"/>
          </w:tcPr>
          <w:p w14:paraId="3D4BE27B">
            <w:pPr>
              <w:jc w:val="center"/>
              <w:rPr>
                <w:rFonts w:ascii="宋体" w:hAnsi="宋体"/>
                <w:snapToGrid w:val="0"/>
                <w:color w:val="auto"/>
                <w:kern w:val="0"/>
                <w:highlight w:val="none"/>
              </w:rPr>
            </w:pPr>
            <w:r>
              <w:rPr>
                <w:rFonts w:hint="eastAsia" w:ascii="宋体" w:hAnsi="宋体"/>
                <w:snapToGrid w:val="0"/>
                <w:color w:val="auto"/>
                <w:kern w:val="0"/>
                <w:highlight w:val="none"/>
              </w:rPr>
              <w:t>性别</w:t>
            </w:r>
          </w:p>
        </w:tc>
        <w:tc>
          <w:tcPr>
            <w:tcW w:w="1066" w:type="dxa"/>
            <w:gridSpan w:val="2"/>
            <w:vAlign w:val="center"/>
          </w:tcPr>
          <w:p w14:paraId="24A43D8F">
            <w:pPr>
              <w:jc w:val="center"/>
              <w:rPr>
                <w:rFonts w:ascii="宋体" w:hAnsi="宋体"/>
                <w:snapToGrid w:val="0"/>
                <w:color w:val="auto"/>
                <w:kern w:val="0"/>
                <w:highlight w:val="none"/>
              </w:rPr>
            </w:pPr>
          </w:p>
        </w:tc>
        <w:tc>
          <w:tcPr>
            <w:tcW w:w="567" w:type="dxa"/>
            <w:vAlign w:val="center"/>
          </w:tcPr>
          <w:p w14:paraId="5345F919">
            <w:pPr>
              <w:jc w:val="center"/>
              <w:rPr>
                <w:rFonts w:ascii="宋体" w:hAnsi="宋体"/>
                <w:snapToGrid w:val="0"/>
                <w:color w:val="auto"/>
                <w:kern w:val="0"/>
                <w:highlight w:val="none"/>
              </w:rPr>
            </w:pPr>
            <w:r>
              <w:rPr>
                <w:rFonts w:hint="eastAsia" w:ascii="宋体" w:hAnsi="宋体"/>
                <w:snapToGrid w:val="0"/>
                <w:color w:val="auto"/>
                <w:kern w:val="0"/>
                <w:highlight w:val="none"/>
              </w:rPr>
              <w:t>年龄</w:t>
            </w:r>
          </w:p>
        </w:tc>
        <w:tc>
          <w:tcPr>
            <w:tcW w:w="1071" w:type="dxa"/>
            <w:vAlign w:val="center"/>
          </w:tcPr>
          <w:p w14:paraId="7CAC12E1">
            <w:pPr>
              <w:jc w:val="center"/>
              <w:rPr>
                <w:rFonts w:ascii="宋体" w:hAnsi="宋体"/>
                <w:snapToGrid w:val="0"/>
                <w:color w:val="auto"/>
                <w:kern w:val="0"/>
                <w:highlight w:val="none"/>
              </w:rPr>
            </w:pPr>
          </w:p>
        </w:tc>
        <w:tc>
          <w:tcPr>
            <w:tcW w:w="572" w:type="dxa"/>
            <w:vAlign w:val="center"/>
          </w:tcPr>
          <w:p w14:paraId="3A1217AB">
            <w:pPr>
              <w:jc w:val="center"/>
              <w:rPr>
                <w:rFonts w:ascii="宋体" w:hAnsi="宋体"/>
                <w:snapToGrid w:val="0"/>
                <w:color w:val="auto"/>
                <w:kern w:val="0"/>
                <w:highlight w:val="none"/>
              </w:rPr>
            </w:pPr>
            <w:r>
              <w:rPr>
                <w:rFonts w:hint="eastAsia" w:ascii="宋体" w:hAnsi="宋体"/>
                <w:snapToGrid w:val="0"/>
                <w:color w:val="auto"/>
                <w:kern w:val="0"/>
                <w:highlight w:val="none"/>
              </w:rPr>
              <w:t>学位</w:t>
            </w:r>
          </w:p>
        </w:tc>
        <w:tc>
          <w:tcPr>
            <w:tcW w:w="838" w:type="dxa"/>
            <w:vAlign w:val="center"/>
          </w:tcPr>
          <w:p w14:paraId="78A06E73">
            <w:pPr>
              <w:jc w:val="center"/>
              <w:rPr>
                <w:rFonts w:ascii="宋体" w:hAnsi="宋体"/>
                <w:snapToGrid w:val="0"/>
                <w:color w:val="auto"/>
                <w:kern w:val="0"/>
                <w:highlight w:val="none"/>
              </w:rPr>
            </w:pPr>
          </w:p>
        </w:tc>
        <w:tc>
          <w:tcPr>
            <w:tcW w:w="1526" w:type="dxa"/>
            <w:gridSpan w:val="3"/>
            <w:vAlign w:val="center"/>
          </w:tcPr>
          <w:p w14:paraId="65D69FDD">
            <w:pPr>
              <w:jc w:val="center"/>
              <w:rPr>
                <w:rFonts w:ascii="宋体" w:hAnsi="宋体"/>
                <w:snapToGrid w:val="0"/>
                <w:color w:val="auto"/>
                <w:kern w:val="0"/>
                <w:highlight w:val="none"/>
              </w:rPr>
            </w:pPr>
            <w:r>
              <w:rPr>
                <w:rFonts w:hint="eastAsia" w:ascii="宋体" w:hAnsi="宋体"/>
                <w:snapToGrid w:val="0"/>
                <w:color w:val="auto"/>
                <w:kern w:val="0"/>
                <w:highlight w:val="none"/>
              </w:rPr>
              <w:t>身份证号码</w:t>
            </w:r>
          </w:p>
        </w:tc>
        <w:tc>
          <w:tcPr>
            <w:tcW w:w="1394" w:type="dxa"/>
            <w:vAlign w:val="center"/>
          </w:tcPr>
          <w:p w14:paraId="398D878B">
            <w:pPr>
              <w:jc w:val="center"/>
              <w:rPr>
                <w:rFonts w:ascii="宋体" w:hAnsi="宋体"/>
                <w:snapToGrid w:val="0"/>
                <w:color w:val="auto"/>
                <w:kern w:val="0"/>
                <w:highlight w:val="none"/>
              </w:rPr>
            </w:pPr>
          </w:p>
        </w:tc>
      </w:tr>
      <w:tr w14:paraId="3AEE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24" w:type="dxa"/>
            <w:vAlign w:val="center"/>
          </w:tcPr>
          <w:p w14:paraId="6F9033C8">
            <w:pPr>
              <w:jc w:val="center"/>
              <w:rPr>
                <w:rFonts w:ascii="宋体" w:hAnsi="宋体"/>
                <w:snapToGrid w:val="0"/>
                <w:color w:val="auto"/>
                <w:kern w:val="0"/>
                <w:highlight w:val="none"/>
              </w:rPr>
            </w:pPr>
            <w:r>
              <w:rPr>
                <w:rFonts w:hint="eastAsia" w:ascii="宋体" w:hAnsi="宋体"/>
                <w:snapToGrid w:val="0"/>
                <w:color w:val="auto"/>
                <w:kern w:val="0"/>
                <w:highlight w:val="none"/>
              </w:rPr>
              <w:t>学历</w:t>
            </w:r>
          </w:p>
        </w:tc>
        <w:tc>
          <w:tcPr>
            <w:tcW w:w="2004" w:type="dxa"/>
            <w:gridSpan w:val="3"/>
            <w:vAlign w:val="center"/>
          </w:tcPr>
          <w:p w14:paraId="704EFB6F">
            <w:pPr>
              <w:ind w:firstLine="840" w:firstLineChars="400"/>
              <w:rPr>
                <w:rFonts w:ascii="宋体" w:hAnsi="宋体"/>
                <w:snapToGrid w:val="0"/>
                <w:color w:val="auto"/>
                <w:kern w:val="0"/>
                <w:highlight w:val="none"/>
              </w:rPr>
            </w:pPr>
          </w:p>
        </w:tc>
        <w:tc>
          <w:tcPr>
            <w:tcW w:w="1100" w:type="dxa"/>
            <w:gridSpan w:val="2"/>
            <w:vAlign w:val="center"/>
          </w:tcPr>
          <w:p w14:paraId="160F4F2F">
            <w:pPr>
              <w:rPr>
                <w:rFonts w:ascii="宋体" w:hAnsi="宋体"/>
                <w:snapToGrid w:val="0"/>
                <w:color w:val="auto"/>
                <w:kern w:val="0"/>
                <w:highlight w:val="none"/>
              </w:rPr>
            </w:pPr>
            <w:r>
              <w:rPr>
                <w:rFonts w:hint="eastAsia" w:ascii="宋体" w:hAnsi="宋体"/>
                <w:snapToGrid w:val="0"/>
                <w:color w:val="auto"/>
                <w:kern w:val="0"/>
                <w:highlight w:val="none"/>
              </w:rPr>
              <w:t>毕业学校</w:t>
            </w:r>
          </w:p>
        </w:tc>
        <w:tc>
          <w:tcPr>
            <w:tcW w:w="2481" w:type="dxa"/>
            <w:gridSpan w:val="3"/>
            <w:vAlign w:val="center"/>
          </w:tcPr>
          <w:p w14:paraId="1AB29F2F">
            <w:pPr>
              <w:rPr>
                <w:rFonts w:ascii="宋体" w:hAnsi="宋体"/>
                <w:snapToGrid w:val="0"/>
                <w:color w:val="auto"/>
                <w:kern w:val="0"/>
                <w:highlight w:val="none"/>
              </w:rPr>
            </w:pPr>
          </w:p>
        </w:tc>
        <w:tc>
          <w:tcPr>
            <w:tcW w:w="740" w:type="dxa"/>
            <w:vAlign w:val="center"/>
          </w:tcPr>
          <w:p w14:paraId="44D0B60B">
            <w:pPr>
              <w:rPr>
                <w:rFonts w:ascii="宋体" w:hAnsi="宋体"/>
                <w:snapToGrid w:val="0"/>
                <w:color w:val="auto"/>
                <w:kern w:val="0"/>
                <w:highlight w:val="none"/>
              </w:rPr>
            </w:pPr>
            <w:r>
              <w:rPr>
                <w:rFonts w:hint="eastAsia" w:ascii="宋体" w:hAnsi="宋体"/>
                <w:snapToGrid w:val="0"/>
                <w:color w:val="auto"/>
                <w:kern w:val="0"/>
                <w:highlight w:val="none"/>
              </w:rPr>
              <w:t>专业</w:t>
            </w:r>
          </w:p>
        </w:tc>
        <w:tc>
          <w:tcPr>
            <w:tcW w:w="2180" w:type="dxa"/>
            <w:gridSpan w:val="3"/>
            <w:vAlign w:val="center"/>
          </w:tcPr>
          <w:p w14:paraId="6C8D4A97">
            <w:pPr>
              <w:rPr>
                <w:rFonts w:ascii="宋体" w:hAnsi="宋体"/>
                <w:snapToGrid w:val="0"/>
                <w:color w:val="auto"/>
                <w:kern w:val="0"/>
                <w:highlight w:val="none"/>
              </w:rPr>
            </w:pPr>
          </w:p>
        </w:tc>
      </w:tr>
      <w:tr w14:paraId="09CE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24" w:type="dxa"/>
            <w:vAlign w:val="center"/>
          </w:tcPr>
          <w:p w14:paraId="11C96965">
            <w:pPr>
              <w:jc w:val="center"/>
              <w:rPr>
                <w:rFonts w:ascii="宋体" w:hAnsi="宋体"/>
                <w:snapToGrid w:val="0"/>
                <w:color w:val="auto"/>
                <w:kern w:val="0"/>
                <w:highlight w:val="none"/>
              </w:rPr>
            </w:pPr>
            <w:r>
              <w:rPr>
                <w:rFonts w:hint="eastAsia" w:ascii="宋体" w:hAnsi="宋体"/>
                <w:snapToGrid w:val="0"/>
                <w:color w:val="auto"/>
                <w:kern w:val="0"/>
                <w:highlight w:val="none"/>
              </w:rPr>
              <w:t>职称</w:t>
            </w:r>
          </w:p>
        </w:tc>
        <w:tc>
          <w:tcPr>
            <w:tcW w:w="908" w:type="dxa"/>
            <w:vAlign w:val="center"/>
          </w:tcPr>
          <w:p w14:paraId="1594354A">
            <w:pPr>
              <w:jc w:val="center"/>
              <w:rPr>
                <w:rFonts w:ascii="宋体" w:hAnsi="宋体"/>
                <w:snapToGrid w:val="0"/>
                <w:color w:val="auto"/>
                <w:kern w:val="0"/>
                <w:highlight w:val="none"/>
              </w:rPr>
            </w:pPr>
          </w:p>
        </w:tc>
        <w:tc>
          <w:tcPr>
            <w:tcW w:w="1096" w:type="dxa"/>
            <w:gridSpan w:val="2"/>
            <w:vAlign w:val="center"/>
          </w:tcPr>
          <w:p w14:paraId="4D5D75D4">
            <w:pPr>
              <w:jc w:val="center"/>
              <w:rPr>
                <w:rFonts w:ascii="宋体" w:hAnsi="宋体"/>
                <w:snapToGrid w:val="0"/>
                <w:color w:val="auto"/>
                <w:kern w:val="0"/>
                <w:highlight w:val="none"/>
              </w:rPr>
            </w:pPr>
            <w:r>
              <w:rPr>
                <w:rFonts w:hint="eastAsia" w:ascii="宋体" w:hAnsi="宋体"/>
                <w:snapToGrid w:val="0"/>
                <w:color w:val="auto"/>
                <w:kern w:val="0"/>
                <w:highlight w:val="none"/>
              </w:rPr>
              <w:t>执业资格</w:t>
            </w:r>
          </w:p>
        </w:tc>
        <w:tc>
          <w:tcPr>
            <w:tcW w:w="1100" w:type="dxa"/>
            <w:gridSpan w:val="2"/>
            <w:vAlign w:val="center"/>
          </w:tcPr>
          <w:p w14:paraId="1DDA7BCB">
            <w:pPr>
              <w:widowControl/>
              <w:jc w:val="center"/>
              <w:rPr>
                <w:rFonts w:ascii="宋体" w:hAnsi="宋体"/>
                <w:snapToGrid w:val="0"/>
                <w:color w:val="auto"/>
                <w:kern w:val="0"/>
                <w:highlight w:val="none"/>
              </w:rPr>
            </w:pPr>
          </w:p>
          <w:p w14:paraId="2F29AB33">
            <w:pPr>
              <w:jc w:val="center"/>
              <w:rPr>
                <w:rFonts w:ascii="宋体" w:hAnsi="宋体"/>
                <w:snapToGrid w:val="0"/>
                <w:color w:val="auto"/>
                <w:kern w:val="0"/>
                <w:highlight w:val="none"/>
              </w:rPr>
            </w:pPr>
          </w:p>
        </w:tc>
        <w:tc>
          <w:tcPr>
            <w:tcW w:w="1643" w:type="dxa"/>
            <w:gridSpan w:val="2"/>
            <w:vAlign w:val="center"/>
          </w:tcPr>
          <w:p w14:paraId="3A79DEE6">
            <w:pPr>
              <w:jc w:val="center"/>
              <w:rPr>
                <w:rFonts w:ascii="宋体" w:hAnsi="宋体"/>
                <w:snapToGrid w:val="0"/>
                <w:color w:val="auto"/>
                <w:kern w:val="0"/>
                <w:highlight w:val="none"/>
              </w:rPr>
            </w:pPr>
            <w:r>
              <w:rPr>
                <w:rFonts w:hint="eastAsia" w:ascii="宋体" w:hAnsi="宋体"/>
                <w:snapToGrid w:val="0"/>
                <w:color w:val="auto"/>
                <w:kern w:val="0"/>
                <w:highlight w:val="none"/>
              </w:rPr>
              <w:t>服务投标人</w:t>
            </w:r>
          </w:p>
          <w:p w14:paraId="7B58E50C">
            <w:pPr>
              <w:jc w:val="center"/>
              <w:rPr>
                <w:rFonts w:ascii="宋体" w:hAnsi="宋体"/>
                <w:snapToGrid w:val="0"/>
                <w:color w:val="auto"/>
                <w:kern w:val="0"/>
                <w:highlight w:val="none"/>
              </w:rPr>
            </w:pPr>
            <w:r>
              <w:rPr>
                <w:rFonts w:hint="eastAsia" w:ascii="宋体" w:hAnsi="宋体"/>
                <w:snapToGrid w:val="0"/>
                <w:color w:val="auto"/>
                <w:kern w:val="0"/>
                <w:highlight w:val="none"/>
              </w:rPr>
              <w:t>时间（年）</w:t>
            </w:r>
          </w:p>
        </w:tc>
        <w:tc>
          <w:tcPr>
            <w:tcW w:w="838" w:type="dxa"/>
            <w:vAlign w:val="center"/>
          </w:tcPr>
          <w:p w14:paraId="003612A2">
            <w:pPr>
              <w:jc w:val="center"/>
              <w:rPr>
                <w:rFonts w:ascii="宋体" w:hAnsi="宋体"/>
                <w:snapToGrid w:val="0"/>
                <w:color w:val="auto"/>
                <w:kern w:val="0"/>
                <w:highlight w:val="none"/>
              </w:rPr>
            </w:pPr>
          </w:p>
        </w:tc>
        <w:tc>
          <w:tcPr>
            <w:tcW w:w="1526" w:type="dxa"/>
            <w:gridSpan w:val="3"/>
            <w:vAlign w:val="center"/>
          </w:tcPr>
          <w:p w14:paraId="4E212ED1">
            <w:pPr>
              <w:jc w:val="center"/>
              <w:rPr>
                <w:rFonts w:ascii="宋体" w:hAnsi="宋体"/>
                <w:snapToGrid w:val="0"/>
                <w:color w:val="auto"/>
                <w:kern w:val="0"/>
                <w:highlight w:val="none"/>
              </w:rPr>
            </w:pPr>
            <w:r>
              <w:rPr>
                <w:rFonts w:hint="eastAsia" w:ascii="宋体" w:hAnsi="宋体"/>
                <w:snapToGrid w:val="0"/>
                <w:color w:val="auto"/>
                <w:kern w:val="0"/>
                <w:highlight w:val="none"/>
              </w:rPr>
              <w:t>在本项目任职</w:t>
            </w:r>
          </w:p>
        </w:tc>
        <w:tc>
          <w:tcPr>
            <w:tcW w:w="1394" w:type="dxa"/>
            <w:vAlign w:val="center"/>
          </w:tcPr>
          <w:p w14:paraId="36752F56">
            <w:pPr>
              <w:jc w:val="center"/>
              <w:rPr>
                <w:rFonts w:ascii="宋体" w:hAnsi="宋体"/>
                <w:snapToGrid w:val="0"/>
                <w:color w:val="auto"/>
                <w:kern w:val="0"/>
                <w:highlight w:val="none"/>
              </w:rPr>
            </w:pPr>
          </w:p>
        </w:tc>
      </w:tr>
      <w:tr w14:paraId="07DA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29" w:type="dxa"/>
            <w:gridSpan w:val="13"/>
            <w:vAlign w:val="center"/>
          </w:tcPr>
          <w:p w14:paraId="31202B1A">
            <w:pPr>
              <w:jc w:val="center"/>
              <w:rPr>
                <w:rFonts w:ascii="宋体" w:hAnsi="宋体"/>
                <w:snapToGrid w:val="0"/>
                <w:color w:val="auto"/>
                <w:kern w:val="0"/>
                <w:highlight w:val="none"/>
              </w:rPr>
            </w:pPr>
            <w:r>
              <w:rPr>
                <w:rFonts w:hint="eastAsia" w:ascii="宋体" w:hAnsi="宋体"/>
                <w:snapToGrid w:val="0"/>
                <w:color w:val="auto"/>
                <w:kern w:val="0"/>
                <w:highlight w:val="none"/>
              </w:rPr>
              <w:t>经历</w:t>
            </w:r>
          </w:p>
        </w:tc>
      </w:tr>
      <w:tr w14:paraId="2D2A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724" w:type="dxa"/>
            <w:vAlign w:val="center"/>
          </w:tcPr>
          <w:p w14:paraId="182010A1">
            <w:pPr>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时间</w:t>
            </w:r>
          </w:p>
        </w:tc>
        <w:tc>
          <w:tcPr>
            <w:tcW w:w="4747" w:type="dxa"/>
            <w:gridSpan w:val="7"/>
            <w:vAlign w:val="center"/>
          </w:tcPr>
          <w:p w14:paraId="5CC4CEE4">
            <w:pPr>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负责过的主要工程</w:t>
            </w:r>
          </w:p>
          <w:p w14:paraId="6C5F0F7E">
            <w:pPr>
              <w:jc w:val="center"/>
              <w:rPr>
                <w:rFonts w:ascii="宋体" w:hAnsi="宋体"/>
                <w:snapToGrid w:val="0"/>
                <w:color w:val="auto"/>
                <w:kern w:val="0"/>
                <w:szCs w:val="21"/>
                <w:highlight w:val="none"/>
              </w:rPr>
            </w:pPr>
            <w:r>
              <w:rPr>
                <w:rFonts w:ascii="宋体" w:hAnsi="宋体" w:cs="Arial"/>
                <w:snapToGrid w:val="0"/>
                <w:color w:val="auto"/>
                <w:kern w:val="0"/>
                <w:szCs w:val="21"/>
                <w:highlight w:val="none"/>
              </w:rPr>
              <w:t>（ 项目类型、规模、内容等）</w:t>
            </w:r>
          </w:p>
        </w:tc>
        <w:tc>
          <w:tcPr>
            <w:tcW w:w="1855" w:type="dxa"/>
            <w:gridSpan w:val="3"/>
            <w:vAlign w:val="center"/>
          </w:tcPr>
          <w:p w14:paraId="1BE792CE">
            <w:pPr>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在该项目中任职</w:t>
            </w:r>
          </w:p>
        </w:tc>
        <w:tc>
          <w:tcPr>
            <w:tcW w:w="1903" w:type="dxa"/>
            <w:gridSpan w:val="2"/>
            <w:vAlign w:val="center"/>
          </w:tcPr>
          <w:p w14:paraId="42816D92">
            <w:pPr>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备注</w:t>
            </w:r>
          </w:p>
          <w:p w14:paraId="4D2C5534">
            <w:pPr>
              <w:jc w:val="center"/>
              <w:rPr>
                <w:rFonts w:ascii="宋体" w:hAnsi="宋体"/>
                <w:snapToGrid w:val="0"/>
                <w:color w:val="auto"/>
                <w:kern w:val="0"/>
                <w:szCs w:val="21"/>
                <w:highlight w:val="none"/>
              </w:rPr>
            </w:pPr>
            <w:r>
              <w:rPr>
                <w:rFonts w:ascii="宋体" w:hAnsi="宋体" w:cs="Arial"/>
                <w:snapToGrid w:val="0"/>
                <w:color w:val="auto"/>
                <w:kern w:val="0"/>
                <w:szCs w:val="21"/>
                <w:highlight w:val="none"/>
              </w:rPr>
              <w:t>（完成情况及获奖）</w:t>
            </w:r>
          </w:p>
        </w:tc>
      </w:tr>
      <w:tr w14:paraId="7899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2" w:hRule="atLeast"/>
        </w:trPr>
        <w:tc>
          <w:tcPr>
            <w:tcW w:w="724" w:type="dxa"/>
            <w:vAlign w:val="center"/>
          </w:tcPr>
          <w:p w14:paraId="21D3D321">
            <w:pPr>
              <w:rPr>
                <w:rFonts w:ascii="宋体" w:hAnsi="宋体"/>
                <w:snapToGrid w:val="0"/>
                <w:color w:val="auto"/>
                <w:kern w:val="0"/>
                <w:highlight w:val="none"/>
              </w:rPr>
            </w:pPr>
          </w:p>
        </w:tc>
        <w:tc>
          <w:tcPr>
            <w:tcW w:w="4747" w:type="dxa"/>
            <w:gridSpan w:val="7"/>
            <w:vAlign w:val="center"/>
          </w:tcPr>
          <w:p w14:paraId="4A016124">
            <w:pPr>
              <w:rPr>
                <w:rFonts w:ascii="宋体" w:hAnsi="宋体"/>
                <w:snapToGrid w:val="0"/>
                <w:color w:val="auto"/>
                <w:kern w:val="0"/>
                <w:highlight w:val="none"/>
              </w:rPr>
            </w:pPr>
          </w:p>
        </w:tc>
        <w:tc>
          <w:tcPr>
            <w:tcW w:w="1855" w:type="dxa"/>
            <w:gridSpan w:val="3"/>
            <w:vAlign w:val="center"/>
          </w:tcPr>
          <w:p w14:paraId="630688DD">
            <w:pPr>
              <w:rPr>
                <w:rFonts w:ascii="宋体" w:hAnsi="宋体"/>
                <w:snapToGrid w:val="0"/>
                <w:color w:val="auto"/>
                <w:kern w:val="0"/>
                <w:highlight w:val="none"/>
              </w:rPr>
            </w:pPr>
          </w:p>
        </w:tc>
        <w:tc>
          <w:tcPr>
            <w:tcW w:w="1903" w:type="dxa"/>
            <w:gridSpan w:val="2"/>
            <w:vAlign w:val="center"/>
          </w:tcPr>
          <w:p w14:paraId="7DDEFB08">
            <w:pPr>
              <w:rPr>
                <w:rFonts w:ascii="宋体" w:hAnsi="宋体"/>
                <w:snapToGrid w:val="0"/>
                <w:color w:val="auto"/>
                <w:kern w:val="0"/>
                <w:highlight w:val="none"/>
              </w:rPr>
            </w:pPr>
          </w:p>
        </w:tc>
      </w:tr>
      <w:tr w14:paraId="187A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29" w:type="dxa"/>
            <w:gridSpan w:val="13"/>
            <w:vAlign w:val="center"/>
          </w:tcPr>
          <w:p w14:paraId="3B3E153D">
            <w:pPr>
              <w:jc w:val="center"/>
              <w:rPr>
                <w:rFonts w:ascii="宋体" w:hAnsi="宋体"/>
                <w:snapToGrid w:val="0"/>
                <w:color w:val="auto"/>
                <w:kern w:val="0"/>
                <w:highlight w:val="none"/>
              </w:rPr>
            </w:pPr>
            <w:r>
              <w:rPr>
                <w:rFonts w:hint="eastAsia" w:ascii="宋体" w:hAnsi="宋体"/>
                <w:snapToGrid w:val="0"/>
                <w:color w:val="auto"/>
                <w:kern w:val="0"/>
                <w:highlight w:val="none"/>
              </w:rPr>
              <w:t>获奖情况</w:t>
            </w:r>
          </w:p>
        </w:tc>
      </w:tr>
      <w:tr w14:paraId="4A13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8" w:hRule="atLeast"/>
        </w:trPr>
        <w:tc>
          <w:tcPr>
            <w:tcW w:w="9229" w:type="dxa"/>
            <w:gridSpan w:val="13"/>
            <w:vAlign w:val="center"/>
          </w:tcPr>
          <w:p w14:paraId="3DF46301">
            <w:pPr>
              <w:rPr>
                <w:rFonts w:ascii="宋体" w:hAnsi="宋体"/>
                <w:snapToGrid w:val="0"/>
                <w:color w:val="auto"/>
                <w:kern w:val="0"/>
                <w:highlight w:val="none"/>
              </w:rPr>
            </w:pPr>
          </w:p>
        </w:tc>
      </w:tr>
      <w:tr w14:paraId="7219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9229" w:type="dxa"/>
            <w:gridSpan w:val="13"/>
            <w:vAlign w:val="center"/>
          </w:tcPr>
          <w:p w14:paraId="2D331947">
            <w:pPr>
              <w:jc w:val="center"/>
              <w:rPr>
                <w:rFonts w:ascii="宋体" w:hAnsi="宋体"/>
                <w:snapToGrid w:val="0"/>
                <w:color w:val="auto"/>
                <w:kern w:val="0"/>
                <w:highlight w:val="none"/>
              </w:rPr>
            </w:pPr>
            <w:r>
              <w:rPr>
                <w:rFonts w:hint="eastAsia" w:ascii="宋体" w:hAnsi="宋体"/>
                <w:snapToGrid w:val="0"/>
                <w:color w:val="auto"/>
                <w:kern w:val="0"/>
                <w:highlight w:val="none"/>
              </w:rPr>
              <w:t>目前承担的项目</w:t>
            </w:r>
          </w:p>
        </w:tc>
      </w:tr>
      <w:tr w14:paraId="4DA9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9229" w:type="dxa"/>
            <w:gridSpan w:val="13"/>
            <w:vAlign w:val="center"/>
          </w:tcPr>
          <w:p w14:paraId="26982765">
            <w:pPr>
              <w:rPr>
                <w:rFonts w:ascii="宋体" w:hAnsi="宋体"/>
                <w:snapToGrid w:val="0"/>
                <w:color w:val="auto"/>
                <w:kern w:val="0"/>
                <w:highlight w:val="none"/>
              </w:rPr>
            </w:pPr>
          </w:p>
        </w:tc>
      </w:tr>
    </w:tbl>
    <w:p w14:paraId="2D59084F">
      <w:pPr>
        <w:rPr>
          <w:rFonts w:ascii="宋体" w:hAnsi="宋体"/>
          <w:snapToGrid w:val="0"/>
          <w:color w:val="auto"/>
          <w:kern w:val="0"/>
          <w:highlight w:val="none"/>
        </w:rPr>
      </w:pPr>
    </w:p>
    <w:p w14:paraId="3E487A9C">
      <w:pPr>
        <w:snapToGrid w:val="0"/>
        <w:spacing w:line="360" w:lineRule="auto"/>
        <w:ind w:firstLine="420" w:firstLineChars="200"/>
        <w:rPr>
          <w:rFonts w:ascii="宋体" w:hAnsi="宋体"/>
          <w:snapToGrid w:val="0"/>
          <w:color w:val="auto"/>
          <w:kern w:val="0"/>
          <w:highlight w:val="none"/>
        </w:rPr>
      </w:pPr>
      <w:r>
        <w:rPr>
          <w:rFonts w:hint="eastAsia" w:ascii="宋体" w:hAnsi="宋体"/>
          <w:snapToGrid w:val="0"/>
          <w:color w:val="auto"/>
          <w:kern w:val="0"/>
          <w:highlight w:val="none"/>
        </w:rPr>
        <w:t>注：</w:t>
      </w:r>
      <w:r>
        <w:rPr>
          <w:rFonts w:ascii="宋体" w:hAnsi="宋体"/>
          <w:snapToGrid w:val="0"/>
          <w:color w:val="auto"/>
          <w:kern w:val="0"/>
          <w:highlight w:val="none"/>
        </w:rPr>
        <w:t>附身份证、职称证、执业资格证书</w:t>
      </w:r>
      <w:r>
        <w:rPr>
          <w:rFonts w:hint="eastAsia" w:ascii="宋体" w:hAnsi="宋体"/>
          <w:snapToGrid w:val="0"/>
          <w:color w:val="auto"/>
          <w:kern w:val="0"/>
          <w:highlight w:val="none"/>
        </w:rPr>
        <w:t>、社保缴费证明</w:t>
      </w:r>
      <w:r>
        <w:rPr>
          <w:rFonts w:ascii="宋体" w:hAnsi="宋体"/>
          <w:snapToGrid w:val="0"/>
          <w:color w:val="auto"/>
          <w:kern w:val="0"/>
          <w:highlight w:val="none"/>
        </w:rPr>
        <w:t>的扫描件。</w:t>
      </w:r>
      <w:r>
        <w:rPr>
          <w:rFonts w:hint="eastAsia" w:ascii="宋体" w:hAnsi="宋体"/>
          <w:snapToGrid w:val="0"/>
          <w:color w:val="auto"/>
          <w:kern w:val="0"/>
          <w:highlight w:val="none"/>
        </w:rPr>
        <w:t>所填报人员必须为投标人本企业在岗人员，并以社保机构或税务机关出具的最近连续三个月社保缴费证明所属单位为准（社保缴费证明：其证明资料可以是社保部门开具的资料，</w:t>
      </w:r>
      <w:r>
        <w:rPr>
          <w:rFonts w:hint="eastAsia" w:ascii="宋体" w:hAnsi="宋体"/>
          <w:bCs/>
          <w:color w:val="auto"/>
          <w:sz w:val="20"/>
          <w:szCs w:val="20"/>
          <w:highlight w:val="none"/>
        </w:rPr>
        <w:t>也可以是社会劳动保险或税务机关</w:t>
      </w:r>
      <w:r>
        <w:rPr>
          <w:rFonts w:hint="eastAsia" w:ascii="宋体" w:hAnsi="宋体"/>
          <w:snapToGrid w:val="0"/>
          <w:color w:val="auto"/>
          <w:kern w:val="0"/>
          <w:highlight w:val="none"/>
        </w:rPr>
        <w:t>公共服务平台的附带二维码及校验码的社保权益记录信息资料）；如投标人属事业单位改制，拟委派主要人员为事业身份的，由投标人上级主管部门出具书面证明材料。</w:t>
      </w:r>
      <w:r>
        <w:rPr>
          <w:rFonts w:ascii="宋体" w:hAnsi="宋体"/>
          <w:snapToGrid w:val="0"/>
          <w:color w:val="auto"/>
          <w:kern w:val="0"/>
          <w:highlight w:val="none"/>
        </w:rPr>
        <w:t>）</w:t>
      </w:r>
    </w:p>
    <w:p w14:paraId="2CAF28C9">
      <w:pPr>
        <w:adjustRightInd w:val="0"/>
        <w:rPr>
          <w:rFonts w:ascii="宋体" w:hAnsi="宋体" w:cs="Arial Unicode MS"/>
          <w:snapToGrid w:val="0"/>
          <w:color w:val="auto"/>
          <w:kern w:val="0"/>
          <w:sz w:val="20"/>
          <w:szCs w:val="20"/>
          <w:highlight w:val="none"/>
        </w:rPr>
      </w:pPr>
      <w:r>
        <w:rPr>
          <w:rFonts w:ascii="宋体" w:hAnsi="宋体"/>
          <w:snapToGrid w:val="0"/>
          <w:color w:val="auto"/>
          <w:kern w:val="0"/>
          <w:highlight w:val="none"/>
        </w:rPr>
        <w:br w:type="page"/>
      </w:r>
    </w:p>
    <w:p w14:paraId="0CE01B40">
      <w:pPr>
        <w:pStyle w:val="92"/>
        <w:outlineLvl w:val="0"/>
        <w:rPr>
          <w:rFonts w:ascii="宋体" w:hAnsi="宋体" w:eastAsia="宋体"/>
          <w:b/>
          <w:snapToGrid w:val="0"/>
          <w:color w:val="auto"/>
          <w:kern w:val="0"/>
          <w:highlight w:val="none"/>
        </w:rPr>
      </w:pPr>
      <w:bookmarkStart w:id="826" w:name="_Toc346269527"/>
      <w:bookmarkStart w:id="827" w:name="_Toc488649949"/>
      <w:bookmarkStart w:id="828" w:name="_Toc335660947"/>
      <w:bookmarkStart w:id="829" w:name="_Toc335722027"/>
      <w:bookmarkStart w:id="830" w:name="_Toc326241934"/>
      <w:r>
        <w:rPr>
          <w:rFonts w:hint="eastAsia" w:ascii="宋体" w:hAnsi="宋体" w:eastAsia="宋体"/>
          <w:b/>
          <w:snapToGrid w:val="0"/>
          <w:color w:val="auto"/>
          <w:kern w:val="0"/>
          <w:highlight w:val="none"/>
        </w:rPr>
        <w:t>9. 报价文件</w:t>
      </w:r>
      <w:bookmarkEnd w:id="826"/>
      <w:bookmarkEnd w:id="827"/>
      <w:bookmarkEnd w:id="828"/>
      <w:bookmarkEnd w:id="829"/>
    </w:p>
    <w:p w14:paraId="0CE369AC">
      <w:pPr>
        <w:pStyle w:val="5"/>
        <w:rPr>
          <w:rFonts w:ascii="宋体" w:hAnsi="宋体"/>
          <w:snapToGrid w:val="0"/>
          <w:color w:val="auto"/>
          <w:kern w:val="0"/>
          <w:highlight w:val="none"/>
        </w:rPr>
      </w:pPr>
      <w:bookmarkStart w:id="831" w:name="_Toc335660948"/>
      <w:bookmarkStart w:id="832" w:name="_Toc335722028"/>
      <w:bookmarkStart w:id="833" w:name="_Toc335660066"/>
    </w:p>
    <w:p w14:paraId="67CACA64">
      <w:pPr>
        <w:jc w:val="center"/>
        <w:rPr>
          <w:rFonts w:ascii="宋体" w:hAnsi="宋体"/>
          <w:snapToGrid w:val="0"/>
          <w:color w:val="auto"/>
          <w:kern w:val="0"/>
          <w:sz w:val="24"/>
          <w:highlight w:val="none"/>
        </w:rPr>
      </w:pPr>
      <w:r>
        <w:rPr>
          <w:rFonts w:hint="eastAsia" w:ascii="宋体" w:hAnsi="宋体"/>
          <w:snapToGrid w:val="0"/>
          <w:color w:val="auto"/>
          <w:kern w:val="0"/>
          <w:sz w:val="24"/>
          <w:highlight w:val="none"/>
        </w:rPr>
        <w:t>投标报价说明</w:t>
      </w:r>
      <w:bookmarkEnd w:id="830"/>
      <w:bookmarkEnd w:id="831"/>
      <w:bookmarkEnd w:id="832"/>
      <w:bookmarkEnd w:id="833"/>
    </w:p>
    <w:p w14:paraId="2C0BCBE1">
      <w:pPr>
        <w:rPr>
          <w:rFonts w:ascii="宋体" w:hAnsi="宋体"/>
          <w:color w:val="auto"/>
          <w:highlight w:val="none"/>
        </w:rPr>
      </w:pPr>
    </w:p>
    <w:p w14:paraId="5EA3BD6E">
      <w:pPr>
        <w:pStyle w:val="5"/>
        <w:rPr>
          <w:rFonts w:ascii="宋体" w:hAnsi="宋体"/>
          <w:snapToGrid w:val="0"/>
          <w:color w:val="auto"/>
          <w:kern w:val="0"/>
          <w:highlight w:val="none"/>
        </w:rPr>
      </w:pPr>
      <w:bookmarkStart w:id="834" w:name="_Toc335660949"/>
      <w:r>
        <w:rPr>
          <w:rFonts w:hint="eastAsia" w:ascii="宋体" w:hAnsi="宋体"/>
          <w:snapToGrid w:val="0"/>
          <w:color w:val="auto"/>
          <w:kern w:val="0"/>
          <w:highlight w:val="none"/>
        </w:rPr>
        <w:t xml:space="preserve">1.1 </w:t>
      </w:r>
      <w:r>
        <w:rPr>
          <w:rFonts w:ascii="宋体" w:hAnsi="宋体"/>
          <w:snapToGrid w:val="0"/>
          <w:color w:val="auto"/>
          <w:kern w:val="0"/>
          <w:highlight w:val="none"/>
        </w:rPr>
        <w:t>“报价清单”应与“投标人须知”、“合同条款”和“勘察设计技术要求”一起使用</w:t>
      </w:r>
      <w:r>
        <w:rPr>
          <w:rFonts w:hint="eastAsia" w:ascii="宋体" w:hAnsi="宋体" w:cs="Arial Unicode MS"/>
          <w:snapToGrid w:val="0"/>
          <w:color w:val="auto"/>
          <w:kern w:val="0"/>
          <w:highlight w:val="none"/>
        </w:rPr>
        <w:t>。</w:t>
      </w:r>
      <w:bookmarkEnd w:id="834"/>
    </w:p>
    <w:p w14:paraId="0184B49D">
      <w:pPr>
        <w:pStyle w:val="5"/>
        <w:rPr>
          <w:rFonts w:ascii="宋体" w:hAnsi="宋体"/>
          <w:snapToGrid w:val="0"/>
          <w:color w:val="auto"/>
          <w:kern w:val="0"/>
          <w:highlight w:val="none"/>
        </w:rPr>
      </w:pPr>
      <w:bookmarkStart w:id="835" w:name="_Toc335660950"/>
      <w:r>
        <w:rPr>
          <w:rFonts w:hint="eastAsia" w:ascii="宋体" w:hAnsi="宋体"/>
          <w:snapToGrid w:val="0"/>
          <w:color w:val="auto"/>
          <w:kern w:val="0"/>
          <w:highlight w:val="none"/>
        </w:rPr>
        <w:t xml:space="preserve">1.2 </w:t>
      </w:r>
      <w:r>
        <w:rPr>
          <w:rFonts w:ascii="宋体" w:hAnsi="宋体"/>
          <w:snapToGrid w:val="0"/>
          <w:color w:val="auto"/>
          <w:kern w:val="0"/>
          <w:highlight w:val="none"/>
        </w:rPr>
        <w:t>“</w:t>
      </w:r>
      <w:r>
        <w:rPr>
          <w:rFonts w:hint="eastAsia" w:ascii="宋体" w:hAnsi="宋体"/>
          <w:snapToGrid w:val="0"/>
          <w:color w:val="auto"/>
          <w:kern w:val="0"/>
          <w:highlight w:val="none"/>
        </w:rPr>
        <w:t>报价清单</w:t>
      </w:r>
      <w:r>
        <w:rPr>
          <w:rFonts w:ascii="宋体" w:hAnsi="宋体"/>
          <w:snapToGrid w:val="0"/>
          <w:color w:val="auto"/>
          <w:kern w:val="0"/>
          <w:highlight w:val="none"/>
        </w:rPr>
        <w:t>”</w:t>
      </w:r>
      <w:r>
        <w:rPr>
          <w:rFonts w:hint="eastAsia" w:ascii="宋体" w:hAnsi="宋体"/>
          <w:snapToGrid w:val="0"/>
          <w:color w:val="auto"/>
          <w:kern w:val="0"/>
          <w:highlight w:val="none"/>
        </w:rPr>
        <w:t>为通用表格</w:t>
      </w:r>
      <w:r>
        <w:rPr>
          <w:rFonts w:ascii="宋体" w:hAnsi="宋体"/>
          <w:snapToGrid w:val="0"/>
          <w:color w:val="auto"/>
          <w:kern w:val="0"/>
          <w:highlight w:val="none"/>
        </w:rPr>
        <w:t xml:space="preserve"> </w:t>
      </w:r>
      <w:r>
        <w:rPr>
          <w:rFonts w:hint="eastAsia" w:ascii="宋体" w:hAnsi="宋体"/>
          <w:snapToGrid w:val="0"/>
          <w:color w:val="auto"/>
          <w:kern w:val="0"/>
          <w:highlight w:val="none"/>
        </w:rPr>
        <w:t>，投标人应根据本招标项目工作内容，按照表格格式详细填写，以免遗漏或有误。投标人没有报价的项目，发包人将认为有关费用已包含在其他项目之中，不另行支付。</w:t>
      </w:r>
      <w:bookmarkEnd w:id="835"/>
    </w:p>
    <w:p w14:paraId="22DDAFD9">
      <w:pPr>
        <w:pStyle w:val="5"/>
        <w:rPr>
          <w:rFonts w:ascii="宋体" w:hAnsi="宋体"/>
          <w:snapToGrid w:val="0"/>
          <w:color w:val="auto"/>
          <w:kern w:val="0"/>
          <w:highlight w:val="none"/>
        </w:rPr>
      </w:pPr>
      <w:bookmarkStart w:id="836" w:name="_Toc335660951"/>
      <w:r>
        <w:rPr>
          <w:rFonts w:hint="eastAsia" w:ascii="宋体" w:hAnsi="宋体"/>
          <w:snapToGrid w:val="0"/>
          <w:color w:val="auto"/>
          <w:kern w:val="0"/>
          <w:highlight w:val="none"/>
        </w:rPr>
        <w:t xml:space="preserve">1.3 </w:t>
      </w:r>
      <w:r>
        <w:rPr>
          <w:rFonts w:ascii="宋体" w:hAnsi="宋体"/>
          <w:snapToGrid w:val="0"/>
          <w:color w:val="auto"/>
          <w:kern w:val="0"/>
          <w:highlight w:val="none"/>
        </w:rPr>
        <w:t>水运工程勘察设计各阶段工作量及费用划分比例</w:t>
      </w:r>
      <w:r>
        <w:rPr>
          <w:rFonts w:hint="eastAsia" w:ascii="宋体" w:hAnsi="宋体"/>
          <w:snapToGrid w:val="0"/>
          <w:color w:val="auto"/>
          <w:kern w:val="0"/>
          <w:highlight w:val="none"/>
        </w:rPr>
        <w:t>参照</w:t>
      </w:r>
      <w:r>
        <w:rPr>
          <w:rFonts w:ascii="宋体" w:hAnsi="宋体"/>
          <w:snapToGrid w:val="0"/>
          <w:color w:val="auto"/>
          <w:kern w:val="0"/>
          <w:highlight w:val="none"/>
        </w:rPr>
        <w:t>《工程勘察设计收费标准》的规定</w:t>
      </w:r>
      <w:r>
        <w:rPr>
          <w:rFonts w:hint="eastAsia" w:ascii="宋体" w:hAnsi="宋体"/>
          <w:snapToGrid w:val="0"/>
          <w:color w:val="auto"/>
          <w:kern w:val="0"/>
          <w:highlight w:val="none"/>
        </w:rPr>
        <w:t>确定</w:t>
      </w:r>
      <w:r>
        <w:rPr>
          <w:rFonts w:ascii="宋体" w:hAnsi="宋体"/>
          <w:snapToGrid w:val="0"/>
          <w:color w:val="auto"/>
          <w:kern w:val="0"/>
          <w:highlight w:val="none"/>
        </w:rPr>
        <w:t>。</w:t>
      </w:r>
      <w:bookmarkEnd w:id="836"/>
    </w:p>
    <w:p w14:paraId="0206E41B">
      <w:pPr>
        <w:pStyle w:val="5"/>
        <w:rPr>
          <w:rFonts w:ascii="宋体" w:hAnsi="宋体"/>
          <w:snapToGrid w:val="0"/>
          <w:color w:val="auto"/>
          <w:kern w:val="0"/>
          <w:highlight w:val="none"/>
        </w:rPr>
      </w:pPr>
      <w:bookmarkStart w:id="837" w:name="_Toc335660952"/>
      <w:r>
        <w:rPr>
          <w:rFonts w:hint="eastAsia" w:ascii="宋体" w:hAnsi="宋体"/>
          <w:snapToGrid w:val="0"/>
          <w:color w:val="auto"/>
          <w:kern w:val="0"/>
          <w:highlight w:val="none"/>
        </w:rPr>
        <w:t>1.4 投标人在</w:t>
      </w:r>
      <w:r>
        <w:rPr>
          <w:rFonts w:ascii="宋体" w:hAnsi="宋体"/>
          <w:snapToGrid w:val="0"/>
          <w:color w:val="auto"/>
          <w:kern w:val="0"/>
          <w:highlight w:val="none"/>
        </w:rPr>
        <w:t>“</w:t>
      </w:r>
      <w:r>
        <w:rPr>
          <w:rFonts w:hint="eastAsia" w:ascii="宋体" w:hAnsi="宋体"/>
          <w:snapToGrid w:val="0"/>
          <w:color w:val="auto"/>
          <w:kern w:val="0"/>
          <w:highlight w:val="none"/>
        </w:rPr>
        <w:t>报价清单</w:t>
      </w:r>
      <w:r>
        <w:rPr>
          <w:rFonts w:ascii="宋体" w:hAnsi="宋体"/>
          <w:snapToGrid w:val="0"/>
          <w:color w:val="auto"/>
          <w:kern w:val="0"/>
          <w:highlight w:val="none"/>
        </w:rPr>
        <w:t>”</w:t>
      </w:r>
      <w:r>
        <w:rPr>
          <w:rFonts w:hint="eastAsia" w:ascii="宋体" w:hAnsi="宋体"/>
          <w:snapToGrid w:val="0"/>
          <w:color w:val="auto"/>
          <w:kern w:val="0"/>
          <w:highlight w:val="none"/>
        </w:rPr>
        <w:t>中报价应以人民币为单位。</w:t>
      </w:r>
      <w:bookmarkEnd w:id="837"/>
    </w:p>
    <w:p w14:paraId="5C9428E2">
      <w:pPr>
        <w:rPr>
          <w:color w:val="auto"/>
          <w:sz w:val="24"/>
          <w:highlight w:val="none"/>
        </w:rPr>
      </w:pPr>
      <w:bookmarkStart w:id="838" w:name="_Toc335660953"/>
      <w:r>
        <w:rPr>
          <w:rFonts w:hint="eastAsia" w:ascii="宋体" w:hAnsi="宋体"/>
          <w:snapToGrid w:val="0"/>
          <w:color w:val="auto"/>
          <w:kern w:val="0"/>
          <w:sz w:val="24"/>
          <w:highlight w:val="none"/>
        </w:rPr>
        <w:t xml:space="preserve">1.5 </w:t>
      </w:r>
      <w:bookmarkEnd w:id="838"/>
      <w:r>
        <w:rPr>
          <w:rFonts w:hint="eastAsia" w:ascii="宋体" w:hAnsi="宋体"/>
          <w:snapToGrid w:val="0"/>
          <w:color w:val="auto"/>
          <w:kern w:val="0"/>
          <w:sz w:val="24"/>
          <w:highlight w:val="none"/>
        </w:rPr>
        <w:t>其他说明：</w:t>
      </w:r>
      <w:r>
        <w:rPr>
          <w:rFonts w:hint="eastAsia"/>
          <w:color w:val="auto"/>
          <w:sz w:val="24"/>
          <w:highlight w:val="none"/>
          <w:u w:val="single"/>
        </w:rPr>
        <w:t xml:space="preserve">                             </w:t>
      </w:r>
    </w:p>
    <w:p w14:paraId="32E924B2">
      <w:pPr>
        <w:jc w:val="center"/>
        <w:rPr>
          <w:rFonts w:ascii="宋体" w:hAnsi="宋体"/>
          <w:snapToGrid w:val="0"/>
          <w:color w:val="auto"/>
          <w:kern w:val="0"/>
          <w:sz w:val="24"/>
          <w:highlight w:val="none"/>
        </w:rPr>
      </w:pPr>
      <w:r>
        <w:rPr>
          <w:rFonts w:ascii="宋体" w:hAnsi="宋体"/>
          <w:snapToGrid w:val="0"/>
          <w:color w:val="auto"/>
          <w:kern w:val="0"/>
          <w:szCs w:val="22"/>
          <w:highlight w:val="none"/>
        </w:rPr>
        <w:br w:type="page"/>
      </w:r>
      <w:bookmarkStart w:id="839" w:name="_Toc335660954"/>
      <w:bookmarkStart w:id="840" w:name="_Toc335722029"/>
      <w:bookmarkStart w:id="841" w:name="_Toc335660067"/>
      <w:bookmarkStart w:id="842" w:name="_Toc326241935"/>
      <w:r>
        <w:rPr>
          <w:rFonts w:hint="eastAsia" w:ascii="宋体" w:hAnsi="宋体"/>
          <w:snapToGrid w:val="0"/>
          <w:color w:val="auto"/>
          <w:kern w:val="0"/>
          <w:sz w:val="24"/>
          <w:highlight w:val="none"/>
        </w:rPr>
        <w:t>报价清单表</w:t>
      </w:r>
      <w:bookmarkEnd w:id="839"/>
      <w:bookmarkEnd w:id="840"/>
      <w:bookmarkEnd w:id="841"/>
    </w:p>
    <w:p w14:paraId="0948B638">
      <w:pPr>
        <w:jc w:val="right"/>
        <w:rPr>
          <w:rFonts w:ascii="宋体" w:hAnsi="宋体"/>
          <w:snapToGrid w:val="0"/>
          <w:color w:val="auto"/>
          <w:kern w:val="0"/>
          <w:sz w:val="24"/>
          <w:highlight w:val="none"/>
        </w:rPr>
      </w:pPr>
    </w:p>
    <w:p w14:paraId="505E4AB1">
      <w:pPr>
        <w:jc w:val="right"/>
        <w:rPr>
          <w:rFonts w:ascii="宋体" w:hAnsi="宋体"/>
          <w:snapToGrid w:val="0"/>
          <w:color w:val="auto"/>
          <w:kern w:val="0"/>
          <w:sz w:val="24"/>
          <w:highlight w:val="none"/>
        </w:rPr>
      </w:pPr>
      <w:r>
        <w:rPr>
          <w:rFonts w:hint="eastAsia" w:ascii="宋体" w:hAnsi="宋体"/>
          <w:snapToGrid w:val="0"/>
          <w:color w:val="auto"/>
          <w:kern w:val="0"/>
          <w:sz w:val="24"/>
          <w:highlight w:val="none"/>
        </w:rPr>
        <w:t xml:space="preserve">                                                     单位：元（人民币）</w:t>
      </w:r>
    </w:p>
    <w:tbl>
      <w:tblPr>
        <w:tblStyle w:val="42"/>
        <w:tblW w:w="0" w:type="auto"/>
        <w:tblInd w:w="90" w:type="dxa"/>
        <w:tblLayout w:type="fixed"/>
        <w:tblCellMar>
          <w:top w:w="0" w:type="dxa"/>
          <w:left w:w="108" w:type="dxa"/>
          <w:bottom w:w="0" w:type="dxa"/>
          <w:right w:w="108" w:type="dxa"/>
        </w:tblCellMar>
      </w:tblPr>
      <w:tblGrid>
        <w:gridCol w:w="427"/>
        <w:gridCol w:w="8"/>
        <w:gridCol w:w="660"/>
        <w:gridCol w:w="3034"/>
        <w:gridCol w:w="851"/>
        <w:gridCol w:w="1134"/>
        <w:gridCol w:w="1134"/>
        <w:gridCol w:w="1417"/>
      </w:tblGrid>
      <w:tr w14:paraId="1D22491C">
        <w:tblPrEx>
          <w:tblCellMar>
            <w:top w:w="0" w:type="dxa"/>
            <w:left w:w="108" w:type="dxa"/>
            <w:bottom w:w="0" w:type="dxa"/>
            <w:right w:w="108" w:type="dxa"/>
          </w:tblCellMar>
        </w:tblPrEx>
        <w:trPr>
          <w:trHeight w:val="424" w:hRule="atLeast"/>
        </w:trPr>
        <w:tc>
          <w:tcPr>
            <w:tcW w:w="1095" w:type="dxa"/>
            <w:gridSpan w:val="3"/>
            <w:tcBorders>
              <w:top w:val="single" w:color="auto" w:sz="4" w:space="0"/>
              <w:left w:val="single" w:color="auto" w:sz="4" w:space="0"/>
              <w:bottom w:val="single" w:color="auto" w:sz="4" w:space="0"/>
              <w:right w:val="single" w:color="auto" w:sz="4" w:space="0"/>
            </w:tcBorders>
            <w:vAlign w:val="center"/>
          </w:tcPr>
          <w:p w14:paraId="6565823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034" w:type="dxa"/>
            <w:tcBorders>
              <w:top w:val="single" w:color="auto" w:sz="4" w:space="0"/>
              <w:left w:val="single" w:color="auto" w:sz="4" w:space="0"/>
              <w:bottom w:val="single" w:color="auto" w:sz="4" w:space="0"/>
              <w:right w:val="single" w:color="auto" w:sz="4" w:space="0"/>
            </w:tcBorders>
            <w:vAlign w:val="center"/>
          </w:tcPr>
          <w:p w14:paraId="25DE3CD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报价项目名称</w:t>
            </w:r>
          </w:p>
        </w:tc>
        <w:tc>
          <w:tcPr>
            <w:tcW w:w="851" w:type="dxa"/>
            <w:tcBorders>
              <w:top w:val="single" w:color="auto" w:sz="4" w:space="0"/>
              <w:left w:val="single" w:color="auto" w:sz="4" w:space="0"/>
              <w:bottom w:val="single" w:color="auto" w:sz="4" w:space="0"/>
              <w:right w:val="single" w:color="auto" w:sz="4" w:space="0"/>
            </w:tcBorders>
            <w:vAlign w:val="center"/>
          </w:tcPr>
          <w:p w14:paraId="4AFE58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6A1CA13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134" w:type="dxa"/>
            <w:tcBorders>
              <w:top w:val="single" w:color="auto" w:sz="4" w:space="0"/>
              <w:left w:val="nil"/>
              <w:bottom w:val="single" w:color="auto" w:sz="4" w:space="0"/>
              <w:right w:val="single" w:color="auto" w:sz="4" w:space="0"/>
            </w:tcBorders>
            <w:vAlign w:val="center"/>
          </w:tcPr>
          <w:p w14:paraId="240AD7DE">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综合单价</w:t>
            </w:r>
          </w:p>
        </w:tc>
        <w:tc>
          <w:tcPr>
            <w:tcW w:w="1417" w:type="dxa"/>
            <w:tcBorders>
              <w:top w:val="single" w:color="auto" w:sz="4" w:space="0"/>
              <w:left w:val="single" w:color="auto" w:sz="4" w:space="0"/>
              <w:bottom w:val="single" w:color="auto" w:sz="4" w:space="0"/>
              <w:right w:val="single" w:color="auto" w:sz="4" w:space="0"/>
            </w:tcBorders>
            <w:vAlign w:val="center"/>
          </w:tcPr>
          <w:p w14:paraId="775A5D1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合价</w:t>
            </w:r>
          </w:p>
        </w:tc>
      </w:tr>
      <w:tr w14:paraId="6DED9398">
        <w:tblPrEx>
          <w:tblCellMar>
            <w:top w:w="0" w:type="dxa"/>
            <w:left w:w="108" w:type="dxa"/>
            <w:bottom w:w="0" w:type="dxa"/>
            <w:right w:w="108" w:type="dxa"/>
          </w:tblCellMar>
        </w:tblPrEx>
        <w:trPr>
          <w:trHeight w:val="383" w:hRule="atLeast"/>
        </w:trPr>
        <w:tc>
          <w:tcPr>
            <w:tcW w:w="427" w:type="dxa"/>
            <w:vMerge w:val="restart"/>
            <w:tcBorders>
              <w:top w:val="nil"/>
              <w:left w:val="single" w:color="auto" w:sz="4" w:space="0"/>
              <w:bottom w:val="single" w:color="auto" w:sz="4" w:space="0"/>
              <w:right w:val="single" w:color="auto" w:sz="4" w:space="0"/>
            </w:tcBorders>
            <w:vAlign w:val="center"/>
          </w:tcPr>
          <w:p w14:paraId="0879C66A">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w:t>
            </w:r>
          </w:p>
        </w:tc>
        <w:tc>
          <w:tcPr>
            <w:tcW w:w="668" w:type="dxa"/>
            <w:gridSpan w:val="2"/>
            <w:tcBorders>
              <w:top w:val="nil"/>
              <w:left w:val="nil"/>
              <w:bottom w:val="single" w:color="auto" w:sz="4" w:space="0"/>
              <w:right w:val="single" w:color="auto" w:sz="4" w:space="0"/>
            </w:tcBorders>
            <w:vAlign w:val="center"/>
          </w:tcPr>
          <w:p w14:paraId="720772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1.1</w:t>
            </w:r>
          </w:p>
        </w:tc>
        <w:tc>
          <w:tcPr>
            <w:tcW w:w="3034" w:type="dxa"/>
            <w:tcBorders>
              <w:top w:val="nil"/>
              <w:left w:val="nil"/>
              <w:bottom w:val="single" w:color="auto" w:sz="4" w:space="0"/>
              <w:right w:val="single" w:color="auto" w:sz="4" w:space="0"/>
            </w:tcBorders>
            <w:vAlign w:val="center"/>
          </w:tcPr>
          <w:p w14:paraId="3EF64C51">
            <w:pPr>
              <w:widowControl/>
              <w:jc w:val="center"/>
              <w:rPr>
                <w:rFonts w:ascii="宋体" w:hAnsi="宋体" w:cs="宋体"/>
                <w:b/>
                <w:bCs/>
                <w:color w:val="auto"/>
                <w:kern w:val="0"/>
                <w:szCs w:val="21"/>
                <w:highlight w:val="none"/>
              </w:rPr>
            </w:pPr>
          </w:p>
        </w:tc>
        <w:tc>
          <w:tcPr>
            <w:tcW w:w="851" w:type="dxa"/>
            <w:tcBorders>
              <w:top w:val="nil"/>
              <w:left w:val="nil"/>
              <w:bottom w:val="single" w:color="auto" w:sz="4" w:space="0"/>
              <w:right w:val="single" w:color="auto" w:sz="4" w:space="0"/>
            </w:tcBorders>
            <w:vAlign w:val="center"/>
          </w:tcPr>
          <w:p w14:paraId="0E7CAFEE">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596FFB8D">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4BBB85FA">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vAlign w:val="center"/>
          </w:tcPr>
          <w:p w14:paraId="15348806">
            <w:pPr>
              <w:widowControl/>
              <w:jc w:val="center"/>
              <w:rPr>
                <w:rFonts w:ascii="宋体" w:hAnsi="宋体" w:cs="宋体"/>
                <w:b/>
                <w:bCs/>
                <w:color w:val="auto"/>
                <w:kern w:val="0"/>
                <w:szCs w:val="21"/>
                <w:highlight w:val="none"/>
              </w:rPr>
            </w:pPr>
          </w:p>
        </w:tc>
      </w:tr>
      <w:tr w14:paraId="602FF096">
        <w:tblPrEx>
          <w:tblCellMar>
            <w:top w:w="0" w:type="dxa"/>
            <w:left w:w="108" w:type="dxa"/>
            <w:bottom w:w="0" w:type="dxa"/>
            <w:right w:w="108" w:type="dxa"/>
          </w:tblCellMar>
        </w:tblPrEx>
        <w:trPr>
          <w:trHeight w:val="383" w:hRule="atLeast"/>
        </w:trPr>
        <w:tc>
          <w:tcPr>
            <w:tcW w:w="427" w:type="dxa"/>
            <w:vMerge w:val="continue"/>
            <w:tcBorders>
              <w:top w:val="nil"/>
              <w:left w:val="single" w:color="auto" w:sz="4" w:space="0"/>
              <w:bottom w:val="single" w:color="auto" w:sz="4" w:space="0"/>
              <w:right w:val="single" w:color="auto" w:sz="4" w:space="0"/>
            </w:tcBorders>
            <w:vAlign w:val="center"/>
          </w:tcPr>
          <w:p w14:paraId="5F10024A">
            <w:pPr>
              <w:widowControl/>
              <w:jc w:val="left"/>
              <w:rPr>
                <w:rFonts w:ascii="宋体" w:hAnsi="宋体" w:cs="宋体"/>
                <w:b/>
                <w:bCs/>
                <w:color w:val="auto"/>
                <w:kern w:val="0"/>
                <w:szCs w:val="21"/>
                <w:highlight w:val="none"/>
              </w:rPr>
            </w:pPr>
          </w:p>
        </w:tc>
        <w:tc>
          <w:tcPr>
            <w:tcW w:w="668" w:type="dxa"/>
            <w:gridSpan w:val="2"/>
            <w:tcBorders>
              <w:top w:val="nil"/>
              <w:left w:val="nil"/>
              <w:bottom w:val="single" w:color="auto" w:sz="4" w:space="0"/>
              <w:right w:val="single" w:color="auto" w:sz="4" w:space="0"/>
            </w:tcBorders>
            <w:vAlign w:val="center"/>
          </w:tcPr>
          <w:p w14:paraId="2572DAB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1.2</w:t>
            </w:r>
          </w:p>
        </w:tc>
        <w:tc>
          <w:tcPr>
            <w:tcW w:w="3034" w:type="dxa"/>
            <w:tcBorders>
              <w:top w:val="nil"/>
              <w:left w:val="nil"/>
              <w:bottom w:val="single" w:color="auto" w:sz="4" w:space="0"/>
              <w:right w:val="single" w:color="auto" w:sz="4" w:space="0"/>
            </w:tcBorders>
            <w:vAlign w:val="center"/>
          </w:tcPr>
          <w:p w14:paraId="1F21EC12">
            <w:pPr>
              <w:widowControl/>
              <w:jc w:val="center"/>
              <w:rPr>
                <w:rFonts w:ascii="宋体" w:hAnsi="宋体" w:cs="宋体"/>
                <w:b/>
                <w:bCs/>
                <w:color w:val="auto"/>
                <w:kern w:val="0"/>
                <w:szCs w:val="21"/>
                <w:highlight w:val="none"/>
              </w:rPr>
            </w:pPr>
          </w:p>
        </w:tc>
        <w:tc>
          <w:tcPr>
            <w:tcW w:w="851" w:type="dxa"/>
            <w:tcBorders>
              <w:top w:val="nil"/>
              <w:left w:val="nil"/>
              <w:bottom w:val="single" w:color="auto" w:sz="4" w:space="0"/>
              <w:right w:val="single" w:color="auto" w:sz="4" w:space="0"/>
            </w:tcBorders>
            <w:vAlign w:val="center"/>
          </w:tcPr>
          <w:p w14:paraId="67D25C96">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3C722102">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71824DFA">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vAlign w:val="center"/>
          </w:tcPr>
          <w:p w14:paraId="030C91A6">
            <w:pPr>
              <w:widowControl/>
              <w:jc w:val="center"/>
              <w:rPr>
                <w:rFonts w:ascii="宋体" w:hAnsi="宋体" w:cs="宋体"/>
                <w:b/>
                <w:bCs/>
                <w:color w:val="auto"/>
                <w:kern w:val="0"/>
                <w:szCs w:val="21"/>
                <w:highlight w:val="none"/>
              </w:rPr>
            </w:pPr>
          </w:p>
        </w:tc>
      </w:tr>
      <w:tr w14:paraId="0398B9AB">
        <w:tblPrEx>
          <w:tblCellMar>
            <w:top w:w="0" w:type="dxa"/>
            <w:left w:w="108" w:type="dxa"/>
            <w:bottom w:w="0" w:type="dxa"/>
            <w:right w:w="108" w:type="dxa"/>
          </w:tblCellMar>
        </w:tblPrEx>
        <w:trPr>
          <w:trHeight w:val="383" w:hRule="atLeast"/>
        </w:trPr>
        <w:tc>
          <w:tcPr>
            <w:tcW w:w="427" w:type="dxa"/>
            <w:vMerge w:val="continue"/>
            <w:tcBorders>
              <w:top w:val="nil"/>
              <w:left w:val="single" w:color="auto" w:sz="4" w:space="0"/>
              <w:bottom w:val="single" w:color="auto" w:sz="4" w:space="0"/>
              <w:right w:val="single" w:color="auto" w:sz="4" w:space="0"/>
            </w:tcBorders>
            <w:vAlign w:val="center"/>
          </w:tcPr>
          <w:p w14:paraId="1D5B8B5C">
            <w:pPr>
              <w:widowControl/>
              <w:jc w:val="left"/>
              <w:rPr>
                <w:rFonts w:ascii="宋体" w:hAnsi="宋体" w:cs="宋体"/>
                <w:b/>
                <w:bCs/>
                <w:color w:val="auto"/>
                <w:kern w:val="0"/>
                <w:szCs w:val="21"/>
                <w:highlight w:val="none"/>
              </w:rPr>
            </w:pPr>
          </w:p>
        </w:tc>
        <w:tc>
          <w:tcPr>
            <w:tcW w:w="668" w:type="dxa"/>
            <w:gridSpan w:val="2"/>
            <w:tcBorders>
              <w:top w:val="nil"/>
              <w:left w:val="nil"/>
              <w:bottom w:val="single" w:color="auto" w:sz="4" w:space="0"/>
              <w:right w:val="single" w:color="auto" w:sz="4" w:space="0"/>
            </w:tcBorders>
            <w:vAlign w:val="center"/>
          </w:tcPr>
          <w:p w14:paraId="5A6E42F8">
            <w:pPr>
              <w:widowControl/>
              <w:jc w:val="center"/>
              <w:rPr>
                <w:rFonts w:ascii="宋体" w:hAnsi="宋体" w:cs="宋体"/>
                <w:b/>
                <w:bCs/>
                <w:color w:val="auto"/>
                <w:kern w:val="0"/>
                <w:szCs w:val="21"/>
                <w:highlight w:val="none"/>
              </w:rPr>
            </w:pPr>
          </w:p>
        </w:tc>
        <w:tc>
          <w:tcPr>
            <w:tcW w:w="3034" w:type="dxa"/>
            <w:tcBorders>
              <w:top w:val="nil"/>
              <w:left w:val="nil"/>
              <w:bottom w:val="single" w:color="auto" w:sz="4" w:space="0"/>
              <w:right w:val="single" w:color="auto" w:sz="4" w:space="0"/>
            </w:tcBorders>
            <w:vAlign w:val="center"/>
          </w:tcPr>
          <w:p w14:paraId="7F77B9A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w:t>
            </w:r>
          </w:p>
        </w:tc>
        <w:tc>
          <w:tcPr>
            <w:tcW w:w="851" w:type="dxa"/>
            <w:tcBorders>
              <w:top w:val="nil"/>
              <w:left w:val="nil"/>
              <w:bottom w:val="single" w:color="auto" w:sz="4" w:space="0"/>
              <w:right w:val="single" w:color="auto" w:sz="4" w:space="0"/>
            </w:tcBorders>
            <w:vAlign w:val="center"/>
          </w:tcPr>
          <w:p w14:paraId="6AA0E79E">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1A9D38F6">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294B356C">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vAlign w:val="center"/>
          </w:tcPr>
          <w:p w14:paraId="1D645036">
            <w:pPr>
              <w:widowControl/>
              <w:jc w:val="center"/>
              <w:rPr>
                <w:rFonts w:ascii="宋体" w:hAnsi="宋体" w:cs="宋体"/>
                <w:b/>
                <w:bCs/>
                <w:color w:val="auto"/>
                <w:kern w:val="0"/>
                <w:szCs w:val="21"/>
                <w:highlight w:val="none"/>
              </w:rPr>
            </w:pPr>
          </w:p>
        </w:tc>
      </w:tr>
      <w:tr w14:paraId="5C6F5670">
        <w:tblPrEx>
          <w:tblCellMar>
            <w:top w:w="0" w:type="dxa"/>
            <w:left w:w="108" w:type="dxa"/>
            <w:bottom w:w="0" w:type="dxa"/>
            <w:right w:w="108" w:type="dxa"/>
          </w:tblCellMar>
        </w:tblPrEx>
        <w:trPr>
          <w:trHeight w:val="383" w:hRule="atLeast"/>
        </w:trPr>
        <w:tc>
          <w:tcPr>
            <w:tcW w:w="427" w:type="dxa"/>
            <w:vMerge w:val="continue"/>
            <w:tcBorders>
              <w:top w:val="nil"/>
              <w:left w:val="single" w:color="auto" w:sz="4" w:space="0"/>
              <w:bottom w:val="single" w:color="auto" w:sz="4" w:space="0"/>
              <w:right w:val="single" w:color="auto" w:sz="4" w:space="0"/>
            </w:tcBorders>
            <w:vAlign w:val="center"/>
          </w:tcPr>
          <w:p w14:paraId="68F6F456">
            <w:pPr>
              <w:widowControl/>
              <w:jc w:val="left"/>
              <w:rPr>
                <w:rFonts w:ascii="宋体" w:hAnsi="宋体" w:cs="宋体"/>
                <w:b/>
                <w:bCs/>
                <w:color w:val="auto"/>
                <w:kern w:val="0"/>
                <w:szCs w:val="21"/>
                <w:highlight w:val="none"/>
              </w:rPr>
            </w:pPr>
          </w:p>
        </w:tc>
        <w:tc>
          <w:tcPr>
            <w:tcW w:w="668" w:type="dxa"/>
            <w:gridSpan w:val="2"/>
            <w:tcBorders>
              <w:top w:val="nil"/>
              <w:left w:val="nil"/>
              <w:bottom w:val="single" w:color="auto" w:sz="4" w:space="0"/>
              <w:right w:val="single" w:color="auto" w:sz="4" w:space="0"/>
            </w:tcBorders>
            <w:vAlign w:val="center"/>
          </w:tcPr>
          <w:p w14:paraId="6D0A7BEE">
            <w:pPr>
              <w:widowControl/>
              <w:jc w:val="center"/>
              <w:rPr>
                <w:rFonts w:ascii="宋体" w:hAnsi="宋体" w:cs="宋体"/>
                <w:b/>
                <w:bCs/>
                <w:color w:val="auto"/>
                <w:kern w:val="0"/>
                <w:szCs w:val="21"/>
                <w:highlight w:val="none"/>
              </w:rPr>
            </w:pPr>
          </w:p>
        </w:tc>
        <w:tc>
          <w:tcPr>
            <w:tcW w:w="3034" w:type="dxa"/>
            <w:tcBorders>
              <w:top w:val="nil"/>
              <w:left w:val="nil"/>
              <w:bottom w:val="single" w:color="auto" w:sz="4" w:space="0"/>
              <w:right w:val="single" w:color="auto" w:sz="4" w:space="0"/>
            </w:tcBorders>
            <w:vAlign w:val="center"/>
          </w:tcPr>
          <w:p w14:paraId="2D720F00">
            <w:pPr>
              <w:widowControl/>
              <w:jc w:val="center"/>
              <w:rPr>
                <w:rFonts w:ascii="宋体" w:hAnsi="宋体" w:cs="宋体"/>
                <w:b/>
                <w:bCs/>
                <w:color w:val="auto"/>
                <w:kern w:val="0"/>
                <w:szCs w:val="21"/>
                <w:highlight w:val="none"/>
              </w:rPr>
            </w:pPr>
          </w:p>
        </w:tc>
        <w:tc>
          <w:tcPr>
            <w:tcW w:w="851" w:type="dxa"/>
            <w:tcBorders>
              <w:top w:val="nil"/>
              <w:left w:val="nil"/>
              <w:bottom w:val="single" w:color="auto" w:sz="4" w:space="0"/>
              <w:right w:val="single" w:color="auto" w:sz="4" w:space="0"/>
            </w:tcBorders>
            <w:vAlign w:val="center"/>
          </w:tcPr>
          <w:p w14:paraId="38DBBA98">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330BAC35">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09C4A92D">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vAlign w:val="center"/>
          </w:tcPr>
          <w:p w14:paraId="667BA68F">
            <w:pPr>
              <w:widowControl/>
              <w:jc w:val="center"/>
              <w:rPr>
                <w:rFonts w:ascii="宋体" w:hAnsi="宋体" w:cs="宋体"/>
                <w:b/>
                <w:bCs/>
                <w:color w:val="auto"/>
                <w:kern w:val="0"/>
                <w:szCs w:val="21"/>
                <w:highlight w:val="none"/>
              </w:rPr>
            </w:pPr>
          </w:p>
        </w:tc>
      </w:tr>
      <w:tr w14:paraId="37F98CAF">
        <w:tblPrEx>
          <w:tblCellMar>
            <w:top w:w="0" w:type="dxa"/>
            <w:left w:w="108" w:type="dxa"/>
            <w:bottom w:w="0" w:type="dxa"/>
            <w:right w:w="108" w:type="dxa"/>
          </w:tblCellMar>
        </w:tblPrEx>
        <w:trPr>
          <w:trHeight w:val="383" w:hRule="atLeast"/>
        </w:trPr>
        <w:tc>
          <w:tcPr>
            <w:tcW w:w="427" w:type="dxa"/>
            <w:vMerge w:val="continue"/>
            <w:tcBorders>
              <w:top w:val="nil"/>
              <w:left w:val="single" w:color="auto" w:sz="4" w:space="0"/>
              <w:bottom w:val="single" w:color="auto" w:sz="4" w:space="0"/>
              <w:right w:val="single" w:color="auto" w:sz="4" w:space="0"/>
            </w:tcBorders>
            <w:vAlign w:val="center"/>
          </w:tcPr>
          <w:p w14:paraId="2321ADF2">
            <w:pPr>
              <w:widowControl/>
              <w:jc w:val="left"/>
              <w:rPr>
                <w:rFonts w:ascii="宋体" w:hAnsi="宋体" w:cs="宋体"/>
                <w:b/>
                <w:bCs/>
                <w:color w:val="auto"/>
                <w:kern w:val="0"/>
                <w:szCs w:val="21"/>
                <w:highlight w:val="none"/>
              </w:rPr>
            </w:pPr>
          </w:p>
        </w:tc>
        <w:tc>
          <w:tcPr>
            <w:tcW w:w="668" w:type="dxa"/>
            <w:gridSpan w:val="2"/>
            <w:tcBorders>
              <w:top w:val="nil"/>
              <w:left w:val="nil"/>
              <w:bottom w:val="single" w:color="auto" w:sz="4" w:space="0"/>
              <w:right w:val="single" w:color="auto" w:sz="4" w:space="0"/>
            </w:tcBorders>
            <w:vAlign w:val="center"/>
          </w:tcPr>
          <w:p w14:paraId="6CCC64FC">
            <w:pPr>
              <w:widowControl/>
              <w:jc w:val="center"/>
              <w:rPr>
                <w:rFonts w:ascii="宋体" w:hAnsi="宋体" w:cs="宋体"/>
                <w:b/>
                <w:bCs/>
                <w:color w:val="auto"/>
                <w:kern w:val="0"/>
                <w:szCs w:val="21"/>
                <w:highlight w:val="none"/>
              </w:rPr>
            </w:pPr>
          </w:p>
        </w:tc>
        <w:tc>
          <w:tcPr>
            <w:tcW w:w="3034" w:type="dxa"/>
            <w:tcBorders>
              <w:top w:val="nil"/>
              <w:left w:val="nil"/>
              <w:bottom w:val="single" w:color="auto" w:sz="4" w:space="0"/>
              <w:right w:val="single" w:color="auto" w:sz="4" w:space="0"/>
            </w:tcBorders>
            <w:vAlign w:val="center"/>
          </w:tcPr>
          <w:p w14:paraId="17ADEB68">
            <w:pPr>
              <w:widowControl/>
              <w:jc w:val="center"/>
              <w:rPr>
                <w:rFonts w:ascii="宋体" w:hAnsi="宋体" w:cs="宋体"/>
                <w:b/>
                <w:bCs/>
                <w:color w:val="auto"/>
                <w:kern w:val="0"/>
                <w:szCs w:val="21"/>
                <w:highlight w:val="none"/>
              </w:rPr>
            </w:pPr>
          </w:p>
        </w:tc>
        <w:tc>
          <w:tcPr>
            <w:tcW w:w="851" w:type="dxa"/>
            <w:tcBorders>
              <w:top w:val="nil"/>
              <w:left w:val="nil"/>
              <w:bottom w:val="single" w:color="auto" w:sz="4" w:space="0"/>
              <w:right w:val="single" w:color="auto" w:sz="4" w:space="0"/>
            </w:tcBorders>
            <w:vAlign w:val="center"/>
          </w:tcPr>
          <w:p w14:paraId="18D35EC3">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7BD9C2FF">
            <w:pPr>
              <w:widowControl/>
              <w:jc w:val="center"/>
              <w:rPr>
                <w:rFonts w:ascii="宋体" w:hAnsi="宋体" w:cs="宋体"/>
                <w:b/>
                <w:bCs/>
                <w:color w:val="auto"/>
                <w:kern w:val="0"/>
                <w:szCs w:val="21"/>
                <w:highlight w:val="none"/>
              </w:rPr>
            </w:pPr>
          </w:p>
        </w:tc>
        <w:tc>
          <w:tcPr>
            <w:tcW w:w="1134" w:type="dxa"/>
            <w:tcBorders>
              <w:top w:val="nil"/>
              <w:left w:val="nil"/>
              <w:bottom w:val="single" w:color="auto" w:sz="4" w:space="0"/>
              <w:right w:val="single" w:color="auto" w:sz="4" w:space="0"/>
            </w:tcBorders>
            <w:vAlign w:val="center"/>
          </w:tcPr>
          <w:p w14:paraId="4AEED3AE">
            <w:pPr>
              <w:widowControl/>
              <w:jc w:val="center"/>
              <w:rPr>
                <w:rFonts w:ascii="宋体" w:hAnsi="宋体" w:cs="宋体"/>
                <w:b/>
                <w:bCs/>
                <w:color w:val="auto"/>
                <w:kern w:val="0"/>
                <w:szCs w:val="21"/>
                <w:highlight w:val="none"/>
              </w:rPr>
            </w:pPr>
          </w:p>
        </w:tc>
        <w:tc>
          <w:tcPr>
            <w:tcW w:w="1417" w:type="dxa"/>
            <w:tcBorders>
              <w:top w:val="nil"/>
              <w:left w:val="single" w:color="auto" w:sz="4" w:space="0"/>
              <w:bottom w:val="single" w:color="auto" w:sz="4" w:space="0"/>
              <w:right w:val="single" w:color="auto" w:sz="4" w:space="0"/>
            </w:tcBorders>
            <w:vAlign w:val="center"/>
          </w:tcPr>
          <w:p w14:paraId="213011A6">
            <w:pPr>
              <w:widowControl/>
              <w:jc w:val="center"/>
              <w:rPr>
                <w:rFonts w:ascii="宋体" w:hAnsi="宋体" w:cs="宋体"/>
                <w:b/>
                <w:bCs/>
                <w:color w:val="auto"/>
                <w:kern w:val="0"/>
                <w:szCs w:val="21"/>
                <w:highlight w:val="none"/>
              </w:rPr>
            </w:pPr>
          </w:p>
        </w:tc>
      </w:tr>
      <w:tr w14:paraId="3756F601">
        <w:tblPrEx>
          <w:tblCellMar>
            <w:top w:w="0" w:type="dxa"/>
            <w:left w:w="108" w:type="dxa"/>
            <w:bottom w:w="0" w:type="dxa"/>
            <w:right w:w="108" w:type="dxa"/>
          </w:tblCellMar>
        </w:tblPrEx>
        <w:trPr>
          <w:trHeight w:val="429" w:hRule="atLeast"/>
        </w:trPr>
        <w:tc>
          <w:tcPr>
            <w:tcW w:w="427" w:type="dxa"/>
            <w:vMerge w:val="continue"/>
            <w:tcBorders>
              <w:top w:val="nil"/>
              <w:left w:val="single" w:color="auto" w:sz="4" w:space="0"/>
              <w:bottom w:val="single" w:color="auto" w:sz="4" w:space="0"/>
              <w:right w:val="single" w:color="auto" w:sz="4" w:space="0"/>
            </w:tcBorders>
            <w:vAlign w:val="center"/>
          </w:tcPr>
          <w:p w14:paraId="69F6087F">
            <w:pPr>
              <w:widowControl/>
              <w:jc w:val="left"/>
              <w:rPr>
                <w:rFonts w:ascii="宋体" w:hAnsi="宋体" w:cs="宋体"/>
                <w:b/>
                <w:bCs/>
                <w:color w:val="auto"/>
                <w:kern w:val="0"/>
                <w:szCs w:val="21"/>
                <w:highlight w:val="none"/>
              </w:rPr>
            </w:pPr>
          </w:p>
        </w:tc>
        <w:tc>
          <w:tcPr>
            <w:tcW w:w="3702" w:type="dxa"/>
            <w:gridSpan w:val="3"/>
            <w:tcBorders>
              <w:top w:val="single" w:color="auto" w:sz="4" w:space="0"/>
              <w:left w:val="nil"/>
              <w:bottom w:val="single" w:color="auto" w:sz="4" w:space="0"/>
              <w:right w:val="single" w:color="auto" w:sz="4" w:space="0"/>
            </w:tcBorders>
            <w:vAlign w:val="center"/>
          </w:tcPr>
          <w:p w14:paraId="2011D78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勘察费用合计</w:t>
            </w:r>
          </w:p>
        </w:tc>
        <w:tc>
          <w:tcPr>
            <w:tcW w:w="4536" w:type="dxa"/>
            <w:gridSpan w:val="4"/>
            <w:tcBorders>
              <w:top w:val="single" w:color="auto" w:sz="4" w:space="0"/>
              <w:right w:val="single" w:color="auto" w:sz="4" w:space="0"/>
            </w:tcBorders>
          </w:tcPr>
          <w:p w14:paraId="207D4932">
            <w:pPr>
              <w:widowControl/>
              <w:jc w:val="left"/>
              <w:rPr>
                <w:color w:val="auto"/>
                <w:kern w:val="0"/>
                <w:sz w:val="20"/>
                <w:highlight w:val="none"/>
              </w:rPr>
            </w:pPr>
          </w:p>
        </w:tc>
      </w:tr>
      <w:tr w14:paraId="5BB587F9">
        <w:tblPrEx>
          <w:tblCellMar>
            <w:top w:w="0" w:type="dxa"/>
            <w:left w:w="108" w:type="dxa"/>
            <w:bottom w:w="0" w:type="dxa"/>
            <w:right w:w="108" w:type="dxa"/>
          </w:tblCellMar>
        </w:tblPrEx>
        <w:trPr>
          <w:trHeight w:val="624" w:hRule="atLeast"/>
        </w:trPr>
        <w:tc>
          <w:tcPr>
            <w:tcW w:w="1095" w:type="dxa"/>
            <w:gridSpan w:val="3"/>
            <w:tcBorders>
              <w:top w:val="single" w:color="auto" w:sz="4" w:space="0"/>
              <w:left w:val="single" w:color="auto" w:sz="4" w:space="0"/>
              <w:bottom w:val="single" w:color="auto" w:sz="4" w:space="0"/>
              <w:right w:val="single" w:color="auto" w:sz="4" w:space="0"/>
            </w:tcBorders>
            <w:vAlign w:val="center"/>
          </w:tcPr>
          <w:p w14:paraId="29BF7A7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034" w:type="dxa"/>
            <w:tcBorders>
              <w:top w:val="nil"/>
              <w:left w:val="single" w:color="auto" w:sz="4" w:space="0"/>
              <w:bottom w:val="single" w:color="auto" w:sz="4" w:space="0"/>
              <w:right w:val="single" w:color="auto" w:sz="4" w:space="0"/>
            </w:tcBorders>
            <w:vAlign w:val="center"/>
          </w:tcPr>
          <w:p w14:paraId="4A2B176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报价项目名称</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1A350E6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报价</w:t>
            </w:r>
          </w:p>
        </w:tc>
      </w:tr>
      <w:tr w14:paraId="7B288AC9">
        <w:tblPrEx>
          <w:tblCellMar>
            <w:top w:w="0" w:type="dxa"/>
            <w:left w:w="108" w:type="dxa"/>
            <w:bottom w:w="0" w:type="dxa"/>
            <w:right w:w="108" w:type="dxa"/>
          </w:tblCellMar>
        </w:tblPrEx>
        <w:trPr>
          <w:trHeight w:val="359" w:hRule="atLeast"/>
        </w:trPr>
        <w:tc>
          <w:tcPr>
            <w:tcW w:w="435" w:type="dxa"/>
            <w:gridSpan w:val="2"/>
            <w:vMerge w:val="restart"/>
            <w:tcBorders>
              <w:top w:val="single" w:color="auto" w:sz="4" w:space="0"/>
              <w:left w:val="single" w:color="auto" w:sz="4" w:space="0"/>
              <w:right w:val="single" w:color="auto" w:sz="4" w:space="0"/>
            </w:tcBorders>
            <w:vAlign w:val="center"/>
          </w:tcPr>
          <w:p w14:paraId="7BC8AF7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二</w:t>
            </w:r>
          </w:p>
        </w:tc>
        <w:tc>
          <w:tcPr>
            <w:tcW w:w="660" w:type="dxa"/>
            <w:tcBorders>
              <w:top w:val="single" w:color="auto" w:sz="4" w:space="0"/>
              <w:left w:val="single" w:color="auto" w:sz="4" w:space="0"/>
              <w:bottom w:val="single" w:color="auto" w:sz="4" w:space="0"/>
              <w:right w:val="single" w:color="000000" w:sz="4" w:space="0"/>
            </w:tcBorders>
            <w:vAlign w:val="center"/>
          </w:tcPr>
          <w:p w14:paraId="7DDEB66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2.1</w:t>
            </w:r>
          </w:p>
        </w:tc>
        <w:tc>
          <w:tcPr>
            <w:tcW w:w="3034" w:type="dxa"/>
            <w:tcBorders>
              <w:top w:val="nil"/>
              <w:left w:val="nil"/>
              <w:bottom w:val="single" w:color="auto" w:sz="4" w:space="0"/>
              <w:right w:val="single" w:color="auto" w:sz="4" w:space="0"/>
            </w:tcBorders>
            <w:vAlign w:val="center"/>
          </w:tcPr>
          <w:p w14:paraId="48630CB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初步设计阶段设计费用</w:t>
            </w:r>
          </w:p>
        </w:tc>
        <w:tc>
          <w:tcPr>
            <w:tcW w:w="4536" w:type="dxa"/>
            <w:gridSpan w:val="4"/>
            <w:tcBorders>
              <w:top w:val="single" w:color="auto" w:sz="4" w:space="0"/>
              <w:left w:val="nil"/>
              <w:bottom w:val="single" w:color="auto" w:sz="4" w:space="0"/>
              <w:right w:val="single" w:color="auto" w:sz="4" w:space="0"/>
            </w:tcBorders>
            <w:vAlign w:val="center"/>
          </w:tcPr>
          <w:p w14:paraId="33087C47">
            <w:pPr>
              <w:widowControl/>
              <w:jc w:val="center"/>
              <w:rPr>
                <w:rFonts w:ascii="宋体" w:hAnsi="宋体" w:cs="宋体"/>
                <w:b/>
                <w:bCs/>
                <w:color w:val="auto"/>
                <w:kern w:val="0"/>
                <w:szCs w:val="21"/>
                <w:highlight w:val="none"/>
              </w:rPr>
            </w:pPr>
          </w:p>
        </w:tc>
      </w:tr>
      <w:tr w14:paraId="0391D3D7">
        <w:tblPrEx>
          <w:tblCellMar>
            <w:top w:w="0" w:type="dxa"/>
            <w:left w:w="108" w:type="dxa"/>
            <w:bottom w:w="0" w:type="dxa"/>
            <w:right w:w="108" w:type="dxa"/>
          </w:tblCellMar>
        </w:tblPrEx>
        <w:trPr>
          <w:trHeight w:val="422" w:hRule="atLeast"/>
        </w:trPr>
        <w:tc>
          <w:tcPr>
            <w:tcW w:w="435" w:type="dxa"/>
            <w:gridSpan w:val="2"/>
            <w:vMerge w:val="continue"/>
            <w:tcBorders>
              <w:left w:val="single" w:color="auto" w:sz="4" w:space="0"/>
              <w:right w:val="single" w:color="auto" w:sz="4" w:space="0"/>
            </w:tcBorders>
            <w:vAlign w:val="center"/>
          </w:tcPr>
          <w:p w14:paraId="75533B8F">
            <w:pPr>
              <w:widowControl/>
              <w:jc w:val="center"/>
              <w:rPr>
                <w:rFonts w:ascii="宋体" w:hAnsi="宋体" w:cs="宋体"/>
                <w:b/>
                <w:bCs/>
                <w:color w:val="auto"/>
                <w:kern w:val="0"/>
                <w:szCs w:val="21"/>
                <w:highlight w:val="none"/>
              </w:rPr>
            </w:pPr>
          </w:p>
        </w:tc>
        <w:tc>
          <w:tcPr>
            <w:tcW w:w="660" w:type="dxa"/>
            <w:tcBorders>
              <w:top w:val="single" w:color="auto" w:sz="4" w:space="0"/>
              <w:left w:val="single" w:color="auto" w:sz="4" w:space="0"/>
              <w:bottom w:val="single" w:color="auto" w:sz="4" w:space="0"/>
              <w:right w:val="single" w:color="000000" w:sz="4" w:space="0"/>
            </w:tcBorders>
            <w:vAlign w:val="center"/>
          </w:tcPr>
          <w:p w14:paraId="4496637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2.2</w:t>
            </w:r>
          </w:p>
        </w:tc>
        <w:tc>
          <w:tcPr>
            <w:tcW w:w="3034" w:type="dxa"/>
            <w:tcBorders>
              <w:top w:val="nil"/>
              <w:left w:val="nil"/>
              <w:bottom w:val="single" w:color="auto" w:sz="4" w:space="0"/>
              <w:right w:val="single" w:color="auto" w:sz="4" w:space="0"/>
            </w:tcBorders>
            <w:vAlign w:val="center"/>
          </w:tcPr>
          <w:p w14:paraId="681EF43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施工图设计阶段设计费用</w:t>
            </w:r>
          </w:p>
        </w:tc>
        <w:tc>
          <w:tcPr>
            <w:tcW w:w="4536" w:type="dxa"/>
            <w:gridSpan w:val="4"/>
            <w:tcBorders>
              <w:top w:val="single" w:color="auto" w:sz="4" w:space="0"/>
              <w:left w:val="nil"/>
              <w:bottom w:val="single" w:color="auto" w:sz="4" w:space="0"/>
              <w:right w:val="single" w:color="auto" w:sz="4" w:space="0"/>
            </w:tcBorders>
            <w:vAlign w:val="center"/>
          </w:tcPr>
          <w:p w14:paraId="26CA6469">
            <w:pPr>
              <w:widowControl/>
              <w:jc w:val="center"/>
              <w:rPr>
                <w:rFonts w:ascii="宋体" w:hAnsi="宋体" w:cs="宋体"/>
                <w:b/>
                <w:bCs/>
                <w:color w:val="auto"/>
                <w:kern w:val="0"/>
                <w:szCs w:val="21"/>
                <w:highlight w:val="none"/>
              </w:rPr>
            </w:pPr>
          </w:p>
        </w:tc>
      </w:tr>
      <w:tr w14:paraId="1B17E7B7">
        <w:tblPrEx>
          <w:tblCellMar>
            <w:top w:w="0" w:type="dxa"/>
            <w:left w:w="108" w:type="dxa"/>
            <w:bottom w:w="0" w:type="dxa"/>
            <w:right w:w="108" w:type="dxa"/>
          </w:tblCellMar>
        </w:tblPrEx>
        <w:trPr>
          <w:trHeight w:val="422" w:hRule="atLeast"/>
        </w:trPr>
        <w:tc>
          <w:tcPr>
            <w:tcW w:w="435" w:type="dxa"/>
            <w:gridSpan w:val="2"/>
            <w:vMerge w:val="continue"/>
            <w:tcBorders>
              <w:left w:val="single" w:color="auto" w:sz="4" w:space="0"/>
              <w:right w:val="single" w:color="auto" w:sz="4" w:space="0"/>
            </w:tcBorders>
            <w:vAlign w:val="center"/>
          </w:tcPr>
          <w:p w14:paraId="1E4A3E62">
            <w:pPr>
              <w:widowControl/>
              <w:jc w:val="center"/>
              <w:rPr>
                <w:rFonts w:ascii="宋体" w:hAnsi="宋体" w:cs="宋体"/>
                <w:b/>
                <w:bCs/>
                <w:color w:val="auto"/>
                <w:kern w:val="0"/>
                <w:szCs w:val="21"/>
                <w:highlight w:val="none"/>
              </w:rPr>
            </w:pPr>
          </w:p>
        </w:tc>
        <w:tc>
          <w:tcPr>
            <w:tcW w:w="660" w:type="dxa"/>
            <w:tcBorders>
              <w:top w:val="single" w:color="auto" w:sz="4" w:space="0"/>
              <w:left w:val="single" w:color="auto" w:sz="4" w:space="0"/>
              <w:bottom w:val="single" w:color="auto" w:sz="4" w:space="0"/>
              <w:right w:val="single" w:color="000000" w:sz="4" w:space="0"/>
            </w:tcBorders>
            <w:vAlign w:val="center"/>
          </w:tcPr>
          <w:p w14:paraId="3AEC97EA">
            <w:pPr>
              <w:widowControl/>
              <w:jc w:val="center"/>
              <w:rPr>
                <w:rFonts w:ascii="宋体" w:hAnsi="宋体" w:cs="宋体"/>
                <w:b/>
                <w:bCs/>
                <w:color w:val="auto"/>
                <w:kern w:val="0"/>
                <w:szCs w:val="21"/>
                <w:highlight w:val="none"/>
              </w:rPr>
            </w:pPr>
          </w:p>
        </w:tc>
        <w:tc>
          <w:tcPr>
            <w:tcW w:w="3034" w:type="dxa"/>
            <w:tcBorders>
              <w:top w:val="nil"/>
              <w:left w:val="nil"/>
              <w:bottom w:val="single" w:color="auto" w:sz="4" w:space="0"/>
              <w:right w:val="single" w:color="auto" w:sz="4" w:space="0"/>
            </w:tcBorders>
            <w:vAlign w:val="center"/>
          </w:tcPr>
          <w:p w14:paraId="7B5AF23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w:t>
            </w:r>
          </w:p>
        </w:tc>
        <w:tc>
          <w:tcPr>
            <w:tcW w:w="4536" w:type="dxa"/>
            <w:gridSpan w:val="4"/>
            <w:tcBorders>
              <w:top w:val="single" w:color="auto" w:sz="4" w:space="0"/>
              <w:left w:val="nil"/>
              <w:bottom w:val="single" w:color="auto" w:sz="4" w:space="0"/>
              <w:right w:val="single" w:color="auto" w:sz="4" w:space="0"/>
            </w:tcBorders>
            <w:vAlign w:val="center"/>
          </w:tcPr>
          <w:p w14:paraId="50AC98CF">
            <w:pPr>
              <w:widowControl/>
              <w:jc w:val="center"/>
              <w:rPr>
                <w:rFonts w:ascii="宋体" w:hAnsi="宋体" w:cs="宋体"/>
                <w:b/>
                <w:bCs/>
                <w:color w:val="auto"/>
                <w:kern w:val="0"/>
                <w:szCs w:val="21"/>
                <w:highlight w:val="none"/>
              </w:rPr>
            </w:pPr>
          </w:p>
        </w:tc>
      </w:tr>
      <w:tr w14:paraId="66066D54">
        <w:tblPrEx>
          <w:tblCellMar>
            <w:top w:w="0" w:type="dxa"/>
            <w:left w:w="108" w:type="dxa"/>
            <w:bottom w:w="0" w:type="dxa"/>
            <w:right w:w="108" w:type="dxa"/>
          </w:tblCellMar>
        </w:tblPrEx>
        <w:trPr>
          <w:trHeight w:val="413" w:hRule="atLeast"/>
        </w:trPr>
        <w:tc>
          <w:tcPr>
            <w:tcW w:w="435" w:type="dxa"/>
            <w:gridSpan w:val="2"/>
            <w:vMerge w:val="continue"/>
            <w:tcBorders>
              <w:left w:val="single" w:color="auto" w:sz="4" w:space="0"/>
              <w:bottom w:val="single" w:color="auto" w:sz="4" w:space="0"/>
              <w:right w:val="single" w:color="auto" w:sz="4" w:space="0"/>
            </w:tcBorders>
            <w:vAlign w:val="center"/>
          </w:tcPr>
          <w:p w14:paraId="413A5F65">
            <w:pPr>
              <w:widowControl/>
              <w:jc w:val="center"/>
              <w:rPr>
                <w:rFonts w:ascii="宋体" w:hAnsi="宋体" w:cs="宋体"/>
                <w:b/>
                <w:bCs/>
                <w:color w:val="auto"/>
                <w:kern w:val="0"/>
                <w:szCs w:val="21"/>
                <w:highlight w:val="none"/>
              </w:rPr>
            </w:pPr>
          </w:p>
        </w:tc>
        <w:tc>
          <w:tcPr>
            <w:tcW w:w="3694" w:type="dxa"/>
            <w:gridSpan w:val="2"/>
            <w:tcBorders>
              <w:top w:val="single" w:color="auto" w:sz="4" w:space="0"/>
              <w:left w:val="single" w:color="auto" w:sz="4" w:space="0"/>
              <w:bottom w:val="single" w:color="auto" w:sz="4" w:space="0"/>
              <w:right w:val="single" w:color="auto" w:sz="4" w:space="0"/>
            </w:tcBorders>
            <w:vAlign w:val="center"/>
          </w:tcPr>
          <w:p w14:paraId="1600F9A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设计费用合计</w:t>
            </w:r>
          </w:p>
        </w:tc>
        <w:tc>
          <w:tcPr>
            <w:tcW w:w="4536" w:type="dxa"/>
            <w:gridSpan w:val="4"/>
            <w:tcBorders>
              <w:top w:val="single" w:color="auto" w:sz="4" w:space="0"/>
              <w:left w:val="nil"/>
              <w:bottom w:val="single" w:color="auto" w:sz="4" w:space="0"/>
              <w:right w:val="single" w:color="auto" w:sz="4" w:space="0"/>
            </w:tcBorders>
            <w:vAlign w:val="center"/>
          </w:tcPr>
          <w:p w14:paraId="28801683">
            <w:pPr>
              <w:widowControl/>
              <w:jc w:val="center"/>
              <w:rPr>
                <w:rFonts w:ascii="宋体" w:hAnsi="宋体" w:cs="宋体"/>
                <w:b/>
                <w:bCs/>
                <w:color w:val="auto"/>
                <w:kern w:val="0"/>
                <w:szCs w:val="21"/>
                <w:highlight w:val="none"/>
              </w:rPr>
            </w:pPr>
          </w:p>
        </w:tc>
      </w:tr>
      <w:tr w14:paraId="01C667DB">
        <w:tblPrEx>
          <w:tblCellMar>
            <w:top w:w="0" w:type="dxa"/>
            <w:left w:w="108" w:type="dxa"/>
            <w:bottom w:w="0" w:type="dxa"/>
            <w:right w:w="108" w:type="dxa"/>
          </w:tblCellMar>
        </w:tblPrEx>
        <w:trPr>
          <w:trHeight w:val="547" w:hRule="atLeast"/>
        </w:trPr>
        <w:tc>
          <w:tcPr>
            <w:tcW w:w="1095" w:type="dxa"/>
            <w:gridSpan w:val="3"/>
            <w:tcBorders>
              <w:top w:val="single" w:color="auto" w:sz="4" w:space="0"/>
              <w:left w:val="single" w:color="auto" w:sz="4" w:space="0"/>
              <w:bottom w:val="single" w:color="auto" w:sz="4" w:space="0"/>
              <w:right w:val="single" w:color="000000" w:sz="4" w:space="0"/>
            </w:tcBorders>
            <w:vAlign w:val="center"/>
          </w:tcPr>
          <w:p w14:paraId="61F1246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三</w:t>
            </w:r>
          </w:p>
        </w:tc>
        <w:tc>
          <w:tcPr>
            <w:tcW w:w="3034" w:type="dxa"/>
            <w:tcBorders>
              <w:top w:val="nil"/>
              <w:left w:val="nil"/>
              <w:bottom w:val="single" w:color="auto" w:sz="4" w:space="0"/>
              <w:right w:val="single" w:color="auto" w:sz="4" w:space="0"/>
            </w:tcBorders>
            <w:vAlign w:val="center"/>
          </w:tcPr>
          <w:p w14:paraId="7510B34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暂列金</w:t>
            </w:r>
          </w:p>
        </w:tc>
        <w:tc>
          <w:tcPr>
            <w:tcW w:w="4536" w:type="dxa"/>
            <w:gridSpan w:val="4"/>
            <w:tcBorders>
              <w:top w:val="single" w:color="auto" w:sz="4" w:space="0"/>
              <w:left w:val="nil"/>
              <w:bottom w:val="single" w:color="auto" w:sz="4" w:space="0"/>
              <w:right w:val="single" w:color="auto" w:sz="4" w:space="0"/>
            </w:tcBorders>
            <w:vAlign w:val="center"/>
          </w:tcPr>
          <w:p w14:paraId="7B00E5C0">
            <w:pPr>
              <w:widowControl/>
              <w:jc w:val="center"/>
              <w:rPr>
                <w:rFonts w:ascii="宋体" w:hAnsi="宋体" w:cs="宋体"/>
                <w:b/>
                <w:bCs/>
                <w:color w:val="auto"/>
                <w:kern w:val="0"/>
                <w:szCs w:val="21"/>
                <w:highlight w:val="none"/>
              </w:rPr>
            </w:pPr>
          </w:p>
        </w:tc>
      </w:tr>
      <w:tr w14:paraId="5FB02A90">
        <w:tblPrEx>
          <w:tblCellMar>
            <w:top w:w="0" w:type="dxa"/>
            <w:left w:w="108" w:type="dxa"/>
            <w:bottom w:w="0" w:type="dxa"/>
            <w:right w:w="108" w:type="dxa"/>
          </w:tblCellMar>
        </w:tblPrEx>
        <w:trPr>
          <w:trHeight w:val="569" w:hRule="atLeast"/>
        </w:trPr>
        <w:tc>
          <w:tcPr>
            <w:tcW w:w="1095" w:type="dxa"/>
            <w:gridSpan w:val="3"/>
            <w:tcBorders>
              <w:top w:val="single" w:color="auto" w:sz="4" w:space="0"/>
              <w:left w:val="single" w:color="auto" w:sz="4" w:space="0"/>
              <w:bottom w:val="single" w:color="auto" w:sz="4" w:space="0"/>
              <w:right w:val="single" w:color="000000" w:sz="4" w:space="0"/>
            </w:tcBorders>
            <w:vAlign w:val="center"/>
          </w:tcPr>
          <w:p w14:paraId="27B2282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四</w:t>
            </w:r>
          </w:p>
        </w:tc>
        <w:tc>
          <w:tcPr>
            <w:tcW w:w="3034" w:type="dxa"/>
            <w:tcBorders>
              <w:top w:val="single" w:color="auto" w:sz="4" w:space="0"/>
              <w:left w:val="nil"/>
              <w:bottom w:val="single" w:color="auto" w:sz="4" w:space="0"/>
              <w:right w:val="single" w:color="auto" w:sz="4" w:space="0"/>
            </w:tcBorders>
            <w:vAlign w:val="center"/>
          </w:tcPr>
          <w:p w14:paraId="3BB90B2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最终工程勘察设计费用报价：（四=一＋二+三）</w:t>
            </w:r>
          </w:p>
        </w:tc>
        <w:tc>
          <w:tcPr>
            <w:tcW w:w="4536" w:type="dxa"/>
            <w:gridSpan w:val="4"/>
            <w:tcBorders>
              <w:top w:val="single" w:color="auto" w:sz="4" w:space="0"/>
              <w:left w:val="nil"/>
              <w:bottom w:val="single" w:color="auto" w:sz="4" w:space="0"/>
              <w:right w:val="single" w:color="auto" w:sz="4" w:space="0"/>
            </w:tcBorders>
            <w:vAlign w:val="center"/>
          </w:tcPr>
          <w:p w14:paraId="09699706">
            <w:pPr>
              <w:widowControl/>
              <w:jc w:val="center"/>
              <w:rPr>
                <w:rFonts w:ascii="宋体" w:hAnsi="宋体" w:cs="宋体"/>
                <w:b/>
                <w:bCs/>
                <w:color w:val="auto"/>
                <w:kern w:val="0"/>
                <w:szCs w:val="21"/>
                <w:highlight w:val="none"/>
              </w:rPr>
            </w:pPr>
          </w:p>
        </w:tc>
      </w:tr>
    </w:tbl>
    <w:p w14:paraId="17A341B6">
      <w:pPr>
        <w:adjustRightInd w:val="0"/>
        <w:ind w:left="1213" w:right="405" w:hanging="736"/>
        <w:rPr>
          <w:rFonts w:ascii="宋体" w:hAnsi="宋体" w:cs="Arial Unicode MS"/>
          <w:snapToGrid w:val="0"/>
          <w:color w:val="auto"/>
          <w:kern w:val="0"/>
          <w:szCs w:val="21"/>
          <w:highlight w:val="none"/>
        </w:rPr>
      </w:pPr>
    </w:p>
    <w:p w14:paraId="058A4D4A">
      <w:pPr>
        <w:rPr>
          <w:rFonts w:ascii="宋体" w:hAnsi="宋体"/>
          <w:snapToGrid w:val="0"/>
          <w:color w:val="auto"/>
          <w:kern w:val="0"/>
          <w:highlight w:val="none"/>
        </w:rPr>
      </w:pPr>
    </w:p>
    <w:p w14:paraId="6F689C8F">
      <w:pPr>
        <w:rPr>
          <w:rFonts w:ascii="宋体" w:hAnsi="宋体"/>
          <w:snapToGrid w:val="0"/>
          <w:color w:val="auto"/>
          <w:kern w:val="0"/>
          <w:highlight w:val="none"/>
        </w:rPr>
      </w:pPr>
    </w:p>
    <w:p w14:paraId="03F97F01">
      <w:pPr>
        <w:jc w:val="right"/>
        <w:rPr>
          <w:rFonts w:ascii="宋体" w:hAnsi="宋体"/>
          <w:snapToGrid w:val="0"/>
          <w:color w:val="auto"/>
          <w:kern w:val="0"/>
          <w:sz w:val="24"/>
          <w:highlight w:val="none"/>
        </w:rPr>
      </w:pPr>
    </w:p>
    <w:p w14:paraId="20AA7A50">
      <w:pPr>
        <w:jc w:val="right"/>
        <w:rPr>
          <w:rFonts w:ascii="宋体" w:hAnsi="宋体"/>
          <w:snapToGrid w:val="0"/>
          <w:color w:val="auto"/>
          <w:kern w:val="0"/>
          <w:sz w:val="24"/>
          <w:highlight w:val="none"/>
        </w:rPr>
      </w:pPr>
    </w:p>
    <w:p w14:paraId="51E5A04B">
      <w:pPr>
        <w:jc w:val="right"/>
        <w:rPr>
          <w:rFonts w:ascii="宋体" w:hAnsi="宋体"/>
          <w:snapToGrid w:val="0"/>
          <w:color w:val="auto"/>
          <w:kern w:val="0"/>
          <w:sz w:val="24"/>
          <w:highlight w:val="none"/>
        </w:rPr>
      </w:pPr>
      <w:r>
        <w:rPr>
          <w:rFonts w:ascii="宋体" w:hAnsi="宋体"/>
          <w:snapToGrid w:val="0"/>
          <w:color w:val="auto"/>
          <w:kern w:val="0"/>
          <w:sz w:val="24"/>
          <w:highlight w:val="none"/>
        </w:rPr>
        <w:t>投标人：</w:t>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hint="eastAsia"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snapToGrid w:val="0"/>
          <w:color w:val="auto"/>
          <w:kern w:val="0"/>
          <w:sz w:val="24"/>
          <w:highlight w:val="none"/>
        </w:rPr>
        <w:t>盖单位电子章</w:t>
      </w:r>
      <w:r>
        <w:rPr>
          <w:rFonts w:ascii="宋体" w:hAnsi="宋体"/>
          <w:snapToGrid w:val="0"/>
          <w:color w:val="auto"/>
          <w:kern w:val="0"/>
          <w:sz w:val="24"/>
          <w:highlight w:val="none"/>
        </w:rPr>
        <w:t>）</w:t>
      </w:r>
    </w:p>
    <w:p w14:paraId="12D590A4">
      <w:pPr>
        <w:jc w:val="right"/>
        <w:rPr>
          <w:rFonts w:ascii="宋体" w:hAnsi="宋体"/>
          <w:snapToGrid w:val="0"/>
          <w:color w:val="auto"/>
          <w:kern w:val="0"/>
          <w:sz w:val="24"/>
          <w:highlight w:val="none"/>
          <w:u w:val="single"/>
        </w:rPr>
      </w:pP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r>
        <w:rPr>
          <w:rFonts w:hint="eastAsia" w:ascii="宋体" w:hAnsi="宋体"/>
          <w:snapToGrid w:val="0"/>
          <w:color w:val="auto"/>
          <w:kern w:val="0"/>
          <w:sz w:val="24"/>
          <w:highlight w:val="none"/>
        </w:rPr>
        <w:tab/>
      </w:r>
    </w:p>
    <w:p w14:paraId="5C3823A0">
      <w:pPr>
        <w:tabs>
          <w:tab w:val="left" w:pos="5720"/>
          <w:tab w:val="left" w:pos="6435"/>
        </w:tabs>
        <w:adjustRightInd w:val="0"/>
        <w:snapToGrid w:val="0"/>
        <w:spacing w:line="360" w:lineRule="auto"/>
        <w:ind w:left="4761" w:firstLine="340" w:firstLineChars="142"/>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日期：</w:t>
      </w:r>
      <w:r>
        <w:rPr>
          <w:rFonts w:hint="eastAsia"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年</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rPr>
        <w:t>月</w:t>
      </w:r>
      <w:r>
        <w:rPr>
          <w:rFonts w:hint="eastAsia" w:ascii="宋体" w:hAnsi="宋体" w:cs="Arial Unicode MS"/>
          <w:snapToGrid w:val="0"/>
          <w:color w:val="auto"/>
          <w:kern w:val="0"/>
          <w:sz w:val="24"/>
          <w:highlight w:val="none"/>
          <w:u w:val="single"/>
        </w:rPr>
        <w:tab/>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rPr>
        <w:t>日</w:t>
      </w:r>
    </w:p>
    <w:p w14:paraId="6037682E">
      <w:pPr>
        <w:jc w:val="right"/>
        <w:rPr>
          <w:rFonts w:ascii="宋体" w:hAnsi="宋体"/>
          <w:snapToGrid w:val="0"/>
          <w:color w:val="auto"/>
          <w:kern w:val="0"/>
          <w:sz w:val="24"/>
          <w:highlight w:val="none"/>
        </w:rPr>
      </w:pPr>
    </w:p>
    <w:p w14:paraId="164DC790">
      <w:pPr>
        <w:wordWrap w:val="0"/>
        <w:jc w:val="center"/>
        <w:rPr>
          <w:rFonts w:ascii="黑体" w:hAnsi="黑体" w:eastAsia="黑体" w:cs="黑体"/>
          <w:color w:val="auto"/>
          <w:sz w:val="28"/>
          <w:szCs w:val="28"/>
          <w:highlight w:val="none"/>
        </w:rPr>
      </w:pPr>
      <w:r>
        <w:rPr>
          <w:rFonts w:ascii="宋体" w:hAnsi="宋体"/>
          <w:snapToGrid w:val="0"/>
          <w:color w:val="auto"/>
          <w:kern w:val="0"/>
          <w:sz w:val="24"/>
          <w:highlight w:val="none"/>
        </w:rPr>
        <w:br w:type="page"/>
      </w:r>
      <w:bookmarkEnd w:id="842"/>
      <w:bookmarkStart w:id="843" w:name="_Toc488649950"/>
      <w:bookmarkStart w:id="844" w:name="_Toc326241930"/>
      <w:bookmarkStart w:id="845" w:name="_Toc346269529"/>
      <w:r>
        <w:rPr>
          <w:rFonts w:hint="eastAsia" w:ascii="黑体" w:hAnsi="黑体" w:eastAsia="黑体" w:cs="黑体"/>
          <w:color w:val="auto"/>
          <w:sz w:val="28"/>
          <w:szCs w:val="28"/>
          <w:highlight w:val="none"/>
        </w:rPr>
        <w:t>10.定标要素情况表</w:t>
      </w:r>
    </w:p>
    <w:p w14:paraId="260D35EB">
      <w:pPr>
        <w:wordWrap w:val="0"/>
        <w:jc w:val="center"/>
        <w:rPr>
          <w:rFonts w:ascii="黑体" w:hAnsi="黑体" w:eastAsia="黑体" w:cs="黑体"/>
          <w:color w:val="auto"/>
          <w:sz w:val="24"/>
          <w:highlight w:val="none"/>
        </w:rPr>
      </w:pPr>
    </w:p>
    <w:p w14:paraId="5EA92779">
      <w:pPr>
        <w:ind w:left="766"/>
        <w:jc w:val="left"/>
        <w:rPr>
          <w:rFonts w:ascii="黑体" w:hAnsi="黑体" w:eastAsia="黑体"/>
          <w:color w:val="auto"/>
          <w:sz w:val="10"/>
          <w:highlight w:val="none"/>
        </w:rPr>
      </w:pPr>
      <w:r>
        <w:rPr>
          <w:rFonts w:hint="eastAsia" w:ascii="黑体" w:hAnsi="黑体" w:eastAsia="黑体"/>
          <w:b/>
          <w:color w:val="auto"/>
          <w:highlight w:val="none"/>
        </w:rPr>
        <w:t>1、</w:t>
      </w:r>
      <w:r>
        <w:rPr>
          <w:rFonts w:hint="eastAsia" w:ascii="黑体" w:hAnsi="黑体" w:eastAsia="黑体"/>
          <w:color w:val="auto"/>
          <w:highlight w:val="none"/>
        </w:rPr>
        <w:t>信用要素情况表</w:t>
      </w:r>
      <w:r>
        <w:rPr>
          <w:rFonts w:hint="eastAsia" w:ascii="黑体" w:hAnsi="黑体" w:eastAsia="黑体"/>
          <w:color w:val="auto"/>
          <w:position w:val="9"/>
          <w:sz w:val="10"/>
          <w:highlight w:val="none"/>
        </w:rPr>
        <w:t>①</w:t>
      </w:r>
    </w:p>
    <w:p w14:paraId="00363629">
      <w:pPr>
        <w:pStyle w:val="18"/>
        <w:spacing w:before="10"/>
        <w:rPr>
          <w:rFonts w:ascii="黑体"/>
          <w:color w:val="auto"/>
          <w:sz w:val="13"/>
          <w:highlight w:val="none"/>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5753"/>
      </w:tblGrid>
      <w:tr w14:paraId="12EC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364" w:type="dxa"/>
          </w:tcPr>
          <w:p w14:paraId="30BEEFF5">
            <w:pPr>
              <w:pStyle w:val="111"/>
              <w:spacing w:before="107"/>
              <w:ind w:left="473"/>
              <w:rPr>
                <w:rFonts w:ascii="黑体" w:hAnsi="黑体" w:eastAsia="黑体"/>
                <w:color w:val="auto"/>
                <w:sz w:val="10"/>
                <w:highlight w:val="none"/>
              </w:rPr>
            </w:pPr>
            <w:r>
              <w:rPr>
                <w:rFonts w:hint="eastAsia" w:ascii="黑体" w:hAnsi="黑体" w:eastAsia="黑体"/>
                <w:color w:val="auto"/>
                <w:highlight w:val="none"/>
              </w:rPr>
              <w:t>招标人要求的信用子要素</w:t>
            </w:r>
            <w:r>
              <w:rPr>
                <w:rFonts w:hint="eastAsia" w:ascii="黑体" w:hAnsi="黑体" w:eastAsia="黑体"/>
                <w:color w:val="auto"/>
                <w:position w:val="9"/>
                <w:sz w:val="10"/>
                <w:highlight w:val="none"/>
              </w:rPr>
              <w:t>②</w:t>
            </w:r>
          </w:p>
        </w:tc>
        <w:tc>
          <w:tcPr>
            <w:tcW w:w="5753" w:type="dxa"/>
          </w:tcPr>
          <w:p w14:paraId="7E92F583">
            <w:pPr>
              <w:pStyle w:val="111"/>
              <w:spacing w:before="107"/>
              <w:ind w:left="1614"/>
              <w:rPr>
                <w:rFonts w:ascii="黑体" w:eastAsia="黑体"/>
                <w:color w:val="auto"/>
                <w:highlight w:val="none"/>
              </w:rPr>
            </w:pPr>
            <w:r>
              <w:rPr>
                <w:rFonts w:hint="eastAsia" w:ascii="黑体" w:eastAsia="黑体"/>
                <w:color w:val="auto"/>
                <w:highlight w:val="none"/>
              </w:rPr>
              <w:t>投标人提供的证明材料明细</w:t>
            </w:r>
          </w:p>
        </w:tc>
      </w:tr>
      <w:tr w14:paraId="398E9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jc w:val="center"/>
        </w:trPr>
        <w:tc>
          <w:tcPr>
            <w:tcW w:w="3364" w:type="dxa"/>
          </w:tcPr>
          <w:p w14:paraId="18DBB332">
            <w:pPr>
              <w:pStyle w:val="111"/>
              <w:rPr>
                <w:rFonts w:ascii="Times New Roman"/>
                <w:color w:val="auto"/>
                <w:sz w:val="18"/>
                <w:highlight w:val="none"/>
              </w:rPr>
            </w:pPr>
          </w:p>
        </w:tc>
        <w:tc>
          <w:tcPr>
            <w:tcW w:w="5753" w:type="dxa"/>
          </w:tcPr>
          <w:p w14:paraId="08372DA5">
            <w:pPr>
              <w:pStyle w:val="111"/>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14:paraId="7C3564C0">
            <w:pPr>
              <w:pStyle w:val="111"/>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14:paraId="407EC26B">
            <w:pPr>
              <w:pStyle w:val="111"/>
              <w:spacing w:before="137"/>
              <w:ind w:left="106"/>
              <w:rPr>
                <w:color w:val="auto"/>
                <w:highlight w:val="none"/>
              </w:rPr>
            </w:pPr>
            <w:r>
              <w:rPr>
                <w:color w:val="auto"/>
                <w:highlight w:val="none"/>
              </w:rPr>
              <w:t>③</w:t>
            </w:r>
            <w:r>
              <w:rPr>
                <w:color w:val="auto"/>
                <w:highlight w:val="none"/>
                <w:u w:val="single"/>
              </w:rPr>
              <w:t xml:space="preserve">…… </w:t>
            </w:r>
          </w:p>
        </w:tc>
      </w:tr>
      <w:tr w14:paraId="72B70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9117" w:type="dxa"/>
            <w:gridSpan w:val="2"/>
          </w:tcPr>
          <w:p w14:paraId="4C2A1116">
            <w:pPr>
              <w:pStyle w:val="111"/>
              <w:spacing w:before="109"/>
              <w:ind w:left="107"/>
              <w:rPr>
                <w:color w:val="auto"/>
                <w:highlight w:val="none"/>
              </w:rPr>
            </w:pPr>
            <w:r>
              <w:rPr>
                <w:color w:val="auto"/>
                <w:highlight w:val="none"/>
              </w:rPr>
              <w:t>说明：投标人应根据招标文件第四章定标</w:t>
            </w:r>
            <w:r>
              <w:rPr>
                <w:rFonts w:hint="eastAsia"/>
                <w:color w:val="auto"/>
                <w:highlight w:val="none"/>
              </w:rPr>
              <w:t>方案</w:t>
            </w:r>
            <w:r>
              <w:rPr>
                <w:color w:val="auto"/>
                <w:highlight w:val="none"/>
              </w:rPr>
              <w:t>的前附表中定标要素编列内容的规定提供与信用子</w:t>
            </w:r>
          </w:p>
          <w:p w14:paraId="2F56C014">
            <w:pPr>
              <w:pStyle w:val="111"/>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14:paraId="627DB223">
      <w:pPr>
        <w:pStyle w:val="18"/>
        <w:rPr>
          <w:rFonts w:ascii="黑体"/>
          <w:color w:val="auto"/>
          <w:sz w:val="20"/>
          <w:highlight w:val="none"/>
        </w:rPr>
      </w:pPr>
    </w:p>
    <w:p w14:paraId="70BBA4F3">
      <w:pPr>
        <w:pStyle w:val="18"/>
        <w:rPr>
          <w:rFonts w:ascii="黑体"/>
          <w:color w:val="auto"/>
          <w:sz w:val="20"/>
          <w:highlight w:val="none"/>
        </w:rPr>
      </w:pPr>
    </w:p>
    <w:p w14:paraId="25FC8FC2">
      <w:pPr>
        <w:pStyle w:val="18"/>
        <w:rPr>
          <w:rFonts w:ascii="黑体"/>
          <w:color w:val="auto"/>
          <w:sz w:val="20"/>
          <w:highlight w:val="none"/>
        </w:rPr>
      </w:pPr>
    </w:p>
    <w:p w14:paraId="57A3CEC1">
      <w:pPr>
        <w:pStyle w:val="18"/>
        <w:rPr>
          <w:rFonts w:ascii="黑体"/>
          <w:color w:val="auto"/>
          <w:sz w:val="20"/>
          <w:highlight w:val="none"/>
        </w:rPr>
      </w:pPr>
    </w:p>
    <w:p w14:paraId="55FFFB8C">
      <w:pPr>
        <w:pStyle w:val="18"/>
        <w:rPr>
          <w:rFonts w:ascii="黑体"/>
          <w:color w:val="auto"/>
          <w:sz w:val="20"/>
          <w:highlight w:val="none"/>
        </w:rPr>
      </w:pPr>
    </w:p>
    <w:p w14:paraId="6A3AF0EC">
      <w:pPr>
        <w:pStyle w:val="18"/>
        <w:rPr>
          <w:rFonts w:ascii="黑体"/>
          <w:color w:val="auto"/>
          <w:sz w:val="20"/>
          <w:highlight w:val="none"/>
        </w:rPr>
      </w:pPr>
    </w:p>
    <w:p w14:paraId="2F2795DA">
      <w:pPr>
        <w:pStyle w:val="18"/>
        <w:rPr>
          <w:rFonts w:ascii="黑体"/>
          <w:color w:val="auto"/>
          <w:sz w:val="20"/>
          <w:highlight w:val="none"/>
        </w:rPr>
      </w:pPr>
    </w:p>
    <w:p w14:paraId="7A3E1067">
      <w:pPr>
        <w:pStyle w:val="18"/>
        <w:rPr>
          <w:rFonts w:ascii="黑体"/>
          <w:color w:val="auto"/>
          <w:sz w:val="20"/>
          <w:highlight w:val="none"/>
        </w:rPr>
      </w:pPr>
    </w:p>
    <w:p w14:paraId="2DAFD15C">
      <w:pPr>
        <w:pStyle w:val="18"/>
        <w:rPr>
          <w:rFonts w:ascii="黑体"/>
          <w:color w:val="auto"/>
          <w:sz w:val="20"/>
          <w:highlight w:val="none"/>
        </w:rPr>
      </w:pPr>
    </w:p>
    <w:p w14:paraId="653F213D">
      <w:pPr>
        <w:pStyle w:val="18"/>
        <w:rPr>
          <w:rFonts w:ascii="黑体"/>
          <w:color w:val="auto"/>
          <w:sz w:val="20"/>
          <w:highlight w:val="none"/>
        </w:rPr>
      </w:pPr>
    </w:p>
    <w:p w14:paraId="6A0CD765">
      <w:pPr>
        <w:pStyle w:val="18"/>
        <w:rPr>
          <w:rFonts w:ascii="黑体"/>
          <w:color w:val="auto"/>
          <w:sz w:val="20"/>
          <w:highlight w:val="none"/>
        </w:rPr>
      </w:pPr>
    </w:p>
    <w:p w14:paraId="0645210A">
      <w:pPr>
        <w:pStyle w:val="18"/>
        <w:rPr>
          <w:rFonts w:ascii="黑体"/>
          <w:color w:val="auto"/>
          <w:sz w:val="20"/>
          <w:highlight w:val="none"/>
        </w:rPr>
      </w:pPr>
    </w:p>
    <w:p w14:paraId="1452885E">
      <w:pPr>
        <w:pStyle w:val="18"/>
        <w:rPr>
          <w:rFonts w:ascii="黑体"/>
          <w:color w:val="auto"/>
          <w:sz w:val="20"/>
          <w:highlight w:val="none"/>
        </w:rPr>
      </w:pPr>
    </w:p>
    <w:p w14:paraId="660460DE">
      <w:pPr>
        <w:pStyle w:val="18"/>
        <w:rPr>
          <w:rFonts w:ascii="黑体"/>
          <w:color w:val="auto"/>
          <w:sz w:val="20"/>
          <w:highlight w:val="none"/>
        </w:rPr>
      </w:pPr>
    </w:p>
    <w:p w14:paraId="1C20FD2C">
      <w:pPr>
        <w:pStyle w:val="18"/>
        <w:spacing w:before="6"/>
        <w:rPr>
          <w:rFonts w:ascii="黑体"/>
          <w:color w:val="auto"/>
          <w:highlight w:val="none"/>
        </w:rPr>
      </w:pPr>
    </w:p>
    <w:p w14:paraId="4ED6FEF6">
      <w:pPr>
        <w:spacing w:before="101"/>
        <w:ind w:left="766"/>
        <w:jc w:val="left"/>
        <w:rPr>
          <w:color w:val="auto"/>
          <w:sz w:val="15"/>
          <w:highlight w:val="none"/>
        </w:rPr>
      </w:pPr>
      <w:r>
        <w:rPr>
          <w:color w:val="auto"/>
          <w:sz w:val="15"/>
          <w:highlight w:val="none"/>
        </w:rPr>
        <w:t>①投标人针对每一项信用子要素需分别单独编制情况表。</w:t>
      </w:r>
    </w:p>
    <w:p w14:paraId="1C515B6E">
      <w:pPr>
        <w:spacing w:before="8"/>
        <w:ind w:left="766"/>
        <w:jc w:val="left"/>
        <w:rPr>
          <w:color w:val="auto"/>
          <w:sz w:val="15"/>
          <w:highlight w:val="none"/>
        </w:rPr>
      </w:pPr>
      <w:r>
        <w:rPr>
          <w:color w:val="auto"/>
          <w:sz w:val="15"/>
          <w:highlight w:val="none"/>
        </w:rPr>
        <w:t>②此处由投标人根据招标文件第四章定标</w:t>
      </w:r>
      <w:r>
        <w:rPr>
          <w:rFonts w:hint="eastAsia"/>
          <w:color w:val="auto"/>
          <w:sz w:val="15"/>
          <w:highlight w:val="none"/>
        </w:rPr>
        <w:t>方案</w:t>
      </w:r>
      <w:r>
        <w:rPr>
          <w:color w:val="auto"/>
          <w:sz w:val="15"/>
          <w:highlight w:val="none"/>
        </w:rPr>
        <w:t>规定的定标要素中的信用要素填入相应的子要素。</w:t>
      </w:r>
    </w:p>
    <w:p w14:paraId="7F75484C">
      <w:pPr>
        <w:jc w:val="left"/>
        <w:rPr>
          <w:color w:val="auto"/>
          <w:sz w:val="15"/>
          <w:highlight w:val="none"/>
        </w:rPr>
        <w:sectPr>
          <w:pgSz w:w="11910" w:h="16840"/>
          <w:pgMar w:top="1928" w:right="1587" w:bottom="1928" w:left="1587" w:header="0" w:footer="982" w:gutter="0"/>
          <w:cols w:space="720" w:num="1"/>
        </w:sectPr>
      </w:pPr>
    </w:p>
    <w:p w14:paraId="38DCBFF7">
      <w:pPr>
        <w:spacing w:before="49"/>
        <w:ind w:left="766"/>
        <w:jc w:val="left"/>
        <w:rPr>
          <w:rFonts w:ascii="黑体" w:hAnsi="黑体" w:eastAsia="黑体"/>
          <w:color w:val="auto"/>
          <w:sz w:val="10"/>
          <w:highlight w:val="none"/>
        </w:rPr>
      </w:pPr>
      <w:r>
        <w:rPr>
          <w:rFonts w:hint="eastAsia" w:ascii="黑体" w:hAnsi="黑体" w:eastAsia="黑体"/>
          <w:b/>
          <w:color w:val="auto"/>
          <w:highlight w:val="none"/>
        </w:rPr>
        <w:t>2、</w:t>
      </w:r>
      <w:r>
        <w:rPr>
          <w:rFonts w:hint="eastAsia" w:ascii="黑体" w:hAnsi="黑体" w:eastAsia="黑体"/>
          <w:color w:val="auto"/>
          <w:highlight w:val="none"/>
        </w:rPr>
        <w:t>实力要素情况表</w:t>
      </w:r>
      <w:r>
        <w:rPr>
          <w:rFonts w:hint="eastAsia" w:ascii="黑体" w:hAnsi="黑体" w:eastAsia="黑体"/>
          <w:color w:val="auto"/>
          <w:position w:val="9"/>
          <w:sz w:val="10"/>
          <w:highlight w:val="none"/>
        </w:rPr>
        <w:t>①</w:t>
      </w:r>
    </w:p>
    <w:p w14:paraId="11ED11EA">
      <w:pPr>
        <w:pStyle w:val="18"/>
        <w:spacing w:before="10"/>
        <w:rPr>
          <w:rFonts w:ascii="黑体"/>
          <w:color w:val="auto"/>
          <w:sz w:val="13"/>
          <w:highlight w:val="none"/>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5759"/>
      </w:tblGrid>
      <w:tr w14:paraId="21D02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3358" w:type="dxa"/>
          </w:tcPr>
          <w:p w14:paraId="40EF9BC3">
            <w:pPr>
              <w:pStyle w:val="111"/>
              <w:spacing w:before="107"/>
              <w:ind w:left="470"/>
              <w:rPr>
                <w:rFonts w:ascii="黑体" w:hAnsi="黑体" w:eastAsia="黑体"/>
                <w:color w:val="auto"/>
                <w:sz w:val="10"/>
                <w:highlight w:val="none"/>
              </w:rPr>
            </w:pPr>
            <w:r>
              <w:rPr>
                <w:rFonts w:hint="eastAsia" w:ascii="黑体" w:hAnsi="黑体" w:eastAsia="黑体"/>
                <w:color w:val="auto"/>
                <w:highlight w:val="none"/>
              </w:rPr>
              <w:t>招标人要求的实力子要素</w:t>
            </w:r>
            <w:r>
              <w:rPr>
                <w:rFonts w:hint="eastAsia" w:ascii="黑体" w:hAnsi="黑体" w:eastAsia="黑体"/>
                <w:color w:val="auto"/>
                <w:position w:val="9"/>
                <w:sz w:val="10"/>
                <w:highlight w:val="none"/>
              </w:rPr>
              <w:t>②</w:t>
            </w:r>
          </w:p>
        </w:tc>
        <w:tc>
          <w:tcPr>
            <w:tcW w:w="5759" w:type="dxa"/>
          </w:tcPr>
          <w:p w14:paraId="2E465489">
            <w:pPr>
              <w:pStyle w:val="111"/>
              <w:spacing w:before="107"/>
              <w:ind w:left="1616"/>
              <w:rPr>
                <w:rFonts w:ascii="黑体" w:eastAsia="黑体"/>
                <w:color w:val="auto"/>
                <w:highlight w:val="none"/>
              </w:rPr>
            </w:pPr>
            <w:r>
              <w:rPr>
                <w:rFonts w:hint="eastAsia" w:ascii="黑体" w:eastAsia="黑体"/>
                <w:color w:val="auto"/>
                <w:highlight w:val="none"/>
              </w:rPr>
              <w:t>投标人提供的证明材料明细</w:t>
            </w:r>
          </w:p>
        </w:tc>
      </w:tr>
      <w:tr w14:paraId="7122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jc w:val="center"/>
        </w:trPr>
        <w:tc>
          <w:tcPr>
            <w:tcW w:w="3358" w:type="dxa"/>
          </w:tcPr>
          <w:p w14:paraId="6B48CE85">
            <w:pPr>
              <w:pStyle w:val="111"/>
              <w:rPr>
                <w:rFonts w:ascii="Times New Roman"/>
                <w:color w:val="auto"/>
                <w:sz w:val="18"/>
                <w:highlight w:val="none"/>
              </w:rPr>
            </w:pPr>
          </w:p>
        </w:tc>
        <w:tc>
          <w:tcPr>
            <w:tcW w:w="5759" w:type="dxa"/>
          </w:tcPr>
          <w:p w14:paraId="15BF6B9A">
            <w:pPr>
              <w:pStyle w:val="111"/>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14:paraId="5520E539">
            <w:pPr>
              <w:pStyle w:val="111"/>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14:paraId="6466E9F8">
            <w:pPr>
              <w:pStyle w:val="111"/>
              <w:spacing w:before="137"/>
              <w:ind w:left="106"/>
              <w:rPr>
                <w:color w:val="auto"/>
                <w:highlight w:val="none"/>
              </w:rPr>
            </w:pPr>
            <w:r>
              <w:rPr>
                <w:color w:val="auto"/>
                <w:highlight w:val="none"/>
              </w:rPr>
              <w:t>③</w:t>
            </w:r>
            <w:r>
              <w:rPr>
                <w:color w:val="auto"/>
                <w:highlight w:val="none"/>
                <w:u w:val="single"/>
              </w:rPr>
              <w:t xml:space="preserve">…… </w:t>
            </w:r>
          </w:p>
        </w:tc>
      </w:tr>
      <w:tr w14:paraId="57D49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9117" w:type="dxa"/>
            <w:gridSpan w:val="2"/>
          </w:tcPr>
          <w:p w14:paraId="7577BE7A">
            <w:pPr>
              <w:pStyle w:val="111"/>
              <w:spacing w:before="109"/>
              <w:ind w:left="107"/>
              <w:rPr>
                <w:color w:val="auto"/>
                <w:highlight w:val="none"/>
              </w:rPr>
            </w:pPr>
            <w:r>
              <w:rPr>
                <w:color w:val="auto"/>
                <w:highlight w:val="none"/>
              </w:rPr>
              <w:t>说明：投标人应根据招标文件第四章定标</w:t>
            </w:r>
            <w:r>
              <w:rPr>
                <w:rFonts w:hint="eastAsia"/>
                <w:color w:val="auto"/>
                <w:highlight w:val="none"/>
              </w:rPr>
              <w:t>方案</w:t>
            </w:r>
            <w:r>
              <w:rPr>
                <w:color w:val="auto"/>
                <w:highlight w:val="none"/>
              </w:rPr>
              <w:t>的前附表中定标要素编列内容的规定提供与实力子</w:t>
            </w:r>
          </w:p>
          <w:p w14:paraId="6AC6DF57">
            <w:pPr>
              <w:pStyle w:val="111"/>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14:paraId="108C08B7">
      <w:pPr>
        <w:pStyle w:val="18"/>
        <w:rPr>
          <w:rFonts w:ascii="黑体"/>
          <w:color w:val="auto"/>
          <w:sz w:val="20"/>
          <w:highlight w:val="none"/>
        </w:rPr>
      </w:pPr>
    </w:p>
    <w:p w14:paraId="54A2BC2C">
      <w:pPr>
        <w:pStyle w:val="18"/>
        <w:rPr>
          <w:rFonts w:ascii="黑体"/>
          <w:color w:val="auto"/>
          <w:sz w:val="20"/>
          <w:highlight w:val="none"/>
        </w:rPr>
      </w:pPr>
    </w:p>
    <w:p w14:paraId="3DF33991">
      <w:pPr>
        <w:pStyle w:val="18"/>
        <w:rPr>
          <w:rFonts w:ascii="黑体"/>
          <w:color w:val="auto"/>
          <w:sz w:val="20"/>
          <w:highlight w:val="none"/>
        </w:rPr>
      </w:pPr>
    </w:p>
    <w:p w14:paraId="1018D59D">
      <w:pPr>
        <w:pStyle w:val="18"/>
        <w:rPr>
          <w:rFonts w:ascii="黑体"/>
          <w:color w:val="auto"/>
          <w:sz w:val="20"/>
          <w:highlight w:val="none"/>
        </w:rPr>
      </w:pPr>
    </w:p>
    <w:p w14:paraId="41993440">
      <w:pPr>
        <w:pStyle w:val="18"/>
        <w:rPr>
          <w:rFonts w:ascii="黑体"/>
          <w:color w:val="auto"/>
          <w:sz w:val="20"/>
          <w:highlight w:val="none"/>
        </w:rPr>
      </w:pPr>
    </w:p>
    <w:p w14:paraId="12D808DE">
      <w:pPr>
        <w:pStyle w:val="18"/>
        <w:rPr>
          <w:rFonts w:ascii="黑体"/>
          <w:color w:val="auto"/>
          <w:sz w:val="20"/>
          <w:highlight w:val="none"/>
        </w:rPr>
      </w:pPr>
    </w:p>
    <w:p w14:paraId="30CADCA9">
      <w:pPr>
        <w:pStyle w:val="18"/>
        <w:rPr>
          <w:rFonts w:ascii="黑体"/>
          <w:color w:val="auto"/>
          <w:sz w:val="20"/>
          <w:highlight w:val="none"/>
        </w:rPr>
      </w:pPr>
    </w:p>
    <w:p w14:paraId="3037F7A1">
      <w:pPr>
        <w:pStyle w:val="18"/>
        <w:rPr>
          <w:rFonts w:ascii="黑体"/>
          <w:color w:val="auto"/>
          <w:sz w:val="20"/>
          <w:highlight w:val="none"/>
        </w:rPr>
      </w:pPr>
    </w:p>
    <w:p w14:paraId="6C6C1746">
      <w:pPr>
        <w:pStyle w:val="18"/>
        <w:rPr>
          <w:rFonts w:ascii="黑体"/>
          <w:color w:val="auto"/>
          <w:sz w:val="20"/>
          <w:highlight w:val="none"/>
        </w:rPr>
      </w:pPr>
    </w:p>
    <w:p w14:paraId="6B056E19">
      <w:pPr>
        <w:pStyle w:val="18"/>
        <w:rPr>
          <w:rFonts w:ascii="黑体"/>
          <w:color w:val="auto"/>
          <w:sz w:val="20"/>
          <w:highlight w:val="none"/>
        </w:rPr>
      </w:pPr>
    </w:p>
    <w:p w14:paraId="5D4C2D3D">
      <w:pPr>
        <w:pStyle w:val="18"/>
        <w:rPr>
          <w:rFonts w:ascii="黑体"/>
          <w:color w:val="auto"/>
          <w:sz w:val="20"/>
          <w:highlight w:val="none"/>
        </w:rPr>
      </w:pPr>
    </w:p>
    <w:p w14:paraId="0661C24E">
      <w:pPr>
        <w:pStyle w:val="18"/>
        <w:rPr>
          <w:rFonts w:ascii="黑体"/>
          <w:color w:val="auto"/>
          <w:sz w:val="20"/>
          <w:highlight w:val="none"/>
        </w:rPr>
      </w:pPr>
    </w:p>
    <w:p w14:paraId="481DED11">
      <w:pPr>
        <w:pStyle w:val="18"/>
        <w:rPr>
          <w:rFonts w:ascii="黑体"/>
          <w:color w:val="auto"/>
          <w:sz w:val="20"/>
          <w:highlight w:val="none"/>
        </w:rPr>
      </w:pPr>
    </w:p>
    <w:p w14:paraId="77DB8499">
      <w:pPr>
        <w:pStyle w:val="18"/>
        <w:rPr>
          <w:rFonts w:ascii="黑体"/>
          <w:color w:val="auto"/>
          <w:sz w:val="20"/>
          <w:highlight w:val="none"/>
        </w:rPr>
      </w:pPr>
    </w:p>
    <w:p w14:paraId="72BA31B1">
      <w:pPr>
        <w:pStyle w:val="18"/>
        <w:spacing w:before="2"/>
        <w:rPr>
          <w:rFonts w:ascii="黑体"/>
          <w:color w:val="auto"/>
          <w:sz w:val="10"/>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1007745</wp:posOffset>
                </wp:positionH>
                <wp:positionV relativeFrom="paragraph">
                  <wp:posOffset>107315</wp:posOffset>
                </wp:positionV>
                <wp:extent cx="1828800" cy="0"/>
                <wp:effectExtent l="0" t="0" r="0" b="0"/>
                <wp:wrapTopAndBottom/>
                <wp:docPr id="6" name="直线 6"/>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79.35pt;margin-top:8.45pt;height:0pt;width:144pt;mso-position-horizontal-relative:page;mso-wrap-distance-bottom:0pt;mso-wrap-distance-top:0pt;z-index:-251656192;mso-width-relative:page;mso-height-relative:page;" filled="f" stroked="t" coordsize="21600,21600" o:gfxdata="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w72vXAAAACQEAAA8AAAAAAAAA&#10;AQAgAAAAIgAAAGRycy9kb3ducmV2LnhtbFBLAQIUABQAAAAIAIdO4kDB2B6K2QEAAMwDAAAOAAAA&#10;AAAAAAEAIAAAACYBAABkcnMvZTJvRG9jLnhtbFBLBQYAAAAABgAGAFkBAABxBQAAAAA=&#10;">
                <v:fill on="f" focussize="0,0"/>
                <v:stroke weight="0pt" color="#000000" joinstyle="round"/>
                <v:imagedata o:title=""/>
                <o:lock v:ext="edit" aspectratio="f"/>
                <w10:wrap type="topAndBottom"/>
              </v:line>
            </w:pict>
          </mc:Fallback>
        </mc:AlternateContent>
      </w:r>
    </w:p>
    <w:p w14:paraId="0A032C26">
      <w:pPr>
        <w:pStyle w:val="18"/>
        <w:spacing w:before="3"/>
        <w:rPr>
          <w:rFonts w:ascii="黑体"/>
          <w:color w:val="auto"/>
          <w:sz w:val="16"/>
          <w:highlight w:val="none"/>
        </w:rPr>
      </w:pPr>
    </w:p>
    <w:p w14:paraId="22D6DB38">
      <w:pPr>
        <w:ind w:left="766"/>
        <w:jc w:val="left"/>
        <w:rPr>
          <w:color w:val="auto"/>
          <w:sz w:val="15"/>
          <w:highlight w:val="none"/>
        </w:rPr>
      </w:pPr>
      <w:r>
        <w:rPr>
          <w:color w:val="auto"/>
          <w:sz w:val="15"/>
          <w:highlight w:val="none"/>
        </w:rPr>
        <w:t>①投标人针对每一项子要素需分别单独编制情况表。</w:t>
      </w:r>
    </w:p>
    <w:p w14:paraId="14C8FB7D">
      <w:pPr>
        <w:spacing w:before="12"/>
        <w:ind w:left="766"/>
        <w:rPr>
          <w:color w:val="auto"/>
          <w:szCs w:val="21"/>
          <w:highlight w:val="none"/>
        </w:rPr>
        <w:sectPr>
          <w:pgSz w:w="11907" w:h="16840"/>
          <w:pgMar w:top="1928" w:right="1587" w:bottom="1928" w:left="1587" w:header="851" w:footer="1049" w:gutter="0"/>
          <w:cols w:space="720" w:num="1"/>
          <w:docGrid w:linePitch="312" w:charSpace="0"/>
        </w:sectPr>
      </w:pPr>
      <w:r>
        <w:rPr>
          <w:color w:val="auto"/>
          <w:sz w:val="15"/>
          <w:highlight w:val="none"/>
        </w:rPr>
        <w:t>②此处由投标人根据招标文件第四章定标</w:t>
      </w:r>
      <w:r>
        <w:rPr>
          <w:rFonts w:hint="eastAsia"/>
          <w:color w:val="auto"/>
          <w:sz w:val="15"/>
          <w:highlight w:val="none"/>
        </w:rPr>
        <w:t>方案</w:t>
      </w:r>
      <w:r>
        <w:rPr>
          <w:color w:val="auto"/>
          <w:sz w:val="15"/>
          <w:highlight w:val="none"/>
        </w:rPr>
        <w:t>规定的定标要素中的实力要素填入相应的子要素</w:t>
      </w:r>
    </w:p>
    <w:p w14:paraId="4625A569">
      <w:pPr>
        <w:pStyle w:val="92"/>
        <w:spacing w:before="624" w:after="312"/>
        <w:outlineLvl w:val="0"/>
        <w:rPr>
          <w:rFonts w:ascii="宋体" w:hAnsi="宋体" w:eastAsia="宋体"/>
          <w:b/>
          <w:snapToGrid w:val="0"/>
          <w:color w:val="auto"/>
          <w:kern w:val="0"/>
          <w:highlight w:val="none"/>
        </w:rPr>
      </w:pPr>
      <w:r>
        <w:rPr>
          <w:rFonts w:hint="eastAsia" w:ascii="宋体" w:hAnsi="宋体"/>
          <w:snapToGrid w:val="0"/>
          <w:color w:val="auto"/>
          <w:kern w:val="0"/>
          <w:highlight w:val="none"/>
        </w:rPr>
        <w:t>11.</w:t>
      </w:r>
      <w:r>
        <w:rPr>
          <w:rFonts w:hint="eastAsia" w:ascii="宋体" w:hAnsi="宋体" w:eastAsia="宋体"/>
          <w:b/>
          <w:snapToGrid w:val="0"/>
          <w:color w:val="auto"/>
          <w:kern w:val="0"/>
          <w:highlight w:val="none"/>
        </w:rPr>
        <w:t>其他</w:t>
      </w:r>
      <w:bookmarkEnd w:id="843"/>
    </w:p>
    <w:p w14:paraId="4834251F">
      <w:pPr>
        <w:jc w:val="center"/>
        <w:rPr>
          <w:rFonts w:hint="eastAsia" w:eastAsia="宋体"/>
          <w:b/>
          <w:bCs/>
          <w:color w:val="auto"/>
          <w:sz w:val="24"/>
          <w:szCs w:val="32"/>
          <w:highlight w:val="none"/>
          <w:lang w:eastAsia="zh-CN"/>
        </w:rPr>
      </w:pPr>
      <w:r>
        <w:rPr>
          <w:rFonts w:hint="eastAsia"/>
          <w:b/>
          <w:bCs/>
          <w:color w:val="auto"/>
          <w:sz w:val="24"/>
          <w:szCs w:val="32"/>
          <w:highlight w:val="none"/>
        </w:rPr>
        <w:t>1、企业信用声明</w:t>
      </w:r>
    </w:p>
    <w:p w14:paraId="0B1D109C">
      <w:pPr>
        <w:jc w:val="center"/>
        <w:rPr>
          <w:b/>
          <w:bCs/>
          <w:color w:val="auto"/>
          <w:sz w:val="24"/>
          <w:szCs w:val="32"/>
          <w:highlight w:val="none"/>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275"/>
        <w:gridCol w:w="1701"/>
        <w:gridCol w:w="2897"/>
      </w:tblGrid>
      <w:tr w14:paraId="3DFB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BDE8F55">
            <w:pPr>
              <w:jc w:val="center"/>
              <w:rPr>
                <w:rFonts w:ascii="宋体" w:hAnsi="宋体" w:cs="Calibri"/>
                <w:bCs/>
                <w:color w:val="auto"/>
                <w:szCs w:val="21"/>
                <w:highlight w:val="none"/>
              </w:rPr>
            </w:pPr>
            <w:r>
              <w:rPr>
                <w:rFonts w:hint="eastAsia" w:ascii="宋体" w:hAnsi="宋体" w:cs="Calibri"/>
                <w:bCs/>
                <w:color w:val="auto"/>
                <w:szCs w:val="21"/>
                <w:highlight w:val="none"/>
              </w:rPr>
              <w:t>序号</w:t>
            </w:r>
          </w:p>
        </w:tc>
        <w:tc>
          <w:tcPr>
            <w:tcW w:w="1560" w:type="dxa"/>
            <w:vAlign w:val="center"/>
          </w:tcPr>
          <w:p w14:paraId="0A620025">
            <w:pPr>
              <w:jc w:val="center"/>
              <w:rPr>
                <w:rFonts w:ascii="宋体" w:hAnsi="宋体" w:cs="Calibri"/>
                <w:bCs/>
                <w:color w:val="auto"/>
                <w:szCs w:val="21"/>
                <w:highlight w:val="none"/>
              </w:rPr>
            </w:pPr>
            <w:r>
              <w:rPr>
                <w:rFonts w:hint="eastAsia" w:ascii="宋体" w:hAnsi="宋体" w:cs="Calibri"/>
                <w:bCs/>
                <w:color w:val="auto"/>
                <w:szCs w:val="21"/>
                <w:highlight w:val="none"/>
              </w:rPr>
              <w:t>信用项目</w:t>
            </w:r>
          </w:p>
        </w:tc>
        <w:tc>
          <w:tcPr>
            <w:tcW w:w="1134" w:type="dxa"/>
            <w:vAlign w:val="center"/>
          </w:tcPr>
          <w:p w14:paraId="6CA5D58D">
            <w:pPr>
              <w:jc w:val="center"/>
              <w:rPr>
                <w:rFonts w:ascii="宋体" w:hAnsi="宋体" w:cs="Calibri"/>
                <w:bCs/>
                <w:color w:val="auto"/>
                <w:szCs w:val="21"/>
                <w:highlight w:val="none"/>
              </w:rPr>
            </w:pPr>
            <w:r>
              <w:rPr>
                <w:rFonts w:hint="eastAsia" w:ascii="宋体" w:hAnsi="宋体" w:cs="Calibri"/>
                <w:bCs/>
                <w:color w:val="auto"/>
                <w:szCs w:val="21"/>
                <w:highlight w:val="none"/>
              </w:rPr>
              <w:t>信用等级</w:t>
            </w:r>
          </w:p>
        </w:tc>
        <w:tc>
          <w:tcPr>
            <w:tcW w:w="1275" w:type="dxa"/>
            <w:vAlign w:val="center"/>
          </w:tcPr>
          <w:p w14:paraId="42F6DD89">
            <w:pPr>
              <w:jc w:val="center"/>
              <w:rPr>
                <w:rFonts w:ascii="宋体" w:hAnsi="宋体" w:cs="Calibri"/>
                <w:bCs/>
                <w:color w:val="auto"/>
                <w:szCs w:val="21"/>
                <w:highlight w:val="none"/>
              </w:rPr>
            </w:pPr>
            <w:r>
              <w:rPr>
                <w:rFonts w:hint="eastAsia" w:ascii="宋体" w:hAnsi="宋体" w:cs="Calibri"/>
                <w:bCs/>
                <w:color w:val="auto"/>
                <w:szCs w:val="21"/>
                <w:highlight w:val="none"/>
              </w:rPr>
              <w:t>AA、A是否失效</w:t>
            </w:r>
          </w:p>
        </w:tc>
        <w:tc>
          <w:tcPr>
            <w:tcW w:w="1701" w:type="dxa"/>
            <w:vAlign w:val="center"/>
          </w:tcPr>
          <w:p w14:paraId="56736558">
            <w:pPr>
              <w:jc w:val="center"/>
              <w:rPr>
                <w:rFonts w:ascii="宋体" w:hAnsi="宋体" w:cs="Calibri"/>
                <w:bCs/>
                <w:color w:val="auto"/>
                <w:szCs w:val="21"/>
                <w:highlight w:val="none"/>
              </w:rPr>
            </w:pPr>
            <w:r>
              <w:rPr>
                <w:rFonts w:hint="eastAsia" w:ascii="宋体" w:hAnsi="宋体" w:cs="Calibri"/>
                <w:bCs/>
                <w:color w:val="auto"/>
                <w:szCs w:val="21"/>
                <w:highlight w:val="none"/>
              </w:rPr>
              <w:t>本次投标是否使用信用分</w:t>
            </w:r>
          </w:p>
        </w:tc>
        <w:tc>
          <w:tcPr>
            <w:tcW w:w="2897" w:type="dxa"/>
            <w:vAlign w:val="center"/>
          </w:tcPr>
          <w:p w14:paraId="3AE2FFBF">
            <w:pPr>
              <w:jc w:val="center"/>
              <w:rPr>
                <w:rFonts w:ascii="宋体" w:hAnsi="宋体" w:cs="Calibri"/>
                <w:bCs/>
                <w:color w:val="auto"/>
                <w:szCs w:val="21"/>
                <w:highlight w:val="none"/>
              </w:rPr>
            </w:pPr>
            <w:r>
              <w:rPr>
                <w:rFonts w:hint="eastAsia" w:ascii="宋体" w:hAnsi="宋体" w:cs="Calibri"/>
                <w:color w:val="auto"/>
                <w:szCs w:val="21"/>
                <w:highlight w:val="none"/>
              </w:rPr>
              <w:t>评标使用的等级</w:t>
            </w:r>
          </w:p>
        </w:tc>
      </w:tr>
      <w:tr w14:paraId="77C0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14:paraId="78D2B43C">
            <w:pPr>
              <w:jc w:val="center"/>
              <w:rPr>
                <w:rFonts w:ascii="宋体" w:hAnsi="宋体" w:cs="Calibri"/>
                <w:bCs/>
                <w:color w:val="auto"/>
                <w:szCs w:val="21"/>
                <w:highlight w:val="none"/>
              </w:rPr>
            </w:pPr>
            <w:r>
              <w:rPr>
                <w:rFonts w:hint="eastAsia" w:ascii="宋体" w:hAnsi="宋体" w:cs="Calibri"/>
                <w:bCs/>
                <w:color w:val="auto"/>
                <w:szCs w:val="21"/>
                <w:highlight w:val="none"/>
              </w:rPr>
              <w:t>1</w:t>
            </w:r>
          </w:p>
        </w:tc>
        <w:tc>
          <w:tcPr>
            <w:tcW w:w="1560" w:type="dxa"/>
            <w:vAlign w:val="center"/>
          </w:tcPr>
          <w:p w14:paraId="5AFB4D96">
            <w:pPr>
              <w:jc w:val="center"/>
              <w:rPr>
                <w:rFonts w:ascii="宋体" w:hAnsi="宋体" w:cs="Calibri"/>
                <w:bCs/>
                <w:color w:val="auto"/>
                <w:szCs w:val="21"/>
                <w:highlight w:val="none"/>
              </w:rPr>
            </w:pPr>
            <w:r>
              <w:rPr>
                <w:rFonts w:hint="eastAsia" w:ascii="宋体" w:hAnsi="宋体" w:cs="Calibri"/>
                <w:bCs/>
                <w:color w:val="auto"/>
                <w:szCs w:val="21"/>
                <w:highlight w:val="none"/>
              </w:rPr>
              <w:t>企业</w:t>
            </w:r>
          </w:p>
        </w:tc>
        <w:tc>
          <w:tcPr>
            <w:tcW w:w="1134" w:type="dxa"/>
            <w:vAlign w:val="center"/>
          </w:tcPr>
          <w:p w14:paraId="274A2F07">
            <w:pPr>
              <w:rPr>
                <w:rFonts w:ascii="宋体" w:hAnsi="宋体" w:cs="Calibri"/>
                <w:bCs/>
                <w:color w:val="auto"/>
                <w:szCs w:val="21"/>
                <w:highlight w:val="none"/>
              </w:rPr>
            </w:pPr>
          </w:p>
        </w:tc>
        <w:tc>
          <w:tcPr>
            <w:tcW w:w="1275" w:type="dxa"/>
            <w:vAlign w:val="center"/>
          </w:tcPr>
          <w:p w14:paraId="35749FB2">
            <w:pPr>
              <w:rPr>
                <w:rFonts w:ascii="宋体" w:hAnsi="宋体" w:cs="Calibri"/>
                <w:bCs/>
                <w:color w:val="auto"/>
                <w:szCs w:val="21"/>
                <w:highlight w:val="none"/>
              </w:rPr>
            </w:pPr>
          </w:p>
        </w:tc>
        <w:tc>
          <w:tcPr>
            <w:tcW w:w="1701" w:type="dxa"/>
            <w:vAlign w:val="center"/>
          </w:tcPr>
          <w:p w14:paraId="5B1AFD39">
            <w:pPr>
              <w:rPr>
                <w:rFonts w:ascii="宋体" w:hAnsi="宋体" w:cs="Calibri"/>
                <w:bCs/>
                <w:color w:val="auto"/>
                <w:szCs w:val="21"/>
                <w:highlight w:val="none"/>
              </w:rPr>
            </w:pPr>
          </w:p>
        </w:tc>
        <w:tc>
          <w:tcPr>
            <w:tcW w:w="2897" w:type="dxa"/>
            <w:vAlign w:val="center"/>
          </w:tcPr>
          <w:p w14:paraId="16484F18">
            <w:pPr>
              <w:rPr>
                <w:rFonts w:ascii="宋体" w:hAnsi="宋体" w:cs="Calibri"/>
                <w:bCs/>
                <w:color w:val="auto"/>
                <w:szCs w:val="21"/>
                <w:highlight w:val="none"/>
              </w:rPr>
            </w:pPr>
          </w:p>
        </w:tc>
      </w:tr>
      <w:tr w14:paraId="0672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vAlign w:val="center"/>
          </w:tcPr>
          <w:p w14:paraId="2AF4D5F9">
            <w:pPr>
              <w:jc w:val="center"/>
              <w:rPr>
                <w:rFonts w:ascii="宋体" w:hAnsi="宋体" w:cs="Calibri"/>
                <w:bCs/>
                <w:color w:val="auto"/>
                <w:szCs w:val="21"/>
                <w:highlight w:val="none"/>
              </w:rPr>
            </w:pPr>
            <w:r>
              <w:rPr>
                <w:rFonts w:hint="eastAsia" w:ascii="宋体" w:hAnsi="宋体" w:cs="Calibri"/>
                <w:bCs/>
                <w:color w:val="auto"/>
                <w:szCs w:val="21"/>
                <w:highlight w:val="none"/>
              </w:rPr>
              <w:t>2</w:t>
            </w:r>
          </w:p>
        </w:tc>
        <w:tc>
          <w:tcPr>
            <w:tcW w:w="1560" w:type="dxa"/>
            <w:vAlign w:val="center"/>
          </w:tcPr>
          <w:p w14:paraId="5DBCFE3E">
            <w:pPr>
              <w:jc w:val="center"/>
              <w:rPr>
                <w:rFonts w:ascii="宋体" w:hAnsi="宋体" w:cs="Calibri"/>
                <w:bCs/>
                <w:color w:val="auto"/>
                <w:szCs w:val="21"/>
                <w:highlight w:val="none"/>
              </w:rPr>
            </w:pPr>
            <w:r>
              <w:rPr>
                <w:rFonts w:hint="eastAsia" w:ascii="宋体" w:hAnsi="宋体" w:cs="Calibri"/>
                <w:bCs/>
                <w:color w:val="auto"/>
                <w:szCs w:val="21"/>
                <w:highlight w:val="none"/>
              </w:rPr>
              <w:t>项目负责人</w:t>
            </w:r>
          </w:p>
        </w:tc>
        <w:tc>
          <w:tcPr>
            <w:tcW w:w="1134" w:type="dxa"/>
            <w:vAlign w:val="center"/>
          </w:tcPr>
          <w:p w14:paraId="4139F2C0">
            <w:pPr>
              <w:rPr>
                <w:rFonts w:ascii="宋体" w:hAnsi="宋体" w:cs="Calibri"/>
                <w:bCs/>
                <w:color w:val="auto"/>
                <w:szCs w:val="21"/>
                <w:highlight w:val="none"/>
              </w:rPr>
            </w:pPr>
          </w:p>
        </w:tc>
        <w:tc>
          <w:tcPr>
            <w:tcW w:w="1275" w:type="dxa"/>
            <w:vAlign w:val="center"/>
          </w:tcPr>
          <w:p w14:paraId="75C17121">
            <w:pPr>
              <w:rPr>
                <w:rFonts w:ascii="宋体" w:hAnsi="宋体" w:cs="Calibri"/>
                <w:bCs/>
                <w:color w:val="auto"/>
                <w:szCs w:val="21"/>
                <w:highlight w:val="none"/>
              </w:rPr>
            </w:pPr>
          </w:p>
        </w:tc>
        <w:tc>
          <w:tcPr>
            <w:tcW w:w="1701" w:type="dxa"/>
            <w:vAlign w:val="center"/>
          </w:tcPr>
          <w:p w14:paraId="51C56FD1">
            <w:pPr>
              <w:rPr>
                <w:rFonts w:ascii="宋体" w:hAnsi="宋体" w:cs="Calibri"/>
                <w:bCs/>
                <w:color w:val="auto"/>
                <w:szCs w:val="21"/>
                <w:highlight w:val="none"/>
              </w:rPr>
            </w:pPr>
          </w:p>
        </w:tc>
        <w:tc>
          <w:tcPr>
            <w:tcW w:w="2897" w:type="dxa"/>
            <w:vAlign w:val="center"/>
          </w:tcPr>
          <w:p w14:paraId="528901CE">
            <w:pPr>
              <w:rPr>
                <w:rFonts w:ascii="宋体" w:hAnsi="宋体" w:cs="Calibri"/>
                <w:bCs/>
                <w:color w:val="auto"/>
                <w:szCs w:val="21"/>
                <w:highlight w:val="none"/>
              </w:rPr>
            </w:pPr>
          </w:p>
        </w:tc>
      </w:tr>
    </w:tbl>
    <w:p w14:paraId="61B941CF">
      <w:pPr>
        <w:jc w:val="center"/>
        <w:rPr>
          <w:rFonts w:ascii="宋体"/>
          <w:b/>
          <w:color w:val="auto"/>
          <w:sz w:val="24"/>
          <w:highlight w:val="none"/>
        </w:rPr>
      </w:pPr>
    </w:p>
    <w:p w14:paraId="4D0223AD">
      <w:pPr>
        <w:widowControl/>
        <w:wordWrap w:val="0"/>
        <w:jc w:val="left"/>
        <w:rPr>
          <w:rFonts w:ascii="宋体" w:hAnsi="宋体"/>
          <w:color w:val="auto"/>
          <w:highlight w:val="none"/>
        </w:rPr>
      </w:pPr>
      <w:r>
        <w:rPr>
          <w:rFonts w:hint="eastAsia" w:ascii="宋体" w:hAnsi="宋体"/>
          <w:color w:val="auto"/>
          <w:szCs w:val="21"/>
          <w:highlight w:val="none"/>
        </w:rPr>
        <w:t>注：</w:t>
      </w:r>
      <w:r>
        <w:rPr>
          <w:rFonts w:hint="eastAsia" w:ascii="宋体" w:hAnsi="宋体"/>
          <w:snapToGrid w:val="0"/>
          <w:color w:val="auto"/>
          <w:kern w:val="0"/>
          <w:szCs w:val="21"/>
          <w:highlight w:val="none"/>
        </w:rPr>
        <w:t>□水运项目：</w:t>
      </w:r>
      <w:r>
        <w:rPr>
          <w:rFonts w:hint="eastAsia" w:ascii="宋体" w:hAnsi="宋体"/>
          <w:color w:val="auto"/>
          <w:szCs w:val="21"/>
          <w:highlight w:val="none"/>
        </w:rPr>
        <w:t>投标人应如实填写上表，若与实际情况不符，其投标文件将被否决。企业及人员信用等级可查阅福建省交通公路水运建设与运输市场信用信息管理系统（信用交通·福建）”（http://220.160.53.3:30050/gzwz）。若上传投标文件之日至投标截止时，信用交通·福建网站公布最新的信用结果适用情况，造成投标人填写不实的，不否决其投标，按实际信用结果适用情况进行调整。</w:t>
      </w:r>
    </w:p>
    <w:p w14:paraId="119054D9">
      <w:pPr>
        <w:wordWrap w:val="0"/>
        <w:rPr>
          <w:rFonts w:ascii="宋体" w:hAnsi="宋体"/>
          <w:snapToGrid w:val="0"/>
          <w:color w:val="auto"/>
          <w:kern w:val="0"/>
          <w:szCs w:val="21"/>
          <w:highlight w:val="none"/>
        </w:rPr>
      </w:pPr>
    </w:p>
    <w:p w14:paraId="410D92F8">
      <w:pPr>
        <w:wordWrap w:val="0"/>
        <w:rPr>
          <w:rFonts w:ascii="宋体" w:hAnsi="宋体"/>
          <w:color w:val="auto"/>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rPr>
        <w:t>涉海项目：本项目不属于厦门港口管理局监管的依法必须招标的涉海项目，</w:t>
      </w:r>
      <w:r>
        <w:rPr>
          <w:rFonts w:hint="eastAsia"/>
          <w:color w:val="auto"/>
          <w:highlight w:val="none"/>
        </w:rPr>
        <w:t>信用分规定</w:t>
      </w:r>
      <w:r>
        <w:rPr>
          <w:rFonts w:hint="eastAsia" w:ascii="宋体" w:hAnsi="宋体"/>
          <w:snapToGrid w:val="0"/>
          <w:color w:val="auto"/>
          <w:kern w:val="0"/>
          <w:szCs w:val="21"/>
          <w:highlight w:val="none"/>
        </w:rPr>
        <w:t>应严格按照《厦门市建设局厦门市交通运输局厦门市水利局厦门港口管理局关于进一步规范公路水运水利等专业工程招标业绩设置的若干意见》（厦建规【2020】4 号-筑）“涉海项目”要求执行。</w:t>
      </w:r>
    </w:p>
    <w:p w14:paraId="3F63C922">
      <w:pPr>
        <w:jc w:val="left"/>
        <w:rPr>
          <w:rFonts w:ascii="宋体"/>
          <w:b/>
          <w:color w:val="auto"/>
          <w:sz w:val="24"/>
          <w:highlight w:val="none"/>
        </w:rPr>
      </w:pPr>
      <w:r>
        <w:rPr>
          <w:rFonts w:hint="eastAsia" w:ascii="宋体"/>
          <w:b/>
          <w:color w:val="auto"/>
          <w:sz w:val="24"/>
          <w:highlight w:val="none"/>
        </w:rPr>
        <w:br w:type="page"/>
      </w:r>
    </w:p>
    <w:p w14:paraId="72662582">
      <w:pPr>
        <w:autoSpaceDE w:val="0"/>
        <w:autoSpaceDN w:val="0"/>
        <w:adjustRightInd w:val="0"/>
        <w:spacing w:before="156" w:beforeLines="50" w:after="156" w:afterLines="50" w:line="360" w:lineRule="auto"/>
        <w:jc w:val="center"/>
        <w:rPr>
          <w:rFonts w:ascii="宋体" w:hAnsi="宋体"/>
          <w:color w:val="auto"/>
          <w:spacing w:val="113"/>
          <w:sz w:val="48"/>
          <w:szCs w:val="48"/>
          <w:highlight w:val="none"/>
        </w:rPr>
      </w:pPr>
      <w:r>
        <w:rPr>
          <w:rFonts w:hint="eastAsia" w:ascii="宋体" w:hAnsi="宋体"/>
          <w:color w:val="auto"/>
          <w:spacing w:val="113"/>
          <w:sz w:val="48"/>
          <w:szCs w:val="48"/>
          <w:highlight w:val="none"/>
        </w:rPr>
        <w:t>2.</w:t>
      </w:r>
      <w:r>
        <w:rPr>
          <w:rFonts w:hint="eastAsia" w:ascii="宋体" w:hAnsi="宋体"/>
          <w:color w:val="auto"/>
          <w:sz w:val="48"/>
          <w:szCs w:val="48"/>
          <w:highlight w:val="none"/>
        </w:rPr>
        <w:t>承诺函（涉海项目须提供）</w:t>
      </w:r>
    </w:p>
    <w:p w14:paraId="1EABFB40">
      <w:pPr>
        <w:autoSpaceDE w:val="0"/>
        <w:autoSpaceDN w:val="0"/>
        <w:adjustRightInd w:val="0"/>
        <w:snapToGrid w:val="0"/>
        <w:spacing w:line="480" w:lineRule="auto"/>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（招标人）：</w:t>
      </w:r>
    </w:p>
    <w:p w14:paraId="5B2D1ADA">
      <w:pPr>
        <w:autoSpaceDE w:val="0"/>
        <w:autoSpaceDN w:val="0"/>
        <w:adjustRightInd w:val="0"/>
        <w:snapToGrid w:val="0"/>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本人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（投标人名称）的法定代表人，现承诺：</w:t>
      </w:r>
    </w:p>
    <w:p w14:paraId="47BEF5BA">
      <w:pPr>
        <w:autoSpaceDE w:val="0"/>
        <w:autoSpaceDN w:val="0"/>
        <w:adjustRightInd w:val="0"/>
        <w:snapToGrid w:val="0"/>
        <w:spacing w:line="480" w:lineRule="auto"/>
        <w:jc w:val="left"/>
        <w:rPr>
          <w:rFonts w:ascii="宋体" w:hAnsi="宋体"/>
          <w:color w:val="auto"/>
          <w:szCs w:val="21"/>
          <w:highlight w:val="none"/>
        </w:rPr>
      </w:pPr>
      <w:r>
        <w:rPr>
          <w:rFonts w:hint="eastAsia" w:ascii="宋体" w:hAnsi="宋体"/>
          <w:color w:val="auto"/>
          <w:sz w:val="24"/>
          <w:highlight w:val="none"/>
        </w:rPr>
        <w:t xml:space="preserve">    </w:t>
      </w:r>
      <w:r>
        <w:rPr>
          <w:rFonts w:ascii="宋体" w:hAnsi="宋体" w:cs="宋体"/>
          <w:color w:val="auto"/>
          <w:sz w:val="24"/>
          <w:highlight w:val="none"/>
        </w:rPr>
        <w:t>我单位严格执行《厦门市建设局厦门市交通运输局厦门市水利局厦门港口管理局关于进一步规范公路水运水利等专业工程招标业绩设置的若干意见》（厦建规【2020】4号-筑）中第五条及（厦建筑【2021】39 号）文件规定，</w:t>
      </w:r>
      <w:r>
        <w:rPr>
          <w:rFonts w:hint="eastAsia" w:ascii="宋体" w:hAnsi="宋体" w:cs="宋体"/>
          <w:color w:val="auto"/>
          <w:sz w:val="24"/>
          <w:highlight w:val="none"/>
        </w:rPr>
        <w:t>且投标文件中包括但不限于入围抽取、评分标准及定标要素的信用分享用情况均保持一致，</w:t>
      </w:r>
      <w:r>
        <w:rPr>
          <w:rFonts w:ascii="宋体" w:hAnsi="宋体" w:cs="宋体"/>
          <w:color w:val="auto"/>
          <w:sz w:val="24"/>
          <w:highlight w:val="none"/>
        </w:rPr>
        <w:t>并对我司在投标文件中提供的各种资料、说明、承诺的真实性、准确性和完整性负责。若我司存在为谋取中标而提供虚假资料和承诺欺骗招标人和评委的行为，我司自愿放弃本项目</w:t>
      </w:r>
      <w:r>
        <w:rPr>
          <w:rFonts w:hint="eastAsia" w:ascii="宋体" w:hAnsi="宋体" w:cs="宋体"/>
          <w:color w:val="auto"/>
          <w:sz w:val="24"/>
          <w:highlight w:val="none"/>
        </w:rPr>
        <w:t>定标候选人资格</w:t>
      </w:r>
      <w:r>
        <w:rPr>
          <w:rFonts w:ascii="宋体" w:hAnsi="宋体" w:cs="宋体"/>
          <w:color w:val="auto"/>
          <w:sz w:val="24"/>
          <w:highlight w:val="none"/>
        </w:rPr>
        <w:t>并承担由此产生的一切后果(包括但不限于被招标人没收投标保证金等)。</w:t>
      </w:r>
    </w:p>
    <w:p w14:paraId="7B7B463E">
      <w:pPr>
        <w:autoSpaceDE w:val="0"/>
        <w:autoSpaceDN w:val="0"/>
        <w:adjustRightInd w:val="0"/>
        <w:snapToGrid w:val="0"/>
        <w:spacing w:line="480" w:lineRule="auto"/>
        <w:jc w:val="right"/>
        <w:rPr>
          <w:rFonts w:ascii="宋体" w:hAnsi="宋体"/>
          <w:color w:val="auto"/>
          <w:szCs w:val="21"/>
          <w:highlight w:val="none"/>
        </w:rPr>
      </w:pPr>
    </w:p>
    <w:p w14:paraId="2066095F">
      <w:pPr>
        <w:autoSpaceDE w:val="0"/>
        <w:autoSpaceDN w:val="0"/>
        <w:adjustRightInd w:val="0"/>
        <w:snapToGrid w:val="0"/>
        <w:spacing w:line="480" w:lineRule="auto"/>
        <w:jc w:val="right"/>
        <w:rPr>
          <w:rFonts w:ascii="宋体" w:hAnsi="宋体"/>
          <w:color w:val="auto"/>
          <w:szCs w:val="21"/>
          <w:highlight w:val="none"/>
        </w:rPr>
      </w:pPr>
      <w:r>
        <w:rPr>
          <w:rFonts w:hint="eastAsia" w:ascii="宋体" w:hAnsi="宋体"/>
          <w:color w:val="auto"/>
          <w:szCs w:val="21"/>
          <w:highlight w:val="none"/>
        </w:rPr>
        <w:t xml:space="preserve"> 投标人名称： （盖单位章）</w:t>
      </w:r>
    </w:p>
    <w:p w14:paraId="639D3783">
      <w:pPr>
        <w:pStyle w:val="41"/>
        <w:snapToGrid w:val="0"/>
        <w:spacing w:line="480" w:lineRule="auto"/>
        <w:rPr>
          <w:color w:val="auto"/>
          <w:highlight w:val="none"/>
        </w:rPr>
      </w:pPr>
    </w:p>
    <w:p w14:paraId="50703A34">
      <w:pPr>
        <w:autoSpaceDE w:val="0"/>
        <w:autoSpaceDN w:val="0"/>
        <w:adjustRightInd w:val="0"/>
        <w:snapToGrid w:val="0"/>
        <w:spacing w:line="480" w:lineRule="auto"/>
        <w:jc w:val="right"/>
        <w:rPr>
          <w:rFonts w:ascii="宋体" w:hAnsi="宋体"/>
          <w:color w:val="auto"/>
          <w:szCs w:val="21"/>
          <w:highlight w:val="none"/>
        </w:rPr>
      </w:pPr>
      <w:r>
        <w:rPr>
          <w:rFonts w:hint="eastAsia" w:ascii="宋体" w:hAnsi="宋体"/>
          <w:color w:val="auto"/>
          <w:szCs w:val="21"/>
          <w:highlight w:val="none"/>
        </w:rPr>
        <w:t xml:space="preserve"> 法定代表人或委托代理人： （盖章）</w:t>
      </w:r>
    </w:p>
    <w:p w14:paraId="465EF9C1">
      <w:pPr>
        <w:pStyle w:val="41"/>
        <w:snapToGrid w:val="0"/>
        <w:spacing w:line="480" w:lineRule="auto"/>
        <w:jc w:val="right"/>
        <w:rPr>
          <w:rFonts w:ascii="宋体" w:hAnsi="宋体" w:cs="Times New Roman"/>
          <w:color w:val="auto"/>
          <w:highlight w:val="none"/>
        </w:rPr>
      </w:pPr>
    </w:p>
    <w:p w14:paraId="124A6F7B">
      <w:pPr>
        <w:pStyle w:val="41"/>
        <w:snapToGrid w:val="0"/>
        <w:spacing w:line="480" w:lineRule="auto"/>
        <w:jc w:val="right"/>
        <w:rPr>
          <w:rFonts w:ascii="宋体" w:hAnsi="宋体" w:cs="Times New Roman"/>
          <w:color w:val="auto"/>
          <w:highlight w:val="none"/>
        </w:rPr>
      </w:pPr>
      <w:r>
        <w:rPr>
          <w:rFonts w:hint="eastAsia" w:ascii="宋体" w:hAnsi="宋体" w:cs="Times New Roman"/>
          <w:color w:val="auto"/>
          <w:highlight w:val="none"/>
        </w:rPr>
        <w:t>日期：  年  月  日</w:t>
      </w:r>
    </w:p>
    <w:p w14:paraId="05943CE8">
      <w:pPr>
        <w:pStyle w:val="41"/>
        <w:snapToGrid w:val="0"/>
        <w:spacing w:line="480" w:lineRule="auto"/>
        <w:ind w:left="0" w:leftChars="0" w:firstLine="0" w:firstLineChars="0"/>
        <w:jc w:val="left"/>
        <w:rPr>
          <w:rFonts w:ascii="宋体" w:hAnsi="宋体" w:cs="Times New Roman"/>
          <w:color w:val="auto"/>
          <w:highlight w:val="none"/>
        </w:rPr>
      </w:pPr>
      <w:r>
        <w:rPr>
          <w:rFonts w:hint="eastAsia" w:ascii="宋体" w:hAnsi="宋体" w:cs="Times New Roman"/>
          <w:color w:val="auto"/>
          <w:highlight w:val="none"/>
        </w:rPr>
        <w:t>注：若项目</w:t>
      </w:r>
      <w:r>
        <w:rPr>
          <w:rFonts w:hint="eastAsia" w:ascii="宋体" w:hAnsi="宋体"/>
          <w:snapToGrid w:val="0"/>
          <w:color w:val="auto"/>
          <w:kern w:val="0"/>
          <w:highlight w:val="none"/>
        </w:rPr>
        <w:t>不属于厦门港口管理局监管的依法必须招标的涉海项目</w:t>
      </w:r>
      <w:r>
        <w:rPr>
          <w:rFonts w:hint="eastAsia" w:ascii="宋体" w:hAnsi="宋体" w:cs="Times New Roman"/>
          <w:color w:val="auto"/>
          <w:highlight w:val="none"/>
        </w:rPr>
        <w:t>，则须填写上述《承诺函》，未按要求提交承诺函的视为投标文件存在重大偏差，其投标作废标处理。</w:t>
      </w:r>
    </w:p>
    <w:p w14:paraId="1DB4C63D">
      <w:pPr>
        <w:jc w:val="center"/>
        <w:rPr>
          <w:rFonts w:ascii="宋体"/>
          <w:b/>
          <w:color w:val="auto"/>
          <w:sz w:val="24"/>
          <w:highlight w:val="none"/>
        </w:rPr>
      </w:pPr>
    </w:p>
    <w:p w14:paraId="1C18D8D7">
      <w:pPr>
        <w:jc w:val="left"/>
        <w:rPr>
          <w:b/>
          <w:bCs/>
          <w:color w:val="auto"/>
          <w:sz w:val="24"/>
          <w:highlight w:val="none"/>
        </w:rPr>
      </w:pPr>
      <w:r>
        <w:rPr>
          <w:rFonts w:hint="eastAsia"/>
          <w:b/>
          <w:bCs/>
          <w:color w:val="auto"/>
          <w:sz w:val="24"/>
          <w:highlight w:val="none"/>
        </w:rPr>
        <w:br w:type="page"/>
      </w:r>
    </w:p>
    <w:p w14:paraId="3EB84FCE">
      <w:pPr>
        <w:jc w:val="center"/>
        <w:rPr>
          <w:b/>
          <w:bCs/>
          <w:color w:val="auto"/>
          <w:sz w:val="24"/>
          <w:highlight w:val="none"/>
        </w:rPr>
      </w:pPr>
    </w:p>
    <w:p w14:paraId="62E588F3">
      <w:pPr>
        <w:jc w:val="center"/>
        <w:rPr>
          <w:rFonts w:ascii="宋体" w:hAnsi="宋体"/>
          <w:color w:val="auto"/>
          <w:kern w:val="0"/>
          <w:sz w:val="24"/>
          <w:highlight w:val="none"/>
        </w:rPr>
      </w:pPr>
      <w:r>
        <w:rPr>
          <w:rFonts w:hint="eastAsia"/>
          <w:b/>
          <w:bCs/>
          <w:color w:val="auto"/>
          <w:sz w:val="24"/>
          <w:highlight w:val="none"/>
          <w:lang w:val="en-US" w:eastAsia="zh-CN"/>
        </w:rPr>
        <w:t>3</w:t>
      </w:r>
      <w:r>
        <w:rPr>
          <w:rFonts w:hint="eastAsia"/>
          <w:b/>
          <w:bCs/>
          <w:color w:val="auto"/>
          <w:sz w:val="24"/>
          <w:highlight w:val="none"/>
        </w:rPr>
        <w:t>、</w:t>
      </w:r>
      <w:r>
        <w:rPr>
          <w:rFonts w:hint="eastAsia"/>
          <w:b/>
          <w:bCs/>
          <w:color w:val="auto"/>
          <w:sz w:val="24"/>
          <w:szCs w:val="32"/>
          <w:highlight w:val="none"/>
        </w:rPr>
        <w:t>投标人认为必要的其他材料</w:t>
      </w:r>
    </w:p>
    <w:bookmarkEnd w:id="844"/>
    <w:bookmarkEnd w:id="845"/>
    <w:p w14:paraId="7C9319DC">
      <w:pPr>
        <w:adjustRightInd w:val="0"/>
        <w:ind w:left="3141"/>
        <w:rPr>
          <w:rFonts w:ascii="宋体" w:hAnsi="宋体" w:cs="Arial Unicode MS"/>
          <w:snapToGrid w:val="0"/>
          <w:color w:val="auto"/>
          <w:kern w:val="0"/>
          <w:sz w:val="24"/>
          <w:highlight w:val="none"/>
        </w:rPr>
        <w:sectPr>
          <w:footerReference r:id="rId16" w:type="default"/>
          <w:footerReference r:id="rId17" w:type="even"/>
          <w:pgSz w:w="11906" w:h="16838"/>
          <w:pgMar w:top="1440" w:right="1440" w:bottom="1440" w:left="1440" w:header="851" w:footer="992" w:gutter="0"/>
          <w:cols w:space="720" w:num="1"/>
          <w:docGrid w:type="lines" w:linePitch="312" w:charSpace="0"/>
        </w:sectPr>
      </w:pPr>
    </w:p>
    <w:p w14:paraId="7C7B93C5">
      <w:pPr>
        <w:wordWrap w:val="0"/>
        <w:spacing w:after="120"/>
        <w:jc w:val="center"/>
        <w:rPr>
          <w:rFonts w:ascii="宋体" w:hAnsi="宋体"/>
          <w:color w:val="auto"/>
          <w:sz w:val="44"/>
          <w:szCs w:val="44"/>
          <w:highlight w:val="none"/>
          <w:u w:val="single"/>
        </w:rPr>
      </w:pPr>
    </w:p>
    <w:p w14:paraId="18857FB5">
      <w:pPr>
        <w:wordWrap w:val="0"/>
        <w:adjustRightInd w:val="0"/>
        <w:jc w:val="center"/>
        <w:rPr>
          <w:rFonts w:ascii="宋体" w:hAnsi="宋体"/>
          <w:color w:val="auto"/>
          <w:sz w:val="44"/>
          <w:szCs w:val="44"/>
          <w:highlight w:val="none"/>
          <w:u w:val="single"/>
        </w:rPr>
      </w:pPr>
    </w:p>
    <w:p w14:paraId="284A0992">
      <w:pPr>
        <w:wordWrap w:val="0"/>
        <w:spacing w:after="120"/>
        <w:jc w:val="center"/>
        <w:rPr>
          <w:rFonts w:ascii="宋体" w:hAnsi="宋体"/>
          <w:color w:val="auto"/>
          <w:sz w:val="36"/>
          <w:szCs w:val="36"/>
          <w:highlight w:val="none"/>
        </w:rPr>
      </w:pPr>
      <w:r>
        <w:rPr>
          <w:rFonts w:ascii="宋体" w:hAnsi="宋体"/>
          <w:color w:val="auto"/>
          <w:sz w:val="36"/>
          <w:szCs w:val="36"/>
          <w:highlight w:val="none"/>
          <w:u w:val="single"/>
        </w:rPr>
        <w:t xml:space="preserve"> </w:t>
      </w:r>
      <w:r>
        <w:rPr>
          <w:rFonts w:hint="eastAsia" w:ascii="宋体" w:hAnsi="宋体"/>
          <w:color w:val="auto"/>
          <w:sz w:val="36"/>
          <w:szCs w:val="36"/>
          <w:highlight w:val="none"/>
          <w:u w:val="single"/>
        </w:rPr>
        <w:t xml:space="preserve">       </w:t>
      </w:r>
      <w:r>
        <w:rPr>
          <w:rFonts w:ascii="宋体" w:hAnsi="宋体"/>
          <w:color w:val="auto"/>
          <w:sz w:val="36"/>
          <w:szCs w:val="36"/>
          <w:highlight w:val="none"/>
          <w:u w:val="single"/>
        </w:rPr>
        <w:t xml:space="preserve">     </w:t>
      </w:r>
      <w:bookmarkStart w:id="846" w:name="_Toc450694474_WPSOffice_Level1"/>
      <w:bookmarkStart w:id="847" w:name="_Toc1797242979_WPSOffice_Level1"/>
      <w:r>
        <w:rPr>
          <w:rFonts w:hint="eastAsia" w:ascii="宋体" w:hAnsi="宋体"/>
          <w:color w:val="auto"/>
          <w:sz w:val="36"/>
          <w:szCs w:val="36"/>
          <w:highlight w:val="none"/>
        </w:rPr>
        <w:t>（</w:t>
      </w:r>
      <w:r>
        <w:rPr>
          <w:rFonts w:ascii="宋体" w:hAnsi="宋体"/>
          <w:color w:val="auto"/>
          <w:sz w:val="36"/>
          <w:szCs w:val="36"/>
          <w:highlight w:val="none"/>
        </w:rPr>
        <w:t>项目名称</w:t>
      </w:r>
      <w:r>
        <w:rPr>
          <w:rFonts w:hint="eastAsia" w:ascii="宋体" w:hAnsi="宋体"/>
          <w:color w:val="auto"/>
          <w:sz w:val="36"/>
          <w:szCs w:val="36"/>
          <w:highlight w:val="none"/>
        </w:rPr>
        <w:t>）勘察设计</w:t>
      </w:r>
      <w:r>
        <w:rPr>
          <w:rFonts w:ascii="宋体" w:hAnsi="宋体"/>
          <w:color w:val="auto"/>
          <w:sz w:val="36"/>
          <w:szCs w:val="36"/>
          <w:highlight w:val="none"/>
        </w:rPr>
        <w:t>招标</w:t>
      </w:r>
      <w:bookmarkEnd w:id="846"/>
      <w:bookmarkEnd w:id="847"/>
    </w:p>
    <w:p w14:paraId="6EA9DBBB">
      <w:pPr>
        <w:wordWrap w:val="0"/>
        <w:jc w:val="center"/>
        <w:rPr>
          <w:rFonts w:ascii="宋体" w:hAnsi="宋体"/>
          <w:color w:val="auto"/>
          <w:sz w:val="48"/>
          <w:szCs w:val="48"/>
          <w:highlight w:val="none"/>
        </w:rPr>
      </w:pPr>
    </w:p>
    <w:p w14:paraId="195A3832">
      <w:pPr>
        <w:wordWrap w:val="0"/>
        <w:jc w:val="center"/>
        <w:rPr>
          <w:rFonts w:ascii="宋体" w:hAnsi="宋体"/>
          <w:color w:val="auto"/>
          <w:sz w:val="48"/>
          <w:szCs w:val="48"/>
          <w:highlight w:val="none"/>
        </w:rPr>
      </w:pPr>
    </w:p>
    <w:p w14:paraId="1A3592CE">
      <w:pPr>
        <w:wordWrap w:val="0"/>
        <w:jc w:val="center"/>
        <w:rPr>
          <w:rFonts w:ascii="宋体" w:hAnsi="宋体"/>
          <w:color w:val="auto"/>
          <w:sz w:val="48"/>
          <w:szCs w:val="48"/>
          <w:highlight w:val="none"/>
        </w:rPr>
      </w:pPr>
    </w:p>
    <w:p w14:paraId="79C7DBF7">
      <w:pPr>
        <w:wordWrap w:val="0"/>
        <w:jc w:val="center"/>
        <w:rPr>
          <w:rFonts w:ascii="宋体" w:hAnsi="宋体"/>
          <w:color w:val="auto"/>
          <w:sz w:val="48"/>
          <w:szCs w:val="48"/>
          <w:highlight w:val="none"/>
        </w:rPr>
      </w:pPr>
    </w:p>
    <w:p w14:paraId="7173D3C5">
      <w:pPr>
        <w:wordWrap w:val="0"/>
        <w:jc w:val="center"/>
        <w:rPr>
          <w:rFonts w:ascii="宋体" w:hAnsi="宋体"/>
          <w:color w:val="auto"/>
          <w:sz w:val="48"/>
          <w:szCs w:val="48"/>
          <w:highlight w:val="none"/>
        </w:rPr>
      </w:pPr>
    </w:p>
    <w:p w14:paraId="6A47613D">
      <w:pPr>
        <w:wordWrap w:val="0"/>
        <w:jc w:val="center"/>
        <w:rPr>
          <w:rFonts w:ascii="宋体" w:hAnsi="宋体"/>
          <w:color w:val="auto"/>
          <w:sz w:val="48"/>
          <w:szCs w:val="48"/>
          <w:highlight w:val="none"/>
        </w:rPr>
      </w:pPr>
    </w:p>
    <w:p w14:paraId="633AC9F9">
      <w:pPr>
        <w:wordWrap w:val="0"/>
        <w:jc w:val="center"/>
        <w:rPr>
          <w:rFonts w:ascii="宋体" w:hAnsi="宋体"/>
          <w:color w:val="auto"/>
          <w:sz w:val="48"/>
          <w:szCs w:val="48"/>
          <w:highlight w:val="none"/>
        </w:rPr>
      </w:pPr>
      <w:r>
        <w:rPr>
          <w:rFonts w:hint="eastAsia" w:ascii="宋体" w:hAnsi="宋体"/>
          <w:color w:val="auto"/>
          <w:sz w:val="48"/>
          <w:szCs w:val="48"/>
          <w:highlight w:val="none"/>
        </w:rPr>
        <w:t>投标技术文件</w:t>
      </w:r>
    </w:p>
    <w:p w14:paraId="0ED82531">
      <w:pPr>
        <w:wordWrap w:val="0"/>
        <w:jc w:val="center"/>
        <w:rPr>
          <w:rFonts w:ascii="宋体" w:hAnsi="宋体"/>
          <w:color w:val="auto"/>
          <w:sz w:val="48"/>
          <w:szCs w:val="48"/>
          <w:highlight w:val="none"/>
        </w:rPr>
      </w:pPr>
    </w:p>
    <w:p w14:paraId="3FCFE17E">
      <w:pPr>
        <w:wordWrap w:val="0"/>
        <w:jc w:val="center"/>
        <w:rPr>
          <w:rFonts w:ascii="宋体" w:hAnsi="宋体"/>
          <w:color w:val="auto"/>
          <w:sz w:val="48"/>
          <w:szCs w:val="48"/>
          <w:highlight w:val="none"/>
        </w:rPr>
      </w:pPr>
    </w:p>
    <w:p w14:paraId="2DEF8D4B">
      <w:pPr>
        <w:wordWrap w:val="0"/>
        <w:jc w:val="center"/>
        <w:rPr>
          <w:rFonts w:ascii="宋体" w:hAnsi="宋体"/>
          <w:color w:val="auto"/>
          <w:sz w:val="48"/>
          <w:szCs w:val="48"/>
          <w:highlight w:val="none"/>
        </w:rPr>
      </w:pPr>
    </w:p>
    <w:p w14:paraId="4566555C">
      <w:pPr>
        <w:spacing w:line="440" w:lineRule="exact"/>
        <w:rPr>
          <w:rFonts w:ascii="宋体" w:hAnsi="宋体" w:cs="Arial Unicode MS"/>
          <w:snapToGrid w:val="0"/>
          <w:color w:val="auto"/>
          <w:kern w:val="0"/>
          <w:sz w:val="24"/>
          <w:highlight w:val="none"/>
        </w:rPr>
        <w:sectPr>
          <w:footerReference r:id="rId18" w:type="default"/>
          <w:footerReference r:id="rId19" w:type="even"/>
          <w:pgSz w:w="11906" w:h="16838"/>
          <w:pgMar w:top="1440" w:right="1440" w:bottom="1440" w:left="1440" w:header="851" w:footer="992" w:gutter="0"/>
          <w:cols w:space="720" w:num="1"/>
          <w:docGrid w:type="lines" w:linePitch="312" w:charSpace="0"/>
        </w:sectPr>
      </w:pPr>
    </w:p>
    <w:p w14:paraId="725CBBFE">
      <w:pPr>
        <w:spacing w:line="400" w:lineRule="exact"/>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（一）技术</w:t>
      </w:r>
      <w:r>
        <w:rPr>
          <w:rFonts w:hint="eastAsia" w:ascii="宋体" w:hAnsi="宋体" w:cs="Arial Unicode MS"/>
          <w:snapToGrid w:val="0"/>
          <w:color w:val="auto"/>
          <w:kern w:val="0"/>
          <w:sz w:val="24"/>
          <w:highlight w:val="none"/>
          <w:lang w:val="en-US" w:eastAsia="zh-CN"/>
        </w:rPr>
        <w:t>文件</w:t>
      </w:r>
      <w:r>
        <w:rPr>
          <w:rFonts w:hint="eastAsia" w:ascii="宋体" w:hAnsi="宋体" w:cs="Arial Unicode MS"/>
          <w:snapToGrid w:val="0"/>
          <w:color w:val="auto"/>
          <w:kern w:val="0"/>
          <w:sz w:val="24"/>
          <w:highlight w:val="none"/>
        </w:rPr>
        <w:t>主要内容为：</w:t>
      </w:r>
    </w:p>
    <w:p w14:paraId="3E0979AC">
      <w:pPr>
        <w:spacing w:line="400" w:lineRule="exact"/>
        <w:ind w:firstLine="283" w:firstLineChars="118"/>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对招标项目的理解和总体</w:t>
      </w:r>
      <w:r>
        <w:rPr>
          <w:rFonts w:hint="eastAsia" w:ascii="宋体" w:hAnsi="宋体"/>
          <w:color w:val="auto"/>
          <w:sz w:val="24"/>
          <w:highlight w:val="none"/>
        </w:rPr>
        <w:t>勘察</w:t>
      </w:r>
      <w:r>
        <w:rPr>
          <w:rFonts w:ascii="宋体" w:hAnsi="宋体"/>
          <w:color w:val="auto"/>
          <w:sz w:val="24"/>
          <w:highlight w:val="none"/>
        </w:rPr>
        <w:t>设计思路</w:t>
      </w:r>
      <w:r>
        <w:rPr>
          <w:rFonts w:hint="eastAsia" w:ascii="宋体" w:hAnsi="宋体"/>
          <w:color w:val="auto"/>
          <w:sz w:val="24"/>
          <w:highlight w:val="none"/>
        </w:rPr>
        <w:t>，</w:t>
      </w:r>
      <w:r>
        <w:rPr>
          <w:rFonts w:ascii="宋体" w:hAnsi="宋体"/>
          <w:color w:val="auto"/>
          <w:sz w:val="24"/>
          <w:highlight w:val="none"/>
        </w:rPr>
        <w:t>招标项目</w:t>
      </w:r>
      <w:r>
        <w:rPr>
          <w:rFonts w:hint="eastAsia" w:ascii="宋体" w:hAnsi="宋体"/>
          <w:color w:val="auto"/>
          <w:sz w:val="24"/>
          <w:highlight w:val="none"/>
        </w:rPr>
        <w:t>勘察</w:t>
      </w:r>
      <w:r>
        <w:rPr>
          <w:rFonts w:ascii="宋体" w:hAnsi="宋体"/>
          <w:color w:val="auto"/>
          <w:sz w:val="24"/>
          <w:highlight w:val="none"/>
        </w:rPr>
        <w:t>设计特点、关键技术问题的认识及对策措施</w:t>
      </w:r>
    </w:p>
    <w:p w14:paraId="6DA47111">
      <w:pPr>
        <w:spacing w:line="400" w:lineRule="exact"/>
        <w:ind w:firstLine="283" w:firstLineChars="118"/>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工程</w:t>
      </w:r>
      <w:r>
        <w:rPr>
          <w:rFonts w:hint="eastAsia" w:ascii="宋体" w:hAnsi="宋体"/>
          <w:color w:val="auto"/>
          <w:sz w:val="24"/>
          <w:highlight w:val="none"/>
        </w:rPr>
        <w:t>勘察</w:t>
      </w:r>
      <w:r>
        <w:rPr>
          <w:rFonts w:ascii="宋体" w:hAnsi="宋体"/>
          <w:color w:val="auto"/>
          <w:sz w:val="24"/>
          <w:highlight w:val="none"/>
        </w:rPr>
        <w:t>设计方案</w:t>
      </w:r>
      <w:r>
        <w:rPr>
          <w:rFonts w:hint="eastAsia" w:ascii="宋体" w:hAnsi="宋体"/>
          <w:color w:val="auto"/>
          <w:sz w:val="24"/>
          <w:highlight w:val="none"/>
        </w:rPr>
        <w:t>及相关</w:t>
      </w:r>
      <w:r>
        <w:rPr>
          <w:rFonts w:ascii="宋体" w:hAnsi="宋体"/>
          <w:color w:val="auto"/>
          <w:sz w:val="24"/>
          <w:highlight w:val="none"/>
        </w:rPr>
        <w:t>的建议</w:t>
      </w:r>
    </w:p>
    <w:p w14:paraId="3318B19C">
      <w:pPr>
        <w:spacing w:line="400" w:lineRule="exact"/>
        <w:ind w:firstLine="283" w:firstLineChars="118"/>
        <w:rPr>
          <w:rFonts w:ascii="宋体" w:hAnsi="宋体"/>
          <w:color w:val="auto"/>
          <w:sz w:val="24"/>
          <w:highlight w:val="none"/>
        </w:rPr>
      </w:pPr>
      <w:r>
        <w:rPr>
          <w:rFonts w:hint="eastAsia" w:ascii="宋体" w:hAnsi="宋体"/>
          <w:color w:val="auto"/>
          <w:sz w:val="24"/>
          <w:highlight w:val="none"/>
        </w:rPr>
        <w:t>3.勘察</w:t>
      </w:r>
      <w:r>
        <w:rPr>
          <w:rFonts w:ascii="宋体" w:hAnsi="宋体"/>
          <w:color w:val="auto"/>
          <w:sz w:val="24"/>
          <w:highlight w:val="none"/>
        </w:rPr>
        <w:t>设计工作量及计划安排</w:t>
      </w:r>
      <w:r>
        <w:rPr>
          <w:rFonts w:hint="eastAsia" w:ascii="宋体" w:hAnsi="宋体"/>
          <w:color w:val="auto"/>
          <w:sz w:val="24"/>
          <w:highlight w:val="none"/>
        </w:rPr>
        <w:t>，勘察</w:t>
      </w:r>
      <w:r>
        <w:rPr>
          <w:rFonts w:ascii="宋体" w:hAnsi="宋体"/>
          <w:color w:val="auto"/>
          <w:sz w:val="24"/>
          <w:highlight w:val="none"/>
        </w:rPr>
        <w:t>设计的质量保证措施、进度保证措施</w:t>
      </w:r>
      <w:r>
        <w:rPr>
          <w:rFonts w:hint="eastAsia" w:ascii="宋体" w:hAnsi="宋体"/>
          <w:color w:val="auto"/>
          <w:sz w:val="24"/>
          <w:highlight w:val="none"/>
        </w:rPr>
        <w:t>，</w:t>
      </w:r>
      <w:r>
        <w:rPr>
          <w:rFonts w:ascii="宋体" w:hAnsi="宋体"/>
          <w:color w:val="auto"/>
          <w:sz w:val="24"/>
          <w:highlight w:val="none"/>
        </w:rPr>
        <w:t>后续服务</w:t>
      </w:r>
      <w:r>
        <w:rPr>
          <w:rFonts w:hint="eastAsia" w:ascii="宋体" w:hAnsi="宋体"/>
          <w:color w:val="auto"/>
          <w:sz w:val="24"/>
          <w:highlight w:val="none"/>
        </w:rPr>
        <w:t>计划</w:t>
      </w:r>
      <w:r>
        <w:rPr>
          <w:rFonts w:ascii="宋体" w:hAnsi="宋体"/>
          <w:color w:val="auto"/>
          <w:sz w:val="24"/>
          <w:highlight w:val="none"/>
        </w:rPr>
        <w:t>及保证措施</w:t>
      </w:r>
    </w:p>
    <w:p w14:paraId="52D0F286">
      <w:pPr>
        <w:wordWrap w:val="0"/>
        <w:autoSpaceDE w:val="0"/>
        <w:autoSpaceDN w:val="0"/>
        <w:adjustRightInd w:val="0"/>
        <w:spacing w:before="312" w:beforeLines="100"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（二）技术</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应采用暗标评审，其编制要求为：</w:t>
      </w:r>
    </w:p>
    <w:p w14:paraId="0A3E4D14">
      <w:pPr>
        <w:wordWrap w:val="0"/>
        <w:autoSpaceDE w:val="0"/>
        <w:autoSpaceDN w:val="0"/>
        <w:adjustRightInd w:val="0"/>
        <w:spacing w:before="312" w:beforeLines="10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1.技术</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中不可体现投标人名称、具体设计人员的姓名和以往承担过的项目信息等可以判定投标人单位的信息</w:t>
      </w:r>
      <w:r>
        <w:rPr>
          <w:rFonts w:hint="eastAsia" w:ascii="宋体" w:hAnsi="宋体"/>
          <w:snapToGrid w:val="0"/>
          <w:color w:val="auto"/>
          <w:kern w:val="0"/>
          <w:sz w:val="24"/>
          <w:highlight w:val="none"/>
        </w:rPr>
        <w:t>，否则技术文件得分为0</w:t>
      </w:r>
      <w:r>
        <w:rPr>
          <w:rFonts w:hint="eastAsia" w:ascii="宋体" w:hAnsi="宋体" w:cs="宋体"/>
          <w:color w:val="auto"/>
          <w:kern w:val="0"/>
          <w:sz w:val="24"/>
          <w:highlight w:val="none"/>
        </w:rPr>
        <w:t>。</w:t>
      </w:r>
    </w:p>
    <w:p w14:paraId="735158C5">
      <w:pPr>
        <w:wordWrap w:val="0"/>
        <w:autoSpaceDE w:val="0"/>
        <w:autoSpaceDN w:val="0"/>
        <w:adjustRightInd w:val="0"/>
        <w:spacing w:before="312" w:beforeLines="10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2.技术</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中不可增加与技术</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无关的符号，不得盖章，也不得签电子章。</w:t>
      </w:r>
    </w:p>
    <w:p w14:paraId="30313EFD">
      <w:pPr>
        <w:wordWrap w:val="0"/>
        <w:autoSpaceDE w:val="0"/>
        <w:autoSpaceDN w:val="0"/>
        <w:adjustRightInd w:val="0"/>
        <w:spacing w:before="312" w:beforeLines="10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3.投标人应按投标文件制作软件工具的标签提示导入或编辑技术</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中相关内容，无需制作目录和编制页码。</w:t>
      </w:r>
    </w:p>
    <w:p w14:paraId="2E8167E6">
      <w:pPr>
        <w:wordWrap w:val="0"/>
        <w:autoSpaceDE w:val="0"/>
        <w:autoSpaceDN w:val="0"/>
        <w:adjustRightInd w:val="0"/>
        <w:spacing w:before="312" w:beforeLines="10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4.技术</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采用A3幅面（平纵缩图可采用A3加长）横向排版，上、下及右页边距分别为1cm，左页边距为2.5cm。总页数不得超过100页（含图纸）。</w:t>
      </w:r>
    </w:p>
    <w:p w14:paraId="3C5A2EBE">
      <w:pPr>
        <w:wordWrap w:val="0"/>
        <w:autoSpaceDE w:val="0"/>
        <w:autoSpaceDN w:val="0"/>
        <w:adjustRightInd w:val="0"/>
        <w:spacing w:before="312" w:beforeLines="10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5.技术</w:t>
      </w:r>
      <w:r>
        <w:rPr>
          <w:rFonts w:hint="eastAsia" w:ascii="宋体" w:hAnsi="宋体" w:cs="宋体"/>
          <w:color w:val="auto"/>
          <w:kern w:val="0"/>
          <w:sz w:val="24"/>
          <w:highlight w:val="none"/>
          <w:lang w:val="en-US" w:eastAsia="zh-CN"/>
        </w:rPr>
        <w:t>文件</w:t>
      </w:r>
      <w:r>
        <w:rPr>
          <w:rFonts w:hint="eastAsia" w:ascii="宋体" w:hAnsi="宋体" w:cs="宋体"/>
          <w:color w:val="auto"/>
          <w:kern w:val="0"/>
          <w:sz w:val="24"/>
          <w:highlight w:val="none"/>
        </w:rPr>
        <w:t>中的文字部分格式要求：主标题采用宋体小三号加粗，正文中小标题采用宋体小四号加粗；正文采用宋体小四号；行距为固定值20磅；标题、段落首行缩进2个汉字。</w:t>
      </w:r>
    </w:p>
    <w:p w14:paraId="5017F0BB">
      <w:pPr>
        <w:wordWrap w:val="0"/>
        <w:autoSpaceDE w:val="0"/>
        <w:autoSpaceDN w:val="0"/>
        <w:adjustRightInd w:val="0"/>
        <w:spacing w:before="312" w:beforeLines="100" w:line="400" w:lineRule="exact"/>
        <w:ind w:firstLine="480" w:firstLineChars="200"/>
        <w:rPr>
          <w:rFonts w:ascii="宋体" w:hAnsi="宋体" w:cs="宋体"/>
          <w:color w:val="auto"/>
          <w:sz w:val="24"/>
          <w:highlight w:val="none"/>
        </w:rPr>
        <w:sectPr>
          <w:pgSz w:w="11906" w:h="16838"/>
          <w:pgMar w:top="1440" w:right="1440" w:bottom="1440" w:left="1440" w:header="851" w:footer="992" w:gutter="0"/>
          <w:cols w:space="720" w:num="1"/>
          <w:docGrid w:type="lines" w:linePitch="312" w:charSpace="0"/>
        </w:sectPr>
      </w:pPr>
      <w:r>
        <w:rPr>
          <w:rFonts w:hint="eastAsia" w:ascii="宋体" w:hAnsi="宋体" w:cs="宋体"/>
          <w:color w:val="auto"/>
          <w:sz w:val="24"/>
          <w:highlight w:val="none"/>
        </w:rPr>
        <w:t>6.技术文件所附图纸应按下列“图框格式”制作，</w:t>
      </w:r>
      <w:r>
        <w:rPr>
          <w:rFonts w:hint="eastAsia" w:ascii="宋体" w:hAnsi="宋体" w:cs="宋体"/>
          <w:color w:val="auto"/>
          <w:kern w:val="0"/>
          <w:sz w:val="24"/>
          <w:highlight w:val="none"/>
        </w:rPr>
        <w:t>图名不带括号，</w:t>
      </w:r>
      <w:r>
        <w:rPr>
          <w:rFonts w:hint="eastAsia" w:ascii="宋体" w:hAnsi="宋体" w:cs="宋体"/>
          <w:color w:val="auto"/>
          <w:sz w:val="24"/>
          <w:highlight w:val="none"/>
        </w:rPr>
        <w:t>图号应按T**连续编号，即T01、T02、T03……，采用宋体小四号。</w:t>
      </w:r>
      <w:bookmarkStart w:id="848" w:name="_Toc29072"/>
      <w:bookmarkStart w:id="849" w:name="_Toc9730"/>
      <w:bookmarkStart w:id="850" w:name="_Toc18102"/>
      <w:bookmarkStart w:id="851" w:name="_Toc30484"/>
      <w:bookmarkStart w:id="852" w:name="_Toc7234"/>
      <w:bookmarkStart w:id="853" w:name="_Toc32493"/>
    </w:p>
    <w:p w14:paraId="6D731FB7">
      <w:pPr>
        <w:spacing w:before="312" w:beforeLines="100" w:line="300" w:lineRule="auto"/>
        <w:jc w:val="center"/>
        <w:rPr>
          <w:rFonts w:eastAsia="黑体"/>
          <w:bCs/>
          <w:color w:val="auto"/>
          <w:kern w:val="44"/>
          <w:sz w:val="28"/>
          <w:szCs w:val="28"/>
          <w:highlight w:val="none"/>
        </w:rPr>
      </w:pPr>
      <w:r>
        <w:rPr>
          <w:rFonts w:hint="eastAsia" w:eastAsia="黑体"/>
          <w:bCs/>
          <w:color w:val="auto"/>
          <w:kern w:val="44"/>
          <w:sz w:val="28"/>
          <w:szCs w:val="28"/>
          <w:highlight w:val="none"/>
        </w:rPr>
        <w:t>图框格式</w:t>
      </w:r>
      <w:bookmarkEnd w:id="848"/>
      <w:bookmarkEnd w:id="849"/>
      <w:bookmarkEnd w:id="850"/>
      <w:bookmarkEnd w:id="851"/>
      <w:bookmarkEnd w:id="852"/>
      <w:bookmarkEnd w:id="853"/>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96"/>
        <w:gridCol w:w="5441"/>
        <w:gridCol w:w="718"/>
        <w:gridCol w:w="1043"/>
        <w:gridCol w:w="899"/>
        <w:gridCol w:w="1673"/>
      </w:tblGrid>
      <w:tr w14:paraId="6E22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7" w:hRule="exact"/>
          <w:jc w:val="center"/>
        </w:trPr>
        <w:tc>
          <w:tcPr>
            <w:tcW w:w="14870" w:type="dxa"/>
            <w:gridSpan w:val="6"/>
          </w:tcPr>
          <w:p w14:paraId="7B7B7F1D">
            <w:pPr>
              <w:wordWrap w:val="0"/>
              <w:autoSpaceDE w:val="0"/>
              <w:autoSpaceDN w:val="0"/>
              <w:adjustRightInd w:val="0"/>
              <w:spacing w:before="156" w:beforeLines="50" w:line="300" w:lineRule="auto"/>
              <w:rPr>
                <w:rFonts w:ascii="宋体" w:hAnsi="宋体" w:cs="宋体"/>
                <w:color w:val="auto"/>
                <w:szCs w:val="21"/>
                <w:highlight w:val="none"/>
              </w:rPr>
            </w:pPr>
          </w:p>
        </w:tc>
      </w:tr>
      <w:tr w14:paraId="1886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exact"/>
          <w:jc w:val="center"/>
        </w:trPr>
        <w:tc>
          <w:tcPr>
            <w:tcW w:w="5096" w:type="dxa"/>
            <w:vAlign w:val="center"/>
          </w:tcPr>
          <w:p w14:paraId="3E55CE45">
            <w:pPr>
              <w:tabs>
                <w:tab w:val="left" w:pos="3555"/>
              </w:tabs>
              <w:wordWrap w:val="0"/>
              <w:topLinePunct/>
              <w:adjustRightInd w:val="0"/>
              <w:spacing w:before="156" w:beforeLines="50" w:line="300" w:lineRule="auto"/>
              <w:jc w:val="center"/>
              <w:rPr>
                <w:rFonts w:ascii="宋体" w:hAnsi="宋体" w:cs="宋体"/>
                <w:color w:val="auto"/>
                <w:szCs w:val="21"/>
                <w:highlight w:val="none"/>
              </w:rPr>
            </w:pPr>
            <w:r>
              <w:rPr>
                <w:rFonts w:hint="eastAsia" w:ascii="宋体" w:hAnsi="宋体" w:cs="宋体"/>
                <w:color w:val="auto"/>
                <w:szCs w:val="21"/>
                <w:highlight w:val="none"/>
                <w:u w:val="single"/>
              </w:rPr>
              <w:t xml:space="preserve">                    （项目名称）</w:t>
            </w:r>
          </w:p>
        </w:tc>
        <w:tc>
          <w:tcPr>
            <w:tcW w:w="5441" w:type="dxa"/>
            <w:vAlign w:val="center"/>
          </w:tcPr>
          <w:p w14:paraId="2984DEF4">
            <w:pPr>
              <w:tabs>
                <w:tab w:val="left" w:pos="3555"/>
              </w:tabs>
              <w:wordWrap w:val="0"/>
              <w:topLinePunct/>
              <w:adjustRightInd w:val="0"/>
              <w:spacing w:before="156" w:beforeLines="50" w:line="300" w:lineRule="auto"/>
              <w:jc w:val="center"/>
              <w:rPr>
                <w:rFonts w:ascii="宋体" w:hAnsi="宋体" w:cs="宋体"/>
                <w:color w:val="auto"/>
                <w:szCs w:val="21"/>
                <w:highlight w:val="none"/>
              </w:rPr>
            </w:pPr>
            <w:r>
              <w:rPr>
                <w:rFonts w:hint="eastAsia" w:ascii="宋体" w:hAnsi="宋体" w:cs="宋体"/>
                <w:color w:val="auto"/>
                <w:szCs w:val="21"/>
                <w:highlight w:val="none"/>
              </w:rPr>
              <w:t>（图名）</w:t>
            </w:r>
          </w:p>
        </w:tc>
        <w:tc>
          <w:tcPr>
            <w:tcW w:w="718" w:type="dxa"/>
            <w:vAlign w:val="center"/>
          </w:tcPr>
          <w:p w14:paraId="66A09177">
            <w:pPr>
              <w:wordWrap w:val="0"/>
              <w:autoSpaceDE w:val="0"/>
              <w:autoSpaceDN w:val="0"/>
              <w:adjustRightInd w:val="0"/>
              <w:spacing w:before="156" w:beforeLines="50" w:line="300" w:lineRule="auto"/>
              <w:jc w:val="center"/>
              <w:rPr>
                <w:rFonts w:ascii="宋体" w:hAnsi="宋体" w:cs="宋体"/>
                <w:color w:val="auto"/>
                <w:szCs w:val="21"/>
                <w:highlight w:val="none"/>
              </w:rPr>
            </w:pPr>
            <w:r>
              <w:rPr>
                <w:rFonts w:hint="eastAsia" w:ascii="宋体" w:hAnsi="宋体" w:cs="宋体"/>
                <w:color w:val="auto"/>
                <w:szCs w:val="21"/>
                <w:highlight w:val="none"/>
              </w:rPr>
              <w:t>图号</w:t>
            </w:r>
          </w:p>
        </w:tc>
        <w:tc>
          <w:tcPr>
            <w:tcW w:w="1043" w:type="dxa"/>
            <w:vAlign w:val="center"/>
          </w:tcPr>
          <w:p w14:paraId="247469A1">
            <w:pPr>
              <w:tabs>
                <w:tab w:val="left" w:pos="3555"/>
              </w:tabs>
              <w:wordWrap w:val="0"/>
              <w:topLinePunct/>
              <w:adjustRightInd w:val="0"/>
              <w:spacing w:before="156" w:beforeLines="50" w:line="300" w:lineRule="auto"/>
              <w:jc w:val="center"/>
              <w:rPr>
                <w:rFonts w:ascii="宋体" w:hAnsi="宋体" w:cs="宋体"/>
                <w:color w:val="auto"/>
                <w:szCs w:val="21"/>
                <w:highlight w:val="none"/>
              </w:rPr>
            </w:pPr>
          </w:p>
        </w:tc>
        <w:tc>
          <w:tcPr>
            <w:tcW w:w="899" w:type="dxa"/>
            <w:vAlign w:val="center"/>
          </w:tcPr>
          <w:p w14:paraId="4DA11985">
            <w:pPr>
              <w:wordWrap w:val="0"/>
              <w:autoSpaceDE w:val="0"/>
              <w:autoSpaceDN w:val="0"/>
              <w:adjustRightInd w:val="0"/>
              <w:spacing w:before="156" w:beforeLines="50" w:line="300" w:lineRule="auto"/>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1673" w:type="dxa"/>
            <w:vAlign w:val="center"/>
          </w:tcPr>
          <w:p w14:paraId="2D8C2975">
            <w:pPr>
              <w:tabs>
                <w:tab w:val="left" w:pos="540"/>
              </w:tabs>
              <w:wordWrap w:val="0"/>
              <w:autoSpaceDE w:val="0"/>
              <w:autoSpaceDN w:val="0"/>
              <w:adjustRightInd w:val="0"/>
              <w:spacing w:before="156" w:beforeLines="50" w:line="300" w:lineRule="auto"/>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p>
        </w:tc>
      </w:tr>
    </w:tbl>
    <w:p w14:paraId="32C50BCA">
      <w:pPr>
        <w:tabs>
          <w:tab w:val="left" w:pos="5880"/>
        </w:tabs>
        <w:wordWrap w:val="0"/>
        <w:autoSpaceDE w:val="0"/>
        <w:autoSpaceDN w:val="0"/>
        <w:adjustRightInd w:val="0"/>
        <w:spacing w:line="281" w:lineRule="exact"/>
        <w:ind w:left="359"/>
        <w:rPr>
          <w:rFonts w:ascii="宋体" w:hAnsi="宋体" w:cs="Arial Unicode MS"/>
          <w:snapToGrid w:val="0"/>
          <w:color w:val="auto"/>
          <w:kern w:val="0"/>
          <w:sz w:val="24"/>
          <w:highlight w:val="none"/>
        </w:rPr>
      </w:pPr>
      <w:r>
        <w:rPr>
          <w:rFonts w:hint="eastAsia" w:ascii="宋体" w:hAnsi="宋体"/>
          <w:color w:val="auto"/>
          <w:position w:val="-2"/>
          <w:highlight w:val="none"/>
        </w:rPr>
        <w:t>说明：上、下及右页边距分别为</w:t>
      </w:r>
      <w:r>
        <w:rPr>
          <w:rFonts w:ascii="宋体" w:hAnsi="宋体"/>
          <w:color w:val="auto"/>
          <w:position w:val="-2"/>
          <w:highlight w:val="none"/>
        </w:rPr>
        <w:t>1</w:t>
      </w:r>
      <w:r>
        <w:rPr>
          <w:rFonts w:ascii="宋体" w:hAnsi="宋体"/>
          <w:color w:val="auto"/>
          <w:spacing w:val="-1"/>
          <w:position w:val="-2"/>
          <w:highlight w:val="none"/>
        </w:rPr>
        <w:t>cm</w:t>
      </w:r>
      <w:r>
        <w:rPr>
          <w:rFonts w:hint="eastAsia" w:ascii="宋体" w:hAnsi="宋体"/>
          <w:color w:val="auto"/>
          <w:position w:val="-2"/>
          <w:highlight w:val="none"/>
        </w:rPr>
        <w:t>，左页边</w:t>
      </w:r>
      <w:r>
        <w:rPr>
          <w:rFonts w:hint="eastAsia" w:ascii="宋体" w:hAnsi="宋体"/>
          <w:color w:val="auto"/>
          <w:spacing w:val="1"/>
          <w:position w:val="-2"/>
          <w:highlight w:val="none"/>
        </w:rPr>
        <w:t>距</w:t>
      </w:r>
      <w:r>
        <w:rPr>
          <w:rFonts w:hint="eastAsia" w:ascii="宋体" w:hAnsi="宋体"/>
          <w:color w:val="auto"/>
          <w:position w:val="-2"/>
          <w:highlight w:val="none"/>
        </w:rPr>
        <w:t>为</w:t>
      </w:r>
      <w:r>
        <w:rPr>
          <w:rFonts w:ascii="宋体" w:hAnsi="宋体"/>
          <w:color w:val="auto"/>
          <w:position w:val="-2"/>
          <w:highlight w:val="none"/>
        </w:rPr>
        <w:t>2.5c</w:t>
      </w:r>
      <w:r>
        <w:rPr>
          <w:rFonts w:ascii="宋体" w:hAnsi="宋体"/>
          <w:color w:val="auto"/>
          <w:spacing w:val="-2"/>
          <w:position w:val="-2"/>
          <w:highlight w:val="none"/>
        </w:rPr>
        <w:t>m</w:t>
      </w:r>
      <w:r>
        <w:rPr>
          <w:rFonts w:hint="eastAsia" w:ascii="宋体" w:hAnsi="宋体"/>
          <w:color w:val="auto"/>
          <w:position w:val="-2"/>
          <w:highlight w:val="none"/>
        </w:rPr>
        <w:t>。</w:t>
      </w:r>
      <w:r>
        <w:rPr>
          <w:rFonts w:ascii="宋体" w:hAnsi="宋体"/>
          <w:snapToGrid w:val="0"/>
          <w:color w:val="auto"/>
          <w:kern w:val="0"/>
          <w:sz w:val="24"/>
          <w:highlight w:val="none"/>
        </w:rPr>
        <w:tab/>
      </w:r>
    </w:p>
    <w:p w14:paraId="3D7B4EBC">
      <w:pPr>
        <w:pStyle w:val="41"/>
        <w:rPr>
          <w:color w:val="auto"/>
          <w:highlight w:val="none"/>
        </w:rPr>
      </w:pPr>
    </w:p>
    <w:sectPr>
      <w:footerReference r:id="rId20" w:type="default"/>
      <w:pgSz w:w="16838" w:h="11906" w:orient="landscape"/>
      <w:pgMar w:top="1440" w:right="1440" w:bottom="1440" w:left="144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Myriad Pro Light">
    <w:altName w:val="AMGDT"/>
    <w:panose1 w:val="00000000000000000000"/>
    <w:charset w:val="00"/>
    <w:family w:val="swiss"/>
    <w:pitch w:val="default"/>
    <w:sig w:usb0="00000000" w:usb1="00000000" w:usb2="00000000" w:usb3="00000000" w:csb0="0000009F"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方正楷体简体">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瀹嬩綋">
    <w:altName w:val="宋体"/>
    <w:panose1 w:val="00000000000000000000"/>
    <w:charset w:val="86"/>
    <w:family w:val="auto"/>
    <w:pitch w:val="default"/>
    <w:sig w:usb0="00000000" w:usb1="00000000" w:usb2="00000010" w:usb3="00000000" w:csb0="00040000" w:csb1="00000000"/>
  </w:font>
  <w:font w:name="汉仪书宋二S">
    <w:altName w:val="宋体"/>
    <w:panose1 w:val="00000000000000000000"/>
    <w:charset w:val="86"/>
    <w:family w:val="auto"/>
    <w:pitch w:val="default"/>
    <w:sig w:usb0="00000000" w:usb1="00000000" w:usb2="00000016"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Kingsoft UE">
    <w:panose1 w:val="02000100010000000000"/>
    <w:charset w:val="00"/>
    <w:family w:val="auto"/>
    <w:pitch w:val="default"/>
    <w:sig w:usb0="00000001" w:usb1="00004000" w:usb2="00000000" w:usb3="00000000" w:csb0="0000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3D11">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885C5">
    <w:pPr>
      <w:framePr w:wrap="around" w:vAnchor="text" w:hAnchor="margin" w:xAlign="center" w:y="1"/>
      <w:snapToGrid w:val="0"/>
      <w:jc w:val="left"/>
      <w:rPr>
        <w:rStyle w:val="46"/>
        <w:sz w:val="18"/>
        <w:szCs w:val="18"/>
      </w:rPr>
    </w:pPr>
    <w:r>
      <w:rPr>
        <w:sz w:val="18"/>
        <w:szCs w:val="18"/>
      </w:rPr>
      <w:fldChar w:fldCharType="begin"/>
    </w:r>
    <w:r>
      <w:rPr>
        <w:rStyle w:val="46"/>
        <w:sz w:val="18"/>
        <w:szCs w:val="18"/>
      </w:rPr>
      <w:instrText xml:space="preserve">PAGE  </w:instrText>
    </w:r>
    <w:r>
      <w:rPr>
        <w:sz w:val="18"/>
        <w:szCs w:val="18"/>
      </w:rPr>
      <w:fldChar w:fldCharType="end"/>
    </w:r>
  </w:p>
  <w:p w14:paraId="691CEE86">
    <w:pPr>
      <w:snapToGrid w:val="0"/>
      <w:ind w:right="360"/>
      <w:jc w:val="left"/>
      <w:rPr>
        <w:sz w:val="18"/>
        <w:szCs w:val="18"/>
      </w:rPr>
    </w:pPr>
  </w:p>
  <w:p w14:paraId="2DBE1B2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590CE">
    <w:pPr>
      <w:snapToGrid w:val="0"/>
      <w:ind w:right="360"/>
      <w:jc w:val="left"/>
      <w:rPr>
        <w:rFonts w:ascii="宋体" w:hAnsi="宋体"/>
        <w:szCs w:val="2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8FB52">
                          <w:pPr>
                            <w:snapToGrid w:val="0"/>
                            <w:jc w:val="left"/>
                            <w:rPr>
                              <w:rStyle w:val="46"/>
                              <w:rFonts w:ascii="宋体" w:hAnsi="宋体"/>
                              <w:szCs w:val="21"/>
                            </w:rPr>
                          </w:pPr>
                          <w:r>
                            <w:rPr>
                              <w:rFonts w:ascii="宋体" w:hAnsi="宋体"/>
                              <w:szCs w:val="21"/>
                            </w:rPr>
                            <w:fldChar w:fldCharType="begin"/>
                          </w:r>
                          <w:r>
                            <w:rPr>
                              <w:rStyle w:val="46"/>
                              <w:rFonts w:ascii="宋体" w:hAnsi="宋体"/>
                              <w:szCs w:val="21"/>
                            </w:rPr>
                            <w:instrText xml:space="preserve">PAGE  </w:instrText>
                          </w:r>
                          <w:r>
                            <w:rPr>
                              <w:rFonts w:ascii="宋体" w:hAnsi="宋体"/>
                              <w:szCs w:val="21"/>
                            </w:rPr>
                            <w:fldChar w:fldCharType="separate"/>
                          </w:r>
                          <w:r>
                            <w:rPr>
                              <w:rStyle w:val="46"/>
                              <w:rFonts w:ascii="宋体" w:hAnsi="宋体"/>
                              <w:szCs w:val="21"/>
                            </w:rPr>
                            <w:t>90</w:t>
                          </w:r>
                          <w:r>
                            <w:rPr>
                              <w:rFonts w:ascii="宋体" w:hAnsi="宋体"/>
                              <w:szCs w:val="21"/>
                            </w:rPr>
                            <w:fldChar w:fldCharType="end"/>
                          </w:r>
                        </w:p>
                        <w:p w14:paraId="501F2B9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068FB52">
                    <w:pPr>
                      <w:snapToGrid w:val="0"/>
                      <w:jc w:val="left"/>
                      <w:rPr>
                        <w:rStyle w:val="46"/>
                        <w:rFonts w:ascii="宋体" w:hAnsi="宋体"/>
                        <w:szCs w:val="21"/>
                      </w:rPr>
                    </w:pPr>
                    <w:r>
                      <w:rPr>
                        <w:rFonts w:ascii="宋体" w:hAnsi="宋体"/>
                        <w:szCs w:val="21"/>
                      </w:rPr>
                      <w:fldChar w:fldCharType="begin"/>
                    </w:r>
                    <w:r>
                      <w:rPr>
                        <w:rStyle w:val="46"/>
                        <w:rFonts w:ascii="宋体" w:hAnsi="宋体"/>
                        <w:szCs w:val="21"/>
                      </w:rPr>
                      <w:instrText xml:space="preserve">PAGE  </w:instrText>
                    </w:r>
                    <w:r>
                      <w:rPr>
                        <w:rFonts w:ascii="宋体" w:hAnsi="宋体"/>
                        <w:szCs w:val="21"/>
                      </w:rPr>
                      <w:fldChar w:fldCharType="separate"/>
                    </w:r>
                    <w:r>
                      <w:rPr>
                        <w:rStyle w:val="46"/>
                        <w:rFonts w:ascii="宋体" w:hAnsi="宋体"/>
                        <w:szCs w:val="21"/>
                      </w:rPr>
                      <w:t>90</w:t>
                    </w:r>
                    <w:r>
                      <w:rPr>
                        <w:rFonts w:ascii="宋体" w:hAnsi="宋体"/>
                        <w:szCs w:val="21"/>
                      </w:rPr>
                      <w:fldChar w:fldCharType="end"/>
                    </w:r>
                  </w:p>
                  <w:p w14:paraId="501F2B9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2A92">
    <w:pPr>
      <w:pStyle w:val="28"/>
    </w:pPr>
    <w:r>
      <w:rPr>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CB6FA">
                          <w:pPr>
                            <w:pStyle w:val="28"/>
                          </w:pPr>
                          <w:r>
                            <w:fldChar w:fldCharType="begin"/>
                          </w:r>
                          <w:r>
                            <w:instrText xml:space="preserve"> PAGE   \* MERGEFORMAT </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0CB6FA">
                    <w:pPr>
                      <w:pStyle w:val="28"/>
                    </w:pPr>
                    <w:r>
                      <w:fldChar w:fldCharType="begin"/>
                    </w:r>
                    <w:r>
                      <w:instrText xml:space="preserve"> PAGE   \* MERGEFORMAT </w:instrText>
                    </w:r>
                    <w:r>
                      <w:fldChar w:fldCharType="separate"/>
                    </w:r>
                    <w:r>
                      <w:rPr>
                        <w:lang w:val="zh-CN"/>
                      </w:rPr>
                      <w:t>26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4133">
    <w:pPr>
      <w:snapToGrid w:val="0"/>
      <w:jc w:val="center"/>
      <w:rPr>
        <w:kern w:val="0"/>
        <w:sz w:val="18"/>
        <w:szCs w:val="18"/>
      </w:rPr>
    </w:pPr>
    <w:r>
      <w:rPr>
        <w:kern w:val="0"/>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A18BCB1">
                          <w:pPr>
                            <w:snapToGrid w:val="0"/>
                            <w:jc w:val="center"/>
                            <w:rPr>
                              <w:kern w:val="0"/>
                              <w:sz w:val="18"/>
                              <w:szCs w:val="18"/>
                            </w:rPr>
                          </w:pPr>
                          <w:r>
                            <w:rPr>
                              <w:kern w:val="0"/>
                              <w:sz w:val="18"/>
                              <w:szCs w:val="18"/>
                            </w:rPr>
                            <w:fldChar w:fldCharType="begin"/>
                          </w:r>
                          <w:r>
                            <w:rPr>
                              <w:kern w:val="0"/>
                              <w:sz w:val="18"/>
                              <w:szCs w:val="18"/>
                            </w:rPr>
                            <w:instrText xml:space="preserve">PAGE   \* MERGEFORMAT</w:instrText>
                          </w:r>
                          <w:r>
                            <w:rPr>
                              <w:kern w:val="0"/>
                              <w:sz w:val="18"/>
                              <w:szCs w:val="18"/>
                            </w:rPr>
                            <w:fldChar w:fldCharType="separate"/>
                          </w:r>
                          <w:r>
                            <w:rPr>
                              <w:kern w:val="0"/>
                              <w:sz w:val="18"/>
                              <w:szCs w:val="18"/>
                              <w:lang w:val="zh-CN"/>
                            </w:rPr>
                            <w:t>31</w:t>
                          </w:r>
                          <w:r>
                            <w:rPr>
                              <w:kern w:val="0"/>
                              <w:sz w:val="18"/>
                              <w:szCs w:val="18"/>
                            </w:rP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OITVTIAQAAjQ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QEkctzjx46+fx99/j39+&#10;kOoqC9QHqDHvNmBmGt77AZNPfkBn5j2oaPMXGRGMI9bhLK8cEhH5UbV4e3lFicBQdVktFgWd3T8O&#10;EdIH6S3JRkMjTq+IyvefIGEjmHpKybWcv9HGlAka98CBidnDcudjh9lKw2aY6Gx8e0A2PQ6+oQ73&#10;nBLz0aGueUdORjwZm8nINSC82yUsXPrJqCPUVAynVNqcNiqvwb/3knX/F63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PlfknQAAAAAwEAAA8AAAAAAAAAAQAgAAAAIgAAAGRycy9kb3ducmV2Lnht&#10;bFBLAQIUABQAAAAIAIdO4kBDiE1UyAEAAI0DAAAOAAAAAAAAAAEAIAAAAB8BAABkcnMvZTJvRG9j&#10;LnhtbFBLBQYAAAAABgAGAFkBAABZBQAAAAA=&#10;">
              <v:fill on="f" focussize="0,0"/>
              <v:stroke on="f"/>
              <v:imagedata o:title=""/>
              <o:lock v:ext="edit" aspectratio="f"/>
              <v:textbox inset="0mm,0mm,0mm,0mm" style="mso-fit-shape-to-text:t;">
                <w:txbxContent>
                  <w:p w14:paraId="7A18BCB1">
                    <w:pPr>
                      <w:snapToGrid w:val="0"/>
                      <w:jc w:val="center"/>
                      <w:rPr>
                        <w:kern w:val="0"/>
                        <w:sz w:val="18"/>
                        <w:szCs w:val="18"/>
                      </w:rPr>
                    </w:pPr>
                    <w:r>
                      <w:rPr>
                        <w:kern w:val="0"/>
                        <w:sz w:val="18"/>
                        <w:szCs w:val="18"/>
                      </w:rPr>
                      <w:fldChar w:fldCharType="begin"/>
                    </w:r>
                    <w:r>
                      <w:rPr>
                        <w:kern w:val="0"/>
                        <w:sz w:val="18"/>
                        <w:szCs w:val="18"/>
                      </w:rPr>
                      <w:instrText xml:space="preserve">PAGE   \* MERGEFORMAT</w:instrText>
                    </w:r>
                    <w:r>
                      <w:rPr>
                        <w:kern w:val="0"/>
                        <w:sz w:val="18"/>
                        <w:szCs w:val="18"/>
                      </w:rPr>
                      <w:fldChar w:fldCharType="separate"/>
                    </w:r>
                    <w:r>
                      <w:rPr>
                        <w:kern w:val="0"/>
                        <w:sz w:val="18"/>
                        <w:szCs w:val="18"/>
                        <w:lang w:val="zh-CN"/>
                      </w:rPr>
                      <w:t>31</w:t>
                    </w:r>
                    <w:r>
                      <w:rPr>
                        <w:kern w:val="0"/>
                        <w:sz w:val="18"/>
                        <w:szCs w:val="18"/>
                      </w:rPr>
                      <w:fldChar w:fldCharType="end"/>
                    </w:r>
                  </w:p>
                </w:txbxContent>
              </v:textbox>
            </v:shape>
          </w:pict>
        </mc:Fallback>
      </mc:AlternateContent>
    </w:r>
  </w:p>
  <w:p w14:paraId="6A4DC3F5">
    <w:pPr>
      <w:snapToGrid w:val="0"/>
      <w:spacing w:line="240" w:lineRule="exact"/>
      <w:ind w:right="360" w:firstLine="360"/>
      <w:jc w:val="center"/>
      <w:rPr>
        <w:rFonts w:eastAsia="黑体"/>
        <w:kern w:val="0"/>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50C8">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324B1BC">
                          <w:pPr>
                            <w:pStyle w:val="28"/>
                            <w:jc w:val="center"/>
                          </w:pPr>
                          <w:r>
                            <w:fldChar w:fldCharType="begin"/>
                          </w:r>
                          <w:r>
                            <w:instrText xml:space="preserve">PAGE   \* MERGEFORMAT</w:instrText>
                          </w:r>
                          <w:r>
                            <w:fldChar w:fldCharType="separate"/>
                          </w:r>
                          <w:r>
                            <w:rPr>
                              <w:lang w:val="zh-CN"/>
                            </w:rPr>
                            <w:t>46</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V+SdAAAAADAQAADwAAAAAAAAABACAAAAAiAAAAZHJzL2Rvd25yZXYu&#10;eG1sUEsBAhQAFAAAAAgAh07iQImIa/jKAQAAjgMAAA4AAAAAAAAAAQAgAAAAHwEAAGRycy9lMm9E&#10;b2MueG1sUEsFBgAAAAAGAAYAWQEAAFsFAAAAAA==&#10;">
              <v:fill on="f" focussize="0,0"/>
              <v:stroke on="f"/>
              <v:imagedata o:title=""/>
              <o:lock v:ext="edit" aspectratio="f"/>
              <v:textbox inset="0mm,0mm,0mm,0mm" style="mso-fit-shape-to-text:t;">
                <w:txbxContent>
                  <w:p w14:paraId="0324B1BC">
                    <w:pPr>
                      <w:pStyle w:val="28"/>
                      <w:jc w:val="center"/>
                    </w:pPr>
                    <w:r>
                      <w:fldChar w:fldCharType="begin"/>
                    </w:r>
                    <w:r>
                      <w:instrText xml:space="preserve">PAGE   \* MERGEFORMAT</w:instrText>
                    </w:r>
                    <w:r>
                      <w:fldChar w:fldCharType="separate"/>
                    </w:r>
                    <w:r>
                      <w:rPr>
                        <w:lang w:val="zh-CN"/>
                      </w:rPr>
                      <w:t>46</w:t>
                    </w:r>
                    <w:r>
                      <w:fldChar w:fldCharType="end"/>
                    </w:r>
                  </w:p>
                </w:txbxContent>
              </v:textbox>
            </v:shape>
          </w:pict>
        </mc:Fallback>
      </mc:AlternateContent>
    </w:r>
  </w:p>
  <w:p w14:paraId="70EFAAE0">
    <w:pPr>
      <w:pStyle w:val="28"/>
      <w:spacing w:line="240" w:lineRule="exact"/>
      <w:ind w:right="360" w:firstLine="360"/>
      <w:jc w:val="center"/>
      <w:rPr>
        <w:rFonts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BD513">
    <w:pPr>
      <w:pStyle w:val="28"/>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E0DCF">
    <w:pPr>
      <w:pStyle w:val="28"/>
      <w:ind w:right="360"/>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9C857">
                          <w:pPr>
                            <w:pStyle w:val="28"/>
                            <w:rPr>
                              <w:rStyle w:val="46"/>
                              <w:rFonts w:ascii="宋体" w:hAnsi="宋体"/>
                              <w:sz w:val="21"/>
                              <w:szCs w:val="21"/>
                            </w:rPr>
                          </w:pPr>
                          <w:r>
                            <w:rPr>
                              <w:rFonts w:ascii="宋体" w:hAnsi="宋体"/>
                              <w:sz w:val="21"/>
                              <w:szCs w:val="21"/>
                            </w:rPr>
                            <w:fldChar w:fldCharType="begin"/>
                          </w:r>
                          <w:r>
                            <w:rPr>
                              <w:rStyle w:val="46"/>
                              <w:rFonts w:ascii="宋体" w:hAnsi="宋体"/>
                              <w:sz w:val="21"/>
                              <w:szCs w:val="21"/>
                            </w:rPr>
                            <w:instrText xml:space="preserve">PAGE  </w:instrText>
                          </w:r>
                          <w:r>
                            <w:rPr>
                              <w:rFonts w:ascii="宋体" w:hAnsi="宋体"/>
                              <w:sz w:val="21"/>
                              <w:szCs w:val="21"/>
                            </w:rPr>
                            <w:fldChar w:fldCharType="separate"/>
                          </w:r>
                          <w:r>
                            <w:rPr>
                              <w:rStyle w:val="46"/>
                              <w:rFonts w:ascii="宋体" w:hAnsi="宋体"/>
                              <w:sz w:val="21"/>
                              <w:szCs w:val="21"/>
                            </w:rPr>
                            <w:t>84</w:t>
                          </w:r>
                          <w:r>
                            <w:rPr>
                              <w:rFonts w:ascii="宋体" w:hAnsi="宋体"/>
                              <w:sz w:val="21"/>
                              <w:szCs w:val="21"/>
                            </w:rPr>
                            <w:fldChar w:fldCharType="end"/>
                          </w:r>
                        </w:p>
                        <w:p w14:paraId="00218FF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799C857">
                    <w:pPr>
                      <w:pStyle w:val="28"/>
                      <w:rPr>
                        <w:rStyle w:val="46"/>
                        <w:rFonts w:ascii="宋体" w:hAnsi="宋体"/>
                        <w:sz w:val="21"/>
                        <w:szCs w:val="21"/>
                      </w:rPr>
                    </w:pPr>
                    <w:r>
                      <w:rPr>
                        <w:rFonts w:ascii="宋体" w:hAnsi="宋体"/>
                        <w:sz w:val="21"/>
                        <w:szCs w:val="21"/>
                      </w:rPr>
                      <w:fldChar w:fldCharType="begin"/>
                    </w:r>
                    <w:r>
                      <w:rPr>
                        <w:rStyle w:val="46"/>
                        <w:rFonts w:ascii="宋体" w:hAnsi="宋体"/>
                        <w:sz w:val="21"/>
                        <w:szCs w:val="21"/>
                      </w:rPr>
                      <w:instrText xml:space="preserve">PAGE  </w:instrText>
                    </w:r>
                    <w:r>
                      <w:rPr>
                        <w:rFonts w:ascii="宋体" w:hAnsi="宋体"/>
                        <w:sz w:val="21"/>
                        <w:szCs w:val="21"/>
                      </w:rPr>
                      <w:fldChar w:fldCharType="separate"/>
                    </w:r>
                    <w:r>
                      <w:rPr>
                        <w:rStyle w:val="46"/>
                        <w:rFonts w:ascii="宋体" w:hAnsi="宋体"/>
                        <w:sz w:val="21"/>
                        <w:szCs w:val="21"/>
                      </w:rPr>
                      <w:t>84</w:t>
                    </w:r>
                    <w:r>
                      <w:rPr>
                        <w:rFonts w:ascii="宋体" w:hAnsi="宋体"/>
                        <w:sz w:val="21"/>
                        <w:szCs w:val="21"/>
                      </w:rPr>
                      <w:fldChar w:fldCharType="end"/>
                    </w:r>
                  </w:p>
                  <w:p w14:paraId="00218FF7"/>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5B01">
    <w:pPr>
      <w:pStyle w:val="28"/>
      <w:ind w:right="360"/>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61ED3">
                          <w:pPr>
                            <w:pStyle w:val="28"/>
                            <w:rPr>
                              <w:rStyle w:val="46"/>
                              <w:rFonts w:ascii="宋体" w:hAnsi="宋体"/>
                              <w:sz w:val="21"/>
                              <w:szCs w:val="21"/>
                            </w:rPr>
                          </w:pPr>
                          <w:r>
                            <w:rPr>
                              <w:rFonts w:ascii="宋体" w:hAnsi="宋体"/>
                              <w:sz w:val="21"/>
                              <w:szCs w:val="21"/>
                            </w:rPr>
                            <w:fldChar w:fldCharType="begin"/>
                          </w:r>
                          <w:r>
                            <w:rPr>
                              <w:rStyle w:val="46"/>
                              <w:rFonts w:ascii="宋体" w:hAnsi="宋体"/>
                              <w:sz w:val="21"/>
                              <w:szCs w:val="21"/>
                            </w:rPr>
                            <w:instrText xml:space="preserve">PAGE  </w:instrText>
                          </w:r>
                          <w:r>
                            <w:rPr>
                              <w:rFonts w:ascii="宋体" w:hAnsi="宋体"/>
                              <w:sz w:val="21"/>
                              <w:szCs w:val="21"/>
                            </w:rPr>
                            <w:fldChar w:fldCharType="separate"/>
                          </w:r>
                          <w:r>
                            <w:rPr>
                              <w:rStyle w:val="46"/>
                              <w:rFonts w:ascii="宋体" w:hAnsi="宋体"/>
                              <w:sz w:val="21"/>
                              <w:szCs w:val="21"/>
                            </w:rPr>
                            <w:t>85</w:t>
                          </w:r>
                          <w:r>
                            <w:rPr>
                              <w:rFonts w:ascii="宋体" w:hAnsi="宋体"/>
                              <w:sz w:val="21"/>
                              <w:szCs w:val="21"/>
                            </w:rPr>
                            <w:fldChar w:fldCharType="end"/>
                          </w:r>
                        </w:p>
                        <w:p w14:paraId="195DA8E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E661ED3">
                    <w:pPr>
                      <w:pStyle w:val="28"/>
                      <w:rPr>
                        <w:rStyle w:val="46"/>
                        <w:rFonts w:ascii="宋体" w:hAnsi="宋体"/>
                        <w:sz w:val="21"/>
                        <w:szCs w:val="21"/>
                      </w:rPr>
                    </w:pPr>
                    <w:r>
                      <w:rPr>
                        <w:rFonts w:ascii="宋体" w:hAnsi="宋体"/>
                        <w:sz w:val="21"/>
                        <w:szCs w:val="21"/>
                      </w:rPr>
                      <w:fldChar w:fldCharType="begin"/>
                    </w:r>
                    <w:r>
                      <w:rPr>
                        <w:rStyle w:val="46"/>
                        <w:rFonts w:ascii="宋体" w:hAnsi="宋体"/>
                        <w:sz w:val="21"/>
                        <w:szCs w:val="21"/>
                      </w:rPr>
                      <w:instrText xml:space="preserve">PAGE  </w:instrText>
                    </w:r>
                    <w:r>
                      <w:rPr>
                        <w:rFonts w:ascii="宋体" w:hAnsi="宋体"/>
                        <w:sz w:val="21"/>
                        <w:szCs w:val="21"/>
                      </w:rPr>
                      <w:fldChar w:fldCharType="separate"/>
                    </w:r>
                    <w:r>
                      <w:rPr>
                        <w:rStyle w:val="46"/>
                        <w:rFonts w:ascii="宋体" w:hAnsi="宋体"/>
                        <w:sz w:val="21"/>
                        <w:szCs w:val="21"/>
                      </w:rPr>
                      <w:t>85</w:t>
                    </w:r>
                    <w:r>
                      <w:rPr>
                        <w:rFonts w:ascii="宋体" w:hAnsi="宋体"/>
                        <w:sz w:val="21"/>
                        <w:szCs w:val="21"/>
                      </w:rPr>
                      <w:fldChar w:fldCharType="end"/>
                    </w:r>
                  </w:p>
                  <w:p w14:paraId="195DA8E7"/>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19FF1">
    <w:pPr>
      <w:pStyle w:val="28"/>
      <w:framePr w:wrap="around" w:vAnchor="text" w:hAnchor="margin" w:xAlign="center" w:y="1"/>
      <w:rPr>
        <w:rStyle w:val="46"/>
      </w:rPr>
    </w:pPr>
    <w:r>
      <w:fldChar w:fldCharType="begin"/>
    </w:r>
    <w:r>
      <w:rPr>
        <w:rStyle w:val="46"/>
      </w:rPr>
      <w:instrText xml:space="preserve">PAGE  </w:instrText>
    </w:r>
    <w:r>
      <w:fldChar w:fldCharType="end"/>
    </w:r>
  </w:p>
  <w:p w14:paraId="210B4EC8">
    <w:pPr>
      <w:pStyle w:val="28"/>
      <w:ind w:right="360"/>
    </w:pPr>
  </w:p>
  <w:p w14:paraId="2FBB5AA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97E6">
    <w:pPr>
      <w:snapToGrid w:val="0"/>
      <w:ind w:right="360"/>
      <w:jc w:val="left"/>
      <w:rPr>
        <w:rFonts w:ascii="宋体" w:hAnsi="宋体"/>
        <w:szCs w:val="21"/>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56644">
                          <w:pPr>
                            <w:snapToGrid w:val="0"/>
                            <w:jc w:val="left"/>
                            <w:rPr>
                              <w:rStyle w:val="46"/>
                              <w:rFonts w:ascii="宋体" w:hAnsi="宋体"/>
                              <w:szCs w:val="21"/>
                            </w:rPr>
                          </w:pPr>
                          <w:r>
                            <w:rPr>
                              <w:rFonts w:ascii="宋体" w:hAnsi="宋体"/>
                              <w:szCs w:val="21"/>
                            </w:rPr>
                            <w:fldChar w:fldCharType="begin"/>
                          </w:r>
                          <w:r>
                            <w:rPr>
                              <w:rStyle w:val="46"/>
                              <w:rFonts w:ascii="宋体" w:hAnsi="宋体"/>
                              <w:szCs w:val="21"/>
                            </w:rPr>
                            <w:instrText xml:space="preserve">PAGE  </w:instrText>
                          </w:r>
                          <w:r>
                            <w:rPr>
                              <w:rFonts w:ascii="宋体" w:hAnsi="宋体"/>
                              <w:szCs w:val="21"/>
                            </w:rPr>
                            <w:fldChar w:fldCharType="separate"/>
                          </w:r>
                          <w:r>
                            <w:rPr>
                              <w:rStyle w:val="46"/>
                              <w:rFonts w:ascii="宋体" w:hAnsi="宋体"/>
                              <w:szCs w:val="21"/>
                            </w:rPr>
                            <w:t>95</w:t>
                          </w:r>
                          <w:r>
                            <w:rPr>
                              <w:rFonts w:ascii="宋体" w:hAnsi="宋体"/>
                              <w:szCs w:val="21"/>
                            </w:rPr>
                            <w:fldChar w:fldCharType="end"/>
                          </w:r>
                        </w:p>
                        <w:p w14:paraId="68EE170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A256644">
                    <w:pPr>
                      <w:snapToGrid w:val="0"/>
                      <w:jc w:val="left"/>
                      <w:rPr>
                        <w:rStyle w:val="46"/>
                        <w:rFonts w:ascii="宋体" w:hAnsi="宋体"/>
                        <w:szCs w:val="21"/>
                      </w:rPr>
                    </w:pPr>
                    <w:r>
                      <w:rPr>
                        <w:rFonts w:ascii="宋体" w:hAnsi="宋体"/>
                        <w:szCs w:val="21"/>
                      </w:rPr>
                      <w:fldChar w:fldCharType="begin"/>
                    </w:r>
                    <w:r>
                      <w:rPr>
                        <w:rStyle w:val="46"/>
                        <w:rFonts w:ascii="宋体" w:hAnsi="宋体"/>
                        <w:szCs w:val="21"/>
                      </w:rPr>
                      <w:instrText xml:space="preserve">PAGE  </w:instrText>
                    </w:r>
                    <w:r>
                      <w:rPr>
                        <w:rFonts w:ascii="宋体" w:hAnsi="宋体"/>
                        <w:szCs w:val="21"/>
                      </w:rPr>
                      <w:fldChar w:fldCharType="separate"/>
                    </w:r>
                    <w:r>
                      <w:rPr>
                        <w:rStyle w:val="46"/>
                        <w:rFonts w:ascii="宋体" w:hAnsi="宋体"/>
                        <w:szCs w:val="21"/>
                      </w:rPr>
                      <w:t>95</w:t>
                    </w:r>
                    <w:r>
                      <w:rPr>
                        <w:rFonts w:ascii="宋体" w:hAnsi="宋体"/>
                        <w:szCs w:val="21"/>
                      </w:rPr>
                      <w:fldChar w:fldCharType="end"/>
                    </w:r>
                  </w:p>
                  <w:p w14:paraId="68EE170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footnote>
  <w:footnote w:type="continuationSeparator" w:id="21">
    <w:p/>
  </w:footnote>
  <w:footnote w:id="0">
    <w:p w14:paraId="4BCD832E">
      <w:pPr>
        <w:pStyle w:val="33"/>
      </w:pPr>
      <w:r>
        <w:rPr>
          <w:rStyle w:val="49"/>
        </w:rPr>
        <w:footnoteRef/>
      </w:r>
      <w:r>
        <w:t xml:space="preserve"> </w:t>
      </w:r>
      <w:r>
        <w:rPr>
          <w:rFonts w:ascii="宋体" w:hAnsi="宋体"/>
          <w:sz w:val="15"/>
          <w:szCs w:val="15"/>
        </w:rPr>
        <w:t>建设规模中至少应写明</w:t>
      </w:r>
      <w:r>
        <w:rPr>
          <w:rFonts w:hint="eastAsia" w:ascii="宋体" w:hAnsi="宋体"/>
          <w:sz w:val="15"/>
          <w:szCs w:val="15"/>
        </w:rPr>
        <w:t>用于确定企业资质及等级的相关数据。</w:t>
      </w:r>
    </w:p>
  </w:footnote>
  <w:footnote w:id="1">
    <w:p w14:paraId="3369509A">
      <w:pPr>
        <w:pStyle w:val="33"/>
        <w:wordWrap w:val="0"/>
        <w:rPr>
          <w:rFonts w:hint="eastAsia" w:ascii="宋体" w:hAnsi="宋体" w:cs="宋体"/>
          <w:szCs w:val="18"/>
          <w:shd w:val="clear" w:color="auto" w:fill="auto"/>
        </w:rPr>
      </w:pPr>
      <w:r>
        <w:rPr>
          <w:rStyle w:val="49"/>
          <w:rFonts w:hint="eastAsia" w:ascii="宋体" w:hAnsi="宋体" w:cs="宋体"/>
          <w:szCs w:val="18"/>
          <w:shd w:val="clear" w:color="auto" w:fill="auto"/>
        </w:rPr>
        <w:footnoteRef/>
      </w:r>
      <w:r>
        <w:rPr>
          <w:rFonts w:hint="eastAsia" w:ascii="宋体" w:hAnsi="宋体" w:cs="宋体"/>
          <w:szCs w:val="18"/>
          <w:shd w:val="clear" w:color="auto" w:fill="auto"/>
        </w:rPr>
        <w:t xml:space="preserve"> 投标保证金具体缴纳方式按当地或省公共资源交易中心的规定执行。招标人不得强制限定投标保证金必须采用现金或支票方式缴纳，不得拒绝银行保函形式的投标保证金。</w:t>
      </w:r>
    </w:p>
  </w:footnote>
  <w:footnote w:id="2">
    <w:p w14:paraId="357033EF">
      <w:pPr>
        <w:pStyle w:val="33"/>
        <w:snapToGrid w:val="0"/>
      </w:pPr>
      <w:r>
        <w:rPr>
          <w:rStyle w:val="49"/>
        </w:rPr>
        <w:footnoteRef/>
      </w:r>
      <w:r>
        <w:t xml:space="preserve"> </w:t>
      </w:r>
      <w:r>
        <w:rPr>
          <w:rFonts w:hint="eastAsia"/>
          <w:szCs w:val="18"/>
          <w:shd w:val="clear" w:color="auto" w:fill="auto"/>
        </w:rPr>
        <w:t>评标办法正文若有与评标办法前附表不一致之处，以评标办法前附表为准。</w:t>
      </w:r>
    </w:p>
  </w:footnote>
  <w:footnote w:id="3">
    <w:p w14:paraId="0568FA78">
      <w:pPr>
        <w:pStyle w:val="33"/>
      </w:pPr>
      <w:r>
        <w:rPr>
          <w:rStyle w:val="49"/>
        </w:rPr>
        <w:footnoteRef/>
      </w:r>
      <w:r>
        <w:rPr>
          <w:rFonts w:hint="eastAsia" w:ascii="宋体" w:hAnsi="宋体"/>
          <w:color w:val="FF0000"/>
          <w:kern w:val="0"/>
          <w:sz w:val="15"/>
          <w:szCs w:val="15"/>
        </w:rPr>
        <w:t>定标要素及其评审标准、权重应当根据《厦门市住房和建设局关于印发建设工程招投标评定分离办法的通知》（厦住建规〔2024〕6号）有关规定编制，应特别注意不得设置经营主体的规模（例如产值）、注册地址、注册资金、市场占有率、负债率、净资产规模等作为定标子要素。</w:t>
      </w:r>
    </w:p>
  </w:footnote>
  <w:footnote w:id="4">
    <w:p w14:paraId="0DC1E931">
      <w:pPr>
        <w:pStyle w:val="33"/>
        <w:snapToGrid w:val="0"/>
      </w:pPr>
      <w:r>
        <w:rPr>
          <w:rStyle w:val="49"/>
        </w:rPr>
        <w:footnoteRef/>
      </w:r>
      <w:r>
        <w:t xml:space="preserve"> </w:t>
      </w:r>
      <w:r>
        <w:rPr>
          <w:rFonts w:hint="eastAsia" w:ascii="宋体" w:hAnsi="宋体" w:cs="宋体"/>
          <w:color w:val="000000" w:themeColor="text1"/>
          <w:sz w:val="15"/>
          <w:szCs w:val="15"/>
          <w:lang w:val="en-US" w:eastAsia="zh-CN"/>
          <w14:textFill>
            <w14:solidFill>
              <w14:schemeClr w14:val="tx1"/>
            </w14:solidFill>
          </w14:textFill>
        </w:rPr>
        <w:t>定标要素中若使用最近期的</w:t>
      </w:r>
      <w:r>
        <w:rPr>
          <w:rFonts w:hint="eastAsia" w:ascii="宋体" w:hAnsi="宋体" w:cs="宋体"/>
          <w:color w:val="000000" w:themeColor="text1"/>
          <w:sz w:val="15"/>
          <w:szCs w:val="15"/>
          <w14:textFill>
            <w14:solidFill>
              <w14:schemeClr w14:val="tx1"/>
            </w14:solidFill>
          </w14:textFill>
        </w:rPr>
        <w:t>福建省交通建设市场信用考核评价</w:t>
      </w:r>
      <w:r>
        <w:rPr>
          <w:rFonts w:hint="eastAsia" w:ascii="宋体" w:hAnsi="宋体" w:cs="宋体"/>
          <w:color w:val="000000" w:themeColor="text1"/>
          <w:sz w:val="15"/>
          <w:szCs w:val="15"/>
          <w:lang w:val="en-US" w:eastAsia="zh-CN"/>
          <w14:textFill>
            <w14:solidFill>
              <w14:schemeClr w14:val="tx1"/>
            </w14:solidFill>
          </w14:textFill>
        </w:rPr>
        <w:t>结果的，投标人应在第八章投标文件格式中“</w:t>
      </w:r>
      <w:r>
        <w:rPr>
          <w:rFonts w:hint="eastAsia" w:ascii="宋体" w:hAnsi="宋体" w:cs="宋体"/>
          <w:color w:val="000000" w:themeColor="text1"/>
          <w:sz w:val="15"/>
          <w:szCs w:val="15"/>
          <w14:textFill>
            <w14:solidFill>
              <w14:schemeClr w14:val="tx1"/>
            </w14:solidFill>
          </w14:textFill>
        </w:rPr>
        <w:t>企业信用声明</w:t>
      </w:r>
      <w:r>
        <w:rPr>
          <w:rFonts w:hint="eastAsia" w:ascii="宋体" w:hAnsi="宋体" w:cs="宋体"/>
          <w:color w:val="000000" w:themeColor="text1"/>
          <w:sz w:val="15"/>
          <w:szCs w:val="15"/>
          <w:lang w:eastAsia="zh-CN"/>
          <w14:textFill>
            <w14:solidFill>
              <w14:schemeClr w14:val="tx1"/>
            </w14:solidFill>
          </w14:textFill>
        </w:rPr>
        <w:t>”</w:t>
      </w:r>
      <w:r>
        <w:rPr>
          <w:rFonts w:hint="eastAsia" w:ascii="宋体" w:hAnsi="宋体" w:cs="宋体"/>
          <w:color w:val="000000" w:themeColor="text1"/>
          <w:sz w:val="15"/>
          <w:szCs w:val="15"/>
          <w:lang w:val="en-US" w:eastAsia="zh-CN"/>
          <w14:textFill>
            <w14:solidFill>
              <w14:schemeClr w14:val="tx1"/>
            </w14:solidFill>
          </w14:textFill>
        </w:rPr>
        <w:t>填写相应声明。</w:t>
      </w:r>
    </w:p>
  </w:footnote>
  <w:footnote w:id="5">
    <w:p w14:paraId="39D23D3D">
      <w:pPr>
        <w:keepNext w:val="0"/>
        <w:keepLines w:val="0"/>
        <w:pageBreakBefore w:val="0"/>
        <w:widowControl w:val="0"/>
        <w:kinsoku/>
        <w:wordWrap/>
        <w:overflowPunct/>
        <w:topLinePunct w:val="0"/>
        <w:bidi w:val="0"/>
        <w:snapToGrid w:val="0"/>
        <w:spacing w:line="200" w:lineRule="exact"/>
        <w:jc w:val="left"/>
        <w:rPr>
          <w:rFonts w:hint="eastAsia" w:ascii="宋体" w:hAnsi="宋体" w:eastAsia="宋体" w:cs="宋体"/>
          <w:b w:val="0"/>
          <w:bCs w:val="0"/>
          <w:color w:val="000000"/>
          <w:kern w:val="1"/>
          <w:sz w:val="15"/>
          <w:szCs w:val="15"/>
          <w:highlight w:val="none"/>
          <w:lang w:val="en-US" w:eastAsia="zh-CN" w:bidi="ar-SA"/>
        </w:rPr>
      </w:pPr>
      <w:r>
        <w:rPr>
          <w:rStyle w:val="44"/>
          <w:rFonts w:hint="eastAsia" w:ascii="宋体" w:hAnsi="宋体" w:eastAsia="宋体" w:cs="宋体"/>
          <w:color w:val="000000"/>
          <w:kern w:val="0"/>
          <w:sz w:val="15"/>
          <w:szCs w:val="15"/>
          <w:highlight w:val="none"/>
          <w:lang w:val="en-US" w:eastAsia="zh-CN" w:bidi="ar-SA"/>
        </w:rPr>
        <w:footnoteRef/>
      </w:r>
      <w:r>
        <w:rPr>
          <w:rFonts w:hint="eastAsia" w:ascii="宋体" w:hAnsi="宋体" w:eastAsia="宋体" w:cs="宋体"/>
          <w:b w:val="0"/>
          <w:bCs w:val="0"/>
          <w:color w:val="000000"/>
          <w:kern w:val="0"/>
          <w:sz w:val="15"/>
          <w:szCs w:val="15"/>
          <w:highlight w:val="none"/>
          <w:lang w:val="en-US" w:eastAsia="zh-CN" w:bidi="ar-SA"/>
        </w:rPr>
        <w:t>陈述、答辩子要素的权重不高于10%。</w:t>
      </w:r>
    </w:p>
  </w:footnote>
  <w:footnote w:id="6">
    <w:p w14:paraId="19E46500">
      <w:pPr>
        <w:keepNext w:val="0"/>
        <w:keepLines w:val="0"/>
        <w:pageBreakBefore w:val="0"/>
        <w:widowControl w:val="0"/>
        <w:kinsoku/>
        <w:wordWrap/>
        <w:overflowPunct/>
        <w:topLinePunct w:val="0"/>
        <w:bidi w:val="0"/>
        <w:snapToGrid w:val="0"/>
        <w:spacing w:line="200" w:lineRule="exact"/>
        <w:jc w:val="left"/>
        <w:rPr>
          <w:rFonts w:hint="eastAsia" w:ascii="宋体" w:hAnsi="宋体" w:eastAsia="宋体" w:cs="宋体"/>
          <w:color w:val="000000"/>
          <w:kern w:val="0"/>
          <w:sz w:val="15"/>
          <w:szCs w:val="15"/>
          <w:highlight w:val="none"/>
          <w:lang w:val="en-US" w:eastAsia="zh-CN" w:bidi="ar-SA"/>
        </w:rPr>
      </w:pPr>
      <w:r>
        <w:rPr>
          <w:rStyle w:val="44"/>
          <w:rFonts w:hint="eastAsia" w:ascii="宋体" w:hAnsi="宋体" w:eastAsia="宋体" w:cs="宋体"/>
          <w:color w:val="000000"/>
          <w:kern w:val="0"/>
          <w:sz w:val="15"/>
          <w:szCs w:val="15"/>
          <w:highlight w:val="none"/>
          <w:lang w:val="en-US" w:eastAsia="zh-CN" w:bidi="ar-SA"/>
        </w:rPr>
        <w:footnoteRef/>
      </w:r>
      <w:r>
        <w:rPr>
          <w:rFonts w:hint="eastAsia" w:ascii="宋体" w:hAnsi="宋体" w:eastAsia="宋体" w:cs="宋体"/>
          <w:b w:val="0"/>
          <w:bCs w:val="0"/>
          <w:color w:val="000000"/>
          <w:kern w:val="0"/>
          <w:sz w:val="15"/>
          <w:szCs w:val="15"/>
          <w:highlight w:val="none"/>
          <w:lang w:val="en-US" w:eastAsia="zh-CN" w:bidi="ar-SA"/>
        </w:rPr>
        <w:t>项目应急保障能力部分的陈述权重不高于5%。</w:t>
      </w:r>
    </w:p>
  </w:footnote>
  <w:footnote w:id="7">
    <w:p w14:paraId="750E12D4">
      <w:pPr>
        <w:pStyle w:val="33"/>
        <w:snapToGrid w:val="0"/>
      </w:pPr>
      <w:r>
        <w:rPr>
          <w:rStyle w:val="49"/>
        </w:rPr>
        <w:footnoteRef/>
      </w:r>
      <w:r>
        <w:t xml:space="preserve"> </w:t>
      </w:r>
      <w:r>
        <w:rPr>
          <w:rFonts w:hint="eastAsia" w:ascii="宋体" w:hAnsi="宋体" w:cs="宋体"/>
          <w:szCs w:val="18"/>
          <w:shd w:val="clear" w:color="auto" w:fill="auto"/>
        </w:rPr>
        <w:t>如果由投标人的法定代表人签署投标文件，则无须提交授权委托书。</w:t>
      </w:r>
    </w:p>
  </w:footnote>
  <w:footnote w:id="8">
    <w:p w14:paraId="40703EC0">
      <w:pPr>
        <w:spacing w:line="360" w:lineRule="auto"/>
        <w:ind w:firstLine="420"/>
      </w:pPr>
      <w:r>
        <w:rPr>
          <w:rStyle w:val="49"/>
        </w:rPr>
        <w:footnoteRef/>
      </w:r>
      <w:r>
        <w:t xml:space="preserve"> </w:t>
      </w:r>
      <w:r>
        <w:rPr>
          <w:rFonts w:hint="eastAsia" w:ascii="黑体" w:hAnsi="黑体" w:eastAsia="黑体"/>
          <w:color w:val="000000" w:themeColor="text1"/>
          <w:sz w:val="21"/>
          <w:szCs w:val="24"/>
          <w:highlight w:val="none"/>
          <w14:textFill>
            <w14:solidFill>
              <w14:schemeClr w14:val="tx1"/>
            </w14:solidFill>
          </w14:textFill>
        </w:rPr>
        <w:t>投标</w:t>
      </w:r>
      <w:r>
        <w:rPr>
          <w:rFonts w:ascii="黑体" w:hAnsi="黑体" w:eastAsia="黑体"/>
          <w:color w:val="000000" w:themeColor="text1"/>
          <w:sz w:val="21"/>
          <w:szCs w:val="24"/>
          <w:highlight w:val="none"/>
          <w14:textFill>
            <w14:solidFill>
              <w14:schemeClr w14:val="tx1"/>
            </w14:solidFill>
          </w14:textFill>
        </w:rPr>
        <w:t>保证金其他材料</w:t>
      </w:r>
      <w:r>
        <w:rPr>
          <w:rFonts w:hint="eastAsia" w:ascii="黑体" w:hAnsi="黑体" w:eastAsia="黑体"/>
          <w:color w:val="000000" w:themeColor="text1"/>
          <w:sz w:val="21"/>
          <w:szCs w:val="24"/>
          <w:highlight w:val="none"/>
          <w14:textFill>
            <w14:solidFill>
              <w14:schemeClr w14:val="tx1"/>
            </w14:solidFill>
          </w14:textFill>
        </w:rPr>
        <w:t>（免缴投标保证金的除外）</w:t>
      </w:r>
    </w:p>
    <w:p w14:paraId="3236E0FE">
      <w:pPr>
        <w:spacing w:line="360" w:lineRule="auto"/>
        <w:ind w:firstLine="420"/>
        <w:rPr>
          <w:rFonts w:hint="eastAsia"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（1）中国人民银行发出的投标人企业基本账户许可证扫描件或基本存款账户开户银行开具的《基本存款账户信息》扫描件</w:t>
      </w:r>
      <w:r>
        <w:rPr>
          <w:rFonts w:hint="eastAsia" w:ascii="宋体" w:hAnsi="宋体" w:eastAsia="宋体" w:cs="宋体"/>
          <w:b w:val="0"/>
          <w:bCs w:val="0"/>
          <w:color w:val="000000" w:themeColor="text1"/>
          <w:sz w:val="21"/>
          <w:szCs w:val="21"/>
          <w:highlight w:val="none"/>
          <w14:textFill>
            <w14:solidFill>
              <w14:schemeClr w14:val="tx1"/>
            </w14:solidFill>
          </w14:textFill>
        </w:rPr>
        <w:t>并加盖投标人单位电子印章</w:t>
      </w:r>
      <w:r>
        <w:rPr>
          <w:rFonts w:hint="eastAsia" w:cs="宋体"/>
          <w:b w:val="0"/>
          <w:bCs w:val="0"/>
          <w:color w:val="000000" w:themeColor="text1"/>
          <w:kern w:val="1"/>
          <w:sz w:val="21"/>
          <w:szCs w:val="21"/>
          <w:highlight w:val="none"/>
          <w14:textFill>
            <w14:solidFill>
              <w14:schemeClr w14:val="tx1"/>
            </w14:solidFill>
          </w14:textFill>
        </w:rPr>
        <w:t>；</w:t>
      </w:r>
    </w:p>
    <w:p w14:paraId="6B9B31F7">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cs="宋体"/>
          <w:b w:val="0"/>
          <w:bCs w:val="0"/>
          <w:color w:val="000000" w:themeColor="text1"/>
          <w:kern w:val="1"/>
          <w:sz w:val="21"/>
          <w:szCs w:val="24"/>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支付电子投标保函费用的电汇或银行转账回单扫描件并加盖投标人单位电子印章；</w:t>
      </w:r>
    </w:p>
    <w:p w14:paraId="07A30BB7">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（3）电子投标保函开立人出具的加盖电子投标保函开立人电子印章或电子投标保函开立人依法刻制并授权用于投标保函业务的专用章的到账证明扫描件并加盖投标人单位电子印章。</w:t>
      </w:r>
    </w:p>
    <w:p w14:paraId="3AF4A4BE">
      <w:pPr>
        <w:pStyle w:val="33"/>
        <w:snapToGrid w:val="0"/>
      </w:pPr>
    </w:p>
  </w:footnote>
  <w:footnote w:id="9">
    <w:p w14:paraId="21190D78">
      <w:pPr>
        <w:pStyle w:val="33"/>
        <w:wordWrap w:val="0"/>
        <w:rPr>
          <w:rFonts w:hint="eastAsia" w:ascii="宋体" w:hAnsi="宋体" w:cs="宋体"/>
          <w:szCs w:val="18"/>
          <w:shd w:val="clear" w:color="auto" w:fill="auto"/>
        </w:rPr>
      </w:pPr>
      <w:r>
        <w:rPr>
          <w:rStyle w:val="49"/>
          <w:rFonts w:hint="eastAsia" w:ascii="宋体" w:hAnsi="宋体" w:cs="宋体"/>
          <w:szCs w:val="18"/>
          <w:shd w:val="clear" w:color="auto" w:fill="auto"/>
        </w:rPr>
        <w:footnoteRef/>
      </w:r>
      <w:r>
        <w:rPr>
          <w:rFonts w:hint="eastAsia" w:ascii="宋体" w:hAnsi="宋体" w:cs="宋体"/>
          <w:szCs w:val="18"/>
          <w:shd w:val="clear" w:color="auto" w:fill="auto"/>
        </w:rPr>
        <w:t xml:space="preserve"> a.投标人应按照招标文件第二章“投标人须知”前附表附</w:t>
      </w:r>
      <w:r>
        <w:rPr>
          <w:rFonts w:hint="eastAsia" w:ascii="宋体" w:hAnsi="宋体" w:cs="宋体"/>
          <w:szCs w:val="18"/>
          <w:shd w:val="clear" w:color="auto" w:fill="auto"/>
          <w:lang w:val="en-US" w:eastAsia="zh-CN"/>
        </w:rPr>
        <w:t>件3</w:t>
      </w:r>
      <w:r>
        <w:rPr>
          <w:rFonts w:hint="eastAsia" w:ascii="宋体" w:hAnsi="宋体" w:cs="宋体"/>
          <w:szCs w:val="18"/>
          <w:shd w:val="clear" w:color="auto" w:fill="auto"/>
        </w:rPr>
        <w:t>和“投标人须知”正文第1.4.4项规定，逐条说明其信誉情况。</w:t>
      </w:r>
    </w:p>
    <w:p w14:paraId="6EC5307B">
      <w:pPr>
        <w:pStyle w:val="33"/>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b.投标人应根据招标文件第二章“投标人须知”第3.5.</w:t>
      </w:r>
      <w:r>
        <w:rPr>
          <w:rFonts w:hint="eastAsia" w:ascii="宋体" w:hAnsi="宋体" w:cs="宋体"/>
          <w:szCs w:val="18"/>
          <w:shd w:val="clear" w:color="auto" w:fill="auto"/>
          <w:lang w:val="en-US" w:eastAsia="zh-CN"/>
        </w:rPr>
        <w:t>5</w:t>
      </w:r>
      <w:r>
        <w:rPr>
          <w:rFonts w:hint="eastAsia" w:ascii="宋体" w:hAnsi="宋体" w:cs="宋体"/>
          <w:szCs w:val="18"/>
          <w:shd w:val="clear" w:color="auto" w:fill="auto"/>
        </w:rPr>
        <w:t>项的要求在本表后附相关证明材料。</w:t>
      </w:r>
    </w:p>
    <w:p w14:paraId="35219C1B">
      <w:pPr>
        <w:pStyle w:val="33"/>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c.投标人应上传“无行贿犯罪记录承诺书”。</w:t>
      </w:r>
    </w:p>
    <w:p w14:paraId="4EE56A42">
      <w:pPr>
        <w:pStyle w:val="33"/>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d.以联合体形式参与投标的，联合体各成员应分别填写。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8284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84200">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7F8C5">
    <w:pPr>
      <w:pStyle w:val="29"/>
      <w:pBdr>
        <w:bottom w:val="single" w:color="auto" w:sz="6" w:space="0"/>
      </w:pBdr>
      <w:jc w:val="both"/>
      <w:rPr>
        <w:rFonts w:ascii="宋体" w:hAnsi="宋体"/>
        <w:iCs/>
      </w:rPr>
    </w:pPr>
    <w:r>
      <w:rPr>
        <w:rFonts w:hint="eastAsia" w:ascii="宋体" w:hAnsi="宋体"/>
        <w:i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E67E9">
    <w:pPr>
      <w:pBdr>
        <w:bottom w:val="none" w:color="auto" w:sz="0" w:space="1"/>
      </w:pBdr>
      <w:snapToGrid w:val="0"/>
      <w:rPr>
        <w:rFonts w:ascii="黑体" w:hAnsi="黑体" w:eastAsia="黑体"/>
        <w:kern w:val="0"/>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6A65C">
    <w:pPr>
      <w:pStyle w:val="29"/>
      <w:rPr>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9B83"/>
    <w:multiLevelType w:val="singleLevel"/>
    <w:tmpl w:val="A1119B83"/>
    <w:lvl w:ilvl="0" w:tentative="0">
      <w:start w:val="1"/>
      <w:numFmt w:val="decimal"/>
      <w:lvlText w:val="(%1)"/>
      <w:lvlJc w:val="left"/>
      <w:pPr>
        <w:ind w:left="425" w:hanging="425"/>
      </w:pPr>
      <w:rPr>
        <w:rFonts w:hint="default"/>
      </w:rPr>
    </w:lvl>
  </w:abstractNum>
  <w:abstractNum w:abstractNumId="1">
    <w:nsid w:val="CC1B2CE9"/>
    <w:multiLevelType w:val="singleLevel"/>
    <w:tmpl w:val="CC1B2CE9"/>
    <w:lvl w:ilvl="0" w:tentative="0">
      <w:start w:val="1"/>
      <w:numFmt w:val="decimal"/>
      <w:suff w:val="nothing"/>
      <w:lvlText w:val="（%1）"/>
      <w:lvlJc w:val="left"/>
    </w:lvl>
  </w:abstractNum>
  <w:abstractNum w:abstractNumId="2">
    <w:nsid w:val="F02FF6B5"/>
    <w:multiLevelType w:val="singleLevel"/>
    <w:tmpl w:val="F02FF6B5"/>
    <w:lvl w:ilvl="0" w:tentative="0">
      <w:start w:val="1"/>
      <w:numFmt w:val="chineseCounting"/>
      <w:suff w:val="nothing"/>
      <w:lvlText w:val="%1、"/>
      <w:lvlJc w:val="left"/>
      <w:rPr>
        <w:rFonts w:hint="eastAsia"/>
      </w:rPr>
    </w:lvl>
  </w:abstractNum>
  <w:abstractNum w:abstractNumId="3">
    <w:nsid w:val="FD2EF957"/>
    <w:multiLevelType w:val="singleLevel"/>
    <w:tmpl w:val="FD2EF957"/>
    <w:lvl w:ilvl="0" w:tentative="0">
      <w:start w:val="1"/>
      <w:numFmt w:val="decimal"/>
      <w:suff w:val="nothing"/>
      <w:lvlText w:val="（%1）"/>
      <w:lvlJc w:val="left"/>
    </w:lvl>
  </w:abstractNum>
  <w:abstractNum w:abstractNumId="4">
    <w:nsid w:val="FE558E80"/>
    <w:multiLevelType w:val="singleLevel"/>
    <w:tmpl w:val="FE558E80"/>
    <w:lvl w:ilvl="0" w:tentative="0">
      <w:start w:val="1"/>
      <w:numFmt w:val="decimal"/>
      <w:suff w:val="nothing"/>
      <w:lvlText w:val="（%1）"/>
      <w:lvlJc w:val="left"/>
    </w:lvl>
  </w:abstractNum>
  <w:abstractNum w:abstractNumId="5">
    <w:nsid w:val="0001434B"/>
    <w:multiLevelType w:val="multilevel"/>
    <w:tmpl w:val="0001434B"/>
    <w:lvl w:ilvl="0" w:tentative="0">
      <w:start w:val="1"/>
      <w:numFmt w:val="decimal"/>
      <w:suff w:val="nothing"/>
      <w:lvlText w:val="%1. "/>
      <w:lvlJc w:val="left"/>
      <w:pPr>
        <w:ind w:left="993"/>
      </w:pPr>
      <w:rPr>
        <w:rFonts w:cs="Times New Roman"/>
        <w:b w:val="0"/>
        <w:bCs w:val="0"/>
      </w:rPr>
    </w:lvl>
    <w:lvl w:ilvl="1" w:tentative="0">
      <w:start w:val="1"/>
      <w:numFmt w:val="decimal"/>
      <w:isLgl/>
      <w:suff w:val="nothing"/>
      <w:lvlText w:val="%1.%2 "/>
      <w:lvlJc w:val="left"/>
      <w:pPr>
        <w:ind w:left="709"/>
      </w:pPr>
      <w:rPr>
        <w:rFonts w:hint="eastAsia" w:ascii="华文细黑" w:hAnsi="Times New Roman" w:eastAsia="华文细黑" w:cs="Times New Roman"/>
        <w:b w:val="0"/>
        <w:bCs w:val="0"/>
        <w:i w:val="0"/>
        <w:iCs w:val="0"/>
        <w:sz w:val="24"/>
        <w:szCs w:val="24"/>
      </w:rPr>
    </w:lvl>
    <w:lvl w:ilvl="2" w:tentative="0">
      <w:start w:val="1"/>
      <w:numFmt w:val="decimal"/>
      <w:isLgl/>
      <w:suff w:val="nothing"/>
      <w:lvlText w:val="%1.%2.%3 "/>
      <w:lvlJc w:val="left"/>
      <w:pPr>
        <w:ind w:left="426"/>
      </w:pPr>
      <w:rPr>
        <w:rFonts w:cs="Times New Roman"/>
      </w:rPr>
    </w:lvl>
    <w:lvl w:ilvl="3" w:tentative="0">
      <w:start w:val="1"/>
      <w:numFmt w:val="decimal"/>
      <w:pStyle w:val="6"/>
      <w:suff w:val="nothing"/>
      <w:lvlText w:val="   %4) "/>
      <w:lvlJc w:val="left"/>
      <w:pPr>
        <w:ind w:left="851"/>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lowerLetter"/>
      <w:pStyle w:val="7"/>
      <w:suff w:val="nothing"/>
      <w:lvlText w:val="    %5) "/>
      <w:lvlJc w:val="left"/>
      <w:pPr>
        <w:ind w:left="426"/>
      </w:pPr>
      <w:rPr>
        <w:rFonts w:hint="eastAsia" w:ascii="华文细黑" w:hAnsi="Times New Roman" w:eastAsia="华文细黑" w:cs="Times New Roman"/>
        <w:b w:val="0"/>
        <w:bCs w:val="0"/>
        <w:i w:val="0"/>
        <w:iCs w:val="0"/>
        <w:sz w:val="18"/>
        <w:szCs w:val="18"/>
      </w:rPr>
    </w:lvl>
    <w:lvl w:ilvl="5" w:tentative="0">
      <w:start w:val="1"/>
      <w:numFmt w:val="bullet"/>
      <w:pStyle w:val="8"/>
      <w:suff w:val="nothing"/>
      <w:lvlText w:val=""/>
      <w:lvlJc w:val="left"/>
      <w:pPr>
        <w:ind w:left="2835"/>
      </w:pPr>
      <w:rPr>
        <w:rFonts w:hint="default" w:ascii="Wingdings" w:hAnsi="Wingdings"/>
        <w:sz w:val="18"/>
      </w:rPr>
    </w:lvl>
    <w:lvl w:ilvl="6" w:tentative="0">
      <w:start w:val="1"/>
      <w:numFmt w:val="bullet"/>
      <w:pStyle w:val="9"/>
      <w:suff w:val="nothing"/>
      <w:lvlText w:val=""/>
      <w:lvlJc w:val="left"/>
      <w:pPr>
        <w:ind w:left="567"/>
      </w:pPr>
      <w:rPr>
        <w:rFonts w:hint="default" w:ascii="Wingdings" w:hAnsi="Wingdings"/>
        <w:sz w:val="18"/>
      </w:rPr>
    </w:lvl>
    <w:lvl w:ilvl="7" w:tentative="0">
      <w:start w:val="1"/>
      <w:numFmt w:val="decimal"/>
      <w:lvlRestart w:val="0"/>
      <w:pStyle w:val="105"/>
      <w:isLgl/>
      <w:suff w:val="nothing"/>
      <w:lvlText w:val="图 %1-%8  "/>
      <w:lvlJc w:val="left"/>
      <w:rPr>
        <w:rFonts w:hint="eastAsia" w:ascii="华文细黑" w:hAnsi="华文细黑" w:eastAsia="宋体" w:cs="Times New Roman"/>
        <w:b w:val="0"/>
        <w:bCs w:val="0"/>
        <w:i w:val="0"/>
        <w:iCs w:val="0"/>
        <w:caps w:val="0"/>
        <w:strike w:val="0"/>
        <w:dstrike w:val="0"/>
        <w:outline w:val="0"/>
        <w:shadow w:val="0"/>
        <w:emboss w:val="0"/>
        <w:imprint w:val="0"/>
        <w:vanish w:val="0"/>
        <w:sz w:val="21"/>
        <w:szCs w:val="21"/>
        <w:u w:val="none"/>
        <w:vertAlign w:val="baseline"/>
      </w:rPr>
    </w:lvl>
    <w:lvl w:ilvl="8" w:tentative="0">
      <w:start w:val="1"/>
      <w:numFmt w:val="decimal"/>
      <w:lvlRestart w:val="0"/>
      <w:isLgl/>
      <w:suff w:val="nothing"/>
      <w:lvlText w:val="表 %1-%9  "/>
      <w:lvlJc w:val="left"/>
      <w:rPr>
        <w:rFonts w:hint="eastAsia" w:ascii="华文细黑" w:hAnsi="华文细黑" w:eastAsia="宋体" w:cs="Times New Roman"/>
        <w:b w:val="0"/>
        <w:bCs w:val="0"/>
        <w:i w:val="0"/>
        <w:iCs w:val="0"/>
        <w:caps w:val="0"/>
        <w:strike w:val="0"/>
        <w:dstrike w:val="0"/>
        <w:outline w:val="0"/>
        <w:shadow w:val="0"/>
        <w:emboss w:val="0"/>
        <w:imprint w:val="0"/>
        <w:vanish w:val="0"/>
        <w:sz w:val="21"/>
        <w:szCs w:val="21"/>
        <w:u w:val="none"/>
        <w:vertAlign w:val="baseline"/>
      </w:rPr>
    </w:lvl>
  </w:abstractNum>
  <w:abstractNum w:abstractNumId="6">
    <w:nsid w:val="10072552"/>
    <w:multiLevelType w:val="singleLevel"/>
    <w:tmpl w:val="10072552"/>
    <w:lvl w:ilvl="0" w:tentative="0">
      <w:start w:val="1"/>
      <w:numFmt w:val="decimalEnclosedCircleChinese"/>
      <w:suff w:val="nothing"/>
      <w:lvlText w:val="%1　"/>
      <w:lvlJc w:val="left"/>
      <w:pPr>
        <w:ind w:left="0" w:firstLine="400"/>
      </w:pPr>
      <w:rPr>
        <w:rFonts w:hint="eastAsia"/>
      </w:rPr>
    </w:lvl>
  </w:abstractNum>
  <w:abstractNum w:abstractNumId="7">
    <w:nsid w:val="1CF526C0"/>
    <w:multiLevelType w:val="multilevel"/>
    <w:tmpl w:val="1CF526C0"/>
    <w:lvl w:ilvl="0" w:tentative="0">
      <w:start w:val="1"/>
      <w:numFmt w:val="bullet"/>
      <w:pStyle w:val="10"/>
      <w:suff w:val="nothing"/>
      <w:lvlText w:val=""/>
      <w:lvlJc w:val="left"/>
      <w:pPr>
        <w:ind w:left="113" w:hanging="113"/>
      </w:pPr>
      <w:rPr>
        <w:rFonts w:hint="default" w:ascii="Wingdings 2" w:hAnsi="Wingdings 2"/>
        <w:sz w:val="15"/>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3FEA28E7"/>
    <w:multiLevelType w:val="multilevel"/>
    <w:tmpl w:val="3FEA28E7"/>
    <w:lvl w:ilvl="0" w:tentative="0">
      <w:start w:val="1"/>
      <w:numFmt w:val="decimal"/>
      <w:suff w:val="space"/>
      <w:lvlText w:val="（%1）"/>
      <w:lvlJc w:val="left"/>
      <w:pPr>
        <w:ind w:left="703" w:hanging="420"/>
      </w:pPr>
      <w:rPr>
        <w:rFonts w:hint="default"/>
        <w:lang w:val="en-US"/>
      </w:rPr>
    </w:lvl>
    <w:lvl w:ilvl="1" w:tentative="0">
      <w:start w:val="1"/>
      <w:numFmt w:val="decimal"/>
      <w:suff w:val="space"/>
      <w:lvlText w:val="（%2）"/>
      <w:lvlJc w:val="left"/>
      <w:pPr>
        <w:ind w:left="703" w:hanging="419"/>
      </w:pPr>
      <w:rPr>
        <w:rFonts w:hint="default" w:ascii="宋体" w:hAnsi="宋体"/>
        <w:color w:val="000000"/>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9D6BC3"/>
    <w:multiLevelType w:val="singleLevel"/>
    <w:tmpl w:val="5E9D6BC3"/>
    <w:lvl w:ilvl="0" w:tentative="0">
      <w:start w:val="1"/>
      <w:numFmt w:val="decimal"/>
      <w:suff w:val="nothing"/>
      <w:lvlText w:val="（%1）"/>
      <w:lvlJc w:val="left"/>
    </w:lvl>
  </w:abstractNum>
  <w:abstractNum w:abstractNumId="10">
    <w:nsid w:val="71B31F46"/>
    <w:multiLevelType w:val="multilevel"/>
    <w:tmpl w:val="71B31F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7">
      <w:startOverride w:val="1"/>
    </w:lvlOverride>
    <w:lvlOverride w:ilvl="8">
      <w:startOverride w:val="1"/>
    </w:lvlOverride>
  </w:num>
  <w:num w:numId="2">
    <w:abstractNumId w:val="7"/>
  </w:num>
  <w:num w:numId="3">
    <w:abstractNumId w:val="0"/>
  </w:num>
  <w:num w:numId="4">
    <w:abstractNumId w:val="3"/>
  </w:num>
  <w:num w:numId="5">
    <w:abstractNumId w:val="8"/>
  </w:num>
  <w:num w:numId="6">
    <w:abstractNumId w:val="2"/>
  </w:num>
  <w:num w:numId="7">
    <w:abstractNumId w:val="9"/>
  </w:num>
  <w:num w:numId="8">
    <w:abstractNumId w:val="4"/>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Restart w:val="eachPage"/>
    <w:footnote w:id="20"/>
    <w:footnote w:id="2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DZlYmFiNDc3NWE4MzZjMzdmZmQxMTMzNTA5MDIifQ=="/>
  </w:docVars>
  <w:rsids>
    <w:rsidRoot w:val="00172A27"/>
    <w:rsid w:val="000007F8"/>
    <w:rsid w:val="00002212"/>
    <w:rsid w:val="000043ED"/>
    <w:rsid w:val="0000647B"/>
    <w:rsid w:val="00006665"/>
    <w:rsid w:val="000067B4"/>
    <w:rsid w:val="00010E81"/>
    <w:rsid w:val="00011C2B"/>
    <w:rsid w:val="0001276B"/>
    <w:rsid w:val="00012CAA"/>
    <w:rsid w:val="00013CFD"/>
    <w:rsid w:val="000143D3"/>
    <w:rsid w:val="0001683F"/>
    <w:rsid w:val="00017568"/>
    <w:rsid w:val="000177CB"/>
    <w:rsid w:val="000205FB"/>
    <w:rsid w:val="000210EB"/>
    <w:rsid w:val="000220B0"/>
    <w:rsid w:val="00022460"/>
    <w:rsid w:val="00023DDF"/>
    <w:rsid w:val="00025413"/>
    <w:rsid w:val="000260B5"/>
    <w:rsid w:val="00026F32"/>
    <w:rsid w:val="0002718F"/>
    <w:rsid w:val="00027419"/>
    <w:rsid w:val="00030DD1"/>
    <w:rsid w:val="00033725"/>
    <w:rsid w:val="00035573"/>
    <w:rsid w:val="00037F8E"/>
    <w:rsid w:val="00040E73"/>
    <w:rsid w:val="000410D9"/>
    <w:rsid w:val="00041BCC"/>
    <w:rsid w:val="00043015"/>
    <w:rsid w:val="00043E19"/>
    <w:rsid w:val="0004577B"/>
    <w:rsid w:val="0005244E"/>
    <w:rsid w:val="000524BA"/>
    <w:rsid w:val="0005441B"/>
    <w:rsid w:val="00055734"/>
    <w:rsid w:val="00055846"/>
    <w:rsid w:val="00055DEE"/>
    <w:rsid w:val="00057E3C"/>
    <w:rsid w:val="00061D2C"/>
    <w:rsid w:val="0006307E"/>
    <w:rsid w:val="000636D2"/>
    <w:rsid w:val="00067C69"/>
    <w:rsid w:val="00071F42"/>
    <w:rsid w:val="000721B5"/>
    <w:rsid w:val="00074324"/>
    <w:rsid w:val="000743A0"/>
    <w:rsid w:val="00074C86"/>
    <w:rsid w:val="000750B2"/>
    <w:rsid w:val="00075FB6"/>
    <w:rsid w:val="0007726B"/>
    <w:rsid w:val="000772C3"/>
    <w:rsid w:val="0008080F"/>
    <w:rsid w:val="00083458"/>
    <w:rsid w:val="00083DB6"/>
    <w:rsid w:val="00084227"/>
    <w:rsid w:val="000850F8"/>
    <w:rsid w:val="00085CFA"/>
    <w:rsid w:val="0008659C"/>
    <w:rsid w:val="000879E3"/>
    <w:rsid w:val="00090941"/>
    <w:rsid w:val="00093D40"/>
    <w:rsid w:val="00093E96"/>
    <w:rsid w:val="0009436A"/>
    <w:rsid w:val="0009618E"/>
    <w:rsid w:val="0009701C"/>
    <w:rsid w:val="000972B6"/>
    <w:rsid w:val="00097B09"/>
    <w:rsid w:val="000A08C1"/>
    <w:rsid w:val="000A1190"/>
    <w:rsid w:val="000A19EB"/>
    <w:rsid w:val="000A1CC3"/>
    <w:rsid w:val="000A26AE"/>
    <w:rsid w:val="000A2C2E"/>
    <w:rsid w:val="000A4271"/>
    <w:rsid w:val="000A5202"/>
    <w:rsid w:val="000A5388"/>
    <w:rsid w:val="000A73C7"/>
    <w:rsid w:val="000B1373"/>
    <w:rsid w:val="000B1E58"/>
    <w:rsid w:val="000B2EBC"/>
    <w:rsid w:val="000B477E"/>
    <w:rsid w:val="000B4CC0"/>
    <w:rsid w:val="000B5688"/>
    <w:rsid w:val="000B629F"/>
    <w:rsid w:val="000B6456"/>
    <w:rsid w:val="000B65C9"/>
    <w:rsid w:val="000B7422"/>
    <w:rsid w:val="000C02E8"/>
    <w:rsid w:val="000C09CC"/>
    <w:rsid w:val="000C41F0"/>
    <w:rsid w:val="000C59AE"/>
    <w:rsid w:val="000C73E2"/>
    <w:rsid w:val="000D224D"/>
    <w:rsid w:val="000D2FEF"/>
    <w:rsid w:val="000D3F2D"/>
    <w:rsid w:val="000D496C"/>
    <w:rsid w:val="000D4DB7"/>
    <w:rsid w:val="000D559B"/>
    <w:rsid w:val="000D5DA4"/>
    <w:rsid w:val="000D60BD"/>
    <w:rsid w:val="000D7221"/>
    <w:rsid w:val="000E008A"/>
    <w:rsid w:val="000E0201"/>
    <w:rsid w:val="000E125A"/>
    <w:rsid w:val="000E23C8"/>
    <w:rsid w:val="000E43C7"/>
    <w:rsid w:val="000E559A"/>
    <w:rsid w:val="000E58C3"/>
    <w:rsid w:val="000E6008"/>
    <w:rsid w:val="000E644A"/>
    <w:rsid w:val="000E6AB7"/>
    <w:rsid w:val="000F1A1A"/>
    <w:rsid w:val="000F2EAF"/>
    <w:rsid w:val="000F30A7"/>
    <w:rsid w:val="000F3A45"/>
    <w:rsid w:val="000F627F"/>
    <w:rsid w:val="000F65D3"/>
    <w:rsid w:val="000F716E"/>
    <w:rsid w:val="000F7740"/>
    <w:rsid w:val="001000CC"/>
    <w:rsid w:val="00100918"/>
    <w:rsid w:val="001020C4"/>
    <w:rsid w:val="00102433"/>
    <w:rsid w:val="00102D51"/>
    <w:rsid w:val="00110C91"/>
    <w:rsid w:val="001117C9"/>
    <w:rsid w:val="00113087"/>
    <w:rsid w:val="00113C77"/>
    <w:rsid w:val="00114DB9"/>
    <w:rsid w:val="00114F5D"/>
    <w:rsid w:val="00115DC3"/>
    <w:rsid w:val="00120451"/>
    <w:rsid w:val="00121D22"/>
    <w:rsid w:val="00122AAB"/>
    <w:rsid w:val="001230CC"/>
    <w:rsid w:val="00125D12"/>
    <w:rsid w:val="00127713"/>
    <w:rsid w:val="001336B9"/>
    <w:rsid w:val="00133D4D"/>
    <w:rsid w:val="00134156"/>
    <w:rsid w:val="001342CB"/>
    <w:rsid w:val="001357B2"/>
    <w:rsid w:val="00135F34"/>
    <w:rsid w:val="00137267"/>
    <w:rsid w:val="00137379"/>
    <w:rsid w:val="00141316"/>
    <w:rsid w:val="0014136E"/>
    <w:rsid w:val="00141CBA"/>
    <w:rsid w:val="00141FC5"/>
    <w:rsid w:val="001461D8"/>
    <w:rsid w:val="00146710"/>
    <w:rsid w:val="00146C48"/>
    <w:rsid w:val="001473A4"/>
    <w:rsid w:val="00150371"/>
    <w:rsid w:val="001530F1"/>
    <w:rsid w:val="001537BC"/>
    <w:rsid w:val="001548EB"/>
    <w:rsid w:val="001550CB"/>
    <w:rsid w:val="001558E2"/>
    <w:rsid w:val="001566DB"/>
    <w:rsid w:val="00156C41"/>
    <w:rsid w:val="00156E28"/>
    <w:rsid w:val="00161CE2"/>
    <w:rsid w:val="001625BB"/>
    <w:rsid w:val="00162B50"/>
    <w:rsid w:val="001638C4"/>
    <w:rsid w:val="00163A8D"/>
    <w:rsid w:val="00163FE0"/>
    <w:rsid w:val="0016480D"/>
    <w:rsid w:val="001664E6"/>
    <w:rsid w:val="00166679"/>
    <w:rsid w:val="00167241"/>
    <w:rsid w:val="00167434"/>
    <w:rsid w:val="0016762C"/>
    <w:rsid w:val="00167A82"/>
    <w:rsid w:val="00167FF2"/>
    <w:rsid w:val="0017047F"/>
    <w:rsid w:val="00170A1D"/>
    <w:rsid w:val="001730AC"/>
    <w:rsid w:val="0017398F"/>
    <w:rsid w:val="00180357"/>
    <w:rsid w:val="001803F0"/>
    <w:rsid w:val="00181CA7"/>
    <w:rsid w:val="00183297"/>
    <w:rsid w:val="00183934"/>
    <w:rsid w:val="00183E7E"/>
    <w:rsid w:val="001842FC"/>
    <w:rsid w:val="001846CD"/>
    <w:rsid w:val="00185D17"/>
    <w:rsid w:val="00185DE8"/>
    <w:rsid w:val="00186736"/>
    <w:rsid w:val="00186F6E"/>
    <w:rsid w:val="00187D26"/>
    <w:rsid w:val="00190C25"/>
    <w:rsid w:val="001910D2"/>
    <w:rsid w:val="00193395"/>
    <w:rsid w:val="0019408B"/>
    <w:rsid w:val="001942B6"/>
    <w:rsid w:val="001969F1"/>
    <w:rsid w:val="001973CD"/>
    <w:rsid w:val="001A06FA"/>
    <w:rsid w:val="001A0895"/>
    <w:rsid w:val="001A1752"/>
    <w:rsid w:val="001A39A8"/>
    <w:rsid w:val="001A3AF3"/>
    <w:rsid w:val="001A4385"/>
    <w:rsid w:val="001A62DB"/>
    <w:rsid w:val="001A640B"/>
    <w:rsid w:val="001A665E"/>
    <w:rsid w:val="001A6C8B"/>
    <w:rsid w:val="001A6D2D"/>
    <w:rsid w:val="001A7104"/>
    <w:rsid w:val="001B002C"/>
    <w:rsid w:val="001B1126"/>
    <w:rsid w:val="001B193E"/>
    <w:rsid w:val="001B1A6B"/>
    <w:rsid w:val="001B4E3B"/>
    <w:rsid w:val="001C06C9"/>
    <w:rsid w:val="001C1391"/>
    <w:rsid w:val="001C1F05"/>
    <w:rsid w:val="001C2701"/>
    <w:rsid w:val="001C3174"/>
    <w:rsid w:val="001C31C6"/>
    <w:rsid w:val="001C40E4"/>
    <w:rsid w:val="001C4324"/>
    <w:rsid w:val="001C79E8"/>
    <w:rsid w:val="001C7D48"/>
    <w:rsid w:val="001D0689"/>
    <w:rsid w:val="001D0E0C"/>
    <w:rsid w:val="001D3787"/>
    <w:rsid w:val="001D4F2B"/>
    <w:rsid w:val="001D7AF0"/>
    <w:rsid w:val="001D7D50"/>
    <w:rsid w:val="001E0A97"/>
    <w:rsid w:val="001E1A36"/>
    <w:rsid w:val="001E1CD5"/>
    <w:rsid w:val="001E2C51"/>
    <w:rsid w:val="001E641A"/>
    <w:rsid w:val="001E6556"/>
    <w:rsid w:val="001E7A33"/>
    <w:rsid w:val="001E7C01"/>
    <w:rsid w:val="001F0FFE"/>
    <w:rsid w:val="001F1126"/>
    <w:rsid w:val="001F43A7"/>
    <w:rsid w:val="001F6332"/>
    <w:rsid w:val="001F6DA0"/>
    <w:rsid w:val="001F73A2"/>
    <w:rsid w:val="002019DC"/>
    <w:rsid w:val="00201A3E"/>
    <w:rsid w:val="00202402"/>
    <w:rsid w:val="00203B10"/>
    <w:rsid w:val="0020546A"/>
    <w:rsid w:val="002059F2"/>
    <w:rsid w:val="00205F35"/>
    <w:rsid w:val="00207096"/>
    <w:rsid w:val="00210163"/>
    <w:rsid w:val="00210AFF"/>
    <w:rsid w:val="00211F6B"/>
    <w:rsid w:val="00213D2E"/>
    <w:rsid w:val="00213E86"/>
    <w:rsid w:val="00216862"/>
    <w:rsid w:val="002171C7"/>
    <w:rsid w:val="00220598"/>
    <w:rsid w:val="00220704"/>
    <w:rsid w:val="0022337D"/>
    <w:rsid w:val="0022396B"/>
    <w:rsid w:val="002241F9"/>
    <w:rsid w:val="00225EE5"/>
    <w:rsid w:val="002272E1"/>
    <w:rsid w:val="002278A7"/>
    <w:rsid w:val="0023030D"/>
    <w:rsid w:val="002334BC"/>
    <w:rsid w:val="00233A92"/>
    <w:rsid w:val="00236BAF"/>
    <w:rsid w:val="00241074"/>
    <w:rsid w:val="00242D91"/>
    <w:rsid w:val="00244635"/>
    <w:rsid w:val="0024518B"/>
    <w:rsid w:val="00246DFD"/>
    <w:rsid w:val="0024767B"/>
    <w:rsid w:val="002479D2"/>
    <w:rsid w:val="00247D72"/>
    <w:rsid w:val="002528C1"/>
    <w:rsid w:val="00253FD5"/>
    <w:rsid w:val="00257D05"/>
    <w:rsid w:val="00260AAF"/>
    <w:rsid w:val="00261203"/>
    <w:rsid w:val="002636A6"/>
    <w:rsid w:val="002638B5"/>
    <w:rsid w:val="00264B41"/>
    <w:rsid w:val="00265473"/>
    <w:rsid w:val="00265C1B"/>
    <w:rsid w:val="00266062"/>
    <w:rsid w:val="00266CFA"/>
    <w:rsid w:val="00267C32"/>
    <w:rsid w:val="00271075"/>
    <w:rsid w:val="0027223B"/>
    <w:rsid w:val="002730C7"/>
    <w:rsid w:val="0027318E"/>
    <w:rsid w:val="0027416A"/>
    <w:rsid w:val="00276CCB"/>
    <w:rsid w:val="00277C71"/>
    <w:rsid w:val="00277D5F"/>
    <w:rsid w:val="00280B6B"/>
    <w:rsid w:val="0028128C"/>
    <w:rsid w:val="00281BBE"/>
    <w:rsid w:val="00282853"/>
    <w:rsid w:val="00283212"/>
    <w:rsid w:val="002843EF"/>
    <w:rsid w:val="002865C6"/>
    <w:rsid w:val="0028768B"/>
    <w:rsid w:val="00287C59"/>
    <w:rsid w:val="00287D0F"/>
    <w:rsid w:val="0029016F"/>
    <w:rsid w:val="00290DDD"/>
    <w:rsid w:val="002934CB"/>
    <w:rsid w:val="00294CC1"/>
    <w:rsid w:val="00297BE4"/>
    <w:rsid w:val="002A06F9"/>
    <w:rsid w:val="002A0E99"/>
    <w:rsid w:val="002A4E11"/>
    <w:rsid w:val="002B0E4E"/>
    <w:rsid w:val="002B17D7"/>
    <w:rsid w:val="002B1A26"/>
    <w:rsid w:val="002B2FAD"/>
    <w:rsid w:val="002B6FF7"/>
    <w:rsid w:val="002B7A4C"/>
    <w:rsid w:val="002C1438"/>
    <w:rsid w:val="002C211C"/>
    <w:rsid w:val="002C2B78"/>
    <w:rsid w:val="002C2F2C"/>
    <w:rsid w:val="002C44AE"/>
    <w:rsid w:val="002C5050"/>
    <w:rsid w:val="002C6A78"/>
    <w:rsid w:val="002C7458"/>
    <w:rsid w:val="002D11D6"/>
    <w:rsid w:val="002D23DB"/>
    <w:rsid w:val="002D3174"/>
    <w:rsid w:val="002D3BFC"/>
    <w:rsid w:val="002D46E6"/>
    <w:rsid w:val="002D475D"/>
    <w:rsid w:val="002D5165"/>
    <w:rsid w:val="002D54C4"/>
    <w:rsid w:val="002D58B2"/>
    <w:rsid w:val="002D58E2"/>
    <w:rsid w:val="002D5963"/>
    <w:rsid w:val="002D6736"/>
    <w:rsid w:val="002D69FA"/>
    <w:rsid w:val="002D6F00"/>
    <w:rsid w:val="002E09D4"/>
    <w:rsid w:val="002E0AE2"/>
    <w:rsid w:val="002E139B"/>
    <w:rsid w:val="002E14CA"/>
    <w:rsid w:val="002E1B6F"/>
    <w:rsid w:val="002E1F89"/>
    <w:rsid w:val="002E2AAF"/>
    <w:rsid w:val="002E37A4"/>
    <w:rsid w:val="002E51DD"/>
    <w:rsid w:val="002E5C2D"/>
    <w:rsid w:val="002E5FCD"/>
    <w:rsid w:val="002E79D7"/>
    <w:rsid w:val="002E7FD2"/>
    <w:rsid w:val="002F0CA1"/>
    <w:rsid w:val="002F1FAC"/>
    <w:rsid w:val="002F2186"/>
    <w:rsid w:val="002F34D0"/>
    <w:rsid w:val="002F4DE3"/>
    <w:rsid w:val="002F5212"/>
    <w:rsid w:val="002F59EC"/>
    <w:rsid w:val="002F5C39"/>
    <w:rsid w:val="002F62BB"/>
    <w:rsid w:val="002F7D6B"/>
    <w:rsid w:val="0030050C"/>
    <w:rsid w:val="003017E3"/>
    <w:rsid w:val="00302297"/>
    <w:rsid w:val="0030257F"/>
    <w:rsid w:val="003039E7"/>
    <w:rsid w:val="00305182"/>
    <w:rsid w:val="0030553E"/>
    <w:rsid w:val="003057F2"/>
    <w:rsid w:val="00305BEE"/>
    <w:rsid w:val="00310776"/>
    <w:rsid w:val="00311090"/>
    <w:rsid w:val="00312150"/>
    <w:rsid w:val="003124F6"/>
    <w:rsid w:val="00313489"/>
    <w:rsid w:val="00314906"/>
    <w:rsid w:val="00315C52"/>
    <w:rsid w:val="00316A31"/>
    <w:rsid w:val="00317CAC"/>
    <w:rsid w:val="00317E02"/>
    <w:rsid w:val="00317E27"/>
    <w:rsid w:val="0032080D"/>
    <w:rsid w:val="003209E2"/>
    <w:rsid w:val="00321994"/>
    <w:rsid w:val="0032345D"/>
    <w:rsid w:val="003256AD"/>
    <w:rsid w:val="00326C2E"/>
    <w:rsid w:val="0032793E"/>
    <w:rsid w:val="00327C05"/>
    <w:rsid w:val="00332F69"/>
    <w:rsid w:val="0033396E"/>
    <w:rsid w:val="00333DAE"/>
    <w:rsid w:val="00333FE9"/>
    <w:rsid w:val="00334C3C"/>
    <w:rsid w:val="00335CD6"/>
    <w:rsid w:val="00336D04"/>
    <w:rsid w:val="00340501"/>
    <w:rsid w:val="003420A3"/>
    <w:rsid w:val="0034342E"/>
    <w:rsid w:val="0034742A"/>
    <w:rsid w:val="00352E5E"/>
    <w:rsid w:val="0035315F"/>
    <w:rsid w:val="00354887"/>
    <w:rsid w:val="0035596E"/>
    <w:rsid w:val="003634FF"/>
    <w:rsid w:val="00363813"/>
    <w:rsid w:val="00365938"/>
    <w:rsid w:val="003659DF"/>
    <w:rsid w:val="00366EC3"/>
    <w:rsid w:val="00367BD0"/>
    <w:rsid w:val="00367C89"/>
    <w:rsid w:val="003703D2"/>
    <w:rsid w:val="00371324"/>
    <w:rsid w:val="003735A3"/>
    <w:rsid w:val="0037584A"/>
    <w:rsid w:val="00375C1B"/>
    <w:rsid w:val="00376BD8"/>
    <w:rsid w:val="0037785D"/>
    <w:rsid w:val="003810B7"/>
    <w:rsid w:val="00382997"/>
    <w:rsid w:val="00382B5C"/>
    <w:rsid w:val="00382CD5"/>
    <w:rsid w:val="00383289"/>
    <w:rsid w:val="00383FB7"/>
    <w:rsid w:val="0038437C"/>
    <w:rsid w:val="00385B2D"/>
    <w:rsid w:val="00387DBC"/>
    <w:rsid w:val="00390AFB"/>
    <w:rsid w:val="00390D93"/>
    <w:rsid w:val="00391CE6"/>
    <w:rsid w:val="0039211C"/>
    <w:rsid w:val="00392E38"/>
    <w:rsid w:val="00394A20"/>
    <w:rsid w:val="00394E95"/>
    <w:rsid w:val="003960C2"/>
    <w:rsid w:val="00396C90"/>
    <w:rsid w:val="00396EA6"/>
    <w:rsid w:val="003A12C2"/>
    <w:rsid w:val="003A1555"/>
    <w:rsid w:val="003A355D"/>
    <w:rsid w:val="003A4CBF"/>
    <w:rsid w:val="003A4D53"/>
    <w:rsid w:val="003A51A3"/>
    <w:rsid w:val="003A525A"/>
    <w:rsid w:val="003A539E"/>
    <w:rsid w:val="003A7007"/>
    <w:rsid w:val="003A7074"/>
    <w:rsid w:val="003B1ED2"/>
    <w:rsid w:val="003B33F7"/>
    <w:rsid w:val="003B3447"/>
    <w:rsid w:val="003B3993"/>
    <w:rsid w:val="003B3C5D"/>
    <w:rsid w:val="003B40E5"/>
    <w:rsid w:val="003B54FF"/>
    <w:rsid w:val="003B62E7"/>
    <w:rsid w:val="003B7385"/>
    <w:rsid w:val="003B747F"/>
    <w:rsid w:val="003B77E7"/>
    <w:rsid w:val="003B7B8E"/>
    <w:rsid w:val="003C2392"/>
    <w:rsid w:val="003C376B"/>
    <w:rsid w:val="003C4886"/>
    <w:rsid w:val="003C61A4"/>
    <w:rsid w:val="003C74BD"/>
    <w:rsid w:val="003C7974"/>
    <w:rsid w:val="003D1493"/>
    <w:rsid w:val="003D1FBC"/>
    <w:rsid w:val="003D2FF2"/>
    <w:rsid w:val="003D378C"/>
    <w:rsid w:val="003D3AFB"/>
    <w:rsid w:val="003D4126"/>
    <w:rsid w:val="003D43F7"/>
    <w:rsid w:val="003D441D"/>
    <w:rsid w:val="003D577E"/>
    <w:rsid w:val="003D5F23"/>
    <w:rsid w:val="003D5FA7"/>
    <w:rsid w:val="003D5FDB"/>
    <w:rsid w:val="003D64B2"/>
    <w:rsid w:val="003E01BA"/>
    <w:rsid w:val="003E08FB"/>
    <w:rsid w:val="003E125F"/>
    <w:rsid w:val="003E7DD1"/>
    <w:rsid w:val="003F06A7"/>
    <w:rsid w:val="003F23B0"/>
    <w:rsid w:val="003F2E41"/>
    <w:rsid w:val="003F3134"/>
    <w:rsid w:val="003F43CC"/>
    <w:rsid w:val="003F780F"/>
    <w:rsid w:val="003F7945"/>
    <w:rsid w:val="004016F6"/>
    <w:rsid w:val="00402724"/>
    <w:rsid w:val="004034E2"/>
    <w:rsid w:val="00410C8A"/>
    <w:rsid w:val="00414640"/>
    <w:rsid w:val="0041465C"/>
    <w:rsid w:val="00414E91"/>
    <w:rsid w:val="00415AD1"/>
    <w:rsid w:val="004167EA"/>
    <w:rsid w:val="0041788F"/>
    <w:rsid w:val="0042163E"/>
    <w:rsid w:val="00422B55"/>
    <w:rsid w:val="0042326B"/>
    <w:rsid w:val="0042378F"/>
    <w:rsid w:val="00423864"/>
    <w:rsid w:val="00424208"/>
    <w:rsid w:val="004250ED"/>
    <w:rsid w:val="004311CF"/>
    <w:rsid w:val="004317E9"/>
    <w:rsid w:val="00431BB3"/>
    <w:rsid w:val="00432F59"/>
    <w:rsid w:val="004335A5"/>
    <w:rsid w:val="004346D4"/>
    <w:rsid w:val="0043537B"/>
    <w:rsid w:val="004359C8"/>
    <w:rsid w:val="004359FD"/>
    <w:rsid w:val="00437022"/>
    <w:rsid w:val="00440BC1"/>
    <w:rsid w:val="004421EA"/>
    <w:rsid w:val="00442414"/>
    <w:rsid w:val="00442B98"/>
    <w:rsid w:val="00443058"/>
    <w:rsid w:val="004436EA"/>
    <w:rsid w:val="00443FB2"/>
    <w:rsid w:val="004467E1"/>
    <w:rsid w:val="00447FA3"/>
    <w:rsid w:val="004510E0"/>
    <w:rsid w:val="00451BED"/>
    <w:rsid w:val="004536B8"/>
    <w:rsid w:val="00454308"/>
    <w:rsid w:val="00454BF7"/>
    <w:rsid w:val="00455426"/>
    <w:rsid w:val="00455621"/>
    <w:rsid w:val="004621DF"/>
    <w:rsid w:val="00464A82"/>
    <w:rsid w:val="00470733"/>
    <w:rsid w:val="00472608"/>
    <w:rsid w:val="00474242"/>
    <w:rsid w:val="00474A32"/>
    <w:rsid w:val="00475448"/>
    <w:rsid w:val="004755A7"/>
    <w:rsid w:val="00475D89"/>
    <w:rsid w:val="00476585"/>
    <w:rsid w:val="004771FA"/>
    <w:rsid w:val="00481C34"/>
    <w:rsid w:val="00481CAD"/>
    <w:rsid w:val="0048220B"/>
    <w:rsid w:val="004833C9"/>
    <w:rsid w:val="004837DE"/>
    <w:rsid w:val="004841B1"/>
    <w:rsid w:val="00485C16"/>
    <w:rsid w:val="004869AA"/>
    <w:rsid w:val="004915E2"/>
    <w:rsid w:val="00493748"/>
    <w:rsid w:val="00493DAD"/>
    <w:rsid w:val="004940BE"/>
    <w:rsid w:val="00495EB4"/>
    <w:rsid w:val="00496A22"/>
    <w:rsid w:val="00496C93"/>
    <w:rsid w:val="004970E2"/>
    <w:rsid w:val="004A03E9"/>
    <w:rsid w:val="004A2298"/>
    <w:rsid w:val="004A473A"/>
    <w:rsid w:val="004A4D5F"/>
    <w:rsid w:val="004A4F73"/>
    <w:rsid w:val="004A590E"/>
    <w:rsid w:val="004A75A1"/>
    <w:rsid w:val="004A7C96"/>
    <w:rsid w:val="004B1505"/>
    <w:rsid w:val="004B2BA3"/>
    <w:rsid w:val="004B3567"/>
    <w:rsid w:val="004B3B9F"/>
    <w:rsid w:val="004B4D61"/>
    <w:rsid w:val="004B4F6E"/>
    <w:rsid w:val="004B5553"/>
    <w:rsid w:val="004B59A8"/>
    <w:rsid w:val="004B6639"/>
    <w:rsid w:val="004B681F"/>
    <w:rsid w:val="004B6B33"/>
    <w:rsid w:val="004B6D11"/>
    <w:rsid w:val="004B70B1"/>
    <w:rsid w:val="004B762F"/>
    <w:rsid w:val="004C05BA"/>
    <w:rsid w:val="004C1B08"/>
    <w:rsid w:val="004C406E"/>
    <w:rsid w:val="004C618D"/>
    <w:rsid w:val="004D0E83"/>
    <w:rsid w:val="004D0F06"/>
    <w:rsid w:val="004D29F2"/>
    <w:rsid w:val="004D4722"/>
    <w:rsid w:val="004D51F2"/>
    <w:rsid w:val="004D65BB"/>
    <w:rsid w:val="004E1D0B"/>
    <w:rsid w:val="004E24F7"/>
    <w:rsid w:val="004E252D"/>
    <w:rsid w:val="004E2C83"/>
    <w:rsid w:val="004E2CB7"/>
    <w:rsid w:val="004E3A62"/>
    <w:rsid w:val="004E528B"/>
    <w:rsid w:val="004E73EB"/>
    <w:rsid w:val="004F0225"/>
    <w:rsid w:val="004F059D"/>
    <w:rsid w:val="004F1451"/>
    <w:rsid w:val="004F1BB7"/>
    <w:rsid w:val="004F1C74"/>
    <w:rsid w:val="004F3132"/>
    <w:rsid w:val="004F6AA1"/>
    <w:rsid w:val="005000D0"/>
    <w:rsid w:val="00500A6F"/>
    <w:rsid w:val="00500EB8"/>
    <w:rsid w:val="00501C8F"/>
    <w:rsid w:val="00503FCC"/>
    <w:rsid w:val="00506AF0"/>
    <w:rsid w:val="005071DB"/>
    <w:rsid w:val="0051319B"/>
    <w:rsid w:val="00513531"/>
    <w:rsid w:val="00514A95"/>
    <w:rsid w:val="00514AA6"/>
    <w:rsid w:val="00514D33"/>
    <w:rsid w:val="00517B0C"/>
    <w:rsid w:val="0052074E"/>
    <w:rsid w:val="005209E0"/>
    <w:rsid w:val="0052776D"/>
    <w:rsid w:val="0053262D"/>
    <w:rsid w:val="00534EA0"/>
    <w:rsid w:val="00536900"/>
    <w:rsid w:val="00537269"/>
    <w:rsid w:val="00540AF5"/>
    <w:rsid w:val="005410CD"/>
    <w:rsid w:val="0054154E"/>
    <w:rsid w:val="00542104"/>
    <w:rsid w:val="005428A5"/>
    <w:rsid w:val="00542A2A"/>
    <w:rsid w:val="00542BC0"/>
    <w:rsid w:val="00542BCD"/>
    <w:rsid w:val="0054384F"/>
    <w:rsid w:val="0054583C"/>
    <w:rsid w:val="00547F65"/>
    <w:rsid w:val="005504D5"/>
    <w:rsid w:val="00554554"/>
    <w:rsid w:val="0055489D"/>
    <w:rsid w:val="00554E83"/>
    <w:rsid w:val="005560B7"/>
    <w:rsid w:val="00556535"/>
    <w:rsid w:val="00557E92"/>
    <w:rsid w:val="00560E34"/>
    <w:rsid w:val="00562088"/>
    <w:rsid w:val="00562A03"/>
    <w:rsid w:val="00563018"/>
    <w:rsid w:val="00564C17"/>
    <w:rsid w:val="00565547"/>
    <w:rsid w:val="0056630E"/>
    <w:rsid w:val="00570731"/>
    <w:rsid w:val="00571A57"/>
    <w:rsid w:val="0057538B"/>
    <w:rsid w:val="0057720D"/>
    <w:rsid w:val="0058302E"/>
    <w:rsid w:val="005845CF"/>
    <w:rsid w:val="0058519E"/>
    <w:rsid w:val="0058554F"/>
    <w:rsid w:val="005868E6"/>
    <w:rsid w:val="005877EA"/>
    <w:rsid w:val="00587CE3"/>
    <w:rsid w:val="00591AB8"/>
    <w:rsid w:val="00592553"/>
    <w:rsid w:val="0059469E"/>
    <w:rsid w:val="00595229"/>
    <w:rsid w:val="00595894"/>
    <w:rsid w:val="00596D55"/>
    <w:rsid w:val="005971F6"/>
    <w:rsid w:val="00597890"/>
    <w:rsid w:val="00597ABA"/>
    <w:rsid w:val="005A009C"/>
    <w:rsid w:val="005A0DFB"/>
    <w:rsid w:val="005A38A7"/>
    <w:rsid w:val="005A43E3"/>
    <w:rsid w:val="005B0484"/>
    <w:rsid w:val="005B0C2B"/>
    <w:rsid w:val="005B318B"/>
    <w:rsid w:val="005B352D"/>
    <w:rsid w:val="005B45ED"/>
    <w:rsid w:val="005C086A"/>
    <w:rsid w:val="005C16A1"/>
    <w:rsid w:val="005C36F0"/>
    <w:rsid w:val="005C3BB0"/>
    <w:rsid w:val="005C5020"/>
    <w:rsid w:val="005C50E4"/>
    <w:rsid w:val="005C57F3"/>
    <w:rsid w:val="005D1682"/>
    <w:rsid w:val="005D1724"/>
    <w:rsid w:val="005D1789"/>
    <w:rsid w:val="005D249E"/>
    <w:rsid w:val="005D24BF"/>
    <w:rsid w:val="005D2808"/>
    <w:rsid w:val="005D285B"/>
    <w:rsid w:val="005D4296"/>
    <w:rsid w:val="005D5E37"/>
    <w:rsid w:val="005D7F50"/>
    <w:rsid w:val="005E4240"/>
    <w:rsid w:val="005E6911"/>
    <w:rsid w:val="005E72EA"/>
    <w:rsid w:val="005E7D98"/>
    <w:rsid w:val="005F0763"/>
    <w:rsid w:val="005F1A17"/>
    <w:rsid w:val="005F2C5E"/>
    <w:rsid w:val="005F6C44"/>
    <w:rsid w:val="005F75E4"/>
    <w:rsid w:val="0060101D"/>
    <w:rsid w:val="006025E0"/>
    <w:rsid w:val="006033F6"/>
    <w:rsid w:val="00603E50"/>
    <w:rsid w:val="00605851"/>
    <w:rsid w:val="00610079"/>
    <w:rsid w:val="00612540"/>
    <w:rsid w:val="00612964"/>
    <w:rsid w:val="00613637"/>
    <w:rsid w:val="006150F5"/>
    <w:rsid w:val="00615374"/>
    <w:rsid w:val="006154F5"/>
    <w:rsid w:val="006154FC"/>
    <w:rsid w:val="00615B25"/>
    <w:rsid w:val="00620D11"/>
    <w:rsid w:val="0062147A"/>
    <w:rsid w:val="00623CA4"/>
    <w:rsid w:val="00626402"/>
    <w:rsid w:val="006271DE"/>
    <w:rsid w:val="00631096"/>
    <w:rsid w:val="006310E2"/>
    <w:rsid w:val="006317EA"/>
    <w:rsid w:val="0063266E"/>
    <w:rsid w:val="00633D2B"/>
    <w:rsid w:val="00634B52"/>
    <w:rsid w:val="00634F41"/>
    <w:rsid w:val="00635D36"/>
    <w:rsid w:val="00640145"/>
    <w:rsid w:val="00641476"/>
    <w:rsid w:val="00643922"/>
    <w:rsid w:val="0064424F"/>
    <w:rsid w:val="006444C9"/>
    <w:rsid w:val="0064491C"/>
    <w:rsid w:val="00644967"/>
    <w:rsid w:val="00645915"/>
    <w:rsid w:val="00651185"/>
    <w:rsid w:val="0065207E"/>
    <w:rsid w:val="00652362"/>
    <w:rsid w:val="00653184"/>
    <w:rsid w:val="00653E38"/>
    <w:rsid w:val="00654638"/>
    <w:rsid w:val="00655B04"/>
    <w:rsid w:val="00657AF1"/>
    <w:rsid w:val="00657FDB"/>
    <w:rsid w:val="006617C2"/>
    <w:rsid w:val="0066509A"/>
    <w:rsid w:val="006656B8"/>
    <w:rsid w:val="00666E23"/>
    <w:rsid w:val="00667B4C"/>
    <w:rsid w:val="00672423"/>
    <w:rsid w:val="00672E0F"/>
    <w:rsid w:val="00674915"/>
    <w:rsid w:val="006753CB"/>
    <w:rsid w:val="0067564C"/>
    <w:rsid w:val="00676894"/>
    <w:rsid w:val="0067746D"/>
    <w:rsid w:val="00677B70"/>
    <w:rsid w:val="0068165C"/>
    <w:rsid w:val="00682393"/>
    <w:rsid w:val="00685F28"/>
    <w:rsid w:val="00690153"/>
    <w:rsid w:val="00691AFE"/>
    <w:rsid w:val="006938DD"/>
    <w:rsid w:val="00694AB6"/>
    <w:rsid w:val="006968DB"/>
    <w:rsid w:val="006970E3"/>
    <w:rsid w:val="006A0C0D"/>
    <w:rsid w:val="006A15CF"/>
    <w:rsid w:val="006A2421"/>
    <w:rsid w:val="006A2C45"/>
    <w:rsid w:val="006A3206"/>
    <w:rsid w:val="006A33D4"/>
    <w:rsid w:val="006A39E0"/>
    <w:rsid w:val="006A441E"/>
    <w:rsid w:val="006A49E5"/>
    <w:rsid w:val="006A522C"/>
    <w:rsid w:val="006A7411"/>
    <w:rsid w:val="006B3B04"/>
    <w:rsid w:val="006B55B7"/>
    <w:rsid w:val="006B5CBA"/>
    <w:rsid w:val="006B60FD"/>
    <w:rsid w:val="006B6D55"/>
    <w:rsid w:val="006B77FC"/>
    <w:rsid w:val="006C020B"/>
    <w:rsid w:val="006C088B"/>
    <w:rsid w:val="006C2D1F"/>
    <w:rsid w:val="006C3043"/>
    <w:rsid w:val="006C35A2"/>
    <w:rsid w:val="006C363F"/>
    <w:rsid w:val="006C5077"/>
    <w:rsid w:val="006C51B3"/>
    <w:rsid w:val="006C5E78"/>
    <w:rsid w:val="006D268A"/>
    <w:rsid w:val="006D2F02"/>
    <w:rsid w:val="006D32A8"/>
    <w:rsid w:val="006D4268"/>
    <w:rsid w:val="006D6341"/>
    <w:rsid w:val="006E0F33"/>
    <w:rsid w:val="006E1842"/>
    <w:rsid w:val="006E26BA"/>
    <w:rsid w:val="006E4414"/>
    <w:rsid w:val="006E58F8"/>
    <w:rsid w:val="006E58FA"/>
    <w:rsid w:val="006E6CDD"/>
    <w:rsid w:val="006E6E95"/>
    <w:rsid w:val="006F1761"/>
    <w:rsid w:val="006F50A4"/>
    <w:rsid w:val="006F7153"/>
    <w:rsid w:val="00700382"/>
    <w:rsid w:val="00701985"/>
    <w:rsid w:val="0070235E"/>
    <w:rsid w:val="007027DA"/>
    <w:rsid w:val="00703A89"/>
    <w:rsid w:val="00705CA3"/>
    <w:rsid w:val="00706997"/>
    <w:rsid w:val="00712E81"/>
    <w:rsid w:val="00713DEE"/>
    <w:rsid w:val="00714B6C"/>
    <w:rsid w:val="00715CB5"/>
    <w:rsid w:val="00716735"/>
    <w:rsid w:val="007168E0"/>
    <w:rsid w:val="00716F71"/>
    <w:rsid w:val="00717791"/>
    <w:rsid w:val="00721494"/>
    <w:rsid w:val="00721B93"/>
    <w:rsid w:val="00722C98"/>
    <w:rsid w:val="007242AB"/>
    <w:rsid w:val="007254F3"/>
    <w:rsid w:val="00726262"/>
    <w:rsid w:val="00731D08"/>
    <w:rsid w:val="00732112"/>
    <w:rsid w:val="00732A21"/>
    <w:rsid w:val="00732B66"/>
    <w:rsid w:val="00733822"/>
    <w:rsid w:val="00733ABD"/>
    <w:rsid w:val="00735044"/>
    <w:rsid w:val="00735340"/>
    <w:rsid w:val="007374E6"/>
    <w:rsid w:val="00741293"/>
    <w:rsid w:val="0074171A"/>
    <w:rsid w:val="007437D8"/>
    <w:rsid w:val="00743BFC"/>
    <w:rsid w:val="00744E46"/>
    <w:rsid w:val="0074524A"/>
    <w:rsid w:val="007455F5"/>
    <w:rsid w:val="00745914"/>
    <w:rsid w:val="00746673"/>
    <w:rsid w:val="00750295"/>
    <w:rsid w:val="00751A0B"/>
    <w:rsid w:val="00753E44"/>
    <w:rsid w:val="007555FB"/>
    <w:rsid w:val="00755700"/>
    <w:rsid w:val="007562A1"/>
    <w:rsid w:val="0075734F"/>
    <w:rsid w:val="00757E52"/>
    <w:rsid w:val="00763282"/>
    <w:rsid w:val="007639A2"/>
    <w:rsid w:val="00764ADF"/>
    <w:rsid w:val="00765C8F"/>
    <w:rsid w:val="00765F46"/>
    <w:rsid w:val="007672E4"/>
    <w:rsid w:val="007735F1"/>
    <w:rsid w:val="00775A4A"/>
    <w:rsid w:val="00776326"/>
    <w:rsid w:val="00781AB8"/>
    <w:rsid w:val="0078276F"/>
    <w:rsid w:val="00783905"/>
    <w:rsid w:val="00783EA3"/>
    <w:rsid w:val="007841AE"/>
    <w:rsid w:val="00786956"/>
    <w:rsid w:val="00786D51"/>
    <w:rsid w:val="007877AE"/>
    <w:rsid w:val="00790B12"/>
    <w:rsid w:val="00791322"/>
    <w:rsid w:val="00791DD9"/>
    <w:rsid w:val="007934DF"/>
    <w:rsid w:val="007A0EC3"/>
    <w:rsid w:val="007A269E"/>
    <w:rsid w:val="007A3AFF"/>
    <w:rsid w:val="007A4015"/>
    <w:rsid w:val="007A5045"/>
    <w:rsid w:val="007A5084"/>
    <w:rsid w:val="007A6EAF"/>
    <w:rsid w:val="007A77C8"/>
    <w:rsid w:val="007A7AC6"/>
    <w:rsid w:val="007B05D5"/>
    <w:rsid w:val="007B0813"/>
    <w:rsid w:val="007B20DD"/>
    <w:rsid w:val="007B3980"/>
    <w:rsid w:val="007B3DCE"/>
    <w:rsid w:val="007B6E8B"/>
    <w:rsid w:val="007B774B"/>
    <w:rsid w:val="007C0C58"/>
    <w:rsid w:val="007C1955"/>
    <w:rsid w:val="007C26C5"/>
    <w:rsid w:val="007C2DEB"/>
    <w:rsid w:val="007C2F57"/>
    <w:rsid w:val="007C4CF1"/>
    <w:rsid w:val="007C6500"/>
    <w:rsid w:val="007C67B5"/>
    <w:rsid w:val="007C6C78"/>
    <w:rsid w:val="007C741C"/>
    <w:rsid w:val="007C7F5D"/>
    <w:rsid w:val="007D1211"/>
    <w:rsid w:val="007D2CC4"/>
    <w:rsid w:val="007D5BC4"/>
    <w:rsid w:val="007D64B7"/>
    <w:rsid w:val="007E0290"/>
    <w:rsid w:val="007E08D4"/>
    <w:rsid w:val="007E19D1"/>
    <w:rsid w:val="007E5D05"/>
    <w:rsid w:val="007E6B55"/>
    <w:rsid w:val="007E7205"/>
    <w:rsid w:val="007E723B"/>
    <w:rsid w:val="007E74AF"/>
    <w:rsid w:val="007E7C38"/>
    <w:rsid w:val="007E7FC3"/>
    <w:rsid w:val="007F14B8"/>
    <w:rsid w:val="007F298B"/>
    <w:rsid w:val="007F47ED"/>
    <w:rsid w:val="007F76C6"/>
    <w:rsid w:val="008000A2"/>
    <w:rsid w:val="00800511"/>
    <w:rsid w:val="00802A8A"/>
    <w:rsid w:val="00803A73"/>
    <w:rsid w:val="0080458E"/>
    <w:rsid w:val="0080477C"/>
    <w:rsid w:val="00806871"/>
    <w:rsid w:val="00814527"/>
    <w:rsid w:val="00815D0D"/>
    <w:rsid w:val="00815DEE"/>
    <w:rsid w:val="00816D5A"/>
    <w:rsid w:val="00817270"/>
    <w:rsid w:val="00820891"/>
    <w:rsid w:val="00820A6B"/>
    <w:rsid w:val="00820AE4"/>
    <w:rsid w:val="00821410"/>
    <w:rsid w:val="0082335F"/>
    <w:rsid w:val="00823A8B"/>
    <w:rsid w:val="00825298"/>
    <w:rsid w:val="0082640B"/>
    <w:rsid w:val="0082714F"/>
    <w:rsid w:val="00827C46"/>
    <w:rsid w:val="00832F9A"/>
    <w:rsid w:val="00832FFD"/>
    <w:rsid w:val="0083317F"/>
    <w:rsid w:val="0083363B"/>
    <w:rsid w:val="0083377E"/>
    <w:rsid w:val="00834990"/>
    <w:rsid w:val="00837355"/>
    <w:rsid w:val="00837378"/>
    <w:rsid w:val="00837B3A"/>
    <w:rsid w:val="008407EA"/>
    <w:rsid w:val="0084134E"/>
    <w:rsid w:val="00845682"/>
    <w:rsid w:val="0084742E"/>
    <w:rsid w:val="00847A12"/>
    <w:rsid w:val="008526DB"/>
    <w:rsid w:val="00857276"/>
    <w:rsid w:val="00857D22"/>
    <w:rsid w:val="00860743"/>
    <w:rsid w:val="0086184D"/>
    <w:rsid w:val="00861A72"/>
    <w:rsid w:val="00861B2B"/>
    <w:rsid w:val="00861F2A"/>
    <w:rsid w:val="00863A74"/>
    <w:rsid w:val="00863E55"/>
    <w:rsid w:val="008653C7"/>
    <w:rsid w:val="0086587C"/>
    <w:rsid w:val="008664AE"/>
    <w:rsid w:val="00866E8D"/>
    <w:rsid w:val="008702D2"/>
    <w:rsid w:val="008706FD"/>
    <w:rsid w:val="008725E5"/>
    <w:rsid w:val="008727F1"/>
    <w:rsid w:val="00874216"/>
    <w:rsid w:val="0087490D"/>
    <w:rsid w:val="00874A9F"/>
    <w:rsid w:val="00875A9C"/>
    <w:rsid w:val="0087749F"/>
    <w:rsid w:val="008778CC"/>
    <w:rsid w:val="00881852"/>
    <w:rsid w:val="008818F3"/>
    <w:rsid w:val="00881BA1"/>
    <w:rsid w:val="00884052"/>
    <w:rsid w:val="008867E8"/>
    <w:rsid w:val="00886E90"/>
    <w:rsid w:val="00887231"/>
    <w:rsid w:val="00887DE6"/>
    <w:rsid w:val="00891197"/>
    <w:rsid w:val="00894468"/>
    <w:rsid w:val="00897DFD"/>
    <w:rsid w:val="008A1E4F"/>
    <w:rsid w:val="008A1F14"/>
    <w:rsid w:val="008A2221"/>
    <w:rsid w:val="008A417C"/>
    <w:rsid w:val="008A5996"/>
    <w:rsid w:val="008A5AEA"/>
    <w:rsid w:val="008A6A03"/>
    <w:rsid w:val="008A7B8E"/>
    <w:rsid w:val="008B0649"/>
    <w:rsid w:val="008B0796"/>
    <w:rsid w:val="008B1D12"/>
    <w:rsid w:val="008B222D"/>
    <w:rsid w:val="008B3448"/>
    <w:rsid w:val="008B3743"/>
    <w:rsid w:val="008B4626"/>
    <w:rsid w:val="008B6C39"/>
    <w:rsid w:val="008C06C8"/>
    <w:rsid w:val="008C1616"/>
    <w:rsid w:val="008C164C"/>
    <w:rsid w:val="008C18F1"/>
    <w:rsid w:val="008C434F"/>
    <w:rsid w:val="008C5A38"/>
    <w:rsid w:val="008C5E0E"/>
    <w:rsid w:val="008D02CA"/>
    <w:rsid w:val="008D0CDB"/>
    <w:rsid w:val="008D1840"/>
    <w:rsid w:val="008D383C"/>
    <w:rsid w:val="008D42A9"/>
    <w:rsid w:val="008D61AE"/>
    <w:rsid w:val="008D61B1"/>
    <w:rsid w:val="008D6634"/>
    <w:rsid w:val="008D6666"/>
    <w:rsid w:val="008D78AA"/>
    <w:rsid w:val="008D79A0"/>
    <w:rsid w:val="008D7E13"/>
    <w:rsid w:val="008E139B"/>
    <w:rsid w:val="008E1FE1"/>
    <w:rsid w:val="008E2CC8"/>
    <w:rsid w:val="008E3695"/>
    <w:rsid w:val="008E379E"/>
    <w:rsid w:val="008E43F2"/>
    <w:rsid w:val="008E5391"/>
    <w:rsid w:val="008E7180"/>
    <w:rsid w:val="008E751E"/>
    <w:rsid w:val="008E780A"/>
    <w:rsid w:val="008F05D1"/>
    <w:rsid w:val="008F2B9F"/>
    <w:rsid w:val="008F2BDD"/>
    <w:rsid w:val="008F2E90"/>
    <w:rsid w:val="008F3EF7"/>
    <w:rsid w:val="008F41EF"/>
    <w:rsid w:val="008F462D"/>
    <w:rsid w:val="008F5327"/>
    <w:rsid w:val="008F5479"/>
    <w:rsid w:val="008F6A19"/>
    <w:rsid w:val="008F702A"/>
    <w:rsid w:val="008F7276"/>
    <w:rsid w:val="0090064A"/>
    <w:rsid w:val="009008FB"/>
    <w:rsid w:val="00900F2E"/>
    <w:rsid w:val="00902D1F"/>
    <w:rsid w:val="00903854"/>
    <w:rsid w:val="00903914"/>
    <w:rsid w:val="00905074"/>
    <w:rsid w:val="00907013"/>
    <w:rsid w:val="0090703E"/>
    <w:rsid w:val="00910A36"/>
    <w:rsid w:val="0091200B"/>
    <w:rsid w:val="009139FF"/>
    <w:rsid w:val="00913A31"/>
    <w:rsid w:val="009150F5"/>
    <w:rsid w:val="0091521F"/>
    <w:rsid w:val="009173E3"/>
    <w:rsid w:val="00917736"/>
    <w:rsid w:val="00917A3A"/>
    <w:rsid w:val="00917BFC"/>
    <w:rsid w:val="00921FDA"/>
    <w:rsid w:val="0092427A"/>
    <w:rsid w:val="00924523"/>
    <w:rsid w:val="00925447"/>
    <w:rsid w:val="00926FF5"/>
    <w:rsid w:val="00930345"/>
    <w:rsid w:val="0093063E"/>
    <w:rsid w:val="00930FA1"/>
    <w:rsid w:val="009319E2"/>
    <w:rsid w:val="00934E97"/>
    <w:rsid w:val="00935182"/>
    <w:rsid w:val="00935525"/>
    <w:rsid w:val="009408DB"/>
    <w:rsid w:val="00943C9B"/>
    <w:rsid w:val="00944A1C"/>
    <w:rsid w:val="00944B64"/>
    <w:rsid w:val="00951C74"/>
    <w:rsid w:val="0095271F"/>
    <w:rsid w:val="0095284C"/>
    <w:rsid w:val="00952E71"/>
    <w:rsid w:val="009555E8"/>
    <w:rsid w:val="00961A34"/>
    <w:rsid w:val="00964E1C"/>
    <w:rsid w:val="00967CCA"/>
    <w:rsid w:val="00967CF1"/>
    <w:rsid w:val="00967F6C"/>
    <w:rsid w:val="00970710"/>
    <w:rsid w:val="00971169"/>
    <w:rsid w:val="00971DEB"/>
    <w:rsid w:val="00972EFD"/>
    <w:rsid w:val="0097397C"/>
    <w:rsid w:val="00974A80"/>
    <w:rsid w:val="00974D42"/>
    <w:rsid w:val="00975FCE"/>
    <w:rsid w:val="009768F1"/>
    <w:rsid w:val="009810DD"/>
    <w:rsid w:val="009818C3"/>
    <w:rsid w:val="00981FDD"/>
    <w:rsid w:val="00984E1C"/>
    <w:rsid w:val="009865E8"/>
    <w:rsid w:val="0098665D"/>
    <w:rsid w:val="00987C29"/>
    <w:rsid w:val="009903BD"/>
    <w:rsid w:val="00990BED"/>
    <w:rsid w:val="00994581"/>
    <w:rsid w:val="00995BC6"/>
    <w:rsid w:val="00996041"/>
    <w:rsid w:val="0099641A"/>
    <w:rsid w:val="00996501"/>
    <w:rsid w:val="0099691A"/>
    <w:rsid w:val="00996AFE"/>
    <w:rsid w:val="00996F10"/>
    <w:rsid w:val="009A038E"/>
    <w:rsid w:val="009A17C2"/>
    <w:rsid w:val="009A26E4"/>
    <w:rsid w:val="009A4889"/>
    <w:rsid w:val="009A4FD7"/>
    <w:rsid w:val="009A56CE"/>
    <w:rsid w:val="009A751F"/>
    <w:rsid w:val="009B1111"/>
    <w:rsid w:val="009B239B"/>
    <w:rsid w:val="009B2520"/>
    <w:rsid w:val="009B4FAD"/>
    <w:rsid w:val="009B5109"/>
    <w:rsid w:val="009B6955"/>
    <w:rsid w:val="009B6D2F"/>
    <w:rsid w:val="009B6D32"/>
    <w:rsid w:val="009C0387"/>
    <w:rsid w:val="009C1E1D"/>
    <w:rsid w:val="009C31CD"/>
    <w:rsid w:val="009C4F58"/>
    <w:rsid w:val="009D05F1"/>
    <w:rsid w:val="009D0ACA"/>
    <w:rsid w:val="009D289C"/>
    <w:rsid w:val="009D42CF"/>
    <w:rsid w:val="009D44AB"/>
    <w:rsid w:val="009D4F8D"/>
    <w:rsid w:val="009D54F5"/>
    <w:rsid w:val="009D60C0"/>
    <w:rsid w:val="009D6E59"/>
    <w:rsid w:val="009E1214"/>
    <w:rsid w:val="009F0D02"/>
    <w:rsid w:val="009F0F3E"/>
    <w:rsid w:val="009F192D"/>
    <w:rsid w:val="009F1D6F"/>
    <w:rsid w:val="009F1DEA"/>
    <w:rsid w:val="009F37BF"/>
    <w:rsid w:val="009F460F"/>
    <w:rsid w:val="009F507A"/>
    <w:rsid w:val="009F66A2"/>
    <w:rsid w:val="009F71D0"/>
    <w:rsid w:val="00A003CB"/>
    <w:rsid w:val="00A0065A"/>
    <w:rsid w:val="00A01948"/>
    <w:rsid w:val="00A021CF"/>
    <w:rsid w:val="00A0221E"/>
    <w:rsid w:val="00A04670"/>
    <w:rsid w:val="00A04ED0"/>
    <w:rsid w:val="00A058BD"/>
    <w:rsid w:val="00A05AD2"/>
    <w:rsid w:val="00A06757"/>
    <w:rsid w:val="00A10A00"/>
    <w:rsid w:val="00A11260"/>
    <w:rsid w:val="00A13E5E"/>
    <w:rsid w:val="00A1627E"/>
    <w:rsid w:val="00A16DE6"/>
    <w:rsid w:val="00A20E4E"/>
    <w:rsid w:val="00A22234"/>
    <w:rsid w:val="00A22676"/>
    <w:rsid w:val="00A226AA"/>
    <w:rsid w:val="00A22D54"/>
    <w:rsid w:val="00A234AC"/>
    <w:rsid w:val="00A26626"/>
    <w:rsid w:val="00A2724B"/>
    <w:rsid w:val="00A27EC0"/>
    <w:rsid w:val="00A30B46"/>
    <w:rsid w:val="00A32CF9"/>
    <w:rsid w:val="00A34959"/>
    <w:rsid w:val="00A34BAB"/>
    <w:rsid w:val="00A352C5"/>
    <w:rsid w:val="00A3656D"/>
    <w:rsid w:val="00A4586E"/>
    <w:rsid w:val="00A46108"/>
    <w:rsid w:val="00A47267"/>
    <w:rsid w:val="00A47597"/>
    <w:rsid w:val="00A51358"/>
    <w:rsid w:val="00A51E13"/>
    <w:rsid w:val="00A52B5A"/>
    <w:rsid w:val="00A537CD"/>
    <w:rsid w:val="00A55528"/>
    <w:rsid w:val="00A61AC7"/>
    <w:rsid w:val="00A6330C"/>
    <w:rsid w:val="00A63C9D"/>
    <w:rsid w:val="00A64542"/>
    <w:rsid w:val="00A64BF4"/>
    <w:rsid w:val="00A64DB7"/>
    <w:rsid w:val="00A6579A"/>
    <w:rsid w:val="00A6602F"/>
    <w:rsid w:val="00A66485"/>
    <w:rsid w:val="00A672D3"/>
    <w:rsid w:val="00A67F63"/>
    <w:rsid w:val="00A70FD6"/>
    <w:rsid w:val="00A713D2"/>
    <w:rsid w:val="00A73E7F"/>
    <w:rsid w:val="00A752C4"/>
    <w:rsid w:val="00A75C46"/>
    <w:rsid w:val="00A75F6F"/>
    <w:rsid w:val="00A76771"/>
    <w:rsid w:val="00A80491"/>
    <w:rsid w:val="00A839B2"/>
    <w:rsid w:val="00A84ECA"/>
    <w:rsid w:val="00A85A20"/>
    <w:rsid w:val="00A86430"/>
    <w:rsid w:val="00A90AE3"/>
    <w:rsid w:val="00A90B74"/>
    <w:rsid w:val="00A91074"/>
    <w:rsid w:val="00A92087"/>
    <w:rsid w:val="00A92639"/>
    <w:rsid w:val="00A9491E"/>
    <w:rsid w:val="00A951E8"/>
    <w:rsid w:val="00A95226"/>
    <w:rsid w:val="00A95267"/>
    <w:rsid w:val="00A960FB"/>
    <w:rsid w:val="00A9757E"/>
    <w:rsid w:val="00AA25C1"/>
    <w:rsid w:val="00AA4631"/>
    <w:rsid w:val="00AA51D7"/>
    <w:rsid w:val="00AA570C"/>
    <w:rsid w:val="00AA69F1"/>
    <w:rsid w:val="00AA74EA"/>
    <w:rsid w:val="00AB1E87"/>
    <w:rsid w:val="00AB1FD8"/>
    <w:rsid w:val="00AB22C1"/>
    <w:rsid w:val="00AB342F"/>
    <w:rsid w:val="00AB36D7"/>
    <w:rsid w:val="00AB5AAD"/>
    <w:rsid w:val="00AC07EA"/>
    <w:rsid w:val="00AC0849"/>
    <w:rsid w:val="00AC0F13"/>
    <w:rsid w:val="00AC11F3"/>
    <w:rsid w:val="00AC1B0C"/>
    <w:rsid w:val="00AC2080"/>
    <w:rsid w:val="00AC3271"/>
    <w:rsid w:val="00AC3475"/>
    <w:rsid w:val="00AC374D"/>
    <w:rsid w:val="00AD0D0B"/>
    <w:rsid w:val="00AD2B53"/>
    <w:rsid w:val="00AD3E59"/>
    <w:rsid w:val="00AD3FAF"/>
    <w:rsid w:val="00AD5B58"/>
    <w:rsid w:val="00AD6B7C"/>
    <w:rsid w:val="00AD79C8"/>
    <w:rsid w:val="00AE0FEA"/>
    <w:rsid w:val="00AE1333"/>
    <w:rsid w:val="00AE3317"/>
    <w:rsid w:val="00AE42FF"/>
    <w:rsid w:val="00AE44D0"/>
    <w:rsid w:val="00AE5EDA"/>
    <w:rsid w:val="00AE5F3C"/>
    <w:rsid w:val="00AE7302"/>
    <w:rsid w:val="00AE7834"/>
    <w:rsid w:val="00AF3538"/>
    <w:rsid w:val="00AF45FF"/>
    <w:rsid w:val="00AF5EDD"/>
    <w:rsid w:val="00AF719F"/>
    <w:rsid w:val="00AF7290"/>
    <w:rsid w:val="00AF7D1A"/>
    <w:rsid w:val="00B0276D"/>
    <w:rsid w:val="00B04104"/>
    <w:rsid w:val="00B046AD"/>
    <w:rsid w:val="00B0504A"/>
    <w:rsid w:val="00B0560A"/>
    <w:rsid w:val="00B05EDD"/>
    <w:rsid w:val="00B06C4A"/>
    <w:rsid w:val="00B101C2"/>
    <w:rsid w:val="00B102C0"/>
    <w:rsid w:val="00B11C13"/>
    <w:rsid w:val="00B12352"/>
    <w:rsid w:val="00B142CC"/>
    <w:rsid w:val="00B14370"/>
    <w:rsid w:val="00B1577F"/>
    <w:rsid w:val="00B1604A"/>
    <w:rsid w:val="00B1732B"/>
    <w:rsid w:val="00B177CB"/>
    <w:rsid w:val="00B206B2"/>
    <w:rsid w:val="00B20EAB"/>
    <w:rsid w:val="00B21D9A"/>
    <w:rsid w:val="00B22BF5"/>
    <w:rsid w:val="00B22E68"/>
    <w:rsid w:val="00B238E6"/>
    <w:rsid w:val="00B23F5E"/>
    <w:rsid w:val="00B24EDF"/>
    <w:rsid w:val="00B253B3"/>
    <w:rsid w:val="00B25BC0"/>
    <w:rsid w:val="00B25F2E"/>
    <w:rsid w:val="00B26346"/>
    <w:rsid w:val="00B269F2"/>
    <w:rsid w:val="00B31519"/>
    <w:rsid w:val="00B32462"/>
    <w:rsid w:val="00B32AAE"/>
    <w:rsid w:val="00B32BE5"/>
    <w:rsid w:val="00B34A60"/>
    <w:rsid w:val="00B34F7D"/>
    <w:rsid w:val="00B3581E"/>
    <w:rsid w:val="00B364C8"/>
    <w:rsid w:val="00B36DC1"/>
    <w:rsid w:val="00B37542"/>
    <w:rsid w:val="00B41E82"/>
    <w:rsid w:val="00B424B9"/>
    <w:rsid w:val="00B42862"/>
    <w:rsid w:val="00B443B1"/>
    <w:rsid w:val="00B45C97"/>
    <w:rsid w:val="00B45D45"/>
    <w:rsid w:val="00B4630E"/>
    <w:rsid w:val="00B47ACD"/>
    <w:rsid w:val="00B50EDE"/>
    <w:rsid w:val="00B51838"/>
    <w:rsid w:val="00B5414C"/>
    <w:rsid w:val="00B54367"/>
    <w:rsid w:val="00B55CA6"/>
    <w:rsid w:val="00B56641"/>
    <w:rsid w:val="00B57D30"/>
    <w:rsid w:val="00B57EB8"/>
    <w:rsid w:val="00B60EFC"/>
    <w:rsid w:val="00B60F22"/>
    <w:rsid w:val="00B62378"/>
    <w:rsid w:val="00B625FA"/>
    <w:rsid w:val="00B638DD"/>
    <w:rsid w:val="00B64669"/>
    <w:rsid w:val="00B668EC"/>
    <w:rsid w:val="00B67505"/>
    <w:rsid w:val="00B70D1C"/>
    <w:rsid w:val="00B70EBF"/>
    <w:rsid w:val="00B71151"/>
    <w:rsid w:val="00B71775"/>
    <w:rsid w:val="00B71AA1"/>
    <w:rsid w:val="00B73283"/>
    <w:rsid w:val="00B7371F"/>
    <w:rsid w:val="00B7514B"/>
    <w:rsid w:val="00B7520E"/>
    <w:rsid w:val="00B75AEB"/>
    <w:rsid w:val="00B778F7"/>
    <w:rsid w:val="00B77CA3"/>
    <w:rsid w:val="00B77E2F"/>
    <w:rsid w:val="00B8042E"/>
    <w:rsid w:val="00B80A7A"/>
    <w:rsid w:val="00B8161B"/>
    <w:rsid w:val="00B819DA"/>
    <w:rsid w:val="00B83916"/>
    <w:rsid w:val="00B8600F"/>
    <w:rsid w:val="00B8696D"/>
    <w:rsid w:val="00B87388"/>
    <w:rsid w:val="00B87F57"/>
    <w:rsid w:val="00B90D76"/>
    <w:rsid w:val="00B91255"/>
    <w:rsid w:val="00B93D27"/>
    <w:rsid w:val="00B94455"/>
    <w:rsid w:val="00B94874"/>
    <w:rsid w:val="00B97483"/>
    <w:rsid w:val="00BA0E1C"/>
    <w:rsid w:val="00BA1507"/>
    <w:rsid w:val="00BA1DE6"/>
    <w:rsid w:val="00BA45C8"/>
    <w:rsid w:val="00BA62C1"/>
    <w:rsid w:val="00BA72FA"/>
    <w:rsid w:val="00BA74B9"/>
    <w:rsid w:val="00BA781C"/>
    <w:rsid w:val="00BA7AA4"/>
    <w:rsid w:val="00BB1041"/>
    <w:rsid w:val="00BB13D2"/>
    <w:rsid w:val="00BB282F"/>
    <w:rsid w:val="00BB39E9"/>
    <w:rsid w:val="00BB3AE6"/>
    <w:rsid w:val="00BB5467"/>
    <w:rsid w:val="00BB59E6"/>
    <w:rsid w:val="00BB70EE"/>
    <w:rsid w:val="00BB77AA"/>
    <w:rsid w:val="00BC22B8"/>
    <w:rsid w:val="00BC2495"/>
    <w:rsid w:val="00BC375D"/>
    <w:rsid w:val="00BC3DB4"/>
    <w:rsid w:val="00BC5A21"/>
    <w:rsid w:val="00BC6490"/>
    <w:rsid w:val="00BD1570"/>
    <w:rsid w:val="00BD1940"/>
    <w:rsid w:val="00BD5DC0"/>
    <w:rsid w:val="00BD73FF"/>
    <w:rsid w:val="00BE1266"/>
    <w:rsid w:val="00BE13F0"/>
    <w:rsid w:val="00BE1ABC"/>
    <w:rsid w:val="00BE22FF"/>
    <w:rsid w:val="00BE278E"/>
    <w:rsid w:val="00BE291B"/>
    <w:rsid w:val="00BE2D61"/>
    <w:rsid w:val="00BE2F40"/>
    <w:rsid w:val="00BE454C"/>
    <w:rsid w:val="00BE4E45"/>
    <w:rsid w:val="00BE51A0"/>
    <w:rsid w:val="00BE7040"/>
    <w:rsid w:val="00BE7046"/>
    <w:rsid w:val="00BF3323"/>
    <w:rsid w:val="00BF3D1E"/>
    <w:rsid w:val="00BF5239"/>
    <w:rsid w:val="00BF61BB"/>
    <w:rsid w:val="00BF6F23"/>
    <w:rsid w:val="00BF6F9D"/>
    <w:rsid w:val="00BF74B0"/>
    <w:rsid w:val="00C023CE"/>
    <w:rsid w:val="00C029AD"/>
    <w:rsid w:val="00C06001"/>
    <w:rsid w:val="00C06AF6"/>
    <w:rsid w:val="00C10738"/>
    <w:rsid w:val="00C114D5"/>
    <w:rsid w:val="00C12C18"/>
    <w:rsid w:val="00C12F6A"/>
    <w:rsid w:val="00C13642"/>
    <w:rsid w:val="00C15792"/>
    <w:rsid w:val="00C1753E"/>
    <w:rsid w:val="00C205F8"/>
    <w:rsid w:val="00C20C89"/>
    <w:rsid w:val="00C211B0"/>
    <w:rsid w:val="00C21C49"/>
    <w:rsid w:val="00C21DBB"/>
    <w:rsid w:val="00C229E9"/>
    <w:rsid w:val="00C23E79"/>
    <w:rsid w:val="00C24D75"/>
    <w:rsid w:val="00C254ED"/>
    <w:rsid w:val="00C3028F"/>
    <w:rsid w:val="00C30A5E"/>
    <w:rsid w:val="00C32489"/>
    <w:rsid w:val="00C32E2E"/>
    <w:rsid w:val="00C3599A"/>
    <w:rsid w:val="00C35BB8"/>
    <w:rsid w:val="00C35D76"/>
    <w:rsid w:val="00C41D7C"/>
    <w:rsid w:val="00C42C3A"/>
    <w:rsid w:val="00C43244"/>
    <w:rsid w:val="00C46CC7"/>
    <w:rsid w:val="00C47A89"/>
    <w:rsid w:val="00C52555"/>
    <w:rsid w:val="00C55CDB"/>
    <w:rsid w:val="00C57BE6"/>
    <w:rsid w:val="00C60DEF"/>
    <w:rsid w:val="00C61822"/>
    <w:rsid w:val="00C61A36"/>
    <w:rsid w:val="00C667AA"/>
    <w:rsid w:val="00C66C37"/>
    <w:rsid w:val="00C67C79"/>
    <w:rsid w:val="00C702B9"/>
    <w:rsid w:val="00C71383"/>
    <w:rsid w:val="00C71A2A"/>
    <w:rsid w:val="00C72AEF"/>
    <w:rsid w:val="00C74611"/>
    <w:rsid w:val="00C773E5"/>
    <w:rsid w:val="00C800CF"/>
    <w:rsid w:val="00C80E34"/>
    <w:rsid w:val="00C82C38"/>
    <w:rsid w:val="00C84F64"/>
    <w:rsid w:val="00C852C1"/>
    <w:rsid w:val="00C85C0B"/>
    <w:rsid w:val="00C87EC5"/>
    <w:rsid w:val="00C9040C"/>
    <w:rsid w:val="00C90AF7"/>
    <w:rsid w:val="00C91979"/>
    <w:rsid w:val="00C92DFE"/>
    <w:rsid w:val="00C94231"/>
    <w:rsid w:val="00C94DD0"/>
    <w:rsid w:val="00C959B8"/>
    <w:rsid w:val="00C969BD"/>
    <w:rsid w:val="00C97CCF"/>
    <w:rsid w:val="00CA2D56"/>
    <w:rsid w:val="00CA58CF"/>
    <w:rsid w:val="00CA7085"/>
    <w:rsid w:val="00CA734B"/>
    <w:rsid w:val="00CA73CE"/>
    <w:rsid w:val="00CA7AA5"/>
    <w:rsid w:val="00CB25F0"/>
    <w:rsid w:val="00CB429B"/>
    <w:rsid w:val="00CB4CD9"/>
    <w:rsid w:val="00CB53A7"/>
    <w:rsid w:val="00CB58F0"/>
    <w:rsid w:val="00CB5A31"/>
    <w:rsid w:val="00CB6A00"/>
    <w:rsid w:val="00CC059E"/>
    <w:rsid w:val="00CC06BF"/>
    <w:rsid w:val="00CC3072"/>
    <w:rsid w:val="00CC3122"/>
    <w:rsid w:val="00CC3259"/>
    <w:rsid w:val="00CC3CBA"/>
    <w:rsid w:val="00CC5590"/>
    <w:rsid w:val="00CC6DB6"/>
    <w:rsid w:val="00CD31BD"/>
    <w:rsid w:val="00CD57BF"/>
    <w:rsid w:val="00CD5BA6"/>
    <w:rsid w:val="00CD6C19"/>
    <w:rsid w:val="00CE00F6"/>
    <w:rsid w:val="00CE0522"/>
    <w:rsid w:val="00CE1FDB"/>
    <w:rsid w:val="00CE3CD6"/>
    <w:rsid w:val="00CE4037"/>
    <w:rsid w:val="00CF0773"/>
    <w:rsid w:val="00CF1914"/>
    <w:rsid w:val="00CF3586"/>
    <w:rsid w:val="00CF44E8"/>
    <w:rsid w:val="00CF52B1"/>
    <w:rsid w:val="00CF6A45"/>
    <w:rsid w:val="00CF703E"/>
    <w:rsid w:val="00D0004E"/>
    <w:rsid w:val="00D008E4"/>
    <w:rsid w:val="00D01915"/>
    <w:rsid w:val="00D02503"/>
    <w:rsid w:val="00D02D43"/>
    <w:rsid w:val="00D02E6D"/>
    <w:rsid w:val="00D033E6"/>
    <w:rsid w:val="00D04663"/>
    <w:rsid w:val="00D04912"/>
    <w:rsid w:val="00D06580"/>
    <w:rsid w:val="00D06948"/>
    <w:rsid w:val="00D06C89"/>
    <w:rsid w:val="00D11AEA"/>
    <w:rsid w:val="00D11BF6"/>
    <w:rsid w:val="00D11ED9"/>
    <w:rsid w:val="00D13201"/>
    <w:rsid w:val="00D14355"/>
    <w:rsid w:val="00D143AD"/>
    <w:rsid w:val="00D17BE7"/>
    <w:rsid w:val="00D17CF3"/>
    <w:rsid w:val="00D20597"/>
    <w:rsid w:val="00D20A60"/>
    <w:rsid w:val="00D20F27"/>
    <w:rsid w:val="00D21E7D"/>
    <w:rsid w:val="00D233D1"/>
    <w:rsid w:val="00D23520"/>
    <w:rsid w:val="00D2425F"/>
    <w:rsid w:val="00D2476C"/>
    <w:rsid w:val="00D249C0"/>
    <w:rsid w:val="00D25388"/>
    <w:rsid w:val="00D25A0D"/>
    <w:rsid w:val="00D26040"/>
    <w:rsid w:val="00D26BEC"/>
    <w:rsid w:val="00D26C43"/>
    <w:rsid w:val="00D27BA6"/>
    <w:rsid w:val="00D315C6"/>
    <w:rsid w:val="00D320F0"/>
    <w:rsid w:val="00D32DE2"/>
    <w:rsid w:val="00D341F0"/>
    <w:rsid w:val="00D34DF0"/>
    <w:rsid w:val="00D35311"/>
    <w:rsid w:val="00D40ABF"/>
    <w:rsid w:val="00D4216D"/>
    <w:rsid w:val="00D42D2A"/>
    <w:rsid w:val="00D44820"/>
    <w:rsid w:val="00D4644B"/>
    <w:rsid w:val="00D5028B"/>
    <w:rsid w:val="00D537F3"/>
    <w:rsid w:val="00D53F68"/>
    <w:rsid w:val="00D551D0"/>
    <w:rsid w:val="00D5658D"/>
    <w:rsid w:val="00D57292"/>
    <w:rsid w:val="00D57896"/>
    <w:rsid w:val="00D60507"/>
    <w:rsid w:val="00D60B9B"/>
    <w:rsid w:val="00D62255"/>
    <w:rsid w:val="00D628AC"/>
    <w:rsid w:val="00D632A1"/>
    <w:rsid w:val="00D63322"/>
    <w:rsid w:val="00D648D7"/>
    <w:rsid w:val="00D64C67"/>
    <w:rsid w:val="00D64FFF"/>
    <w:rsid w:val="00D65092"/>
    <w:rsid w:val="00D6615A"/>
    <w:rsid w:val="00D7103E"/>
    <w:rsid w:val="00D71ED4"/>
    <w:rsid w:val="00D72389"/>
    <w:rsid w:val="00D72A2E"/>
    <w:rsid w:val="00D72AAA"/>
    <w:rsid w:val="00D743F8"/>
    <w:rsid w:val="00D76D7F"/>
    <w:rsid w:val="00D77BF3"/>
    <w:rsid w:val="00D80D77"/>
    <w:rsid w:val="00D80E6A"/>
    <w:rsid w:val="00D83567"/>
    <w:rsid w:val="00D83D11"/>
    <w:rsid w:val="00D85367"/>
    <w:rsid w:val="00D85DB0"/>
    <w:rsid w:val="00D865B5"/>
    <w:rsid w:val="00D86A07"/>
    <w:rsid w:val="00D876FD"/>
    <w:rsid w:val="00D8779D"/>
    <w:rsid w:val="00D87B1F"/>
    <w:rsid w:val="00D94360"/>
    <w:rsid w:val="00D94695"/>
    <w:rsid w:val="00D97FB6"/>
    <w:rsid w:val="00DA2E8F"/>
    <w:rsid w:val="00DA2F59"/>
    <w:rsid w:val="00DA3715"/>
    <w:rsid w:val="00DA3E07"/>
    <w:rsid w:val="00DA457A"/>
    <w:rsid w:val="00DA5026"/>
    <w:rsid w:val="00DA61BA"/>
    <w:rsid w:val="00DA68DC"/>
    <w:rsid w:val="00DB0098"/>
    <w:rsid w:val="00DB05FC"/>
    <w:rsid w:val="00DB0C1E"/>
    <w:rsid w:val="00DB1A9E"/>
    <w:rsid w:val="00DB3E81"/>
    <w:rsid w:val="00DB3F40"/>
    <w:rsid w:val="00DB47EE"/>
    <w:rsid w:val="00DB63B4"/>
    <w:rsid w:val="00DB73C0"/>
    <w:rsid w:val="00DC0846"/>
    <w:rsid w:val="00DC1F20"/>
    <w:rsid w:val="00DC204A"/>
    <w:rsid w:val="00DC2A82"/>
    <w:rsid w:val="00DC4DD4"/>
    <w:rsid w:val="00DC5EEB"/>
    <w:rsid w:val="00DC75A1"/>
    <w:rsid w:val="00DD0233"/>
    <w:rsid w:val="00DD1AD4"/>
    <w:rsid w:val="00DD1C5C"/>
    <w:rsid w:val="00DD217B"/>
    <w:rsid w:val="00DD33F1"/>
    <w:rsid w:val="00DD43AC"/>
    <w:rsid w:val="00DD5273"/>
    <w:rsid w:val="00DD56BC"/>
    <w:rsid w:val="00DD5892"/>
    <w:rsid w:val="00DD6916"/>
    <w:rsid w:val="00DD76CE"/>
    <w:rsid w:val="00DD7BAA"/>
    <w:rsid w:val="00DE2414"/>
    <w:rsid w:val="00DE34D9"/>
    <w:rsid w:val="00DE3747"/>
    <w:rsid w:val="00DE76C8"/>
    <w:rsid w:val="00DE7B7B"/>
    <w:rsid w:val="00DF1CE1"/>
    <w:rsid w:val="00DF5DC2"/>
    <w:rsid w:val="00DF7410"/>
    <w:rsid w:val="00E026EB"/>
    <w:rsid w:val="00E034B2"/>
    <w:rsid w:val="00E0351E"/>
    <w:rsid w:val="00E04AD8"/>
    <w:rsid w:val="00E05324"/>
    <w:rsid w:val="00E055A7"/>
    <w:rsid w:val="00E067A9"/>
    <w:rsid w:val="00E10E5A"/>
    <w:rsid w:val="00E10E5F"/>
    <w:rsid w:val="00E134EC"/>
    <w:rsid w:val="00E14AE6"/>
    <w:rsid w:val="00E1577A"/>
    <w:rsid w:val="00E15D5A"/>
    <w:rsid w:val="00E15D6B"/>
    <w:rsid w:val="00E201F8"/>
    <w:rsid w:val="00E20532"/>
    <w:rsid w:val="00E206E3"/>
    <w:rsid w:val="00E20A7D"/>
    <w:rsid w:val="00E21268"/>
    <w:rsid w:val="00E2202D"/>
    <w:rsid w:val="00E2223C"/>
    <w:rsid w:val="00E22390"/>
    <w:rsid w:val="00E238DE"/>
    <w:rsid w:val="00E252DC"/>
    <w:rsid w:val="00E257D9"/>
    <w:rsid w:val="00E26274"/>
    <w:rsid w:val="00E2647B"/>
    <w:rsid w:val="00E269E3"/>
    <w:rsid w:val="00E301D0"/>
    <w:rsid w:val="00E3276A"/>
    <w:rsid w:val="00E333DE"/>
    <w:rsid w:val="00E3375F"/>
    <w:rsid w:val="00E34723"/>
    <w:rsid w:val="00E34E45"/>
    <w:rsid w:val="00E40956"/>
    <w:rsid w:val="00E44731"/>
    <w:rsid w:val="00E4489E"/>
    <w:rsid w:val="00E45259"/>
    <w:rsid w:val="00E4564B"/>
    <w:rsid w:val="00E4641D"/>
    <w:rsid w:val="00E4650C"/>
    <w:rsid w:val="00E4718D"/>
    <w:rsid w:val="00E474F8"/>
    <w:rsid w:val="00E55187"/>
    <w:rsid w:val="00E600C4"/>
    <w:rsid w:val="00E61F0B"/>
    <w:rsid w:val="00E63479"/>
    <w:rsid w:val="00E636A7"/>
    <w:rsid w:val="00E63CCB"/>
    <w:rsid w:val="00E64171"/>
    <w:rsid w:val="00E64AD9"/>
    <w:rsid w:val="00E64B55"/>
    <w:rsid w:val="00E65169"/>
    <w:rsid w:val="00E670AA"/>
    <w:rsid w:val="00E71C67"/>
    <w:rsid w:val="00E71E98"/>
    <w:rsid w:val="00E722FD"/>
    <w:rsid w:val="00E7265A"/>
    <w:rsid w:val="00E75F65"/>
    <w:rsid w:val="00E77173"/>
    <w:rsid w:val="00E77D16"/>
    <w:rsid w:val="00E8030D"/>
    <w:rsid w:val="00E81D0C"/>
    <w:rsid w:val="00E82055"/>
    <w:rsid w:val="00E82F2F"/>
    <w:rsid w:val="00E8324F"/>
    <w:rsid w:val="00E83BCB"/>
    <w:rsid w:val="00E847DF"/>
    <w:rsid w:val="00E91AD8"/>
    <w:rsid w:val="00E94419"/>
    <w:rsid w:val="00E94F3C"/>
    <w:rsid w:val="00E95A27"/>
    <w:rsid w:val="00EA014E"/>
    <w:rsid w:val="00EA04DA"/>
    <w:rsid w:val="00EA07BE"/>
    <w:rsid w:val="00EA1949"/>
    <w:rsid w:val="00EA2DE4"/>
    <w:rsid w:val="00EA457E"/>
    <w:rsid w:val="00EA4A05"/>
    <w:rsid w:val="00EA4CE5"/>
    <w:rsid w:val="00EA55AA"/>
    <w:rsid w:val="00EA569A"/>
    <w:rsid w:val="00EA72F5"/>
    <w:rsid w:val="00EB0018"/>
    <w:rsid w:val="00EB0179"/>
    <w:rsid w:val="00EB1087"/>
    <w:rsid w:val="00EB4544"/>
    <w:rsid w:val="00EB5FA5"/>
    <w:rsid w:val="00EB6407"/>
    <w:rsid w:val="00EB7917"/>
    <w:rsid w:val="00EC0795"/>
    <w:rsid w:val="00EC0BD6"/>
    <w:rsid w:val="00EC3F73"/>
    <w:rsid w:val="00EC4C69"/>
    <w:rsid w:val="00EC5150"/>
    <w:rsid w:val="00EC59E2"/>
    <w:rsid w:val="00EC6394"/>
    <w:rsid w:val="00EC6F3B"/>
    <w:rsid w:val="00EC7F9C"/>
    <w:rsid w:val="00ED046C"/>
    <w:rsid w:val="00ED24E8"/>
    <w:rsid w:val="00ED2DBB"/>
    <w:rsid w:val="00ED3EF9"/>
    <w:rsid w:val="00ED400C"/>
    <w:rsid w:val="00ED6D38"/>
    <w:rsid w:val="00EE2050"/>
    <w:rsid w:val="00EE2570"/>
    <w:rsid w:val="00EE35D2"/>
    <w:rsid w:val="00EE5C10"/>
    <w:rsid w:val="00EF3202"/>
    <w:rsid w:val="00EF359D"/>
    <w:rsid w:val="00EF411A"/>
    <w:rsid w:val="00EF5E22"/>
    <w:rsid w:val="00EF73E3"/>
    <w:rsid w:val="00EF77D3"/>
    <w:rsid w:val="00F015B7"/>
    <w:rsid w:val="00F02133"/>
    <w:rsid w:val="00F06C97"/>
    <w:rsid w:val="00F077D0"/>
    <w:rsid w:val="00F11A05"/>
    <w:rsid w:val="00F139D1"/>
    <w:rsid w:val="00F14FCC"/>
    <w:rsid w:val="00F153FA"/>
    <w:rsid w:val="00F20FBB"/>
    <w:rsid w:val="00F2166B"/>
    <w:rsid w:val="00F2175F"/>
    <w:rsid w:val="00F21BDC"/>
    <w:rsid w:val="00F21E6A"/>
    <w:rsid w:val="00F238AB"/>
    <w:rsid w:val="00F25040"/>
    <w:rsid w:val="00F251AE"/>
    <w:rsid w:val="00F252F1"/>
    <w:rsid w:val="00F25E75"/>
    <w:rsid w:val="00F27C19"/>
    <w:rsid w:val="00F342F4"/>
    <w:rsid w:val="00F34C84"/>
    <w:rsid w:val="00F352A5"/>
    <w:rsid w:val="00F35C90"/>
    <w:rsid w:val="00F364C8"/>
    <w:rsid w:val="00F36F22"/>
    <w:rsid w:val="00F37A08"/>
    <w:rsid w:val="00F409E7"/>
    <w:rsid w:val="00F412BC"/>
    <w:rsid w:val="00F42484"/>
    <w:rsid w:val="00F428F7"/>
    <w:rsid w:val="00F46CF2"/>
    <w:rsid w:val="00F47EAA"/>
    <w:rsid w:val="00F52459"/>
    <w:rsid w:val="00F52574"/>
    <w:rsid w:val="00F52D78"/>
    <w:rsid w:val="00F55F37"/>
    <w:rsid w:val="00F5620A"/>
    <w:rsid w:val="00F57082"/>
    <w:rsid w:val="00F604B2"/>
    <w:rsid w:val="00F61A8E"/>
    <w:rsid w:val="00F642EC"/>
    <w:rsid w:val="00F66178"/>
    <w:rsid w:val="00F66634"/>
    <w:rsid w:val="00F66A35"/>
    <w:rsid w:val="00F66E3A"/>
    <w:rsid w:val="00F706EE"/>
    <w:rsid w:val="00F70FC5"/>
    <w:rsid w:val="00F71A2B"/>
    <w:rsid w:val="00F720C3"/>
    <w:rsid w:val="00F7731D"/>
    <w:rsid w:val="00F8095A"/>
    <w:rsid w:val="00F816F0"/>
    <w:rsid w:val="00F81F88"/>
    <w:rsid w:val="00F8320A"/>
    <w:rsid w:val="00F836A7"/>
    <w:rsid w:val="00F84345"/>
    <w:rsid w:val="00F845CA"/>
    <w:rsid w:val="00F84FAA"/>
    <w:rsid w:val="00F85E3D"/>
    <w:rsid w:val="00F8650E"/>
    <w:rsid w:val="00F87C45"/>
    <w:rsid w:val="00F90AD8"/>
    <w:rsid w:val="00F912BC"/>
    <w:rsid w:val="00F91387"/>
    <w:rsid w:val="00F94878"/>
    <w:rsid w:val="00F95134"/>
    <w:rsid w:val="00F95B09"/>
    <w:rsid w:val="00F976F5"/>
    <w:rsid w:val="00FA02B7"/>
    <w:rsid w:val="00FA4E88"/>
    <w:rsid w:val="00FA5FA2"/>
    <w:rsid w:val="00FA647A"/>
    <w:rsid w:val="00FA6F0C"/>
    <w:rsid w:val="00FB116E"/>
    <w:rsid w:val="00FB1FEE"/>
    <w:rsid w:val="00FB4138"/>
    <w:rsid w:val="00FB4745"/>
    <w:rsid w:val="00FB5590"/>
    <w:rsid w:val="00FB66B0"/>
    <w:rsid w:val="00FB7F71"/>
    <w:rsid w:val="00FC16EC"/>
    <w:rsid w:val="00FC1AB1"/>
    <w:rsid w:val="00FC3365"/>
    <w:rsid w:val="00FC5185"/>
    <w:rsid w:val="00FC6DEF"/>
    <w:rsid w:val="00FC6E01"/>
    <w:rsid w:val="00FC6FBC"/>
    <w:rsid w:val="00FC7A26"/>
    <w:rsid w:val="00FD14B9"/>
    <w:rsid w:val="00FD2554"/>
    <w:rsid w:val="00FD27E8"/>
    <w:rsid w:val="00FD48C8"/>
    <w:rsid w:val="00FD501D"/>
    <w:rsid w:val="00FD517A"/>
    <w:rsid w:val="00FD622B"/>
    <w:rsid w:val="00FD66E9"/>
    <w:rsid w:val="00FE0282"/>
    <w:rsid w:val="00FE0370"/>
    <w:rsid w:val="00FE2CFA"/>
    <w:rsid w:val="00FE3275"/>
    <w:rsid w:val="00FE370F"/>
    <w:rsid w:val="00FE52A7"/>
    <w:rsid w:val="00FE6131"/>
    <w:rsid w:val="00FE623B"/>
    <w:rsid w:val="00FE6E3A"/>
    <w:rsid w:val="00FE6E5F"/>
    <w:rsid w:val="00FE7030"/>
    <w:rsid w:val="00FF0F51"/>
    <w:rsid w:val="00FF1A30"/>
    <w:rsid w:val="00FF43DB"/>
    <w:rsid w:val="00FF548F"/>
    <w:rsid w:val="00FF5E73"/>
    <w:rsid w:val="00FF7548"/>
    <w:rsid w:val="010F3FDB"/>
    <w:rsid w:val="015772A4"/>
    <w:rsid w:val="016E7A07"/>
    <w:rsid w:val="017C6D0A"/>
    <w:rsid w:val="018970B4"/>
    <w:rsid w:val="01AB0606"/>
    <w:rsid w:val="01BD71A8"/>
    <w:rsid w:val="01C64EC2"/>
    <w:rsid w:val="01E11F49"/>
    <w:rsid w:val="020149C2"/>
    <w:rsid w:val="020E2D6E"/>
    <w:rsid w:val="02116E42"/>
    <w:rsid w:val="0231692C"/>
    <w:rsid w:val="024F0599"/>
    <w:rsid w:val="0267054F"/>
    <w:rsid w:val="026950CE"/>
    <w:rsid w:val="026D54BC"/>
    <w:rsid w:val="02720680"/>
    <w:rsid w:val="02745340"/>
    <w:rsid w:val="027938B3"/>
    <w:rsid w:val="0287113C"/>
    <w:rsid w:val="02925398"/>
    <w:rsid w:val="02A1111E"/>
    <w:rsid w:val="02A86F2B"/>
    <w:rsid w:val="02CA40EB"/>
    <w:rsid w:val="02D7314F"/>
    <w:rsid w:val="02FA62C1"/>
    <w:rsid w:val="030841E5"/>
    <w:rsid w:val="03453041"/>
    <w:rsid w:val="035A7953"/>
    <w:rsid w:val="035B74D7"/>
    <w:rsid w:val="036874BF"/>
    <w:rsid w:val="03AA5042"/>
    <w:rsid w:val="03C055D4"/>
    <w:rsid w:val="03D004E8"/>
    <w:rsid w:val="03D26D44"/>
    <w:rsid w:val="03D407D0"/>
    <w:rsid w:val="04220EA3"/>
    <w:rsid w:val="042B4146"/>
    <w:rsid w:val="045B2C62"/>
    <w:rsid w:val="04624ADB"/>
    <w:rsid w:val="04682C70"/>
    <w:rsid w:val="04706FFA"/>
    <w:rsid w:val="048D5B4C"/>
    <w:rsid w:val="04A66E73"/>
    <w:rsid w:val="04D45009"/>
    <w:rsid w:val="04E03EBB"/>
    <w:rsid w:val="050712B1"/>
    <w:rsid w:val="052102F4"/>
    <w:rsid w:val="055025D2"/>
    <w:rsid w:val="0550574F"/>
    <w:rsid w:val="05975077"/>
    <w:rsid w:val="05A52EB7"/>
    <w:rsid w:val="05EC0902"/>
    <w:rsid w:val="062F54E3"/>
    <w:rsid w:val="06481118"/>
    <w:rsid w:val="067473A1"/>
    <w:rsid w:val="06754A17"/>
    <w:rsid w:val="068D43A1"/>
    <w:rsid w:val="068F6116"/>
    <w:rsid w:val="0696799C"/>
    <w:rsid w:val="06B24DD4"/>
    <w:rsid w:val="070A7D90"/>
    <w:rsid w:val="075D1D1B"/>
    <w:rsid w:val="076F27F1"/>
    <w:rsid w:val="0779659B"/>
    <w:rsid w:val="078B6376"/>
    <w:rsid w:val="07B036C4"/>
    <w:rsid w:val="07B96712"/>
    <w:rsid w:val="07D87521"/>
    <w:rsid w:val="07DB1F2A"/>
    <w:rsid w:val="080E62CE"/>
    <w:rsid w:val="08163A15"/>
    <w:rsid w:val="081D1247"/>
    <w:rsid w:val="08206641"/>
    <w:rsid w:val="0825700B"/>
    <w:rsid w:val="08326375"/>
    <w:rsid w:val="08631E00"/>
    <w:rsid w:val="08CA47FF"/>
    <w:rsid w:val="08D15755"/>
    <w:rsid w:val="091E4E7B"/>
    <w:rsid w:val="093D0928"/>
    <w:rsid w:val="094305CA"/>
    <w:rsid w:val="097F28B8"/>
    <w:rsid w:val="09832AAD"/>
    <w:rsid w:val="09936F84"/>
    <w:rsid w:val="099C6D30"/>
    <w:rsid w:val="09C73651"/>
    <w:rsid w:val="09D740CC"/>
    <w:rsid w:val="09D771D4"/>
    <w:rsid w:val="0A053269"/>
    <w:rsid w:val="0A27015B"/>
    <w:rsid w:val="0A430A18"/>
    <w:rsid w:val="0A850BFA"/>
    <w:rsid w:val="0A8A19B9"/>
    <w:rsid w:val="0A95506E"/>
    <w:rsid w:val="0ACF434F"/>
    <w:rsid w:val="0ADE3B39"/>
    <w:rsid w:val="0B430C8C"/>
    <w:rsid w:val="0B4A1D3D"/>
    <w:rsid w:val="0B5807E8"/>
    <w:rsid w:val="0B6145B2"/>
    <w:rsid w:val="0B7B5F97"/>
    <w:rsid w:val="0B9773A2"/>
    <w:rsid w:val="0B9F0FCA"/>
    <w:rsid w:val="0BA214F1"/>
    <w:rsid w:val="0BBF019F"/>
    <w:rsid w:val="0C464D2B"/>
    <w:rsid w:val="0C54268B"/>
    <w:rsid w:val="0C8470FB"/>
    <w:rsid w:val="0C905B62"/>
    <w:rsid w:val="0CA14791"/>
    <w:rsid w:val="0CC815A3"/>
    <w:rsid w:val="0CD268BD"/>
    <w:rsid w:val="0CFB01CC"/>
    <w:rsid w:val="0D0D65DB"/>
    <w:rsid w:val="0D4B4161"/>
    <w:rsid w:val="0D574DD8"/>
    <w:rsid w:val="0D583B24"/>
    <w:rsid w:val="0D5B52F1"/>
    <w:rsid w:val="0D8007C7"/>
    <w:rsid w:val="0DB261BE"/>
    <w:rsid w:val="0DCD512E"/>
    <w:rsid w:val="0DD26C25"/>
    <w:rsid w:val="0DE86006"/>
    <w:rsid w:val="0DFA14B8"/>
    <w:rsid w:val="0E1129BE"/>
    <w:rsid w:val="0E1B4A98"/>
    <w:rsid w:val="0E1F739B"/>
    <w:rsid w:val="0E2530FD"/>
    <w:rsid w:val="0E664FCA"/>
    <w:rsid w:val="0E7009ED"/>
    <w:rsid w:val="0E7E2314"/>
    <w:rsid w:val="0E9E2C60"/>
    <w:rsid w:val="0EB075B4"/>
    <w:rsid w:val="0EC51C4F"/>
    <w:rsid w:val="0EC51CF1"/>
    <w:rsid w:val="0ECC396A"/>
    <w:rsid w:val="0EFC1D39"/>
    <w:rsid w:val="0EFF223E"/>
    <w:rsid w:val="0F0A1D9A"/>
    <w:rsid w:val="0F0C656A"/>
    <w:rsid w:val="0F0E7B3C"/>
    <w:rsid w:val="0F15224B"/>
    <w:rsid w:val="0F260665"/>
    <w:rsid w:val="0F2E15CB"/>
    <w:rsid w:val="0F346E76"/>
    <w:rsid w:val="0F502AB1"/>
    <w:rsid w:val="0F59068B"/>
    <w:rsid w:val="0F5971EF"/>
    <w:rsid w:val="0F5C32FA"/>
    <w:rsid w:val="0F754B81"/>
    <w:rsid w:val="0F7F4F8E"/>
    <w:rsid w:val="0FAD04BA"/>
    <w:rsid w:val="0FC755DD"/>
    <w:rsid w:val="0FC8007B"/>
    <w:rsid w:val="0FCD295A"/>
    <w:rsid w:val="0FD028DB"/>
    <w:rsid w:val="0FDA6F04"/>
    <w:rsid w:val="0FF7237E"/>
    <w:rsid w:val="101E237F"/>
    <w:rsid w:val="1027297C"/>
    <w:rsid w:val="103F1600"/>
    <w:rsid w:val="10546C22"/>
    <w:rsid w:val="10582B03"/>
    <w:rsid w:val="105B6646"/>
    <w:rsid w:val="10667503"/>
    <w:rsid w:val="10686DD7"/>
    <w:rsid w:val="1071559E"/>
    <w:rsid w:val="10817E99"/>
    <w:rsid w:val="10A4067E"/>
    <w:rsid w:val="10B36BA0"/>
    <w:rsid w:val="110E6CED"/>
    <w:rsid w:val="11584F1D"/>
    <w:rsid w:val="11775751"/>
    <w:rsid w:val="117A29FE"/>
    <w:rsid w:val="117F6292"/>
    <w:rsid w:val="118706DC"/>
    <w:rsid w:val="11874C0D"/>
    <w:rsid w:val="118A4131"/>
    <w:rsid w:val="119A4C7A"/>
    <w:rsid w:val="11AC0DEE"/>
    <w:rsid w:val="11BE2EDF"/>
    <w:rsid w:val="11CB368A"/>
    <w:rsid w:val="11D57558"/>
    <w:rsid w:val="11D84DDA"/>
    <w:rsid w:val="11DB182B"/>
    <w:rsid w:val="11EB0C47"/>
    <w:rsid w:val="11F55AFB"/>
    <w:rsid w:val="11FC38AD"/>
    <w:rsid w:val="11FF6900"/>
    <w:rsid w:val="121556F8"/>
    <w:rsid w:val="121F3E74"/>
    <w:rsid w:val="125C6EF5"/>
    <w:rsid w:val="12635AA8"/>
    <w:rsid w:val="1280102C"/>
    <w:rsid w:val="129E3735"/>
    <w:rsid w:val="12AB5681"/>
    <w:rsid w:val="12AB744F"/>
    <w:rsid w:val="12BD659C"/>
    <w:rsid w:val="12C63B30"/>
    <w:rsid w:val="12D47F8E"/>
    <w:rsid w:val="133515FA"/>
    <w:rsid w:val="134F427F"/>
    <w:rsid w:val="135476EE"/>
    <w:rsid w:val="135528E4"/>
    <w:rsid w:val="13925BB6"/>
    <w:rsid w:val="1398742E"/>
    <w:rsid w:val="13C30433"/>
    <w:rsid w:val="13CE3D7E"/>
    <w:rsid w:val="13DD51D6"/>
    <w:rsid w:val="13ED4884"/>
    <w:rsid w:val="13F76B7A"/>
    <w:rsid w:val="149A1EEC"/>
    <w:rsid w:val="14C52EF0"/>
    <w:rsid w:val="14CA0AA9"/>
    <w:rsid w:val="14E26EC5"/>
    <w:rsid w:val="14ED3CDA"/>
    <w:rsid w:val="150648E4"/>
    <w:rsid w:val="151B539B"/>
    <w:rsid w:val="15202377"/>
    <w:rsid w:val="15276EC0"/>
    <w:rsid w:val="152D3352"/>
    <w:rsid w:val="154D3958"/>
    <w:rsid w:val="155674EA"/>
    <w:rsid w:val="157B7ED4"/>
    <w:rsid w:val="157C0DB9"/>
    <w:rsid w:val="158B5B76"/>
    <w:rsid w:val="15951C98"/>
    <w:rsid w:val="15A557A1"/>
    <w:rsid w:val="15AF0B0B"/>
    <w:rsid w:val="15D469C1"/>
    <w:rsid w:val="15D52128"/>
    <w:rsid w:val="15E81CEA"/>
    <w:rsid w:val="1603251F"/>
    <w:rsid w:val="16135A37"/>
    <w:rsid w:val="16475C90"/>
    <w:rsid w:val="164848B5"/>
    <w:rsid w:val="164B6F7F"/>
    <w:rsid w:val="164C1B54"/>
    <w:rsid w:val="1653018D"/>
    <w:rsid w:val="167C538B"/>
    <w:rsid w:val="16BA1E12"/>
    <w:rsid w:val="16BE20AF"/>
    <w:rsid w:val="16F45869"/>
    <w:rsid w:val="1719579D"/>
    <w:rsid w:val="17544559"/>
    <w:rsid w:val="17725B6F"/>
    <w:rsid w:val="1784772B"/>
    <w:rsid w:val="179E6689"/>
    <w:rsid w:val="179F52AD"/>
    <w:rsid w:val="17A40F63"/>
    <w:rsid w:val="17BF4347"/>
    <w:rsid w:val="17C50FB3"/>
    <w:rsid w:val="17C57844"/>
    <w:rsid w:val="182715CC"/>
    <w:rsid w:val="18291542"/>
    <w:rsid w:val="18302F8F"/>
    <w:rsid w:val="183C5221"/>
    <w:rsid w:val="1852473A"/>
    <w:rsid w:val="18574301"/>
    <w:rsid w:val="18614AF2"/>
    <w:rsid w:val="187E379C"/>
    <w:rsid w:val="18816418"/>
    <w:rsid w:val="18B852E0"/>
    <w:rsid w:val="18FF6B72"/>
    <w:rsid w:val="19046536"/>
    <w:rsid w:val="190E09B3"/>
    <w:rsid w:val="1910625E"/>
    <w:rsid w:val="19293481"/>
    <w:rsid w:val="1965147C"/>
    <w:rsid w:val="196D230A"/>
    <w:rsid w:val="196D36B1"/>
    <w:rsid w:val="198E13BC"/>
    <w:rsid w:val="19902C18"/>
    <w:rsid w:val="19947A42"/>
    <w:rsid w:val="19986554"/>
    <w:rsid w:val="19BB1DA1"/>
    <w:rsid w:val="19C31EB1"/>
    <w:rsid w:val="19C36DEA"/>
    <w:rsid w:val="19DE7622"/>
    <w:rsid w:val="19DF4B74"/>
    <w:rsid w:val="19EA28FF"/>
    <w:rsid w:val="1A3C1943"/>
    <w:rsid w:val="1A636BA3"/>
    <w:rsid w:val="1A655E22"/>
    <w:rsid w:val="1A717C2D"/>
    <w:rsid w:val="1A954C6D"/>
    <w:rsid w:val="1AD22AD6"/>
    <w:rsid w:val="1AE00149"/>
    <w:rsid w:val="1B012D77"/>
    <w:rsid w:val="1B333913"/>
    <w:rsid w:val="1B3A6A3C"/>
    <w:rsid w:val="1B400679"/>
    <w:rsid w:val="1B4346C9"/>
    <w:rsid w:val="1B5E736C"/>
    <w:rsid w:val="1BD4118F"/>
    <w:rsid w:val="1BD96FF4"/>
    <w:rsid w:val="1BED3DBF"/>
    <w:rsid w:val="1C0A64D6"/>
    <w:rsid w:val="1C111B5C"/>
    <w:rsid w:val="1C60693E"/>
    <w:rsid w:val="1C9C3E60"/>
    <w:rsid w:val="1CB205DC"/>
    <w:rsid w:val="1CBF00B0"/>
    <w:rsid w:val="1D352737"/>
    <w:rsid w:val="1D833A3D"/>
    <w:rsid w:val="1D976142"/>
    <w:rsid w:val="1D9B1F02"/>
    <w:rsid w:val="1DE408A0"/>
    <w:rsid w:val="1E0364D4"/>
    <w:rsid w:val="1E212EC2"/>
    <w:rsid w:val="1E344D01"/>
    <w:rsid w:val="1E437295"/>
    <w:rsid w:val="1E4A3DA7"/>
    <w:rsid w:val="1E5266AD"/>
    <w:rsid w:val="1E6037E4"/>
    <w:rsid w:val="1E706194"/>
    <w:rsid w:val="1E72356E"/>
    <w:rsid w:val="1E897941"/>
    <w:rsid w:val="1EDD1842"/>
    <w:rsid w:val="1F0D396C"/>
    <w:rsid w:val="1F275B1E"/>
    <w:rsid w:val="1F327FB9"/>
    <w:rsid w:val="1F351B72"/>
    <w:rsid w:val="1F996FAD"/>
    <w:rsid w:val="1F9F7FC7"/>
    <w:rsid w:val="1FA339D2"/>
    <w:rsid w:val="1FF16D40"/>
    <w:rsid w:val="1FFB7C68"/>
    <w:rsid w:val="2000194B"/>
    <w:rsid w:val="200971FB"/>
    <w:rsid w:val="201821DC"/>
    <w:rsid w:val="202111D1"/>
    <w:rsid w:val="2031184D"/>
    <w:rsid w:val="20474026"/>
    <w:rsid w:val="206D0FC3"/>
    <w:rsid w:val="208D73FF"/>
    <w:rsid w:val="20A536C8"/>
    <w:rsid w:val="20A905EB"/>
    <w:rsid w:val="20B26568"/>
    <w:rsid w:val="20B32F03"/>
    <w:rsid w:val="20D0688E"/>
    <w:rsid w:val="21283A05"/>
    <w:rsid w:val="212F1707"/>
    <w:rsid w:val="21465964"/>
    <w:rsid w:val="214A44D1"/>
    <w:rsid w:val="21F3755F"/>
    <w:rsid w:val="220809BA"/>
    <w:rsid w:val="220A2CD1"/>
    <w:rsid w:val="22130DB7"/>
    <w:rsid w:val="2232625B"/>
    <w:rsid w:val="2236797F"/>
    <w:rsid w:val="223763A5"/>
    <w:rsid w:val="22585161"/>
    <w:rsid w:val="228603C0"/>
    <w:rsid w:val="228E5DD1"/>
    <w:rsid w:val="229A4B55"/>
    <w:rsid w:val="22A74638"/>
    <w:rsid w:val="22C83198"/>
    <w:rsid w:val="22D9606C"/>
    <w:rsid w:val="22F723D4"/>
    <w:rsid w:val="22F97D63"/>
    <w:rsid w:val="232D45BC"/>
    <w:rsid w:val="23307C29"/>
    <w:rsid w:val="23395D5E"/>
    <w:rsid w:val="23427D30"/>
    <w:rsid w:val="235047C5"/>
    <w:rsid w:val="23A45BDB"/>
    <w:rsid w:val="23A74D62"/>
    <w:rsid w:val="23A8560D"/>
    <w:rsid w:val="23BB4F5B"/>
    <w:rsid w:val="23CC12FD"/>
    <w:rsid w:val="244020ED"/>
    <w:rsid w:val="246B6A3F"/>
    <w:rsid w:val="24C42EA4"/>
    <w:rsid w:val="24C61218"/>
    <w:rsid w:val="24DA26F3"/>
    <w:rsid w:val="24F67CBC"/>
    <w:rsid w:val="25153232"/>
    <w:rsid w:val="251A4B63"/>
    <w:rsid w:val="251B4E50"/>
    <w:rsid w:val="252C507B"/>
    <w:rsid w:val="25AE3087"/>
    <w:rsid w:val="25C8151B"/>
    <w:rsid w:val="25CD0D03"/>
    <w:rsid w:val="260D72A5"/>
    <w:rsid w:val="2613294C"/>
    <w:rsid w:val="265A242F"/>
    <w:rsid w:val="265B376D"/>
    <w:rsid w:val="26A83F7A"/>
    <w:rsid w:val="26D0228D"/>
    <w:rsid w:val="26D679D1"/>
    <w:rsid w:val="270D4799"/>
    <w:rsid w:val="272A1500"/>
    <w:rsid w:val="27446C66"/>
    <w:rsid w:val="274F2647"/>
    <w:rsid w:val="275726EE"/>
    <w:rsid w:val="276E2ACE"/>
    <w:rsid w:val="279C28E8"/>
    <w:rsid w:val="27D17500"/>
    <w:rsid w:val="27DB30BF"/>
    <w:rsid w:val="27EC41D6"/>
    <w:rsid w:val="27F827F9"/>
    <w:rsid w:val="28096C9A"/>
    <w:rsid w:val="281A6322"/>
    <w:rsid w:val="28420255"/>
    <w:rsid w:val="28620A3A"/>
    <w:rsid w:val="286A1094"/>
    <w:rsid w:val="28B43FD8"/>
    <w:rsid w:val="28D5482E"/>
    <w:rsid w:val="28DF6BBF"/>
    <w:rsid w:val="28EB66AF"/>
    <w:rsid w:val="28F51F8B"/>
    <w:rsid w:val="28F936A8"/>
    <w:rsid w:val="291920F1"/>
    <w:rsid w:val="29323FCF"/>
    <w:rsid w:val="29335E65"/>
    <w:rsid w:val="293F052B"/>
    <w:rsid w:val="29764257"/>
    <w:rsid w:val="299D6F1C"/>
    <w:rsid w:val="29A038E7"/>
    <w:rsid w:val="29AA0049"/>
    <w:rsid w:val="29F25FE3"/>
    <w:rsid w:val="2A0A43FF"/>
    <w:rsid w:val="2A4321BC"/>
    <w:rsid w:val="2A6C7809"/>
    <w:rsid w:val="2A6E0388"/>
    <w:rsid w:val="2A7B4F7C"/>
    <w:rsid w:val="2A871915"/>
    <w:rsid w:val="2A9676AF"/>
    <w:rsid w:val="2AA90A3A"/>
    <w:rsid w:val="2AB063BD"/>
    <w:rsid w:val="2ACF0BAA"/>
    <w:rsid w:val="2AD77B42"/>
    <w:rsid w:val="2AE632C3"/>
    <w:rsid w:val="2B3C221A"/>
    <w:rsid w:val="2B5C2A60"/>
    <w:rsid w:val="2B68132F"/>
    <w:rsid w:val="2B7703BB"/>
    <w:rsid w:val="2B806624"/>
    <w:rsid w:val="2BB94C4B"/>
    <w:rsid w:val="2BC8185A"/>
    <w:rsid w:val="2BE163D4"/>
    <w:rsid w:val="2BF221CA"/>
    <w:rsid w:val="2C15155C"/>
    <w:rsid w:val="2C20111F"/>
    <w:rsid w:val="2C331DA1"/>
    <w:rsid w:val="2C3D5164"/>
    <w:rsid w:val="2C4D1BC8"/>
    <w:rsid w:val="2C7836D1"/>
    <w:rsid w:val="2C845F66"/>
    <w:rsid w:val="2CB43679"/>
    <w:rsid w:val="2CCD7287"/>
    <w:rsid w:val="2CEF40BF"/>
    <w:rsid w:val="2D1B6643"/>
    <w:rsid w:val="2D2D4B7E"/>
    <w:rsid w:val="2D54770E"/>
    <w:rsid w:val="2D5B6A13"/>
    <w:rsid w:val="2DCC49F2"/>
    <w:rsid w:val="2DCD500A"/>
    <w:rsid w:val="2DCE076A"/>
    <w:rsid w:val="2DE0049D"/>
    <w:rsid w:val="2DF664DF"/>
    <w:rsid w:val="2E185B88"/>
    <w:rsid w:val="2E540595"/>
    <w:rsid w:val="2E772BB0"/>
    <w:rsid w:val="2E7B1F74"/>
    <w:rsid w:val="2E9F47B5"/>
    <w:rsid w:val="2EA241D7"/>
    <w:rsid w:val="2EC9075E"/>
    <w:rsid w:val="2ED702F9"/>
    <w:rsid w:val="2ED90F95"/>
    <w:rsid w:val="2EEB201F"/>
    <w:rsid w:val="2EF02908"/>
    <w:rsid w:val="2EF74427"/>
    <w:rsid w:val="2EFA3C58"/>
    <w:rsid w:val="2F034A33"/>
    <w:rsid w:val="2F036928"/>
    <w:rsid w:val="2F20037F"/>
    <w:rsid w:val="2F3F4862"/>
    <w:rsid w:val="2F4C796E"/>
    <w:rsid w:val="2F827CC1"/>
    <w:rsid w:val="2F866E22"/>
    <w:rsid w:val="2FC827D1"/>
    <w:rsid w:val="2FFF0AFA"/>
    <w:rsid w:val="3026727E"/>
    <w:rsid w:val="302D729E"/>
    <w:rsid w:val="302F63BA"/>
    <w:rsid w:val="304C376E"/>
    <w:rsid w:val="306C5F79"/>
    <w:rsid w:val="307669C6"/>
    <w:rsid w:val="30826204"/>
    <w:rsid w:val="3095018C"/>
    <w:rsid w:val="30AD7E02"/>
    <w:rsid w:val="30BF3A04"/>
    <w:rsid w:val="30C752AD"/>
    <w:rsid w:val="30DF3031"/>
    <w:rsid w:val="310958C0"/>
    <w:rsid w:val="31214DBC"/>
    <w:rsid w:val="3139239E"/>
    <w:rsid w:val="31562B39"/>
    <w:rsid w:val="3173576E"/>
    <w:rsid w:val="31C9500C"/>
    <w:rsid w:val="31D54EC8"/>
    <w:rsid w:val="32226443"/>
    <w:rsid w:val="323941BF"/>
    <w:rsid w:val="328033B4"/>
    <w:rsid w:val="32A85541"/>
    <w:rsid w:val="32C53156"/>
    <w:rsid w:val="32E5696D"/>
    <w:rsid w:val="3304084E"/>
    <w:rsid w:val="330611EB"/>
    <w:rsid w:val="33137F7A"/>
    <w:rsid w:val="331E32BE"/>
    <w:rsid w:val="3324596F"/>
    <w:rsid w:val="33276ABE"/>
    <w:rsid w:val="33516FE4"/>
    <w:rsid w:val="336254B1"/>
    <w:rsid w:val="336C7F3D"/>
    <w:rsid w:val="336D4581"/>
    <w:rsid w:val="33866105"/>
    <w:rsid w:val="33912802"/>
    <w:rsid w:val="33B0082D"/>
    <w:rsid w:val="33BB5579"/>
    <w:rsid w:val="33C85C5B"/>
    <w:rsid w:val="33E34843"/>
    <w:rsid w:val="33FF6B9A"/>
    <w:rsid w:val="34176792"/>
    <w:rsid w:val="342A4220"/>
    <w:rsid w:val="342E7CFA"/>
    <w:rsid w:val="34775C7A"/>
    <w:rsid w:val="34A57273"/>
    <w:rsid w:val="34AD0103"/>
    <w:rsid w:val="34DC0D0D"/>
    <w:rsid w:val="34EE358D"/>
    <w:rsid w:val="350A1FC9"/>
    <w:rsid w:val="35103224"/>
    <w:rsid w:val="35144B94"/>
    <w:rsid w:val="35284C04"/>
    <w:rsid w:val="356E30DF"/>
    <w:rsid w:val="3578785B"/>
    <w:rsid w:val="357A5A91"/>
    <w:rsid w:val="358040CE"/>
    <w:rsid w:val="3585407F"/>
    <w:rsid w:val="358B6300"/>
    <w:rsid w:val="35AE66B0"/>
    <w:rsid w:val="35B53732"/>
    <w:rsid w:val="35B57776"/>
    <w:rsid w:val="35E714A5"/>
    <w:rsid w:val="36211653"/>
    <w:rsid w:val="362206A4"/>
    <w:rsid w:val="364761C8"/>
    <w:rsid w:val="364D4B7E"/>
    <w:rsid w:val="365E5541"/>
    <w:rsid w:val="36624173"/>
    <w:rsid w:val="367125DA"/>
    <w:rsid w:val="3684230E"/>
    <w:rsid w:val="368D5268"/>
    <w:rsid w:val="36913291"/>
    <w:rsid w:val="36AE1B47"/>
    <w:rsid w:val="36DC2DED"/>
    <w:rsid w:val="37075D69"/>
    <w:rsid w:val="371470BE"/>
    <w:rsid w:val="371F666F"/>
    <w:rsid w:val="37831746"/>
    <w:rsid w:val="37E40B8A"/>
    <w:rsid w:val="382F22CB"/>
    <w:rsid w:val="3834062E"/>
    <w:rsid w:val="383575FF"/>
    <w:rsid w:val="38B7004D"/>
    <w:rsid w:val="38C85737"/>
    <w:rsid w:val="38D75B3A"/>
    <w:rsid w:val="38EC34B5"/>
    <w:rsid w:val="38FC2CB6"/>
    <w:rsid w:val="38FD786D"/>
    <w:rsid w:val="390A05B8"/>
    <w:rsid w:val="3928525D"/>
    <w:rsid w:val="397360E5"/>
    <w:rsid w:val="399A1E48"/>
    <w:rsid w:val="39A55539"/>
    <w:rsid w:val="39B101CB"/>
    <w:rsid w:val="39E941A5"/>
    <w:rsid w:val="3A176886"/>
    <w:rsid w:val="3A4D7B16"/>
    <w:rsid w:val="3A6C43F3"/>
    <w:rsid w:val="3A79380C"/>
    <w:rsid w:val="3A7E0E22"/>
    <w:rsid w:val="3A832C4C"/>
    <w:rsid w:val="3A852E75"/>
    <w:rsid w:val="3A8B1693"/>
    <w:rsid w:val="3A8F1452"/>
    <w:rsid w:val="3AAD2EAD"/>
    <w:rsid w:val="3AB83E64"/>
    <w:rsid w:val="3ADF5AF7"/>
    <w:rsid w:val="3AEC7423"/>
    <w:rsid w:val="3AFF007D"/>
    <w:rsid w:val="3B366832"/>
    <w:rsid w:val="3B491430"/>
    <w:rsid w:val="3B6224F2"/>
    <w:rsid w:val="3B764833"/>
    <w:rsid w:val="3B80284C"/>
    <w:rsid w:val="3BA543CE"/>
    <w:rsid w:val="3BAE755F"/>
    <w:rsid w:val="3C01720E"/>
    <w:rsid w:val="3C1B1B03"/>
    <w:rsid w:val="3C2D3B2D"/>
    <w:rsid w:val="3C49757A"/>
    <w:rsid w:val="3C936ACD"/>
    <w:rsid w:val="3C990195"/>
    <w:rsid w:val="3CB26246"/>
    <w:rsid w:val="3CB87ABF"/>
    <w:rsid w:val="3D210991"/>
    <w:rsid w:val="3D3659E4"/>
    <w:rsid w:val="3D4E0F7F"/>
    <w:rsid w:val="3D4F4F78"/>
    <w:rsid w:val="3D5D07B2"/>
    <w:rsid w:val="3D5E5F47"/>
    <w:rsid w:val="3DB53026"/>
    <w:rsid w:val="3DDB4417"/>
    <w:rsid w:val="3E246697"/>
    <w:rsid w:val="3E2A5758"/>
    <w:rsid w:val="3E3424FD"/>
    <w:rsid w:val="3E3816FC"/>
    <w:rsid w:val="3E3C527C"/>
    <w:rsid w:val="3E3D3C69"/>
    <w:rsid w:val="3E530BDC"/>
    <w:rsid w:val="3E5A1BA6"/>
    <w:rsid w:val="3E620386"/>
    <w:rsid w:val="3E661304"/>
    <w:rsid w:val="3E8E051C"/>
    <w:rsid w:val="3EC423D5"/>
    <w:rsid w:val="3F19736B"/>
    <w:rsid w:val="3F3E3593"/>
    <w:rsid w:val="3F47714F"/>
    <w:rsid w:val="3F5208D4"/>
    <w:rsid w:val="3F6979F7"/>
    <w:rsid w:val="3F6C58D8"/>
    <w:rsid w:val="3F7520AA"/>
    <w:rsid w:val="3F941805"/>
    <w:rsid w:val="3F9B3412"/>
    <w:rsid w:val="3FA304E2"/>
    <w:rsid w:val="3FBE399E"/>
    <w:rsid w:val="3FC30F9A"/>
    <w:rsid w:val="3FCD7C4E"/>
    <w:rsid w:val="3FCF08F3"/>
    <w:rsid w:val="3FE7711F"/>
    <w:rsid w:val="40135D32"/>
    <w:rsid w:val="403A7E98"/>
    <w:rsid w:val="403D6DEB"/>
    <w:rsid w:val="40811FF8"/>
    <w:rsid w:val="408C5DFC"/>
    <w:rsid w:val="409940C9"/>
    <w:rsid w:val="40AF1B92"/>
    <w:rsid w:val="40E02618"/>
    <w:rsid w:val="41021E6C"/>
    <w:rsid w:val="411841B3"/>
    <w:rsid w:val="413A7EF4"/>
    <w:rsid w:val="41601630"/>
    <w:rsid w:val="419E16BD"/>
    <w:rsid w:val="41AF2209"/>
    <w:rsid w:val="41D738D0"/>
    <w:rsid w:val="41DA4426"/>
    <w:rsid w:val="41E13C5D"/>
    <w:rsid w:val="41E74C6A"/>
    <w:rsid w:val="41F11704"/>
    <w:rsid w:val="41FD297A"/>
    <w:rsid w:val="420460B1"/>
    <w:rsid w:val="421B467A"/>
    <w:rsid w:val="42432884"/>
    <w:rsid w:val="42577C0D"/>
    <w:rsid w:val="425A4D0F"/>
    <w:rsid w:val="426C4A9A"/>
    <w:rsid w:val="42712003"/>
    <w:rsid w:val="42943C1E"/>
    <w:rsid w:val="42B65E24"/>
    <w:rsid w:val="42B73F10"/>
    <w:rsid w:val="42B85CCA"/>
    <w:rsid w:val="42BC0F21"/>
    <w:rsid w:val="42BF647C"/>
    <w:rsid w:val="42E252DD"/>
    <w:rsid w:val="42FA3003"/>
    <w:rsid w:val="42FF79FC"/>
    <w:rsid w:val="430E760B"/>
    <w:rsid w:val="4321106E"/>
    <w:rsid w:val="432E20F9"/>
    <w:rsid w:val="43417647"/>
    <w:rsid w:val="435441A0"/>
    <w:rsid w:val="43661917"/>
    <w:rsid w:val="43917E18"/>
    <w:rsid w:val="4398476D"/>
    <w:rsid w:val="43A1369E"/>
    <w:rsid w:val="43A30C78"/>
    <w:rsid w:val="43D41812"/>
    <w:rsid w:val="43E26418"/>
    <w:rsid w:val="440A10E8"/>
    <w:rsid w:val="4435564B"/>
    <w:rsid w:val="4447497A"/>
    <w:rsid w:val="445762BF"/>
    <w:rsid w:val="449F09A5"/>
    <w:rsid w:val="44A20AA7"/>
    <w:rsid w:val="44AA6B01"/>
    <w:rsid w:val="44D933D0"/>
    <w:rsid w:val="44E1338D"/>
    <w:rsid w:val="451A070F"/>
    <w:rsid w:val="45250F94"/>
    <w:rsid w:val="452954FE"/>
    <w:rsid w:val="453D7EFA"/>
    <w:rsid w:val="45555FDE"/>
    <w:rsid w:val="458D5BDB"/>
    <w:rsid w:val="458F3A70"/>
    <w:rsid w:val="458F6565"/>
    <w:rsid w:val="45A5257D"/>
    <w:rsid w:val="45C65C68"/>
    <w:rsid w:val="45F14B7F"/>
    <w:rsid w:val="461B21FD"/>
    <w:rsid w:val="46380A1F"/>
    <w:rsid w:val="4645012C"/>
    <w:rsid w:val="46535CCB"/>
    <w:rsid w:val="46691D13"/>
    <w:rsid w:val="467A1C03"/>
    <w:rsid w:val="46942B75"/>
    <w:rsid w:val="46AA485D"/>
    <w:rsid w:val="46DE6A27"/>
    <w:rsid w:val="46EE5B96"/>
    <w:rsid w:val="47317B64"/>
    <w:rsid w:val="47D225A6"/>
    <w:rsid w:val="47D63D49"/>
    <w:rsid w:val="47F46EE7"/>
    <w:rsid w:val="48254FD3"/>
    <w:rsid w:val="483568A3"/>
    <w:rsid w:val="48391057"/>
    <w:rsid w:val="484148E8"/>
    <w:rsid w:val="484D5848"/>
    <w:rsid w:val="48545FB0"/>
    <w:rsid w:val="486D5D35"/>
    <w:rsid w:val="48772B82"/>
    <w:rsid w:val="48885E0A"/>
    <w:rsid w:val="488D60D4"/>
    <w:rsid w:val="48C442C2"/>
    <w:rsid w:val="48DE0460"/>
    <w:rsid w:val="48FF0795"/>
    <w:rsid w:val="49155B3C"/>
    <w:rsid w:val="495530D2"/>
    <w:rsid w:val="496F0BFB"/>
    <w:rsid w:val="49A0757E"/>
    <w:rsid w:val="49C4532E"/>
    <w:rsid w:val="4A1B668D"/>
    <w:rsid w:val="4A520AD9"/>
    <w:rsid w:val="4A673681"/>
    <w:rsid w:val="4A6A20BE"/>
    <w:rsid w:val="4A7F040C"/>
    <w:rsid w:val="4A8515F0"/>
    <w:rsid w:val="4A8E2C10"/>
    <w:rsid w:val="4A8F5A0D"/>
    <w:rsid w:val="4AA30356"/>
    <w:rsid w:val="4AFD5D93"/>
    <w:rsid w:val="4B0605E0"/>
    <w:rsid w:val="4B1D4BAD"/>
    <w:rsid w:val="4B1F21AD"/>
    <w:rsid w:val="4B1F5D09"/>
    <w:rsid w:val="4B3C76AE"/>
    <w:rsid w:val="4B6C2581"/>
    <w:rsid w:val="4B6E609D"/>
    <w:rsid w:val="4B7B6EA8"/>
    <w:rsid w:val="4BA659AC"/>
    <w:rsid w:val="4BAF1783"/>
    <w:rsid w:val="4BC30C8E"/>
    <w:rsid w:val="4BC845F3"/>
    <w:rsid w:val="4BD1770C"/>
    <w:rsid w:val="4C030E6D"/>
    <w:rsid w:val="4C054289"/>
    <w:rsid w:val="4C0A470F"/>
    <w:rsid w:val="4C5A2CF0"/>
    <w:rsid w:val="4C73379E"/>
    <w:rsid w:val="4CBB2F67"/>
    <w:rsid w:val="4D203FBB"/>
    <w:rsid w:val="4D277092"/>
    <w:rsid w:val="4D2F506E"/>
    <w:rsid w:val="4D7216F3"/>
    <w:rsid w:val="4D944873"/>
    <w:rsid w:val="4DB358DA"/>
    <w:rsid w:val="4DCE3A17"/>
    <w:rsid w:val="4DE4323A"/>
    <w:rsid w:val="4DF96CE5"/>
    <w:rsid w:val="4E0B2181"/>
    <w:rsid w:val="4E1A1C34"/>
    <w:rsid w:val="4E323FA5"/>
    <w:rsid w:val="4E4F0B8E"/>
    <w:rsid w:val="4E75218D"/>
    <w:rsid w:val="4E8B606E"/>
    <w:rsid w:val="4E946A0E"/>
    <w:rsid w:val="4E985683"/>
    <w:rsid w:val="4EA97373"/>
    <w:rsid w:val="4EC06F77"/>
    <w:rsid w:val="4F0904E5"/>
    <w:rsid w:val="4F4F1F1C"/>
    <w:rsid w:val="4F677EBD"/>
    <w:rsid w:val="4F884EF3"/>
    <w:rsid w:val="4FAB26C2"/>
    <w:rsid w:val="4FC1761E"/>
    <w:rsid w:val="4FED6C07"/>
    <w:rsid w:val="50344DE9"/>
    <w:rsid w:val="5069048A"/>
    <w:rsid w:val="50903205"/>
    <w:rsid w:val="509F2F44"/>
    <w:rsid w:val="50D70E34"/>
    <w:rsid w:val="50ED0A0A"/>
    <w:rsid w:val="50F77C1E"/>
    <w:rsid w:val="50F8314B"/>
    <w:rsid w:val="50FB16FE"/>
    <w:rsid w:val="511D2CEB"/>
    <w:rsid w:val="51445A6B"/>
    <w:rsid w:val="514559F4"/>
    <w:rsid w:val="51596DCD"/>
    <w:rsid w:val="517F5754"/>
    <w:rsid w:val="519C21AA"/>
    <w:rsid w:val="51AA0A4A"/>
    <w:rsid w:val="51B11685"/>
    <w:rsid w:val="51BE279F"/>
    <w:rsid w:val="51F75BDF"/>
    <w:rsid w:val="5208644B"/>
    <w:rsid w:val="521B319D"/>
    <w:rsid w:val="52A1313A"/>
    <w:rsid w:val="52A512A7"/>
    <w:rsid w:val="52CE3135"/>
    <w:rsid w:val="52DB24C5"/>
    <w:rsid w:val="52F65C9A"/>
    <w:rsid w:val="53006B26"/>
    <w:rsid w:val="530A5D6A"/>
    <w:rsid w:val="53387F5D"/>
    <w:rsid w:val="53476745"/>
    <w:rsid w:val="534B5A2F"/>
    <w:rsid w:val="53890B0C"/>
    <w:rsid w:val="53986B77"/>
    <w:rsid w:val="539C65F4"/>
    <w:rsid w:val="53C67DF9"/>
    <w:rsid w:val="53F05628"/>
    <w:rsid w:val="543619A0"/>
    <w:rsid w:val="5444538C"/>
    <w:rsid w:val="548E77CD"/>
    <w:rsid w:val="54AD1A17"/>
    <w:rsid w:val="54D33318"/>
    <w:rsid w:val="54E32FA5"/>
    <w:rsid w:val="552261D0"/>
    <w:rsid w:val="554178AE"/>
    <w:rsid w:val="55417BD1"/>
    <w:rsid w:val="556E7FB9"/>
    <w:rsid w:val="5570350E"/>
    <w:rsid w:val="5578537D"/>
    <w:rsid w:val="557C1FAA"/>
    <w:rsid w:val="55A47ACC"/>
    <w:rsid w:val="55CA71B9"/>
    <w:rsid w:val="55E80600"/>
    <w:rsid w:val="55E97640"/>
    <w:rsid w:val="55F008D6"/>
    <w:rsid w:val="5619542C"/>
    <w:rsid w:val="562F59CB"/>
    <w:rsid w:val="562F79A2"/>
    <w:rsid w:val="563D3F08"/>
    <w:rsid w:val="5655719F"/>
    <w:rsid w:val="56617161"/>
    <w:rsid w:val="567A1C19"/>
    <w:rsid w:val="56A50B48"/>
    <w:rsid w:val="56A96942"/>
    <w:rsid w:val="56D13F81"/>
    <w:rsid w:val="57331BBF"/>
    <w:rsid w:val="579E7B7C"/>
    <w:rsid w:val="57B16B80"/>
    <w:rsid w:val="58392C0D"/>
    <w:rsid w:val="58586CFE"/>
    <w:rsid w:val="586F237D"/>
    <w:rsid w:val="589A73BC"/>
    <w:rsid w:val="58B33F35"/>
    <w:rsid w:val="58B87BAC"/>
    <w:rsid w:val="58FA736D"/>
    <w:rsid w:val="58FE3492"/>
    <w:rsid w:val="59416977"/>
    <w:rsid w:val="59427959"/>
    <w:rsid w:val="59547252"/>
    <w:rsid w:val="595F32D3"/>
    <w:rsid w:val="59602F0F"/>
    <w:rsid w:val="59605C55"/>
    <w:rsid w:val="59704898"/>
    <w:rsid w:val="59A947A4"/>
    <w:rsid w:val="59B83073"/>
    <w:rsid w:val="59C21ED0"/>
    <w:rsid w:val="59D028CB"/>
    <w:rsid w:val="59E22D24"/>
    <w:rsid w:val="59F77EAE"/>
    <w:rsid w:val="5A0770C6"/>
    <w:rsid w:val="5A184997"/>
    <w:rsid w:val="5A7A1749"/>
    <w:rsid w:val="5AA13FC6"/>
    <w:rsid w:val="5AE91C71"/>
    <w:rsid w:val="5B053A4E"/>
    <w:rsid w:val="5B0616D6"/>
    <w:rsid w:val="5B062A42"/>
    <w:rsid w:val="5B355D56"/>
    <w:rsid w:val="5B3E1250"/>
    <w:rsid w:val="5B411CCC"/>
    <w:rsid w:val="5B4A31CB"/>
    <w:rsid w:val="5B59732F"/>
    <w:rsid w:val="5B6F1BBF"/>
    <w:rsid w:val="5B8848EA"/>
    <w:rsid w:val="5B935880"/>
    <w:rsid w:val="5BA62B46"/>
    <w:rsid w:val="5BAF5364"/>
    <w:rsid w:val="5BB50265"/>
    <w:rsid w:val="5BBB7CD0"/>
    <w:rsid w:val="5BF81B50"/>
    <w:rsid w:val="5C07343F"/>
    <w:rsid w:val="5C367984"/>
    <w:rsid w:val="5C553CA9"/>
    <w:rsid w:val="5D166D00"/>
    <w:rsid w:val="5D246D0B"/>
    <w:rsid w:val="5D8C1D2A"/>
    <w:rsid w:val="5D926A0E"/>
    <w:rsid w:val="5D946F6C"/>
    <w:rsid w:val="5DA14A13"/>
    <w:rsid w:val="5DA76CD3"/>
    <w:rsid w:val="5DA774D6"/>
    <w:rsid w:val="5DAB1361"/>
    <w:rsid w:val="5DEC5764"/>
    <w:rsid w:val="5E0F68D8"/>
    <w:rsid w:val="5E506409"/>
    <w:rsid w:val="5E5F6487"/>
    <w:rsid w:val="5E79363C"/>
    <w:rsid w:val="5E9E1748"/>
    <w:rsid w:val="5EB12A83"/>
    <w:rsid w:val="5EF73375"/>
    <w:rsid w:val="5EFF7ED4"/>
    <w:rsid w:val="5F186A81"/>
    <w:rsid w:val="5F392172"/>
    <w:rsid w:val="5F3B0B83"/>
    <w:rsid w:val="5F63061A"/>
    <w:rsid w:val="5F7557F2"/>
    <w:rsid w:val="5FA01A18"/>
    <w:rsid w:val="5FA576F8"/>
    <w:rsid w:val="5FE50F1A"/>
    <w:rsid w:val="600335D3"/>
    <w:rsid w:val="60163727"/>
    <w:rsid w:val="602D31B4"/>
    <w:rsid w:val="60666805"/>
    <w:rsid w:val="60777D62"/>
    <w:rsid w:val="60907416"/>
    <w:rsid w:val="60A81EF0"/>
    <w:rsid w:val="60B90FBA"/>
    <w:rsid w:val="60C82522"/>
    <w:rsid w:val="60CB199F"/>
    <w:rsid w:val="60DA2E66"/>
    <w:rsid w:val="60E76EE4"/>
    <w:rsid w:val="613A774A"/>
    <w:rsid w:val="613D69A0"/>
    <w:rsid w:val="61546C1E"/>
    <w:rsid w:val="6162299C"/>
    <w:rsid w:val="6165005E"/>
    <w:rsid w:val="616C46BF"/>
    <w:rsid w:val="61DA003F"/>
    <w:rsid w:val="61F11702"/>
    <w:rsid w:val="61F76D86"/>
    <w:rsid w:val="623016E8"/>
    <w:rsid w:val="62737A2D"/>
    <w:rsid w:val="629B3C7A"/>
    <w:rsid w:val="62AD6608"/>
    <w:rsid w:val="62B70DEF"/>
    <w:rsid w:val="62C03036"/>
    <w:rsid w:val="62CD00F7"/>
    <w:rsid w:val="62EE08AA"/>
    <w:rsid w:val="62F51DBA"/>
    <w:rsid w:val="632E2E20"/>
    <w:rsid w:val="63434BA1"/>
    <w:rsid w:val="63454F35"/>
    <w:rsid w:val="63871BC2"/>
    <w:rsid w:val="63A376E5"/>
    <w:rsid w:val="63A57654"/>
    <w:rsid w:val="63D57455"/>
    <w:rsid w:val="64010CE0"/>
    <w:rsid w:val="643423B8"/>
    <w:rsid w:val="64472BBA"/>
    <w:rsid w:val="64580EF0"/>
    <w:rsid w:val="645F728B"/>
    <w:rsid w:val="64687802"/>
    <w:rsid w:val="646B70F9"/>
    <w:rsid w:val="649063B9"/>
    <w:rsid w:val="64924C2A"/>
    <w:rsid w:val="64A32CD0"/>
    <w:rsid w:val="64C13D27"/>
    <w:rsid w:val="64E704A8"/>
    <w:rsid w:val="65052EF2"/>
    <w:rsid w:val="650C059C"/>
    <w:rsid w:val="65227847"/>
    <w:rsid w:val="656626C7"/>
    <w:rsid w:val="65742C28"/>
    <w:rsid w:val="65D3536E"/>
    <w:rsid w:val="66056C42"/>
    <w:rsid w:val="660651F9"/>
    <w:rsid w:val="660B787B"/>
    <w:rsid w:val="660E53EA"/>
    <w:rsid w:val="661F2741"/>
    <w:rsid w:val="66534A4E"/>
    <w:rsid w:val="66542974"/>
    <w:rsid w:val="66591250"/>
    <w:rsid w:val="66684D3A"/>
    <w:rsid w:val="66733EEB"/>
    <w:rsid w:val="6684393C"/>
    <w:rsid w:val="66BD5E1B"/>
    <w:rsid w:val="66BE2423"/>
    <w:rsid w:val="66C279B5"/>
    <w:rsid w:val="66F01EA5"/>
    <w:rsid w:val="66F17E1D"/>
    <w:rsid w:val="67195DF9"/>
    <w:rsid w:val="672A6200"/>
    <w:rsid w:val="676034DA"/>
    <w:rsid w:val="677522D6"/>
    <w:rsid w:val="67A215F4"/>
    <w:rsid w:val="67F24A7A"/>
    <w:rsid w:val="680E1188"/>
    <w:rsid w:val="6813679E"/>
    <w:rsid w:val="681C5653"/>
    <w:rsid w:val="682B60CB"/>
    <w:rsid w:val="685F3FA1"/>
    <w:rsid w:val="687064B6"/>
    <w:rsid w:val="6873306E"/>
    <w:rsid w:val="688D107D"/>
    <w:rsid w:val="689D1128"/>
    <w:rsid w:val="68B82ACC"/>
    <w:rsid w:val="68C94910"/>
    <w:rsid w:val="68EC6A15"/>
    <w:rsid w:val="69213854"/>
    <w:rsid w:val="69261958"/>
    <w:rsid w:val="692C7B17"/>
    <w:rsid w:val="692E7D33"/>
    <w:rsid w:val="69542F9A"/>
    <w:rsid w:val="697E168B"/>
    <w:rsid w:val="69877F5C"/>
    <w:rsid w:val="698F62F8"/>
    <w:rsid w:val="69A57D93"/>
    <w:rsid w:val="69C34063"/>
    <w:rsid w:val="69C53104"/>
    <w:rsid w:val="69E00902"/>
    <w:rsid w:val="69FC31F4"/>
    <w:rsid w:val="6A002D52"/>
    <w:rsid w:val="6A3043FC"/>
    <w:rsid w:val="6A5326C3"/>
    <w:rsid w:val="6A9F658B"/>
    <w:rsid w:val="6AA71922"/>
    <w:rsid w:val="6AE461D0"/>
    <w:rsid w:val="6B257422"/>
    <w:rsid w:val="6B2602B8"/>
    <w:rsid w:val="6B2E35D1"/>
    <w:rsid w:val="6B8006F4"/>
    <w:rsid w:val="6B8456D5"/>
    <w:rsid w:val="6B951CF2"/>
    <w:rsid w:val="6BA77D38"/>
    <w:rsid w:val="6BAB2E87"/>
    <w:rsid w:val="6BBE411A"/>
    <w:rsid w:val="6BC13A79"/>
    <w:rsid w:val="6BC26C61"/>
    <w:rsid w:val="6BC76351"/>
    <w:rsid w:val="6BD35F2D"/>
    <w:rsid w:val="6C0B516E"/>
    <w:rsid w:val="6C164AAF"/>
    <w:rsid w:val="6C1B3C16"/>
    <w:rsid w:val="6C1C4D07"/>
    <w:rsid w:val="6C542AD4"/>
    <w:rsid w:val="6C57147A"/>
    <w:rsid w:val="6C5A2843"/>
    <w:rsid w:val="6C7964CA"/>
    <w:rsid w:val="6C9E15E7"/>
    <w:rsid w:val="6CA43063"/>
    <w:rsid w:val="6CC53D99"/>
    <w:rsid w:val="6CC67CE8"/>
    <w:rsid w:val="6CCB2673"/>
    <w:rsid w:val="6CD37633"/>
    <w:rsid w:val="6CDC315C"/>
    <w:rsid w:val="6CF22FBC"/>
    <w:rsid w:val="6CFB7A50"/>
    <w:rsid w:val="6D227D80"/>
    <w:rsid w:val="6D440AFE"/>
    <w:rsid w:val="6D5D5A62"/>
    <w:rsid w:val="6D6F091A"/>
    <w:rsid w:val="6D703169"/>
    <w:rsid w:val="6DA37052"/>
    <w:rsid w:val="6DA477EB"/>
    <w:rsid w:val="6DC64BB8"/>
    <w:rsid w:val="6DCB0FCC"/>
    <w:rsid w:val="6DF515A4"/>
    <w:rsid w:val="6E3000AA"/>
    <w:rsid w:val="6E3851B0"/>
    <w:rsid w:val="6E5378F4"/>
    <w:rsid w:val="6E6E7F2D"/>
    <w:rsid w:val="6E933EF1"/>
    <w:rsid w:val="6EDA0016"/>
    <w:rsid w:val="6F152688"/>
    <w:rsid w:val="6F1F17AD"/>
    <w:rsid w:val="6F2275B4"/>
    <w:rsid w:val="6F25478A"/>
    <w:rsid w:val="6F3A0B2B"/>
    <w:rsid w:val="6F3A63A5"/>
    <w:rsid w:val="6F3C33DC"/>
    <w:rsid w:val="6F460005"/>
    <w:rsid w:val="6F542E59"/>
    <w:rsid w:val="6F574F62"/>
    <w:rsid w:val="6F5A0F32"/>
    <w:rsid w:val="6F6F4E00"/>
    <w:rsid w:val="6F7E3097"/>
    <w:rsid w:val="6FB569DE"/>
    <w:rsid w:val="6FD15F63"/>
    <w:rsid w:val="6FD560F4"/>
    <w:rsid w:val="702314C8"/>
    <w:rsid w:val="70437536"/>
    <w:rsid w:val="70525CFC"/>
    <w:rsid w:val="70954206"/>
    <w:rsid w:val="709A521C"/>
    <w:rsid w:val="70BA7555"/>
    <w:rsid w:val="70F64FCA"/>
    <w:rsid w:val="710E3FC6"/>
    <w:rsid w:val="710F0310"/>
    <w:rsid w:val="711315BD"/>
    <w:rsid w:val="711773CA"/>
    <w:rsid w:val="71186BD3"/>
    <w:rsid w:val="712D6B22"/>
    <w:rsid w:val="714621FB"/>
    <w:rsid w:val="71502811"/>
    <w:rsid w:val="716262C5"/>
    <w:rsid w:val="716B107E"/>
    <w:rsid w:val="716B1624"/>
    <w:rsid w:val="7189187F"/>
    <w:rsid w:val="71C17D83"/>
    <w:rsid w:val="71D43F72"/>
    <w:rsid w:val="71D52108"/>
    <w:rsid w:val="71F91A8F"/>
    <w:rsid w:val="721175F9"/>
    <w:rsid w:val="727D750A"/>
    <w:rsid w:val="72A53AAD"/>
    <w:rsid w:val="72A62F5F"/>
    <w:rsid w:val="72F35D8D"/>
    <w:rsid w:val="73261A7B"/>
    <w:rsid w:val="733E6F57"/>
    <w:rsid w:val="737F118B"/>
    <w:rsid w:val="73886292"/>
    <w:rsid w:val="73934E91"/>
    <w:rsid w:val="739C2085"/>
    <w:rsid w:val="73B55465"/>
    <w:rsid w:val="73F729D0"/>
    <w:rsid w:val="73FC458A"/>
    <w:rsid w:val="74042F01"/>
    <w:rsid w:val="74505BDC"/>
    <w:rsid w:val="745D51F6"/>
    <w:rsid w:val="7462053B"/>
    <w:rsid w:val="746A5998"/>
    <w:rsid w:val="746A6B28"/>
    <w:rsid w:val="749B63B8"/>
    <w:rsid w:val="74CB2D15"/>
    <w:rsid w:val="74CC29C6"/>
    <w:rsid w:val="74DB7A93"/>
    <w:rsid w:val="74E478A6"/>
    <w:rsid w:val="74F96973"/>
    <w:rsid w:val="74FA2088"/>
    <w:rsid w:val="74FC607B"/>
    <w:rsid w:val="75012EA8"/>
    <w:rsid w:val="75346582"/>
    <w:rsid w:val="75890803"/>
    <w:rsid w:val="75A61999"/>
    <w:rsid w:val="75C662FB"/>
    <w:rsid w:val="75DA28D1"/>
    <w:rsid w:val="75F33088"/>
    <w:rsid w:val="76100867"/>
    <w:rsid w:val="76152F03"/>
    <w:rsid w:val="76392999"/>
    <w:rsid w:val="76AD7DBE"/>
    <w:rsid w:val="76ED14C6"/>
    <w:rsid w:val="77197A96"/>
    <w:rsid w:val="77291B3A"/>
    <w:rsid w:val="773379E8"/>
    <w:rsid w:val="77687FA3"/>
    <w:rsid w:val="77785848"/>
    <w:rsid w:val="779505CA"/>
    <w:rsid w:val="77987A68"/>
    <w:rsid w:val="779E77DF"/>
    <w:rsid w:val="77C27648"/>
    <w:rsid w:val="77C32783"/>
    <w:rsid w:val="77CBDD86"/>
    <w:rsid w:val="77F050B8"/>
    <w:rsid w:val="78054355"/>
    <w:rsid w:val="781D63FE"/>
    <w:rsid w:val="78280044"/>
    <w:rsid w:val="785506C7"/>
    <w:rsid w:val="78596A3B"/>
    <w:rsid w:val="787C6A67"/>
    <w:rsid w:val="78931961"/>
    <w:rsid w:val="789C6EB3"/>
    <w:rsid w:val="78A0407E"/>
    <w:rsid w:val="78A278B5"/>
    <w:rsid w:val="78A345C7"/>
    <w:rsid w:val="790554BA"/>
    <w:rsid w:val="790B11CB"/>
    <w:rsid w:val="791A5BDE"/>
    <w:rsid w:val="7931117A"/>
    <w:rsid w:val="793552B5"/>
    <w:rsid w:val="793F670D"/>
    <w:rsid w:val="79465FBB"/>
    <w:rsid w:val="794719DD"/>
    <w:rsid w:val="795763B9"/>
    <w:rsid w:val="797F45E0"/>
    <w:rsid w:val="79875065"/>
    <w:rsid w:val="7991186C"/>
    <w:rsid w:val="799B2ADA"/>
    <w:rsid w:val="79D050A4"/>
    <w:rsid w:val="7A086331"/>
    <w:rsid w:val="7A354DB4"/>
    <w:rsid w:val="7A6742F1"/>
    <w:rsid w:val="7AA1550A"/>
    <w:rsid w:val="7AB35D9A"/>
    <w:rsid w:val="7ABD325C"/>
    <w:rsid w:val="7AC30FE1"/>
    <w:rsid w:val="7AD16771"/>
    <w:rsid w:val="7ADD1A9D"/>
    <w:rsid w:val="7AF837AC"/>
    <w:rsid w:val="7B027442"/>
    <w:rsid w:val="7B1240C9"/>
    <w:rsid w:val="7B183E08"/>
    <w:rsid w:val="7B1E2032"/>
    <w:rsid w:val="7B535C97"/>
    <w:rsid w:val="7B6F6E38"/>
    <w:rsid w:val="7B974CD8"/>
    <w:rsid w:val="7B9E0275"/>
    <w:rsid w:val="7BD302C6"/>
    <w:rsid w:val="7C101CD4"/>
    <w:rsid w:val="7C13609C"/>
    <w:rsid w:val="7C4E5246"/>
    <w:rsid w:val="7C881244"/>
    <w:rsid w:val="7C8A4379"/>
    <w:rsid w:val="7CB1473F"/>
    <w:rsid w:val="7CCD2F68"/>
    <w:rsid w:val="7CD73DE6"/>
    <w:rsid w:val="7D105420"/>
    <w:rsid w:val="7D3B57C6"/>
    <w:rsid w:val="7D3E3E65"/>
    <w:rsid w:val="7D493119"/>
    <w:rsid w:val="7D547653"/>
    <w:rsid w:val="7D637E51"/>
    <w:rsid w:val="7D8051F7"/>
    <w:rsid w:val="7DCB6604"/>
    <w:rsid w:val="7DD861CB"/>
    <w:rsid w:val="7DE26BAF"/>
    <w:rsid w:val="7E051319"/>
    <w:rsid w:val="7E186B53"/>
    <w:rsid w:val="7E1F5A45"/>
    <w:rsid w:val="7E4662D1"/>
    <w:rsid w:val="7E494870"/>
    <w:rsid w:val="7E4D249C"/>
    <w:rsid w:val="7E777D2A"/>
    <w:rsid w:val="7E9968A1"/>
    <w:rsid w:val="7EA55CBC"/>
    <w:rsid w:val="7EBF9E84"/>
    <w:rsid w:val="7EC67156"/>
    <w:rsid w:val="7F1E49E1"/>
    <w:rsid w:val="7F4623C3"/>
    <w:rsid w:val="7F517E80"/>
    <w:rsid w:val="7F7232C1"/>
    <w:rsid w:val="7F842003"/>
    <w:rsid w:val="7F882E1C"/>
    <w:rsid w:val="7F8D20CA"/>
    <w:rsid w:val="7FA402DC"/>
    <w:rsid w:val="7FA73F44"/>
    <w:rsid w:val="7FB0104A"/>
    <w:rsid w:val="7FCB5DB7"/>
    <w:rsid w:val="7FCD2F9F"/>
    <w:rsid w:val="7FE425D7"/>
    <w:rsid w:val="DB95DB47"/>
    <w:rsid w:val="EAEF4B2C"/>
    <w:rsid w:val="FD7E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4"/>
    <w:link w:val="50"/>
    <w:qFormat/>
    <w:uiPriority w:val="0"/>
    <w:pPr>
      <w:widowControl/>
      <w:tabs>
        <w:tab w:val="left" w:leader="dot" w:pos="480"/>
      </w:tabs>
      <w:snapToGrid w:val="0"/>
      <w:spacing w:before="100" w:beforeAutospacing="1" w:after="100" w:afterAutospacing="1" w:line="360" w:lineRule="auto"/>
      <w:jc w:val="center"/>
      <w:outlineLvl w:val="0"/>
    </w:pPr>
    <w:rPr>
      <w:rFonts w:ascii="宋体" w:hAnsi="宋体" w:eastAsia="黑体"/>
      <w:b/>
      <w:color w:val="000000"/>
      <w:spacing w:val="8"/>
      <w:sz w:val="32"/>
      <w:szCs w:val="32"/>
    </w:rPr>
  </w:style>
  <w:style w:type="paragraph" w:styleId="4">
    <w:name w:val="heading 2"/>
    <w:basedOn w:val="1"/>
    <w:next w:val="5"/>
    <w:link w:val="51"/>
    <w:qFormat/>
    <w:uiPriority w:val="0"/>
    <w:pPr>
      <w:widowControl/>
      <w:tabs>
        <w:tab w:val="left" w:leader="dot" w:pos="480"/>
      </w:tabs>
      <w:snapToGrid w:val="0"/>
      <w:spacing w:before="24" w:beforeLines="10" w:after="24" w:afterLines="10" w:line="360" w:lineRule="auto"/>
      <w:ind w:left="482" w:hanging="482" w:hangingChars="200"/>
      <w:jc w:val="left"/>
      <w:outlineLvl w:val="1"/>
    </w:pPr>
    <w:rPr>
      <w:rFonts w:ascii="宋体" w:hAnsi="宋体" w:cs="宋体"/>
      <w:b/>
      <w:snapToGrid w:val="0"/>
      <w:kern w:val="0"/>
      <w:sz w:val="24"/>
    </w:rPr>
  </w:style>
  <w:style w:type="paragraph" w:styleId="5">
    <w:name w:val="heading 3"/>
    <w:basedOn w:val="1"/>
    <w:next w:val="1"/>
    <w:link w:val="52"/>
    <w:qFormat/>
    <w:uiPriority w:val="0"/>
    <w:pPr>
      <w:tabs>
        <w:tab w:val="left" w:leader="dot" w:pos="480"/>
      </w:tabs>
      <w:autoSpaceDE w:val="0"/>
      <w:autoSpaceDN w:val="0"/>
      <w:adjustRightInd w:val="0"/>
      <w:snapToGrid w:val="0"/>
      <w:spacing w:line="360" w:lineRule="auto"/>
      <w:ind w:left="567" w:hanging="567"/>
      <w:outlineLvl w:val="2"/>
    </w:pPr>
    <w:rPr>
      <w:rFonts w:cs="宋体"/>
      <w:color w:val="000000"/>
      <w:sz w:val="24"/>
    </w:rPr>
  </w:style>
  <w:style w:type="paragraph" w:styleId="6">
    <w:name w:val="heading 4"/>
    <w:basedOn w:val="1"/>
    <w:next w:val="1"/>
    <w:link w:val="53"/>
    <w:qFormat/>
    <w:uiPriority w:val="0"/>
    <w:pPr>
      <w:widowControl/>
      <w:numPr>
        <w:ilvl w:val="3"/>
        <w:numId w:val="1"/>
      </w:numPr>
      <w:tabs>
        <w:tab w:val="left" w:leader="dot" w:pos="480"/>
      </w:tabs>
      <w:snapToGrid w:val="0"/>
      <w:spacing w:line="360" w:lineRule="auto"/>
      <w:outlineLvl w:val="3"/>
    </w:pPr>
    <w:rPr>
      <w:rFonts w:ascii="Myriad Pro Light" w:hAnsi="华文细黑" w:cs="Myriad Pro Light"/>
      <w:color w:val="C00000"/>
      <w:sz w:val="24"/>
    </w:rPr>
  </w:style>
  <w:style w:type="paragraph" w:styleId="7">
    <w:name w:val="heading 5"/>
    <w:basedOn w:val="1"/>
    <w:next w:val="1"/>
    <w:link w:val="54"/>
    <w:qFormat/>
    <w:uiPriority w:val="0"/>
    <w:pPr>
      <w:widowControl/>
      <w:numPr>
        <w:ilvl w:val="4"/>
        <w:numId w:val="1"/>
      </w:numPr>
      <w:tabs>
        <w:tab w:val="left" w:leader="dot" w:pos="480"/>
      </w:tabs>
      <w:snapToGrid w:val="0"/>
      <w:spacing w:line="360" w:lineRule="auto"/>
      <w:outlineLvl w:val="4"/>
    </w:pPr>
    <w:rPr>
      <w:rFonts w:ascii="Myriad Pro Light" w:hAnsi="Myriad Pro Light"/>
      <w:color w:val="0070C0"/>
      <w:kern w:val="0"/>
      <w:sz w:val="24"/>
    </w:rPr>
  </w:style>
  <w:style w:type="paragraph" w:styleId="8">
    <w:name w:val="heading 6"/>
    <w:basedOn w:val="1"/>
    <w:next w:val="1"/>
    <w:link w:val="55"/>
    <w:qFormat/>
    <w:uiPriority w:val="0"/>
    <w:pPr>
      <w:widowControl/>
      <w:numPr>
        <w:ilvl w:val="5"/>
        <w:numId w:val="1"/>
      </w:numPr>
      <w:snapToGrid w:val="0"/>
      <w:spacing w:line="360" w:lineRule="auto"/>
      <w:outlineLvl w:val="5"/>
    </w:pPr>
    <w:rPr>
      <w:rFonts w:ascii="Myriad Pro Light" w:hAnsi="华文细黑" w:cs="Myriad Pro Light"/>
      <w:color w:val="C00000"/>
      <w:kern w:val="0"/>
      <w:sz w:val="24"/>
    </w:rPr>
  </w:style>
  <w:style w:type="paragraph" w:styleId="9">
    <w:name w:val="heading 7"/>
    <w:basedOn w:val="1"/>
    <w:next w:val="1"/>
    <w:link w:val="56"/>
    <w:qFormat/>
    <w:uiPriority w:val="0"/>
    <w:pPr>
      <w:widowControl/>
      <w:numPr>
        <w:ilvl w:val="6"/>
        <w:numId w:val="1"/>
      </w:numPr>
      <w:tabs>
        <w:tab w:val="left" w:leader="dot" w:pos="480"/>
      </w:tabs>
      <w:snapToGrid w:val="0"/>
      <w:spacing w:line="360" w:lineRule="auto"/>
      <w:outlineLvl w:val="6"/>
    </w:pPr>
    <w:rPr>
      <w:rFonts w:ascii="Myriad Pro Light" w:hAnsi="华文细黑" w:cs="Myriad Pro Light"/>
      <w:color w:val="0070C0"/>
      <w:kern w:val="0"/>
      <w:sz w:val="24"/>
    </w:rPr>
  </w:style>
  <w:style w:type="paragraph" w:styleId="10">
    <w:name w:val="heading 8"/>
    <w:next w:val="1"/>
    <w:link w:val="57"/>
    <w:qFormat/>
    <w:uiPriority w:val="0"/>
    <w:pPr>
      <w:numPr>
        <w:ilvl w:val="0"/>
        <w:numId w:val="2"/>
      </w:numPr>
      <w:outlineLvl w:val="7"/>
    </w:pPr>
    <w:rPr>
      <w:rFonts w:ascii="Myriad Pro Light" w:hAnsi="Myriad Pro Light" w:eastAsia="宋体" w:cs="Times New Roman"/>
      <w:snapToGrid w:val="0"/>
      <w:color w:val="C00000"/>
      <w:sz w:val="18"/>
      <w:szCs w:val="28"/>
      <w:lang w:val="en-US" w:eastAsia="zh-CN" w:bidi="ar-SA"/>
    </w:rPr>
  </w:style>
  <w:style w:type="paragraph" w:styleId="11">
    <w:name w:val="heading 9"/>
    <w:basedOn w:val="1"/>
    <w:next w:val="1"/>
    <w:link w:val="58"/>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99"/>
    <w:rPr>
      <w:rFonts w:ascii="仿宋_GB2312" w:eastAsia="仿宋_GB2312" w:cs="仿宋_GB2312"/>
      <w:szCs w:val="22"/>
    </w:rPr>
  </w:style>
  <w:style w:type="paragraph" w:styleId="12">
    <w:name w:val="List 3"/>
    <w:basedOn w:val="1"/>
    <w:qFormat/>
    <w:uiPriority w:val="0"/>
    <w:pPr>
      <w:ind w:left="100" w:leftChars="400" w:hanging="200" w:hangingChars="200"/>
    </w:pPr>
    <w:rPr>
      <w:rFonts w:cs="Calibri"/>
      <w:szCs w:val="21"/>
    </w:rPr>
  </w:style>
  <w:style w:type="paragraph" w:styleId="13">
    <w:name w:val="toc 7"/>
    <w:basedOn w:val="1"/>
    <w:next w:val="1"/>
    <w:qFormat/>
    <w:uiPriority w:val="39"/>
    <w:pPr>
      <w:ind w:left="1260"/>
      <w:jc w:val="left"/>
    </w:pPr>
    <w:rPr>
      <w:sz w:val="18"/>
      <w:szCs w:val="18"/>
    </w:rPr>
  </w:style>
  <w:style w:type="paragraph" w:styleId="14">
    <w:name w:val="Normal Indent"/>
    <w:basedOn w:val="1"/>
    <w:link w:val="59"/>
    <w:qFormat/>
    <w:uiPriority w:val="0"/>
    <w:pPr>
      <w:ind w:firstLine="420" w:firstLineChars="200"/>
    </w:pPr>
    <w:rPr>
      <w:szCs w:val="21"/>
    </w:rPr>
  </w:style>
  <w:style w:type="paragraph" w:styleId="15">
    <w:name w:val="Document Map"/>
    <w:basedOn w:val="1"/>
    <w:link w:val="60"/>
    <w:semiHidden/>
    <w:qFormat/>
    <w:uiPriority w:val="0"/>
    <w:pPr>
      <w:shd w:val="clear" w:color="auto" w:fill="000080"/>
      <w:tabs>
        <w:tab w:val="left" w:leader="dot" w:pos="480"/>
      </w:tabs>
      <w:autoSpaceDE w:val="0"/>
      <w:autoSpaceDN w:val="0"/>
      <w:spacing w:line="360" w:lineRule="auto"/>
      <w:textAlignment w:val="baseline"/>
    </w:pPr>
    <w:rPr>
      <w:rFonts w:ascii="Myriad Pro Light" w:hAnsi="Myriad Pro Light"/>
      <w:snapToGrid w:val="0"/>
      <w:kern w:val="0"/>
      <w:sz w:val="24"/>
    </w:rPr>
  </w:style>
  <w:style w:type="paragraph" w:styleId="16">
    <w:name w:val="annotation text"/>
    <w:basedOn w:val="1"/>
    <w:link w:val="61"/>
    <w:qFormat/>
    <w:uiPriority w:val="0"/>
    <w:pPr>
      <w:tabs>
        <w:tab w:val="left" w:leader="dot" w:pos="480"/>
      </w:tabs>
      <w:autoSpaceDE w:val="0"/>
      <w:autoSpaceDN w:val="0"/>
      <w:spacing w:line="360" w:lineRule="auto"/>
      <w:jc w:val="left"/>
      <w:textAlignment w:val="baseline"/>
    </w:pPr>
    <w:rPr>
      <w:rFonts w:ascii="Myriad Pro Light" w:hAnsi="Myriad Pro Light"/>
      <w:snapToGrid w:val="0"/>
      <w:kern w:val="0"/>
      <w:sz w:val="24"/>
    </w:rPr>
  </w:style>
  <w:style w:type="paragraph" w:styleId="17">
    <w:name w:val="Body Text 3"/>
    <w:basedOn w:val="1"/>
    <w:qFormat/>
    <w:uiPriority w:val="0"/>
    <w:pPr>
      <w:spacing w:after="120"/>
    </w:pPr>
    <w:rPr>
      <w:sz w:val="16"/>
      <w:szCs w:val="16"/>
    </w:rPr>
  </w:style>
  <w:style w:type="paragraph" w:styleId="18">
    <w:name w:val="Body Text"/>
    <w:basedOn w:val="1"/>
    <w:link w:val="62"/>
    <w:unhideWhenUsed/>
    <w:qFormat/>
    <w:uiPriority w:val="0"/>
    <w:pPr>
      <w:tabs>
        <w:tab w:val="left" w:leader="dot" w:pos="480"/>
      </w:tabs>
      <w:autoSpaceDE w:val="0"/>
      <w:autoSpaceDN w:val="0"/>
      <w:spacing w:after="120" w:line="360" w:lineRule="auto"/>
      <w:textAlignment w:val="baseline"/>
    </w:pPr>
    <w:rPr>
      <w:rFonts w:ascii="Myriad Pro Light" w:hAnsi="Myriad Pro Light"/>
      <w:snapToGrid w:val="0"/>
      <w:kern w:val="0"/>
      <w:sz w:val="24"/>
    </w:rPr>
  </w:style>
  <w:style w:type="paragraph" w:styleId="19">
    <w:name w:val="Body Text Indent"/>
    <w:basedOn w:val="1"/>
    <w:next w:val="1"/>
    <w:qFormat/>
    <w:uiPriority w:val="0"/>
    <w:pPr>
      <w:ind w:firstLine="2640" w:firstLineChars="600"/>
    </w:pPr>
    <w:rPr>
      <w:sz w:val="44"/>
    </w:rPr>
  </w:style>
  <w:style w:type="paragraph" w:styleId="20">
    <w:name w:val="List 2"/>
    <w:basedOn w:val="1"/>
    <w:qFormat/>
    <w:uiPriority w:val="0"/>
    <w:pPr>
      <w:ind w:left="100" w:leftChars="200" w:hanging="200" w:hangingChars="200"/>
    </w:pPr>
  </w:style>
  <w:style w:type="paragraph" w:styleId="21">
    <w:name w:val="List Continue"/>
    <w:basedOn w:val="1"/>
    <w:qFormat/>
    <w:uiPriority w:val="0"/>
    <w:pPr>
      <w:spacing w:after="120"/>
      <w:ind w:left="420" w:leftChars="200"/>
    </w:pPr>
    <w:rPr>
      <w:rFonts w:cs="Calibri"/>
      <w:szCs w:val="21"/>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qFormat/>
    <w:uiPriority w:val="0"/>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qFormat/>
    <w:uiPriority w:val="0"/>
    <w:pPr>
      <w:ind w:left="100" w:leftChars="2500"/>
    </w:pPr>
    <w:rPr>
      <w:rFonts w:ascii="宋体" w:hAnsi="宋体"/>
      <w:sz w:val="28"/>
    </w:rPr>
  </w:style>
  <w:style w:type="paragraph" w:styleId="27">
    <w:name w:val="Balloon Text"/>
    <w:basedOn w:val="1"/>
    <w:link w:val="63"/>
    <w:semiHidden/>
    <w:qFormat/>
    <w:uiPriority w:val="0"/>
    <w:pPr>
      <w:tabs>
        <w:tab w:val="left" w:leader="dot" w:pos="480"/>
      </w:tabs>
      <w:autoSpaceDE w:val="0"/>
      <w:autoSpaceDN w:val="0"/>
      <w:spacing w:line="360" w:lineRule="auto"/>
      <w:textAlignment w:val="baseline"/>
    </w:pPr>
    <w:rPr>
      <w:rFonts w:ascii="Myriad Pro Light" w:hAnsi="Myriad Pro Light"/>
      <w:snapToGrid w:val="0"/>
      <w:kern w:val="0"/>
      <w:sz w:val="18"/>
      <w:szCs w:val="18"/>
    </w:rPr>
  </w:style>
  <w:style w:type="paragraph" w:styleId="28">
    <w:name w:val="footer"/>
    <w:basedOn w:val="1"/>
    <w:link w:val="64"/>
    <w:qFormat/>
    <w:uiPriority w:val="99"/>
    <w:pPr>
      <w:tabs>
        <w:tab w:val="center" w:pos="4153"/>
        <w:tab w:val="right" w:pos="8306"/>
      </w:tabs>
      <w:snapToGrid w:val="0"/>
      <w:jc w:val="left"/>
    </w:pPr>
    <w:rPr>
      <w:sz w:val="18"/>
      <w:szCs w:val="18"/>
    </w:rPr>
  </w:style>
  <w:style w:type="paragraph" w:styleId="29">
    <w:name w:val="header"/>
    <w:basedOn w:val="1"/>
    <w:link w:val="65"/>
    <w:qFormat/>
    <w:uiPriority w:val="99"/>
    <w:pPr>
      <w:pBdr>
        <w:bottom w:val="single" w:color="auto" w:sz="6" w:space="1"/>
      </w:pBdr>
      <w:tabs>
        <w:tab w:val="center" w:pos="4153"/>
        <w:tab w:val="right" w:pos="8306"/>
      </w:tabs>
      <w:snapToGrid w:val="0"/>
      <w:jc w:val="center"/>
    </w:pPr>
    <w:rPr>
      <w:rFonts w:cs="Calibri"/>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39"/>
    <w:pPr>
      <w:ind w:left="630"/>
      <w:jc w:val="left"/>
    </w:pPr>
    <w:rPr>
      <w:sz w:val="18"/>
      <w:szCs w:val="18"/>
    </w:rPr>
  </w:style>
  <w:style w:type="paragraph" w:styleId="32">
    <w:name w:val="List"/>
    <w:basedOn w:val="1"/>
    <w:qFormat/>
    <w:uiPriority w:val="0"/>
    <w:pPr>
      <w:ind w:left="200" w:hanging="200" w:hangingChars="200"/>
    </w:pPr>
    <w:rPr>
      <w:rFonts w:cs="Calibri"/>
      <w:szCs w:val="21"/>
    </w:rPr>
  </w:style>
  <w:style w:type="paragraph" w:styleId="33">
    <w:name w:val="footnote text"/>
    <w:basedOn w:val="1"/>
    <w:qFormat/>
    <w:uiPriority w:val="0"/>
    <w:pPr>
      <w:snapToGrid w:val="0"/>
      <w:jc w:val="left"/>
    </w:pPr>
    <w:rPr>
      <w:sz w:val="18"/>
    </w:rPr>
  </w:style>
  <w:style w:type="paragraph" w:styleId="34">
    <w:name w:val="toc 6"/>
    <w:basedOn w:val="1"/>
    <w:next w:val="1"/>
    <w:qFormat/>
    <w:uiPriority w:val="39"/>
    <w:pPr>
      <w:ind w:left="1050"/>
      <w:jc w:val="left"/>
    </w:pPr>
    <w:rPr>
      <w:sz w:val="18"/>
      <w:szCs w:val="18"/>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List Continue 2"/>
    <w:basedOn w:val="1"/>
    <w:qFormat/>
    <w:uiPriority w:val="0"/>
    <w:pPr>
      <w:spacing w:after="120"/>
      <w:ind w:left="840" w:leftChars="400"/>
    </w:pPr>
    <w:rPr>
      <w:rFonts w:cs="Calibri"/>
      <w:szCs w:val="21"/>
    </w:rPr>
  </w:style>
  <w:style w:type="paragraph" w:styleId="38">
    <w:name w:val="Title"/>
    <w:basedOn w:val="1"/>
    <w:link w:val="66"/>
    <w:qFormat/>
    <w:uiPriority w:val="0"/>
    <w:pPr>
      <w:tabs>
        <w:tab w:val="left" w:pos="480"/>
      </w:tabs>
      <w:spacing w:before="480" w:beforeLines="200" w:after="240" w:afterLines="100"/>
      <w:jc w:val="center"/>
    </w:pPr>
    <w:rPr>
      <w:rFonts w:ascii="黑体" w:eastAsia="黑体"/>
      <w:b/>
      <w:color w:val="C00000"/>
      <w:sz w:val="28"/>
      <w:szCs w:val="28"/>
    </w:rPr>
  </w:style>
  <w:style w:type="paragraph" w:styleId="39">
    <w:name w:val="annotation subject"/>
    <w:basedOn w:val="16"/>
    <w:next w:val="16"/>
    <w:link w:val="67"/>
    <w:semiHidden/>
    <w:qFormat/>
    <w:uiPriority w:val="0"/>
    <w:rPr>
      <w:b/>
      <w:bCs/>
    </w:rPr>
  </w:style>
  <w:style w:type="paragraph" w:styleId="40">
    <w:name w:val="Body Text First Indent"/>
    <w:basedOn w:val="1"/>
    <w:qFormat/>
    <w:uiPriority w:val="0"/>
    <w:pPr>
      <w:autoSpaceDE/>
      <w:autoSpaceDN/>
      <w:spacing w:line="240" w:lineRule="auto"/>
      <w:ind w:firstLine="420" w:firstLineChars="100"/>
      <w:textAlignment w:val="auto"/>
    </w:pPr>
    <w:rPr>
      <w:rFonts w:ascii="Calibri" w:hAnsi="Calibri" w:cs="Calibri"/>
      <w:snapToGrid/>
      <w:kern w:val="2"/>
      <w:sz w:val="21"/>
      <w:szCs w:val="21"/>
    </w:rPr>
  </w:style>
  <w:style w:type="paragraph" w:styleId="41">
    <w:name w:val="Body Text First Indent 2"/>
    <w:basedOn w:val="19"/>
    <w:qFormat/>
    <w:uiPriority w:val="0"/>
    <w:pPr>
      <w:spacing w:after="120"/>
      <w:ind w:left="420" w:leftChars="200" w:firstLine="420" w:firstLineChars="200"/>
    </w:pPr>
    <w:rPr>
      <w:rFonts w:cs="Calibri"/>
      <w:sz w:val="21"/>
      <w:szCs w:val="21"/>
    </w:rPr>
  </w:style>
  <w:style w:type="table" w:styleId="43">
    <w:name w:val="Table Grid"/>
    <w:basedOn w:val="42"/>
    <w:qFormat/>
    <w:uiPriority w:val="0"/>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Hyperlink"/>
    <w:qFormat/>
    <w:uiPriority w:val="99"/>
    <w:rPr>
      <w:rFonts w:cs="Times New Roman"/>
      <w:color w:val="0000FF"/>
      <w:u w:val="singl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标题 1 Char"/>
    <w:link w:val="3"/>
    <w:qFormat/>
    <w:locked/>
    <w:uiPriority w:val="0"/>
    <w:rPr>
      <w:rFonts w:ascii="宋体" w:hAnsi="宋体" w:eastAsia="黑体" w:cs="华文细黑"/>
      <w:b/>
      <w:color w:val="000000"/>
      <w:spacing w:val="8"/>
      <w:kern w:val="2"/>
      <w:sz w:val="32"/>
      <w:szCs w:val="32"/>
    </w:rPr>
  </w:style>
  <w:style w:type="character" w:customStyle="1" w:styleId="51">
    <w:name w:val="标题 2 Char1"/>
    <w:link w:val="4"/>
    <w:qFormat/>
    <w:locked/>
    <w:uiPriority w:val="0"/>
    <w:rPr>
      <w:rFonts w:ascii="宋体" w:hAnsi="宋体" w:eastAsia="宋体" w:cs="宋体"/>
      <w:b/>
      <w:snapToGrid w:val="0"/>
      <w:sz w:val="24"/>
      <w:szCs w:val="24"/>
      <w:lang w:val="en-US" w:eastAsia="zh-CN" w:bidi="ar-SA"/>
    </w:rPr>
  </w:style>
  <w:style w:type="character" w:customStyle="1" w:styleId="52">
    <w:name w:val="标题 3 Char"/>
    <w:link w:val="5"/>
    <w:qFormat/>
    <w:locked/>
    <w:uiPriority w:val="0"/>
    <w:rPr>
      <w:rFonts w:eastAsia="宋体" w:cs="宋体"/>
      <w:color w:val="000000"/>
      <w:kern w:val="2"/>
      <w:sz w:val="24"/>
      <w:szCs w:val="24"/>
      <w:lang w:val="en-US" w:eastAsia="zh-CN" w:bidi="ar-SA"/>
    </w:rPr>
  </w:style>
  <w:style w:type="character" w:customStyle="1" w:styleId="53">
    <w:name w:val="标题 4 Char"/>
    <w:link w:val="6"/>
    <w:semiHidden/>
    <w:qFormat/>
    <w:locked/>
    <w:uiPriority w:val="0"/>
    <w:rPr>
      <w:rFonts w:ascii="Myriad Pro Light" w:hAnsi="华文细黑" w:eastAsia="宋体" w:cs="Myriad Pro Light"/>
      <w:color w:val="C00000"/>
      <w:kern w:val="2"/>
      <w:sz w:val="24"/>
      <w:szCs w:val="24"/>
      <w:lang w:val="en-US" w:eastAsia="zh-CN" w:bidi="ar-SA"/>
    </w:rPr>
  </w:style>
  <w:style w:type="character" w:customStyle="1" w:styleId="54">
    <w:name w:val="标题 5 Char"/>
    <w:link w:val="7"/>
    <w:qFormat/>
    <w:locked/>
    <w:uiPriority w:val="0"/>
    <w:rPr>
      <w:rFonts w:ascii="Myriad Pro Light" w:hAnsi="Myriad Pro Light" w:cs="Myriad Pro Light"/>
      <w:color w:val="0070C0"/>
      <w:sz w:val="24"/>
      <w:szCs w:val="24"/>
    </w:rPr>
  </w:style>
  <w:style w:type="character" w:customStyle="1" w:styleId="55">
    <w:name w:val="标题 6 Char"/>
    <w:link w:val="8"/>
    <w:semiHidden/>
    <w:qFormat/>
    <w:locked/>
    <w:uiPriority w:val="0"/>
    <w:rPr>
      <w:rFonts w:ascii="Myriad Pro Light" w:hAnsi="华文细黑" w:eastAsia="宋体" w:cs="Myriad Pro Light"/>
      <w:color w:val="C00000"/>
      <w:sz w:val="24"/>
      <w:szCs w:val="24"/>
      <w:lang w:val="en-US" w:eastAsia="zh-CN" w:bidi="ar-SA"/>
    </w:rPr>
  </w:style>
  <w:style w:type="character" w:customStyle="1" w:styleId="56">
    <w:name w:val="标题 7 Char"/>
    <w:link w:val="9"/>
    <w:semiHidden/>
    <w:qFormat/>
    <w:locked/>
    <w:uiPriority w:val="0"/>
    <w:rPr>
      <w:rFonts w:ascii="Myriad Pro Light" w:hAnsi="华文细黑" w:eastAsia="宋体" w:cs="Myriad Pro Light"/>
      <w:color w:val="0070C0"/>
      <w:sz w:val="24"/>
      <w:szCs w:val="24"/>
      <w:lang w:val="en-US" w:eastAsia="zh-CN" w:bidi="ar-SA"/>
    </w:rPr>
  </w:style>
  <w:style w:type="character" w:customStyle="1" w:styleId="57">
    <w:name w:val="标题 8 Char"/>
    <w:link w:val="10"/>
    <w:qFormat/>
    <w:uiPriority w:val="0"/>
    <w:rPr>
      <w:rFonts w:ascii="Myriad Pro Light" w:hAnsi="Myriad Pro Light"/>
      <w:snapToGrid w:val="0"/>
      <w:color w:val="C00000"/>
      <w:sz w:val="18"/>
      <w:szCs w:val="28"/>
      <w:lang w:val="en-US" w:eastAsia="zh-CN" w:bidi="ar-SA"/>
    </w:rPr>
  </w:style>
  <w:style w:type="character" w:customStyle="1" w:styleId="58">
    <w:name w:val="标题 9 Char"/>
    <w:link w:val="11"/>
    <w:qFormat/>
    <w:uiPriority w:val="0"/>
    <w:rPr>
      <w:rFonts w:ascii="Arial" w:hAnsi="Arial" w:eastAsia="黑体"/>
      <w:kern w:val="2"/>
      <w:sz w:val="21"/>
      <w:szCs w:val="21"/>
      <w:lang w:val="en-US" w:eastAsia="zh-CN" w:bidi="ar-SA"/>
    </w:rPr>
  </w:style>
  <w:style w:type="character" w:customStyle="1" w:styleId="59">
    <w:name w:val="正文缩进 Char"/>
    <w:link w:val="14"/>
    <w:qFormat/>
    <w:uiPriority w:val="0"/>
    <w:rPr>
      <w:rFonts w:ascii="Calibri" w:hAnsi="Calibri" w:cs="Calibri"/>
      <w:kern w:val="2"/>
      <w:sz w:val="21"/>
      <w:szCs w:val="21"/>
    </w:rPr>
  </w:style>
  <w:style w:type="character" w:customStyle="1" w:styleId="60">
    <w:name w:val="文档结构图 Char"/>
    <w:link w:val="15"/>
    <w:semiHidden/>
    <w:qFormat/>
    <w:uiPriority w:val="0"/>
    <w:rPr>
      <w:rFonts w:ascii="Myriad Pro Light" w:hAnsi="Myriad Pro Light" w:eastAsia="宋体"/>
      <w:snapToGrid w:val="0"/>
      <w:sz w:val="24"/>
      <w:szCs w:val="24"/>
      <w:lang w:val="en-US" w:eastAsia="zh-CN" w:bidi="ar-SA"/>
    </w:rPr>
  </w:style>
  <w:style w:type="character" w:customStyle="1" w:styleId="61">
    <w:name w:val="批注文字 Char"/>
    <w:link w:val="16"/>
    <w:qFormat/>
    <w:uiPriority w:val="0"/>
    <w:rPr>
      <w:rFonts w:ascii="Myriad Pro Light" w:hAnsi="Myriad Pro Light" w:eastAsia="宋体"/>
      <w:snapToGrid w:val="0"/>
      <w:sz w:val="24"/>
      <w:szCs w:val="24"/>
      <w:lang w:val="en-US" w:eastAsia="zh-CN" w:bidi="ar-SA"/>
    </w:rPr>
  </w:style>
  <w:style w:type="character" w:customStyle="1" w:styleId="62">
    <w:name w:val="正文文本 Char"/>
    <w:link w:val="18"/>
    <w:semiHidden/>
    <w:qFormat/>
    <w:uiPriority w:val="0"/>
    <w:rPr>
      <w:rFonts w:ascii="Myriad Pro Light" w:hAnsi="Myriad Pro Light" w:eastAsia="宋体"/>
      <w:snapToGrid w:val="0"/>
      <w:sz w:val="24"/>
      <w:szCs w:val="24"/>
      <w:lang w:val="en-US" w:eastAsia="zh-CN" w:bidi="ar-SA"/>
    </w:rPr>
  </w:style>
  <w:style w:type="character" w:customStyle="1" w:styleId="63">
    <w:name w:val="批注框文本 Char"/>
    <w:link w:val="27"/>
    <w:semiHidden/>
    <w:qFormat/>
    <w:uiPriority w:val="0"/>
    <w:rPr>
      <w:rFonts w:ascii="Myriad Pro Light" w:hAnsi="Myriad Pro Light" w:eastAsia="宋体"/>
      <w:snapToGrid w:val="0"/>
      <w:sz w:val="18"/>
      <w:szCs w:val="18"/>
      <w:lang w:val="en-US" w:eastAsia="zh-CN" w:bidi="ar-SA"/>
    </w:rPr>
  </w:style>
  <w:style w:type="character" w:customStyle="1" w:styleId="64">
    <w:name w:val="页脚 Char"/>
    <w:link w:val="28"/>
    <w:qFormat/>
    <w:locked/>
    <w:uiPriority w:val="99"/>
    <w:rPr>
      <w:rFonts w:eastAsia="宋体"/>
      <w:kern w:val="2"/>
      <w:sz w:val="18"/>
      <w:szCs w:val="18"/>
      <w:lang w:val="en-US" w:eastAsia="zh-CN" w:bidi="ar-SA"/>
    </w:rPr>
  </w:style>
  <w:style w:type="character" w:customStyle="1" w:styleId="65">
    <w:name w:val="页眉 Char"/>
    <w:link w:val="29"/>
    <w:qFormat/>
    <w:locked/>
    <w:uiPriority w:val="99"/>
    <w:rPr>
      <w:rFonts w:ascii="Calibri" w:hAnsi="Calibri" w:eastAsia="宋体" w:cs="Calibri"/>
      <w:kern w:val="2"/>
      <w:sz w:val="18"/>
      <w:szCs w:val="18"/>
      <w:lang w:val="en-US" w:eastAsia="zh-CN" w:bidi="ar-SA"/>
    </w:rPr>
  </w:style>
  <w:style w:type="character" w:customStyle="1" w:styleId="66">
    <w:name w:val="标题 Char"/>
    <w:link w:val="38"/>
    <w:qFormat/>
    <w:locked/>
    <w:uiPriority w:val="0"/>
    <w:rPr>
      <w:rFonts w:ascii="黑体" w:eastAsia="黑体"/>
      <w:b/>
      <w:color w:val="C00000"/>
      <w:kern w:val="2"/>
      <w:sz w:val="28"/>
      <w:szCs w:val="28"/>
    </w:rPr>
  </w:style>
  <w:style w:type="character" w:customStyle="1" w:styleId="67">
    <w:name w:val="批注主题 Char"/>
    <w:link w:val="39"/>
    <w:semiHidden/>
    <w:qFormat/>
    <w:uiPriority w:val="0"/>
    <w:rPr>
      <w:rFonts w:ascii="Myriad Pro Light" w:hAnsi="Myriad Pro Light" w:eastAsia="宋体"/>
      <w:b/>
      <w:bCs/>
      <w:snapToGrid w:val="0"/>
      <w:sz w:val="24"/>
      <w:szCs w:val="24"/>
      <w:lang w:val="en-US" w:eastAsia="zh-CN" w:bidi="ar-SA"/>
    </w:rPr>
  </w:style>
  <w:style w:type="character" w:customStyle="1" w:styleId="68">
    <w:name w:val="0-shiw-正文 4号宋体 Char Char"/>
    <w:link w:val="69"/>
    <w:qFormat/>
    <w:locked/>
    <w:uiPriority w:val="0"/>
    <w:rPr>
      <w:rFonts w:ascii="宋体" w:hAnsi="宋体"/>
      <w:kern w:val="2"/>
      <w:sz w:val="28"/>
      <w:szCs w:val="28"/>
      <w:lang w:val="en-US" w:eastAsia="zh-CN" w:bidi="ar-SA"/>
    </w:rPr>
  </w:style>
  <w:style w:type="paragraph" w:customStyle="1" w:styleId="69">
    <w:name w:val="0-shiw-正文 4号宋体"/>
    <w:link w:val="68"/>
    <w:qFormat/>
    <w:uiPriority w:val="0"/>
    <w:pPr>
      <w:widowControl w:val="0"/>
      <w:adjustRightInd w:val="0"/>
      <w:snapToGrid w:val="0"/>
      <w:spacing w:line="520" w:lineRule="exact"/>
      <w:ind w:firstLine="200" w:firstLineChars="200"/>
      <w:jc w:val="both"/>
    </w:pPr>
    <w:rPr>
      <w:rFonts w:ascii="宋体" w:hAnsi="宋体" w:eastAsia="宋体" w:cs="Times New Roman"/>
      <w:kern w:val="2"/>
      <w:sz w:val="28"/>
      <w:szCs w:val="28"/>
      <w:lang w:val="en-US" w:eastAsia="zh-CN" w:bidi="ar-SA"/>
    </w:rPr>
  </w:style>
  <w:style w:type="character" w:customStyle="1" w:styleId="70">
    <w:name w:val="Char Char14"/>
    <w:qFormat/>
    <w:uiPriority w:val="0"/>
    <w:rPr>
      <w:rFonts w:ascii="宋体" w:hAnsi="宋体"/>
      <w:snapToGrid w:val="0"/>
      <w:color w:val="1F497D"/>
      <w:kern w:val="2"/>
      <w:sz w:val="24"/>
    </w:rPr>
  </w:style>
  <w:style w:type="character" w:customStyle="1" w:styleId="71">
    <w:name w:val="题目1 Char"/>
    <w:link w:val="72"/>
    <w:qFormat/>
    <w:uiPriority w:val="0"/>
    <w:rPr>
      <w:kern w:val="2"/>
      <w:sz w:val="21"/>
      <w:szCs w:val="24"/>
    </w:rPr>
  </w:style>
  <w:style w:type="paragraph" w:customStyle="1" w:styleId="72">
    <w:name w:val="题目1"/>
    <w:basedOn w:val="1"/>
    <w:link w:val="71"/>
    <w:qFormat/>
    <w:uiPriority w:val="0"/>
    <w:pPr>
      <w:tabs>
        <w:tab w:val="left" w:pos="480"/>
      </w:tabs>
      <w:spacing w:line="360" w:lineRule="auto"/>
      <w:jc w:val="center"/>
    </w:pPr>
  </w:style>
  <w:style w:type="character" w:customStyle="1" w:styleId="73">
    <w:name w:val="Char Char2"/>
    <w:qFormat/>
    <w:uiPriority w:val="0"/>
    <w:rPr>
      <w:rFonts w:ascii="Myriad Pro Light" w:hAnsi="Myriad Pro Light"/>
      <w:snapToGrid w:val="0"/>
      <w:sz w:val="18"/>
      <w:szCs w:val="18"/>
      <w:lang w:val="en-US" w:eastAsia="zh-CN" w:bidi="ar-SA"/>
    </w:rPr>
  </w:style>
  <w:style w:type="character" w:customStyle="1" w:styleId="74">
    <w:name w:val="Char Char25"/>
    <w:qFormat/>
    <w:locked/>
    <w:uiPriority w:val="0"/>
    <w:rPr>
      <w:rFonts w:eastAsia="黑体" w:cs="宋体"/>
      <w:b/>
      <w:color w:val="000000"/>
      <w:kern w:val="2"/>
      <w:sz w:val="28"/>
      <w:szCs w:val="28"/>
      <w:lang w:val="en-US" w:eastAsia="zh-CN" w:bidi="ar-SA"/>
    </w:rPr>
  </w:style>
  <w:style w:type="character" w:customStyle="1" w:styleId="75">
    <w:name w:val="Char Char1"/>
    <w:qFormat/>
    <w:uiPriority w:val="0"/>
    <w:rPr>
      <w:rFonts w:ascii="Myriad Pro Light" w:hAnsi="Myriad Pro Light"/>
      <w:snapToGrid w:val="0"/>
      <w:sz w:val="18"/>
      <w:szCs w:val="28"/>
      <w:lang w:val="en-US" w:eastAsia="zh-CN" w:bidi="ar-SA"/>
    </w:rPr>
  </w:style>
  <w:style w:type="character" w:customStyle="1" w:styleId="76">
    <w:name w:val="Char Char11"/>
    <w:qFormat/>
    <w:uiPriority w:val="0"/>
    <w:rPr>
      <w:rFonts w:ascii="Myriad Pro Light" w:hAnsi="华文细黑"/>
      <w:bCs/>
      <w:snapToGrid w:val="0"/>
      <w:color w:val="C00000"/>
      <w:sz w:val="24"/>
      <w:szCs w:val="24"/>
      <w:lang w:val="en-US" w:eastAsia="zh-CN" w:bidi="ar-SA"/>
    </w:rPr>
  </w:style>
  <w:style w:type="character" w:customStyle="1" w:styleId="77">
    <w:name w:val="Char Char13"/>
    <w:qFormat/>
    <w:uiPriority w:val="0"/>
    <w:rPr>
      <w:rFonts w:ascii="Myriad Pro Light" w:hAnsi="华文细黑"/>
      <w:snapToGrid w:val="0"/>
      <w:color w:val="C00000"/>
      <w:kern w:val="2"/>
      <w:sz w:val="24"/>
      <w:szCs w:val="24"/>
      <w:lang w:val="en-US" w:eastAsia="zh-CN" w:bidi="ar-SA"/>
    </w:rPr>
  </w:style>
  <w:style w:type="character" w:customStyle="1" w:styleId="78">
    <w:name w:val="Char Char131"/>
    <w:qFormat/>
    <w:uiPriority w:val="0"/>
    <w:rPr>
      <w:rFonts w:ascii="Myriad Pro Light" w:hAnsi="华文细黑"/>
      <w:snapToGrid w:val="0"/>
      <w:color w:val="C00000"/>
      <w:kern w:val="2"/>
      <w:sz w:val="24"/>
      <w:szCs w:val="24"/>
      <w:lang w:val="en-US" w:eastAsia="zh-CN" w:bidi="ar-SA"/>
    </w:rPr>
  </w:style>
  <w:style w:type="character" w:customStyle="1" w:styleId="79">
    <w:name w:val="Char Char15"/>
    <w:qFormat/>
    <w:uiPriority w:val="0"/>
    <w:rPr>
      <w:rFonts w:ascii="宋体" w:hAnsi="宋体" w:eastAsia="宋体"/>
      <w:snapToGrid w:val="0"/>
      <w:color w:val="C00000"/>
      <w:kern w:val="2"/>
      <w:sz w:val="24"/>
      <w:lang w:val="en-US" w:eastAsia="zh-CN" w:bidi="ar-SA"/>
    </w:rPr>
  </w:style>
  <w:style w:type="character" w:customStyle="1" w:styleId="80">
    <w:name w:val="Char Char151"/>
    <w:qFormat/>
    <w:uiPriority w:val="0"/>
    <w:rPr>
      <w:rFonts w:ascii="宋体" w:hAnsi="宋体" w:eastAsia="宋体"/>
      <w:snapToGrid w:val="0"/>
      <w:color w:val="C00000"/>
      <w:kern w:val="2"/>
      <w:sz w:val="24"/>
      <w:lang w:val="en-US" w:eastAsia="zh-CN" w:bidi="ar-SA"/>
    </w:rPr>
  </w:style>
  <w:style w:type="character" w:customStyle="1" w:styleId="81">
    <w:name w:val="Char Char16"/>
    <w:qFormat/>
    <w:uiPriority w:val="0"/>
    <w:rPr>
      <w:rFonts w:ascii="华文细黑" w:hAnsi="华文细黑" w:eastAsia="黑体"/>
      <w:snapToGrid w:val="0"/>
      <w:color w:val="0070C0"/>
      <w:kern w:val="2"/>
      <w:sz w:val="28"/>
      <w:szCs w:val="28"/>
      <w:lang w:val="en-US" w:eastAsia="zh-CN" w:bidi="ar-SA"/>
    </w:rPr>
  </w:style>
  <w:style w:type="character" w:customStyle="1" w:styleId="82">
    <w:name w:val="Char Char21"/>
    <w:qFormat/>
    <w:uiPriority w:val="0"/>
    <w:rPr>
      <w:rFonts w:ascii="Myriad Pro Light" w:hAnsi="Myriad Pro Light"/>
      <w:snapToGrid w:val="0"/>
      <w:sz w:val="18"/>
      <w:szCs w:val="18"/>
      <w:lang w:val="en-US" w:eastAsia="zh-CN" w:bidi="ar-SA"/>
    </w:rPr>
  </w:style>
  <w:style w:type="character" w:customStyle="1" w:styleId="83">
    <w:name w:val="Char Char111"/>
    <w:qFormat/>
    <w:uiPriority w:val="0"/>
    <w:rPr>
      <w:rFonts w:ascii="Myriad Pro Light" w:hAnsi="华文细黑"/>
      <w:bCs/>
      <w:snapToGrid w:val="0"/>
      <w:color w:val="C00000"/>
      <w:sz w:val="24"/>
      <w:szCs w:val="24"/>
      <w:lang w:val="en-US" w:eastAsia="zh-CN" w:bidi="ar-SA"/>
    </w:rPr>
  </w:style>
  <w:style w:type="character" w:customStyle="1" w:styleId="84">
    <w:name w:val="Char Char121"/>
    <w:qFormat/>
    <w:uiPriority w:val="0"/>
    <w:rPr>
      <w:rFonts w:ascii="Myriad Pro Light" w:hAnsi="Myriad Pro Light"/>
      <w:snapToGrid w:val="0"/>
      <w:sz w:val="18"/>
      <w:szCs w:val="28"/>
      <w:lang w:val="en-US" w:eastAsia="zh-CN" w:bidi="ar-SA"/>
    </w:rPr>
  </w:style>
  <w:style w:type="character" w:customStyle="1" w:styleId="85">
    <w:name w:val="Char Char26"/>
    <w:qFormat/>
    <w:locked/>
    <w:uiPriority w:val="0"/>
    <w:rPr>
      <w:rFonts w:eastAsia="黑体" w:cs="华文细黑"/>
      <w:b/>
      <w:color w:val="000000"/>
      <w:kern w:val="2"/>
      <w:sz w:val="32"/>
      <w:szCs w:val="32"/>
      <w:lang w:val="en-US" w:eastAsia="zh-CN" w:bidi="ar-SA"/>
    </w:rPr>
  </w:style>
  <w:style w:type="character" w:customStyle="1" w:styleId="86">
    <w:name w:val="Char Char10"/>
    <w:qFormat/>
    <w:uiPriority w:val="0"/>
    <w:rPr>
      <w:rFonts w:ascii="Myriad Pro Light" w:hAnsi="华文细黑" w:cs="MS Mincho"/>
      <w:snapToGrid w:val="0"/>
      <w:color w:val="0070C0"/>
      <w:sz w:val="24"/>
      <w:szCs w:val="24"/>
      <w:lang w:val="en-US" w:eastAsia="zh-CN" w:bidi="ar-SA"/>
    </w:rPr>
  </w:style>
  <w:style w:type="character" w:customStyle="1" w:styleId="87">
    <w:name w:val="Heading 1 Char"/>
    <w:qFormat/>
    <w:locked/>
    <w:uiPriority w:val="0"/>
    <w:rPr>
      <w:rFonts w:cs="Calibri"/>
      <w:b/>
      <w:bCs/>
      <w:kern w:val="44"/>
      <w:sz w:val="44"/>
      <w:szCs w:val="44"/>
    </w:rPr>
  </w:style>
  <w:style w:type="character" w:customStyle="1" w:styleId="88">
    <w:name w:val="Char Char141"/>
    <w:qFormat/>
    <w:uiPriority w:val="0"/>
    <w:rPr>
      <w:rFonts w:ascii="宋体" w:hAnsi="宋体"/>
      <w:snapToGrid w:val="0"/>
      <w:color w:val="1F497D"/>
      <w:kern w:val="2"/>
      <w:sz w:val="24"/>
    </w:rPr>
  </w:style>
  <w:style w:type="character" w:customStyle="1" w:styleId="89">
    <w:name w:val="Title Char"/>
    <w:qFormat/>
    <w:locked/>
    <w:uiPriority w:val="0"/>
    <w:rPr>
      <w:rFonts w:ascii="Cambria" w:hAnsi="Cambria" w:cs="Times New Roman"/>
      <w:b/>
      <w:bCs/>
      <w:sz w:val="32"/>
      <w:szCs w:val="32"/>
    </w:rPr>
  </w:style>
  <w:style w:type="character" w:customStyle="1" w:styleId="90">
    <w:name w:val="Char Char7"/>
    <w:qFormat/>
    <w:uiPriority w:val="0"/>
    <w:rPr>
      <w:rFonts w:ascii="华文细黑" w:hAnsi="华文细黑" w:eastAsia="黑体"/>
      <w:snapToGrid w:val="0"/>
      <w:sz w:val="30"/>
      <w:szCs w:val="30"/>
      <w:lang w:val="en-US" w:eastAsia="zh-CN" w:bidi="ar-SA"/>
    </w:rPr>
  </w:style>
  <w:style w:type="character" w:customStyle="1" w:styleId="91">
    <w:name w:val="题目 Char"/>
    <w:link w:val="92"/>
    <w:qFormat/>
    <w:uiPriority w:val="0"/>
    <w:rPr>
      <w:rFonts w:ascii="黑体" w:eastAsia="黑体"/>
      <w:color w:val="C00000"/>
      <w:kern w:val="2"/>
      <w:sz w:val="28"/>
      <w:szCs w:val="28"/>
    </w:rPr>
  </w:style>
  <w:style w:type="paragraph" w:customStyle="1" w:styleId="92">
    <w:name w:val="题目"/>
    <w:basedOn w:val="1"/>
    <w:link w:val="91"/>
    <w:qFormat/>
    <w:uiPriority w:val="0"/>
    <w:pPr>
      <w:spacing w:before="480" w:beforeLines="200" w:after="240" w:afterLines="100"/>
      <w:jc w:val="center"/>
    </w:pPr>
    <w:rPr>
      <w:rFonts w:ascii="黑体" w:eastAsia="黑体"/>
      <w:color w:val="C00000"/>
      <w:sz w:val="28"/>
      <w:szCs w:val="28"/>
    </w:rPr>
  </w:style>
  <w:style w:type="character" w:customStyle="1" w:styleId="93">
    <w:name w:val="Char Char12"/>
    <w:qFormat/>
    <w:uiPriority w:val="0"/>
    <w:rPr>
      <w:rFonts w:ascii="Myriad Pro Light" w:hAnsi="Myriad Pro Light"/>
      <w:snapToGrid w:val="0"/>
      <w:color w:val="0070C0"/>
      <w:sz w:val="24"/>
      <w:szCs w:val="24"/>
      <w:lang w:val="en-US" w:eastAsia="zh-CN" w:bidi="ar-SA"/>
    </w:rPr>
  </w:style>
  <w:style w:type="character" w:customStyle="1" w:styleId="94">
    <w:name w:val="Char Char161"/>
    <w:qFormat/>
    <w:uiPriority w:val="0"/>
    <w:rPr>
      <w:rFonts w:ascii="华文细黑" w:hAnsi="华文细黑" w:eastAsia="黑体"/>
      <w:snapToGrid w:val="0"/>
      <w:color w:val="0070C0"/>
      <w:kern w:val="2"/>
      <w:sz w:val="28"/>
      <w:szCs w:val="28"/>
      <w:lang w:val="en-US" w:eastAsia="zh-CN" w:bidi="ar-SA"/>
    </w:rPr>
  </w:style>
  <w:style w:type="character" w:customStyle="1" w:styleId="95">
    <w:name w:val="Char Char251"/>
    <w:qFormat/>
    <w:locked/>
    <w:uiPriority w:val="0"/>
    <w:rPr>
      <w:rFonts w:eastAsia="黑体" w:cs="宋体"/>
      <w:b/>
      <w:color w:val="000000"/>
      <w:kern w:val="2"/>
      <w:sz w:val="28"/>
      <w:szCs w:val="28"/>
      <w:lang w:val="en-US" w:eastAsia="zh-CN" w:bidi="ar-SA"/>
    </w:rPr>
  </w:style>
  <w:style w:type="character" w:customStyle="1" w:styleId="96">
    <w:name w:val="Char Char101"/>
    <w:qFormat/>
    <w:uiPriority w:val="0"/>
    <w:rPr>
      <w:rFonts w:ascii="Myriad Pro Light" w:hAnsi="华文细黑" w:cs="MS Mincho"/>
      <w:snapToGrid w:val="0"/>
      <w:color w:val="0070C0"/>
      <w:sz w:val="24"/>
      <w:szCs w:val="24"/>
      <w:lang w:val="en-US" w:eastAsia="zh-CN" w:bidi="ar-SA"/>
    </w:rPr>
  </w:style>
  <w:style w:type="character" w:customStyle="1" w:styleId="97">
    <w:name w:val="Char Char261"/>
    <w:qFormat/>
    <w:locked/>
    <w:uiPriority w:val="0"/>
    <w:rPr>
      <w:rFonts w:eastAsia="黑体" w:cs="华文细黑"/>
      <w:b/>
      <w:color w:val="000000"/>
      <w:kern w:val="2"/>
      <w:sz w:val="32"/>
      <w:szCs w:val="32"/>
      <w:lang w:val="en-US" w:eastAsia="zh-CN" w:bidi="ar-SA"/>
    </w:rPr>
  </w:style>
  <w:style w:type="character" w:customStyle="1" w:styleId="98">
    <w:name w:val="Char Char71"/>
    <w:qFormat/>
    <w:uiPriority w:val="0"/>
    <w:rPr>
      <w:rFonts w:ascii="华文细黑" w:hAnsi="华文细黑" w:eastAsia="黑体"/>
      <w:snapToGrid w:val="0"/>
      <w:sz w:val="30"/>
      <w:szCs w:val="30"/>
      <w:lang w:val="en-US" w:eastAsia="zh-CN" w:bidi="ar-SA"/>
    </w:rPr>
  </w:style>
  <w:style w:type="character" w:customStyle="1" w:styleId="99">
    <w:name w:val="Char Char122"/>
    <w:qFormat/>
    <w:uiPriority w:val="0"/>
    <w:rPr>
      <w:rFonts w:ascii="Myriad Pro Light" w:hAnsi="Myriad Pro Light"/>
      <w:snapToGrid w:val="0"/>
      <w:color w:val="0070C0"/>
      <w:sz w:val="24"/>
      <w:szCs w:val="24"/>
      <w:lang w:val="en-US" w:eastAsia="zh-CN" w:bidi="ar-SA"/>
    </w:rPr>
  </w:style>
  <w:style w:type="character" w:customStyle="1" w:styleId="100">
    <w:name w:val="标题 2 Char"/>
    <w:qFormat/>
    <w:uiPriority w:val="0"/>
    <w:rPr>
      <w:rFonts w:ascii="Arial" w:hAnsi="Arial" w:eastAsia="黑体"/>
      <w:b/>
      <w:kern w:val="2"/>
      <w:sz w:val="32"/>
      <w:lang w:val="en-US" w:eastAsia="zh-CN" w:bidi="ar-SA"/>
    </w:rPr>
  </w:style>
  <w:style w:type="paragraph" w:customStyle="1" w:styleId="101">
    <w:name w:val="Char"/>
    <w:basedOn w:val="1"/>
    <w:qFormat/>
    <w:uiPriority w:val="0"/>
  </w:style>
  <w:style w:type="paragraph" w:customStyle="1" w:styleId="102">
    <w:name w:val="文献"/>
    <w:qFormat/>
    <w:uiPriority w:val="0"/>
    <w:pPr>
      <w:tabs>
        <w:tab w:val="left" w:leader="dot" w:pos="480"/>
      </w:tabs>
      <w:adjustRightInd w:val="0"/>
      <w:snapToGrid w:val="0"/>
      <w:spacing w:before="213" w:beforeLines="50" w:after="213" w:afterLines="50" w:line="300" w:lineRule="auto"/>
      <w:jc w:val="both"/>
    </w:pPr>
    <w:rPr>
      <w:rFonts w:ascii="Myriad Pro Light" w:hAnsi="华文细黑" w:eastAsia="宋体" w:cs="Times New Roman"/>
      <w:snapToGrid w:val="0"/>
      <w:color w:val="003366"/>
      <w:sz w:val="24"/>
      <w:szCs w:val="24"/>
      <w:lang w:val="en-US" w:eastAsia="zh-CN" w:bidi="ar-SA"/>
    </w:rPr>
  </w:style>
  <w:style w:type="paragraph" w:customStyle="1" w:styleId="103">
    <w:name w:val="_Style 100"/>
    <w:semiHidden/>
    <w:qFormat/>
    <w:uiPriority w:val="99"/>
    <w:rPr>
      <w:rFonts w:ascii="Calibri" w:hAnsi="Calibri" w:eastAsia="宋体" w:cs="Times New Roman"/>
      <w:kern w:val="2"/>
      <w:sz w:val="21"/>
      <w:szCs w:val="24"/>
      <w:lang w:val="en-US" w:eastAsia="zh-CN" w:bidi="ar-SA"/>
    </w:rPr>
  </w:style>
  <w:style w:type="paragraph" w:customStyle="1" w:styleId="10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05">
    <w:name w:val="图"/>
    <w:qFormat/>
    <w:uiPriority w:val="0"/>
    <w:pPr>
      <w:numPr>
        <w:ilvl w:val="7"/>
        <w:numId w:val="1"/>
      </w:numPr>
      <w:tabs>
        <w:tab w:val="left" w:leader="dot" w:pos="480"/>
      </w:tabs>
      <w:snapToGrid w:val="0"/>
      <w:spacing w:line="360" w:lineRule="auto"/>
      <w:jc w:val="center"/>
    </w:pPr>
    <w:rPr>
      <w:rFonts w:ascii="Myriad Pro Light" w:hAnsi="华文细黑" w:eastAsia="宋体" w:cs="Myriad Pro Light"/>
      <w:color w:val="0070C0"/>
      <w:sz w:val="21"/>
      <w:szCs w:val="21"/>
      <w:lang w:val="en-US" w:eastAsia="zh-CN" w:bidi="ar-SA"/>
    </w:rPr>
  </w:style>
  <w:style w:type="paragraph" w:customStyle="1" w:styleId="106">
    <w:name w:val="Char1"/>
    <w:basedOn w:val="1"/>
    <w:qFormat/>
    <w:uiPriority w:val="0"/>
    <w:pPr>
      <w:spacing w:line="360" w:lineRule="auto"/>
    </w:pPr>
    <w:rPr>
      <w:rFonts w:ascii="Tahoma" w:hAnsi="Tahoma"/>
      <w:sz w:val="24"/>
      <w:szCs w:val="20"/>
    </w:rPr>
  </w:style>
  <w:style w:type="paragraph" w:customStyle="1" w:styleId="107">
    <w:name w:val="表"/>
    <w:qFormat/>
    <w:uiPriority w:val="0"/>
    <w:pPr>
      <w:tabs>
        <w:tab w:val="left" w:leader="dot" w:pos="480"/>
      </w:tabs>
      <w:spacing w:line="360" w:lineRule="auto"/>
      <w:jc w:val="center"/>
    </w:pPr>
    <w:rPr>
      <w:rFonts w:ascii="Myriad Pro Light" w:hAnsi="Myriad Pro Light" w:eastAsia="宋体" w:cs="Times New Roman"/>
      <w:snapToGrid w:val="0"/>
      <w:color w:val="C00000"/>
      <w:sz w:val="21"/>
      <w:szCs w:val="28"/>
      <w:lang w:val="en-US" w:eastAsia="zh-CN" w:bidi="ar-SA"/>
    </w:rPr>
  </w:style>
  <w:style w:type="paragraph" w:customStyle="1" w:styleId="108">
    <w:name w:val="Char Char1 Char Char Char Char Char Char1 Char"/>
    <w:basedOn w:val="1"/>
    <w:next w:val="1"/>
    <w:qFormat/>
    <w:uiPriority w:val="0"/>
  </w:style>
  <w:style w:type="paragraph" w:customStyle="1" w:styleId="109">
    <w:name w:val="列出段落1"/>
    <w:basedOn w:val="1"/>
    <w:qFormat/>
    <w:uiPriority w:val="0"/>
    <w:pPr>
      <w:ind w:firstLine="420" w:firstLineChars="200"/>
    </w:pPr>
    <w:rPr>
      <w:rFonts w:ascii="Calibri Light" w:hAnsi="Calibri Light" w:cs="方正楷体简体"/>
      <w:szCs w:val="22"/>
    </w:rPr>
  </w:style>
  <w:style w:type="character" w:customStyle="1" w:styleId="110">
    <w:name w:val="正文文本 (2) + 10 pt23"/>
    <w:qFormat/>
    <w:uiPriority w:val="0"/>
    <w:rPr>
      <w:rFonts w:ascii="宋体" w:hAnsi="宋体" w:cs="宋体"/>
      <w:sz w:val="20"/>
      <w:szCs w:val="20"/>
      <w:u w:val="none"/>
      <w:lang w:bidi="ar-SA"/>
    </w:rPr>
  </w:style>
  <w:style w:type="paragraph" w:customStyle="1" w:styleId="111">
    <w:name w:val="Table Paragraph"/>
    <w:basedOn w:val="1"/>
    <w:qFormat/>
    <w:uiPriority w:val="1"/>
  </w:style>
  <w:style w:type="paragraph" w:customStyle="1" w:styleId="112">
    <w:name w:val="节-1.2..(居中)"/>
    <w:basedOn w:val="6"/>
    <w:qFormat/>
    <w:uiPriority w:val="0"/>
    <w:pPr>
      <w:adjustRightInd w:val="0"/>
      <w:jc w:val="center"/>
      <w:textAlignment w:val="baseline"/>
    </w:pPr>
    <w:rPr>
      <w:rFonts w:ascii="Times New Roman" w:hAnsi="Times New Roman"/>
      <w:kern w:val="0"/>
      <w:sz w:val="36"/>
    </w:rPr>
  </w:style>
  <w:style w:type="paragraph" w:customStyle="1" w:styleId="113">
    <w:name w:val="正文 A"/>
    <w:autoRedefine/>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 w:type="paragraph" w:customStyle="1" w:styleId="114">
    <w:name w:val="Revision"/>
    <w:hidden/>
    <w:unhideWhenUsed/>
    <w:qFormat/>
    <w:uiPriority w:val="99"/>
    <w:rPr>
      <w:rFonts w:ascii="Calibri" w:hAnsi="Calibri" w:eastAsia="宋体" w:cs="Times New Roman"/>
      <w:kern w:val="2"/>
      <w:sz w:val="21"/>
      <w:szCs w:val="24"/>
      <w:lang w:val="en-US" w:eastAsia="zh-CN" w:bidi="ar-SA"/>
    </w:rPr>
  </w:style>
  <w:style w:type="paragraph" w:customStyle="1" w:styleId="115">
    <w:name w:val="Other|1"/>
    <w:basedOn w:val="1"/>
    <w:qFormat/>
    <w:uiPriority w:val="0"/>
    <w:pPr>
      <w:spacing w:line="379" w:lineRule="auto"/>
      <w:ind w:firstLine="40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16678</Words>
  <Characters>17659</Characters>
  <Lines>115</Lines>
  <Paragraphs>105</Paragraphs>
  <TotalTime>0</TotalTime>
  <ScaleCrop>false</ScaleCrop>
  <LinksUpToDate>false</LinksUpToDate>
  <CharactersWithSpaces>20003</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2017-07-25T23:36:00Z</dcterms:created>
  <dc:creator>HRJ</dc:creator>
  <cp:lastModifiedBy>许宁</cp:lastModifiedBy>
  <cp:lastPrinted>2020-04-22T09:27:00Z</cp:lastPrinted>
  <dcterms:modified xsi:type="dcterms:W3CDTF">2025-01-07T08:19:34Z</dcterms:modified>
  <dc:title>JTS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B0734380C58842A4A52B7A5FBAAD0908_13</vt:lpwstr>
  </property>
</Properties>
</file>