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FB56">
      <w:pPr>
        <w:spacing w:line="440" w:lineRule="exact"/>
        <w:rPr>
          <w:rFonts w:eastAsia="黑体"/>
          <w:color w:val="auto"/>
          <w:sz w:val="31"/>
          <w:szCs w:val="31"/>
          <w:highlight w:val="none"/>
        </w:rPr>
      </w:pPr>
    </w:p>
    <w:p w14:paraId="5D42E9F3">
      <w:pPr>
        <w:rPr>
          <w:rFonts w:ascii="宋体" w:hAnsi="宋体"/>
          <w:color w:val="auto"/>
          <w:highlight w:val="none"/>
        </w:rPr>
      </w:pPr>
    </w:p>
    <w:p w14:paraId="6278225B">
      <w:pPr>
        <w:rPr>
          <w:rFonts w:ascii="宋体" w:hAnsi="宋体"/>
          <w:color w:val="auto"/>
          <w:highlight w:val="none"/>
        </w:rPr>
      </w:pPr>
    </w:p>
    <w:p w14:paraId="43C109EB">
      <w:pPr>
        <w:jc w:val="center"/>
        <w:rPr>
          <w:rFonts w:ascii="华文中宋" w:hAnsi="华文中宋" w:eastAsia="华文中宋" w:cs="华文中宋"/>
          <w:b/>
          <w:color w:val="auto"/>
          <w:sz w:val="52"/>
          <w:szCs w:val="52"/>
          <w:highlight w:val="none"/>
        </w:rPr>
      </w:pPr>
    </w:p>
    <w:p w14:paraId="03C68D10">
      <w:pPr>
        <w:jc w:val="center"/>
        <w:rPr>
          <w:rFonts w:ascii="华文中宋" w:hAnsi="华文中宋" w:eastAsia="华文中宋" w:cs="华文中宋"/>
          <w:b/>
          <w:color w:val="auto"/>
          <w:sz w:val="52"/>
          <w:szCs w:val="52"/>
          <w:highlight w:val="none"/>
        </w:rPr>
      </w:pPr>
    </w:p>
    <w:p w14:paraId="6833D05A">
      <w:pPr>
        <w:jc w:val="center"/>
        <w:rPr>
          <w:rFonts w:hint="eastAsia"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厦门市水运工程</w:t>
      </w:r>
    </w:p>
    <w:p w14:paraId="7AA571A7">
      <w:pPr>
        <w:jc w:val="center"/>
        <w:rPr>
          <w:rFonts w:ascii="华文中宋" w:hAnsi="华文中宋" w:eastAsia="华文中宋" w:cs="华文中宋"/>
          <w:b/>
          <w:color w:val="auto"/>
          <w:sz w:val="72"/>
          <w:szCs w:val="72"/>
          <w:highlight w:val="none"/>
        </w:rPr>
      </w:pPr>
      <w:r>
        <w:rPr>
          <w:rFonts w:hint="eastAsia" w:ascii="华文中宋" w:hAnsi="华文中宋" w:eastAsia="华文中宋" w:cs="华文中宋"/>
          <w:b/>
          <w:color w:val="auto"/>
          <w:sz w:val="72"/>
          <w:szCs w:val="72"/>
          <w:highlight w:val="none"/>
        </w:rPr>
        <w:t>施工招标文件</w:t>
      </w:r>
    </w:p>
    <w:p w14:paraId="03DA586E">
      <w:pPr>
        <w:rPr>
          <w:rFonts w:ascii="华文中宋" w:hAnsi="华文中宋" w:eastAsia="华文中宋" w:cs="华文中宋"/>
          <w:color w:val="auto"/>
          <w:highlight w:val="none"/>
        </w:rPr>
      </w:pPr>
      <w:bookmarkStart w:id="0" w:name="_Toc235936258"/>
    </w:p>
    <w:p w14:paraId="47A77620">
      <w:pPr>
        <w:spacing w:line="360" w:lineRule="auto"/>
        <w:ind w:firstLine="0" w:firstLineChars="0"/>
        <w:jc w:val="center"/>
        <w:rPr>
          <w:rFonts w:ascii="宋体" w:hAnsi="宋体"/>
          <w:color w:val="auto"/>
          <w:szCs w:val="21"/>
          <w:highlight w:val="none"/>
        </w:rPr>
      </w:pPr>
      <w:bookmarkStart w:id="1" w:name="_Toc256690493"/>
      <w:r>
        <w:rPr>
          <w:rFonts w:hint="eastAsia" w:ascii="黑体" w:hAnsi="黑体" w:eastAsia="黑体"/>
          <w:color w:val="auto"/>
          <w:sz w:val="36"/>
          <w:szCs w:val="36"/>
          <w:highlight w:val="none"/>
        </w:rPr>
        <w:t>（</w:t>
      </w:r>
      <w:r>
        <w:rPr>
          <w:rFonts w:hint="eastAsia" w:ascii="黑体" w:hAnsi="黑体" w:eastAsia="黑体" w:cs="宋体"/>
          <w:color w:val="auto"/>
          <w:sz w:val="32"/>
          <w:highlight w:val="none"/>
          <w:lang w:val="zh-CN" w:bidi="zh-CN"/>
        </w:rPr>
        <w:t>“评定分离”版</w:t>
      </w:r>
      <w:r>
        <w:rPr>
          <w:rFonts w:hint="eastAsia" w:ascii="黑体" w:hAnsi="黑体" w:eastAsia="黑体"/>
          <w:color w:val="auto"/>
          <w:sz w:val="36"/>
          <w:szCs w:val="36"/>
          <w:highlight w:val="none"/>
        </w:rPr>
        <w:t>）</w:t>
      </w:r>
    </w:p>
    <w:p w14:paraId="31CBA8D9">
      <w:pPr>
        <w:ind w:firstLine="2249" w:firstLineChars="700"/>
        <w:rPr>
          <w:rFonts w:ascii="华文中宋" w:hAnsi="华文中宋" w:eastAsia="华文中宋" w:cs="华文中宋"/>
          <w:b/>
          <w:color w:val="auto"/>
          <w:sz w:val="32"/>
          <w:szCs w:val="32"/>
          <w:highlight w:val="none"/>
        </w:rPr>
      </w:pPr>
    </w:p>
    <w:p w14:paraId="57119EF6">
      <w:pPr>
        <w:jc w:val="center"/>
        <w:rPr>
          <w:rFonts w:ascii="华文中宋" w:hAnsi="华文中宋" w:eastAsia="华文中宋" w:cs="华文中宋"/>
          <w:b/>
          <w:color w:val="auto"/>
          <w:sz w:val="72"/>
          <w:szCs w:val="72"/>
          <w:highlight w:val="none"/>
        </w:rPr>
      </w:pPr>
      <w:r>
        <w:rPr>
          <w:rFonts w:ascii="宋体" w:hAnsi="宋体"/>
          <w:color w:val="auto"/>
          <w:szCs w:val="21"/>
          <w:highlight w:val="none"/>
        </w:rPr>
        <w:tab/>
      </w:r>
    </w:p>
    <w:bookmarkEnd w:id="0"/>
    <w:bookmarkEnd w:id="1"/>
    <w:p w14:paraId="347A0467">
      <w:pPr>
        <w:spacing w:line="360" w:lineRule="auto"/>
        <w:ind w:left="3054" w:leftChars="393" w:hanging="2229" w:hangingChars="694"/>
        <w:rPr>
          <w:rFonts w:ascii="宋体" w:hAnsi="宋体"/>
          <w:b/>
          <w:color w:val="auto"/>
          <w:sz w:val="32"/>
          <w:highlight w:val="none"/>
        </w:rPr>
      </w:pPr>
    </w:p>
    <w:p w14:paraId="3C2F73F0">
      <w:pPr>
        <w:spacing w:line="360" w:lineRule="auto"/>
        <w:ind w:left="3054" w:leftChars="393" w:hanging="2229" w:hangingChars="694"/>
        <w:rPr>
          <w:rFonts w:ascii="宋体" w:hAnsi="宋体"/>
          <w:b/>
          <w:color w:val="auto"/>
          <w:sz w:val="32"/>
          <w:highlight w:val="none"/>
        </w:rPr>
      </w:pPr>
    </w:p>
    <w:p w14:paraId="7AE970A8">
      <w:pPr>
        <w:spacing w:line="360" w:lineRule="auto"/>
        <w:ind w:left="3054" w:leftChars="393" w:hanging="2229" w:hangingChars="694"/>
        <w:rPr>
          <w:rFonts w:ascii="宋体" w:hAnsi="宋体"/>
          <w:b/>
          <w:color w:val="auto"/>
          <w:sz w:val="32"/>
          <w:highlight w:val="none"/>
        </w:rPr>
      </w:pPr>
    </w:p>
    <w:p w14:paraId="10AF281F">
      <w:pPr>
        <w:spacing w:line="360" w:lineRule="auto"/>
        <w:ind w:left="3054" w:leftChars="393" w:hanging="2229" w:hangingChars="694"/>
        <w:rPr>
          <w:rFonts w:ascii="宋体" w:hAnsi="宋体"/>
          <w:b/>
          <w:color w:val="auto"/>
          <w:sz w:val="32"/>
          <w:highlight w:val="none"/>
        </w:rPr>
      </w:pPr>
    </w:p>
    <w:p w14:paraId="181E65E1">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厦门市住房和建设局</w:t>
      </w:r>
    </w:p>
    <w:p w14:paraId="7039EFCB">
      <w:pPr>
        <w:spacing w:line="360" w:lineRule="auto"/>
        <w:jc w:val="center"/>
        <w:rPr>
          <w:rFonts w:ascii="宋体" w:hAnsi="宋体" w:cs="宋体"/>
          <w:b/>
          <w:color w:val="auto"/>
          <w:sz w:val="32"/>
          <w:szCs w:val="32"/>
          <w:highlight w:val="none"/>
        </w:rPr>
        <w:sectPr>
          <w:headerReference r:id="rId4" w:type="default"/>
          <w:headerReference r:id="rId5" w:type="even"/>
          <w:footerReference r:id="rId6" w:type="even"/>
          <w:footnotePr>
            <w:numRestart w:val="eachPage"/>
          </w:footnotePr>
          <w:pgSz w:w="11906" w:h="16838"/>
          <w:pgMar w:top="1418" w:right="1418" w:bottom="1418" w:left="1418" w:header="851" w:footer="992" w:gutter="567"/>
          <w:cols w:space="720" w:num="1"/>
          <w:titlePg/>
          <w:docGrid w:type="lines" w:linePitch="312" w:charSpace="0"/>
        </w:sect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年1月</w:t>
      </w:r>
    </w:p>
    <w:p w14:paraId="282524A3">
      <w:pPr>
        <w:spacing w:line="480" w:lineRule="exact"/>
        <w:jc w:val="center"/>
        <w:rPr>
          <w:rFonts w:ascii="宋体" w:hAnsi="宋体"/>
          <w:b/>
          <w:color w:val="auto"/>
          <w:sz w:val="48"/>
          <w:szCs w:val="48"/>
          <w:highlight w:val="none"/>
        </w:rPr>
      </w:pPr>
      <w:r>
        <w:rPr>
          <w:rFonts w:hint="eastAsia" w:ascii="宋体" w:hAnsi="宋体"/>
          <w:b/>
          <w:color w:val="auto"/>
          <w:sz w:val="48"/>
          <w:szCs w:val="48"/>
          <w:highlight w:val="none"/>
        </w:rPr>
        <w:t>总  则</w:t>
      </w:r>
    </w:p>
    <w:p w14:paraId="483A3E3D">
      <w:pPr>
        <w:spacing w:line="480" w:lineRule="exact"/>
        <w:rPr>
          <w:rFonts w:ascii="宋体" w:hAnsi="宋体"/>
          <w:color w:val="auto"/>
          <w:szCs w:val="21"/>
          <w:highlight w:val="none"/>
        </w:rPr>
      </w:pPr>
    </w:p>
    <w:p w14:paraId="448955D6">
      <w:pPr>
        <w:widowControl/>
        <w:numPr>
          <w:ilvl w:val="0"/>
          <w:numId w:val="1"/>
        </w:numPr>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《厦门市水运工程施工招标文件》（“评定分离”版</w:t>
      </w:r>
      <w:bookmarkStart w:id="1395" w:name="_GoBack"/>
      <w:bookmarkEnd w:id="1395"/>
      <w:r>
        <w:rPr>
          <w:rFonts w:hint="eastAsia" w:ascii="仿宋" w:hAnsi="仿宋" w:eastAsia="仿宋" w:cs="仿宋"/>
          <w:color w:val="auto"/>
          <w:kern w:val="0"/>
          <w:sz w:val="28"/>
          <w:szCs w:val="28"/>
          <w:highlight w:val="none"/>
        </w:rPr>
        <w:t>）以福建省港航事业发展中心发布《福建省水运工程施工招标文件示范文本》（202</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highlight w:val="none"/>
        </w:rPr>
        <w:t>版）（以下简称“省范本”）为基础，以《中华人民共和国招标投标法》、《电子招标投标办法》等法律和部门规章为依据，根据《厦门市住房和建设局关于印发建设工程招投标评定分离办法的通知》（厦住建规〔2024〕6号）并结合厦门市实际情况进行编制。</w:t>
      </w:r>
    </w:p>
    <w:p w14:paraId="05587E5B">
      <w:pPr>
        <w:wordWrap w:val="0"/>
        <w:spacing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2、本招标文件（范本）适用于厦门市行政区域内依法必须进行公开招投标且采用“评定分离”评标定标办法的水运建设项目，包括施工总承包工程、专业工程招标项目。</w:t>
      </w:r>
    </w:p>
    <w:p w14:paraId="601B798B">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本施工招标文件示范文本可适用于全部使用国有资金投资或者国有资金投资占控股或主导地位依法应当公开招标的我省省级及以下有关部门审批、核准和备案的水运工程建设项目（含陆岛交通码头）施工招标，其余水运工程项目施工招标可参照执行。</w:t>
      </w:r>
    </w:p>
    <w:p w14:paraId="5DCC28FE">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招标人在设定投标人资质资格要求时，应严格按照《建筑业企业资质标准（2015版）》中企业资质等级所承接范围的规定设定企业资质，并与招标项目工程建设规模等级相适应，不得设定与项目等级不相应、过高的资质要求。</w:t>
      </w:r>
    </w:p>
    <w:p w14:paraId="63A53861">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5、联合体参与投标的，只需由联合体牵头单位加盖电子章即可；非联合体牵头单位的资料由各自单位盖单位公章后彩色扫描后统一由联合体牵头方上传。</w:t>
      </w:r>
    </w:p>
    <w:p w14:paraId="5A4B0D15">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6、在福建省交通运输厅最新发布的信用考核定级为AA、A级且在有效期限内的单位，资格审查阶段，当其他条件满足时，其履约信誉可免于审查，直接通过资格审查。</w:t>
      </w:r>
    </w:p>
    <w:p w14:paraId="2FB9CE38">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范本中以空格下划线标示的，由招标人编制招标文件或投标人编制投标文件时填入具体内容,不需要填写时应在空格处用“/”标示，以□标识的选项由招标人根据实际情况选择，并确保与有关章节内容和要求一致。其余部分应不加修改的引用。</w:t>
      </w:r>
    </w:p>
    <w:p w14:paraId="4015B52D">
      <w:pPr>
        <w:widowControl/>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8、招标人设定最高投标限价可结合有关计价依据、工程特点、市场要素价格水平等，并贴近市场实际。</w:t>
      </w:r>
    </w:p>
    <w:p w14:paraId="7ACBD073">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9、水运工程施工招标文件的编制除应符合本示范文本规定外，还应符合国家现行有关法律、法规、标准的规定。</w:t>
      </w:r>
    </w:p>
    <w:p w14:paraId="7CC89E70">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10、各单位在使用本招标文件（范本）时，有任何意见和建议，请及时反馈厦门市建设工程招投标中心，以便进一步修改和完善。参加编制主要单位和人员名单如下：</w:t>
      </w:r>
    </w:p>
    <w:p w14:paraId="53227D20">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①厦门市建设工程招投标中心</w:t>
      </w:r>
      <w:r>
        <w:rPr>
          <w:rFonts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rPr>
        <w:t>白晓东、沈毅敏、何财宁、王东一、郑永生；</w:t>
      </w:r>
    </w:p>
    <w:p w14:paraId="05F71F62">
      <w:pPr>
        <w:widowControl/>
        <w:tabs>
          <w:tab w:val="left" w:pos="480"/>
        </w:tabs>
        <w:spacing w:line="52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②厦门港口开发建设有限公司 许宁。</w:t>
      </w:r>
    </w:p>
    <w:p w14:paraId="44C1DA5C">
      <w:pPr>
        <w:pStyle w:val="38"/>
        <w:ind w:firstLine="523"/>
        <w:rPr>
          <w:color w:val="auto"/>
          <w:highlight w:val="none"/>
        </w:rPr>
      </w:pPr>
    </w:p>
    <w:p w14:paraId="4197ED6B">
      <w:pPr>
        <w:widowControl/>
        <w:tabs>
          <w:tab w:val="left" w:pos="480"/>
        </w:tabs>
        <w:spacing w:line="520" w:lineRule="exact"/>
        <w:rPr>
          <w:rFonts w:ascii="仿宋" w:hAnsi="仿宋" w:eastAsia="仿宋" w:cs="仿宋"/>
          <w:color w:val="auto"/>
          <w:kern w:val="0"/>
          <w:sz w:val="28"/>
          <w:szCs w:val="28"/>
          <w:highlight w:val="none"/>
        </w:rPr>
      </w:pPr>
    </w:p>
    <w:p w14:paraId="31D145A3">
      <w:pPr>
        <w:rPr>
          <w:rFonts w:ascii="宋体" w:hAnsi="宋体"/>
          <w:color w:val="auto"/>
          <w:highlight w:val="none"/>
        </w:rPr>
      </w:pPr>
      <w:r>
        <w:rPr>
          <w:rFonts w:hint="eastAsia" w:ascii="宋体" w:hAnsi="宋体"/>
          <w:color w:val="auto"/>
          <w:highlight w:val="none"/>
        </w:rPr>
        <w:t xml:space="preserve">  </w:t>
      </w:r>
    </w:p>
    <w:p w14:paraId="718A5CB6">
      <w:pPr>
        <w:jc w:val="center"/>
        <w:rPr>
          <w:rFonts w:ascii="华文中宋" w:hAnsi="华文中宋" w:eastAsia="华文中宋" w:cs="华文中宋"/>
          <w:b/>
          <w:color w:val="auto"/>
          <w:sz w:val="52"/>
          <w:szCs w:val="52"/>
          <w:highlight w:val="none"/>
        </w:rPr>
      </w:pPr>
    </w:p>
    <w:p w14:paraId="5FCCEB4D">
      <w:pPr>
        <w:jc w:val="center"/>
        <w:rPr>
          <w:rFonts w:ascii="华文中宋" w:hAnsi="华文中宋" w:eastAsia="华文中宋" w:cs="华文中宋"/>
          <w:b/>
          <w:color w:val="auto"/>
          <w:sz w:val="52"/>
          <w:szCs w:val="52"/>
          <w:highlight w:val="none"/>
        </w:rPr>
      </w:pPr>
    </w:p>
    <w:p w14:paraId="3E84B728">
      <w:pPr>
        <w:jc w:val="center"/>
        <w:rPr>
          <w:rFonts w:ascii="华文中宋" w:hAnsi="华文中宋" w:eastAsia="华文中宋" w:cs="华文中宋"/>
          <w:b/>
          <w:color w:val="auto"/>
          <w:sz w:val="52"/>
          <w:szCs w:val="52"/>
          <w:highlight w:val="none"/>
        </w:rPr>
      </w:pPr>
    </w:p>
    <w:p w14:paraId="6145423B">
      <w:pPr>
        <w:jc w:val="center"/>
        <w:rPr>
          <w:rFonts w:ascii="华文中宋" w:hAnsi="华文中宋" w:eastAsia="华文中宋" w:cs="华文中宋"/>
          <w:b/>
          <w:color w:val="auto"/>
          <w:sz w:val="52"/>
          <w:szCs w:val="52"/>
          <w:highlight w:val="none"/>
        </w:rPr>
      </w:pPr>
    </w:p>
    <w:p w14:paraId="71C82856">
      <w:pPr>
        <w:jc w:val="left"/>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br w:type="page"/>
      </w:r>
    </w:p>
    <w:p w14:paraId="14ACC1DD">
      <w:pPr>
        <w:pStyle w:val="38"/>
        <w:ind w:firstLine="523"/>
        <w:rPr>
          <w:color w:val="auto"/>
          <w:highlight w:val="none"/>
        </w:rPr>
      </w:pPr>
    </w:p>
    <w:p w14:paraId="106BA8D2">
      <w:pPr>
        <w:jc w:val="center"/>
        <w:rPr>
          <w:rFonts w:hint="eastAsia" w:ascii="华文中宋" w:hAnsi="华文中宋" w:eastAsia="华文中宋" w:cs="华文中宋"/>
          <w:b/>
          <w:color w:val="auto"/>
          <w:sz w:val="52"/>
          <w:szCs w:val="52"/>
          <w:highlight w:val="none"/>
          <w:u w:val="single"/>
        </w:rPr>
      </w:pPr>
    </w:p>
    <w:p w14:paraId="3EBE5986">
      <w:pPr>
        <w:jc w:val="center"/>
        <w:rPr>
          <w:rFonts w:hint="eastAsia" w:ascii="华文中宋" w:hAnsi="华文中宋" w:eastAsia="华文中宋" w:cs="华文中宋"/>
          <w:b/>
          <w:color w:val="auto"/>
          <w:sz w:val="52"/>
          <w:szCs w:val="52"/>
          <w:highlight w:val="none"/>
          <w:u w:val="single"/>
        </w:rPr>
      </w:pPr>
    </w:p>
    <w:p w14:paraId="5D47C26A">
      <w:pPr>
        <w:jc w:val="center"/>
        <w:rPr>
          <w:rFonts w:hint="eastAsia" w:ascii="华文中宋" w:hAnsi="华文中宋" w:eastAsia="华文中宋" w:cs="华文中宋"/>
          <w:b/>
          <w:color w:val="auto"/>
          <w:sz w:val="52"/>
          <w:szCs w:val="52"/>
          <w:highlight w:val="none"/>
          <w:u w:val="single"/>
        </w:rPr>
      </w:pPr>
    </w:p>
    <w:p w14:paraId="6940D2F8">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u w:val="single"/>
        </w:rPr>
        <w:t xml:space="preserve">        （项目名称）</w:t>
      </w:r>
    </w:p>
    <w:p w14:paraId="2A2D4467">
      <w:pPr>
        <w:jc w:val="center"/>
        <w:rPr>
          <w:rFonts w:ascii="华文中宋" w:hAnsi="华文中宋" w:eastAsia="华文中宋" w:cs="华文中宋"/>
          <w:b/>
          <w:color w:val="auto"/>
          <w:sz w:val="52"/>
          <w:szCs w:val="52"/>
          <w:highlight w:val="none"/>
        </w:rPr>
      </w:pPr>
      <w:r>
        <w:rPr>
          <w:rFonts w:hint="eastAsia" w:ascii="华文中宋" w:hAnsi="华文中宋" w:eastAsia="华文中宋" w:cs="华文中宋"/>
          <w:b/>
          <w:color w:val="auto"/>
          <w:sz w:val="52"/>
          <w:szCs w:val="52"/>
          <w:highlight w:val="none"/>
        </w:rPr>
        <w:t>施工招标文件</w:t>
      </w:r>
    </w:p>
    <w:p w14:paraId="6D9DBEF5">
      <w:pPr>
        <w:rPr>
          <w:rFonts w:ascii="华文中宋" w:hAnsi="华文中宋" w:eastAsia="华文中宋" w:cs="华文中宋"/>
          <w:color w:val="auto"/>
          <w:highlight w:val="none"/>
        </w:rPr>
      </w:pPr>
    </w:p>
    <w:p w14:paraId="3CB7FA15">
      <w:pPr>
        <w:ind w:firstLine="2249" w:firstLineChars="700"/>
        <w:rPr>
          <w:rFonts w:ascii="华文中宋" w:hAnsi="华文中宋" w:eastAsia="华文中宋" w:cs="华文中宋"/>
          <w:b/>
          <w:color w:val="auto"/>
          <w:sz w:val="32"/>
          <w:szCs w:val="32"/>
          <w:highlight w:val="none"/>
        </w:rPr>
      </w:pPr>
    </w:p>
    <w:p w14:paraId="45B5AEA9">
      <w:pPr>
        <w:ind w:firstLine="3360" w:firstLineChars="1200"/>
        <w:rPr>
          <w:rFonts w:ascii="宋体" w:hAnsi="宋体"/>
          <w:b/>
          <w:color w:val="auto"/>
          <w:sz w:val="32"/>
          <w:szCs w:val="32"/>
          <w:highlight w:val="none"/>
        </w:rPr>
      </w:pP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 xml:space="preserve">           </w:t>
      </w:r>
    </w:p>
    <w:p w14:paraId="0A788E3F">
      <w:pPr>
        <w:rPr>
          <w:rFonts w:ascii="宋体" w:hAnsi="宋体"/>
          <w:color w:val="auto"/>
          <w:highlight w:val="none"/>
        </w:rPr>
      </w:pPr>
    </w:p>
    <w:p w14:paraId="2F2E6AF5">
      <w:pPr>
        <w:rPr>
          <w:rFonts w:ascii="宋体" w:hAnsi="宋体"/>
          <w:color w:val="auto"/>
          <w:highlight w:val="none"/>
        </w:rPr>
      </w:pPr>
    </w:p>
    <w:p w14:paraId="6657BB75">
      <w:pPr>
        <w:spacing w:line="360" w:lineRule="auto"/>
        <w:ind w:left="3054" w:leftChars="393" w:hanging="2229" w:hangingChars="694"/>
        <w:rPr>
          <w:rFonts w:ascii="宋体" w:hAnsi="宋体"/>
          <w:b/>
          <w:color w:val="auto"/>
          <w:sz w:val="32"/>
          <w:highlight w:val="none"/>
        </w:rPr>
      </w:pPr>
    </w:p>
    <w:p w14:paraId="01A62F6A">
      <w:pPr>
        <w:spacing w:line="360" w:lineRule="auto"/>
        <w:ind w:left="3054" w:leftChars="393" w:hanging="2229" w:hangingChars="694"/>
        <w:rPr>
          <w:rFonts w:ascii="宋体" w:hAnsi="宋体"/>
          <w:b/>
          <w:color w:val="auto"/>
          <w:sz w:val="32"/>
          <w:highlight w:val="none"/>
        </w:rPr>
      </w:pPr>
    </w:p>
    <w:p w14:paraId="641243BA">
      <w:pPr>
        <w:spacing w:line="360" w:lineRule="auto"/>
        <w:ind w:left="3054" w:leftChars="393" w:hanging="2229" w:hangingChars="694"/>
        <w:rPr>
          <w:rFonts w:ascii="宋体" w:hAnsi="宋体"/>
          <w:b/>
          <w:color w:val="auto"/>
          <w:sz w:val="32"/>
          <w:highlight w:val="none"/>
        </w:rPr>
      </w:pPr>
    </w:p>
    <w:p w14:paraId="5B5B4BE4">
      <w:pPr>
        <w:spacing w:line="360" w:lineRule="auto"/>
        <w:ind w:left="3054" w:leftChars="393" w:hanging="2229" w:hangingChars="694"/>
        <w:rPr>
          <w:rFonts w:ascii="宋体" w:hAnsi="宋体"/>
          <w:b/>
          <w:color w:val="auto"/>
          <w:sz w:val="32"/>
          <w:highlight w:val="none"/>
        </w:rPr>
      </w:pPr>
    </w:p>
    <w:p w14:paraId="031EB853">
      <w:pPr>
        <w:adjustRightInd w:val="0"/>
        <w:spacing w:line="360" w:lineRule="auto"/>
        <w:ind w:firstLine="1260" w:firstLineChars="450"/>
        <w:jc w:val="left"/>
        <w:textAlignment w:val="baseline"/>
        <w:rPr>
          <w:rFonts w:ascii="黑体" w:hAnsi="黑体" w:eastAsia="黑体"/>
          <w:color w:val="auto"/>
          <w:sz w:val="28"/>
          <w:highlight w:val="none"/>
        </w:rPr>
      </w:pPr>
      <w:r>
        <w:rPr>
          <w:rFonts w:hint="eastAsia" w:ascii="黑体" w:hAnsi="黑体" w:eastAsia="黑体"/>
          <w:color w:val="auto"/>
          <w:sz w:val="28"/>
          <w:highlight w:val="none"/>
        </w:rPr>
        <w:t>报建编号：</w:t>
      </w:r>
      <w:r>
        <w:rPr>
          <w:rFonts w:hint="eastAsia"/>
          <w:color w:val="auto"/>
          <w:sz w:val="24"/>
          <w:highlight w:val="none"/>
          <w:u w:val="single"/>
        </w:rPr>
        <w:t xml:space="preserve">                            </w:t>
      </w:r>
      <w:r>
        <w:rPr>
          <w:rFonts w:hint="eastAsia" w:ascii="黑体" w:hAnsi="黑体" w:eastAsia="黑体"/>
          <w:color w:val="auto"/>
          <w:sz w:val="28"/>
          <w:highlight w:val="none"/>
          <w:u w:val="single"/>
        </w:rPr>
        <w:t xml:space="preserve">  </w:t>
      </w:r>
      <w:r>
        <w:rPr>
          <w:rFonts w:hint="eastAsia"/>
          <w:color w:val="auto"/>
          <w:sz w:val="28"/>
          <w:szCs w:val="28"/>
          <w:highlight w:val="none"/>
          <w:u w:val="single"/>
        </w:rPr>
        <w:t xml:space="preserve">  。              </w:t>
      </w:r>
      <w:r>
        <w:rPr>
          <w:rFonts w:hint="eastAsia" w:ascii="黑体" w:hAnsi="黑体" w:eastAsia="黑体"/>
          <w:color w:val="auto"/>
          <w:sz w:val="28"/>
          <w:highlight w:val="none"/>
          <w:u w:val="single"/>
        </w:rPr>
        <w:t xml:space="preserve">                             </w:t>
      </w:r>
    </w:p>
    <w:p w14:paraId="2AA74066">
      <w:pPr>
        <w:adjustRightInd w:val="0"/>
        <w:spacing w:line="360" w:lineRule="auto"/>
        <w:ind w:firstLine="1260" w:firstLineChars="450"/>
        <w:jc w:val="left"/>
        <w:textAlignment w:val="baseline"/>
        <w:rPr>
          <w:rFonts w:ascii="黑体" w:hAnsi="黑体" w:eastAsia="黑体"/>
          <w:color w:val="auto"/>
          <w:sz w:val="24"/>
          <w:highlight w:val="none"/>
        </w:rPr>
      </w:pPr>
      <w:r>
        <w:rPr>
          <w:rFonts w:hint="eastAsia" w:ascii="黑体" w:hAnsi="黑体" w:eastAsia="黑体"/>
          <w:color w:val="auto"/>
          <w:sz w:val="28"/>
          <w:highlight w:val="none"/>
        </w:rPr>
        <w:t>招标项目编号：</w:t>
      </w:r>
      <w:r>
        <w:rPr>
          <w:rFonts w:hint="eastAsia"/>
          <w:color w:val="auto"/>
          <w:sz w:val="24"/>
          <w:highlight w:val="none"/>
          <w:u w:val="single"/>
        </w:rPr>
        <w:t xml:space="preserve">                            。</w:t>
      </w:r>
      <w:r>
        <w:rPr>
          <w:rFonts w:hint="eastAsia" w:ascii="黑体" w:hAnsi="黑体" w:eastAsia="黑体"/>
          <w:color w:val="auto"/>
          <w:sz w:val="28"/>
          <w:highlight w:val="none"/>
          <w:u w:val="single"/>
        </w:rPr>
        <w:t xml:space="preserve"> </w:t>
      </w:r>
      <w:r>
        <w:rPr>
          <w:rFonts w:hint="eastAsia" w:cs="宋体"/>
          <w:color w:val="auto"/>
          <w:sz w:val="28"/>
          <w:highlight w:val="none"/>
          <w:u w:val="single"/>
        </w:rPr>
        <w:t xml:space="preserve">                      </w:t>
      </w:r>
      <w:r>
        <w:rPr>
          <w:rFonts w:hint="eastAsia" w:ascii="黑体" w:hAnsi="黑体" w:eastAsia="黑体"/>
          <w:color w:val="auto"/>
          <w:sz w:val="28"/>
          <w:highlight w:val="none"/>
          <w:u w:val="single"/>
        </w:rPr>
        <w:t xml:space="preserve">                    </w:t>
      </w:r>
    </w:p>
    <w:p w14:paraId="4A930744">
      <w:pPr>
        <w:adjustRightInd w:val="0"/>
        <w:spacing w:line="360" w:lineRule="auto"/>
        <w:ind w:firstLine="1260" w:firstLineChars="450"/>
        <w:textAlignment w:val="baseline"/>
        <w:rPr>
          <w:rFonts w:ascii="黑体" w:hAnsi="黑体" w:eastAsia="黑体"/>
          <w:color w:val="auto"/>
          <w:sz w:val="28"/>
          <w:highlight w:val="none"/>
        </w:rPr>
      </w:pPr>
      <w:r>
        <w:rPr>
          <w:rFonts w:hint="eastAsia" w:ascii="黑体" w:hAnsi="黑体" w:eastAsia="黑体"/>
          <w:color w:val="auto"/>
          <w:sz w:val="28"/>
          <w:highlight w:val="none"/>
        </w:rPr>
        <w:t>招标人：</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14:paraId="67CCF1D1">
      <w:pPr>
        <w:adjustRightInd w:val="0"/>
        <w:spacing w:line="360" w:lineRule="auto"/>
        <w:ind w:firstLine="1260" w:firstLineChars="450"/>
        <w:textAlignment w:val="baseline"/>
        <w:rPr>
          <w:rFonts w:ascii="黑体" w:hAnsi="黑体" w:eastAsia="黑体"/>
          <w:color w:val="auto"/>
          <w:sz w:val="28"/>
          <w:highlight w:val="none"/>
          <w:u w:val="single"/>
        </w:rPr>
      </w:pPr>
      <w:r>
        <w:rPr>
          <w:rFonts w:hint="eastAsia" w:ascii="黑体" w:hAnsi="黑体" w:eastAsia="黑体"/>
          <w:color w:val="auto"/>
          <w:sz w:val="28"/>
          <w:highlight w:val="none"/>
        </w:rPr>
        <w:t>招标代理机构：</w:t>
      </w:r>
      <w:r>
        <w:rPr>
          <w:rFonts w:hint="eastAsia"/>
          <w:color w:val="auto"/>
          <w:sz w:val="24"/>
          <w:highlight w:val="none"/>
          <w:u w:val="single"/>
        </w:rPr>
        <w:t xml:space="preserve">                               </w:t>
      </w:r>
      <w:r>
        <w:rPr>
          <w:rFonts w:hint="eastAsia" w:ascii="黑体" w:hAnsi="黑体" w:eastAsia="黑体"/>
          <w:color w:val="auto"/>
          <w:sz w:val="28"/>
          <w:highlight w:val="none"/>
          <w:u w:val="single"/>
        </w:rPr>
        <w:t>（盖单位电子公章）</w:t>
      </w:r>
    </w:p>
    <w:p w14:paraId="767F60B6">
      <w:pPr>
        <w:tabs>
          <w:tab w:val="left" w:pos="3804"/>
          <w:tab w:val="left" w:pos="4924"/>
          <w:tab w:val="left" w:pos="6182"/>
        </w:tabs>
        <w:autoSpaceDE w:val="0"/>
        <w:autoSpaceDN w:val="0"/>
        <w:spacing w:before="62"/>
        <w:ind w:firstLine="1274" w:firstLineChars="455"/>
        <w:jc w:val="left"/>
        <w:rPr>
          <w:rFonts w:ascii="黑体" w:hAnsi="黑体" w:eastAsia="黑体"/>
          <w:color w:val="auto"/>
          <w:sz w:val="28"/>
          <w:highlight w:val="none"/>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r>
        <w:rPr>
          <w:rFonts w:hint="eastAsia" w:ascii="黑体" w:hAnsi="黑体" w:eastAsia="黑体"/>
          <w:color w:val="auto"/>
          <w:sz w:val="28"/>
          <w:highlight w:val="none"/>
        </w:rPr>
        <w:t>编制日期：</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年</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月</w:t>
      </w:r>
      <w:r>
        <w:rPr>
          <w:rFonts w:hint="eastAsia" w:ascii="黑体" w:hAnsi="黑体" w:eastAsia="黑体"/>
          <w:color w:val="auto"/>
          <w:sz w:val="28"/>
          <w:highlight w:val="none"/>
          <w:u w:val="single"/>
        </w:rPr>
        <w:t xml:space="preserve">   　</w:t>
      </w:r>
      <w:r>
        <w:rPr>
          <w:rFonts w:hint="eastAsia" w:ascii="黑体" w:hAnsi="黑体" w:eastAsia="黑体"/>
          <w:color w:val="auto"/>
          <w:sz w:val="28"/>
          <w:highlight w:val="none"/>
        </w:rPr>
        <w:t>日</w:t>
      </w:r>
    </w:p>
    <w:p w14:paraId="6965946D">
      <w:pPr>
        <w:tabs>
          <w:tab w:val="left" w:pos="3804"/>
          <w:tab w:val="left" w:pos="4924"/>
          <w:tab w:val="left" w:pos="6182"/>
        </w:tabs>
        <w:autoSpaceDE w:val="0"/>
        <w:autoSpaceDN w:val="0"/>
        <w:spacing w:before="62"/>
        <w:ind w:firstLine="1274" w:firstLineChars="455"/>
        <w:jc w:val="left"/>
        <w:rPr>
          <w:rFonts w:ascii="黑体" w:hAnsi="黑体" w:eastAsia="黑体"/>
          <w:color w:val="auto"/>
          <w:sz w:val="28"/>
          <w:highlight w:val="none"/>
          <w:lang w:val="zh-CN"/>
        </w:rPr>
      </w:pPr>
    </w:p>
    <w:p w14:paraId="67DEB88B">
      <w:pPr>
        <w:widowControl/>
        <w:autoSpaceDE w:val="0"/>
        <w:autoSpaceDN w:val="0"/>
        <w:spacing w:line="360" w:lineRule="auto"/>
        <w:jc w:val="center"/>
        <w:textAlignment w:val="bottom"/>
        <w:rPr>
          <w:rFonts w:ascii="宋体" w:hAnsi="宋体"/>
          <w:b/>
          <w:color w:val="auto"/>
          <w:sz w:val="44"/>
          <w:highlight w:val="none"/>
        </w:rPr>
      </w:pPr>
      <w:r>
        <w:rPr>
          <w:rFonts w:hint="eastAsia" w:ascii="宋体" w:hAnsi="宋体"/>
          <w:b/>
          <w:color w:val="auto"/>
          <w:sz w:val="44"/>
          <w:highlight w:val="none"/>
        </w:rPr>
        <w:t>目  录</w:t>
      </w:r>
    </w:p>
    <w:p w14:paraId="3C38DE93">
      <w:pPr>
        <w:pStyle w:val="25"/>
        <w:spacing w:before="0" w:beforeLines="0"/>
        <w:rPr>
          <w:b w:val="0"/>
          <w:color w:val="auto"/>
          <w:szCs w:val="24"/>
          <w:highlight w:val="none"/>
        </w:rPr>
      </w:pPr>
      <w:r>
        <w:rPr>
          <w:rFonts w:hint="eastAsia" w:cs="宋体"/>
          <w:b w:val="0"/>
          <w:color w:val="auto"/>
          <w:szCs w:val="24"/>
          <w:highlight w:val="none"/>
        </w:rPr>
        <w:fldChar w:fldCharType="begin"/>
      </w:r>
      <w:r>
        <w:rPr>
          <w:rFonts w:hint="eastAsia" w:cs="宋体"/>
          <w:b w:val="0"/>
          <w:color w:val="auto"/>
          <w:szCs w:val="24"/>
          <w:highlight w:val="none"/>
        </w:rPr>
        <w:instrText xml:space="preserve"> TOC \o "1-1" \h \z \t "标题 2,1,标题 3,3,商务3,3" </w:instrText>
      </w:r>
      <w:r>
        <w:rPr>
          <w:rFonts w:hint="eastAsia" w:cs="宋体"/>
          <w:b w:val="0"/>
          <w:color w:val="auto"/>
          <w:szCs w:val="24"/>
          <w:highlight w:val="none"/>
        </w:rPr>
        <w:fldChar w:fldCharType="separate"/>
      </w:r>
      <w:r>
        <w:rPr>
          <w:color w:val="auto"/>
          <w:highlight w:val="none"/>
        </w:rPr>
        <w:fldChar w:fldCharType="begin"/>
      </w:r>
      <w:r>
        <w:rPr>
          <w:color w:val="auto"/>
          <w:highlight w:val="none"/>
        </w:rPr>
        <w:instrText xml:space="preserve"> HYPERLINK \l "_Toc490832261" </w:instrText>
      </w:r>
      <w:r>
        <w:rPr>
          <w:color w:val="auto"/>
          <w:highlight w:val="none"/>
        </w:rPr>
        <w:fldChar w:fldCharType="separate"/>
      </w:r>
      <w:r>
        <w:rPr>
          <w:rStyle w:val="46"/>
          <w:rFonts w:hint="eastAsia" w:cs="黑体"/>
          <w:b w:val="0"/>
          <w:color w:val="auto"/>
          <w:szCs w:val="24"/>
          <w:highlight w:val="none"/>
        </w:rPr>
        <w:t>第一章</w:t>
      </w:r>
      <w:r>
        <w:rPr>
          <w:rStyle w:val="46"/>
          <w:rFonts w:cs="黑体"/>
          <w:b w:val="0"/>
          <w:color w:val="auto"/>
          <w:szCs w:val="24"/>
          <w:highlight w:val="none"/>
        </w:rPr>
        <w:t xml:space="preserve"> </w:t>
      </w:r>
      <w:r>
        <w:rPr>
          <w:rStyle w:val="46"/>
          <w:rFonts w:hint="eastAsia" w:cs="黑体"/>
          <w:b w:val="0"/>
          <w:color w:val="auto"/>
          <w:szCs w:val="24"/>
          <w:highlight w:val="none"/>
        </w:rPr>
        <w:t>招标公告</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_Toc490832261 \h </w:instrText>
      </w:r>
      <w:r>
        <w:rPr>
          <w:b w:val="0"/>
          <w:color w:val="auto"/>
          <w:szCs w:val="24"/>
          <w:highlight w:val="none"/>
        </w:rPr>
        <w:fldChar w:fldCharType="separate"/>
      </w:r>
      <w:r>
        <w:rPr>
          <w:b w:val="0"/>
          <w:color w:val="auto"/>
          <w:szCs w:val="24"/>
          <w:highlight w:val="none"/>
        </w:rPr>
        <w:t>2</w:t>
      </w:r>
      <w:r>
        <w:rPr>
          <w:b w:val="0"/>
          <w:color w:val="auto"/>
          <w:szCs w:val="24"/>
          <w:highlight w:val="none"/>
        </w:rPr>
        <w:fldChar w:fldCharType="end"/>
      </w:r>
      <w:r>
        <w:rPr>
          <w:b w:val="0"/>
          <w:color w:val="auto"/>
          <w:szCs w:val="24"/>
          <w:highlight w:val="none"/>
        </w:rPr>
        <w:fldChar w:fldCharType="end"/>
      </w:r>
    </w:p>
    <w:p w14:paraId="5D8709DC">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"_Toc490832270" </w:instrText>
      </w:r>
      <w:r>
        <w:rPr>
          <w:color w:val="auto"/>
          <w:highlight w:val="none"/>
        </w:rPr>
        <w:fldChar w:fldCharType="separate"/>
      </w:r>
      <w:r>
        <w:rPr>
          <w:rStyle w:val="46"/>
          <w:rFonts w:hint="eastAsia"/>
          <w:b w:val="0"/>
          <w:color w:val="auto"/>
          <w:szCs w:val="24"/>
          <w:highlight w:val="none"/>
        </w:rPr>
        <w:t>第二章</w:t>
      </w:r>
      <w:r>
        <w:rPr>
          <w:rStyle w:val="46"/>
          <w:b w:val="0"/>
          <w:color w:val="auto"/>
          <w:szCs w:val="24"/>
          <w:highlight w:val="none"/>
        </w:rPr>
        <w:t xml:space="preserve"> </w:t>
      </w:r>
      <w:r>
        <w:rPr>
          <w:rStyle w:val="46"/>
          <w:rFonts w:hint="eastAsia"/>
          <w:b w:val="0"/>
          <w:color w:val="auto"/>
          <w:szCs w:val="24"/>
          <w:highlight w:val="none"/>
        </w:rPr>
        <w:t>投标人须知</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_Toc490832270 \h </w:instrText>
      </w:r>
      <w:r>
        <w:rPr>
          <w:b w:val="0"/>
          <w:color w:val="auto"/>
          <w:szCs w:val="24"/>
          <w:highlight w:val="none"/>
        </w:rPr>
        <w:fldChar w:fldCharType="separate"/>
      </w:r>
      <w:r>
        <w:rPr>
          <w:b w:val="0"/>
          <w:color w:val="auto"/>
          <w:szCs w:val="24"/>
          <w:highlight w:val="none"/>
        </w:rPr>
        <w:t>5</w:t>
      </w:r>
      <w:r>
        <w:rPr>
          <w:b w:val="0"/>
          <w:color w:val="auto"/>
          <w:szCs w:val="24"/>
          <w:highlight w:val="none"/>
        </w:rPr>
        <w:fldChar w:fldCharType="end"/>
      </w:r>
      <w:r>
        <w:rPr>
          <w:b w:val="0"/>
          <w:color w:val="auto"/>
          <w:szCs w:val="24"/>
          <w:highlight w:val="none"/>
        </w:rPr>
        <w:fldChar w:fldCharType="end"/>
      </w:r>
    </w:p>
    <w:p w14:paraId="40C1D446">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"_Toc490832330" </w:instrText>
      </w:r>
      <w:r>
        <w:rPr>
          <w:color w:val="auto"/>
          <w:highlight w:val="none"/>
        </w:rPr>
        <w:fldChar w:fldCharType="separate"/>
      </w:r>
      <w:r>
        <w:rPr>
          <w:rStyle w:val="46"/>
          <w:rFonts w:hint="eastAsia" w:cs="黑体"/>
          <w:b w:val="0"/>
          <w:color w:val="auto"/>
          <w:szCs w:val="24"/>
          <w:highlight w:val="none"/>
        </w:rPr>
        <w:t>第三章</w:t>
      </w:r>
      <w:r>
        <w:rPr>
          <w:rStyle w:val="46"/>
          <w:rFonts w:cs="黑体"/>
          <w:b w:val="0"/>
          <w:color w:val="auto"/>
          <w:szCs w:val="24"/>
          <w:highlight w:val="none"/>
        </w:rPr>
        <w:t xml:space="preserve"> </w:t>
      </w:r>
      <w:r>
        <w:rPr>
          <w:rStyle w:val="46"/>
          <w:rFonts w:hint="eastAsia" w:cs="黑体"/>
          <w:b w:val="0"/>
          <w:color w:val="auto"/>
          <w:szCs w:val="24"/>
          <w:highlight w:val="none"/>
        </w:rPr>
        <w:t>评</w:t>
      </w:r>
      <w:r>
        <w:rPr>
          <w:rStyle w:val="46"/>
          <w:rFonts w:cs="黑体"/>
          <w:b w:val="0"/>
          <w:color w:val="auto"/>
          <w:szCs w:val="24"/>
          <w:highlight w:val="none"/>
        </w:rPr>
        <w:t xml:space="preserve"> </w:t>
      </w:r>
      <w:r>
        <w:rPr>
          <w:rStyle w:val="46"/>
          <w:rFonts w:hint="eastAsia" w:cs="黑体"/>
          <w:b w:val="0"/>
          <w:color w:val="auto"/>
          <w:szCs w:val="24"/>
          <w:highlight w:val="none"/>
        </w:rPr>
        <w:t>标</w:t>
      </w:r>
      <w:r>
        <w:rPr>
          <w:rStyle w:val="46"/>
          <w:rFonts w:cs="黑体"/>
          <w:b w:val="0"/>
          <w:color w:val="auto"/>
          <w:szCs w:val="24"/>
          <w:highlight w:val="none"/>
        </w:rPr>
        <w:t xml:space="preserve"> </w:t>
      </w:r>
      <w:r>
        <w:rPr>
          <w:rStyle w:val="46"/>
          <w:rFonts w:hint="eastAsia" w:cs="黑体"/>
          <w:b w:val="0"/>
          <w:color w:val="auto"/>
          <w:szCs w:val="24"/>
          <w:highlight w:val="none"/>
        </w:rPr>
        <w:t>办</w:t>
      </w:r>
      <w:r>
        <w:rPr>
          <w:rStyle w:val="46"/>
          <w:rFonts w:cs="黑体"/>
          <w:b w:val="0"/>
          <w:color w:val="auto"/>
          <w:szCs w:val="24"/>
          <w:highlight w:val="none"/>
        </w:rPr>
        <w:t xml:space="preserve"> </w:t>
      </w:r>
      <w:r>
        <w:rPr>
          <w:rStyle w:val="46"/>
          <w:rFonts w:hint="eastAsia" w:cs="黑体"/>
          <w:b w:val="0"/>
          <w:color w:val="auto"/>
          <w:szCs w:val="24"/>
          <w:highlight w:val="none"/>
        </w:rPr>
        <w:t>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_Toc490832330 \h </w:instrText>
      </w:r>
      <w:r>
        <w:rPr>
          <w:b w:val="0"/>
          <w:color w:val="auto"/>
          <w:szCs w:val="24"/>
          <w:highlight w:val="none"/>
        </w:rPr>
        <w:fldChar w:fldCharType="separate"/>
      </w:r>
      <w:r>
        <w:rPr>
          <w:b w:val="0"/>
          <w:color w:val="auto"/>
          <w:szCs w:val="24"/>
          <w:highlight w:val="none"/>
        </w:rPr>
        <w:t>34</w:t>
      </w:r>
      <w:r>
        <w:rPr>
          <w:b w:val="0"/>
          <w:color w:val="auto"/>
          <w:szCs w:val="24"/>
          <w:highlight w:val="none"/>
        </w:rPr>
        <w:fldChar w:fldCharType="end"/>
      </w:r>
      <w:r>
        <w:rPr>
          <w:b w:val="0"/>
          <w:color w:val="auto"/>
          <w:szCs w:val="24"/>
          <w:highlight w:val="none"/>
        </w:rPr>
        <w:fldChar w:fldCharType="end"/>
      </w:r>
    </w:p>
    <w:p w14:paraId="52CFCEE4">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"_Toc490832335" </w:instrText>
      </w:r>
      <w:r>
        <w:rPr>
          <w:color w:val="auto"/>
          <w:highlight w:val="none"/>
        </w:rPr>
        <w:fldChar w:fldCharType="separate"/>
      </w:r>
      <w:r>
        <w:rPr>
          <w:rStyle w:val="46"/>
          <w:rFonts w:hint="eastAsia" w:cs="黑体"/>
          <w:b w:val="0"/>
          <w:color w:val="auto"/>
          <w:szCs w:val="24"/>
          <w:highlight w:val="none"/>
        </w:rPr>
        <w:t>第四章</w:t>
      </w:r>
      <w:r>
        <w:rPr>
          <w:rStyle w:val="46"/>
          <w:rFonts w:cs="黑体"/>
          <w:b w:val="0"/>
          <w:color w:val="auto"/>
          <w:szCs w:val="24"/>
          <w:highlight w:val="none"/>
        </w:rPr>
        <w:t xml:space="preserve"> </w:t>
      </w:r>
      <w:r>
        <w:rPr>
          <w:rStyle w:val="46"/>
          <w:rFonts w:hint="eastAsia" w:cs="黑体"/>
          <w:b w:val="0"/>
          <w:color w:val="auto"/>
          <w:szCs w:val="24"/>
          <w:highlight w:val="none"/>
        </w:rPr>
        <w:t>定标方案</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58</w:t>
      </w:r>
      <w:r>
        <w:rPr>
          <w:b w:val="0"/>
          <w:color w:val="auto"/>
          <w:szCs w:val="24"/>
          <w:highlight w:val="none"/>
        </w:rPr>
        <w:fldChar w:fldCharType="end"/>
      </w:r>
      <w:r>
        <w:rPr>
          <w:b w:val="0"/>
          <w:color w:val="auto"/>
          <w:szCs w:val="24"/>
          <w:highlight w:val="none"/>
        </w:rPr>
        <w:fldChar w:fldCharType="end"/>
      </w:r>
    </w:p>
    <w:p w14:paraId="705568AB">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"_Toc490832335" </w:instrText>
      </w:r>
      <w:r>
        <w:rPr>
          <w:color w:val="auto"/>
          <w:highlight w:val="none"/>
        </w:rPr>
        <w:fldChar w:fldCharType="separate"/>
      </w:r>
      <w:r>
        <w:rPr>
          <w:rStyle w:val="46"/>
          <w:rFonts w:hint="eastAsia" w:cs="黑体"/>
          <w:b w:val="0"/>
          <w:color w:val="auto"/>
          <w:szCs w:val="24"/>
          <w:highlight w:val="none"/>
        </w:rPr>
        <w:t>第五章</w:t>
      </w:r>
      <w:r>
        <w:rPr>
          <w:rStyle w:val="46"/>
          <w:rFonts w:cs="黑体"/>
          <w:b w:val="0"/>
          <w:color w:val="auto"/>
          <w:szCs w:val="24"/>
          <w:highlight w:val="none"/>
        </w:rPr>
        <w:t xml:space="preserve"> </w:t>
      </w:r>
      <w:r>
        <w:rPr>
          <w:rStyle w:val="46"/>
          <w:rFonts w:hint="eastAsia" w:cs="黑体"/>
          <w:b w:val="0"/>
          <w:color w:val="auto"/>
          <w:szCs w:val="24"/>
          <w:highlight w:val="none"/>
        </w:rPr>
        <w:t>合同条款及格式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_Toc490832335 \h </w:instrText>
      </w:r>
      <w:r>
        <w:rPr>
          <w:b w:val="0"/>
          <w:color w:val="auto"/>
          <w:szCs w:val="24"/>
          <w:highlight w:val="none"/>
        </w:rPr>
        <w:fldChar w:fldCharType="separate"/>
      </w:r>
      <w:r>
        <w:rPr>
          <w:b w:val="0"/>
          <w:color w:val="auto"/>
          <w:szCs w:val="24"/>
          <w:highlight w:val="none"/>
        </w:rPr>
        <w:t>58</w:t>
      </w:r>
      <w:r>
        <w:rPr>
          <w:b w:val="0"/>
          <w:color w:val="auto"/>
          <w:szCs w:val="24"/>
          <w:highlight w:val="none"/>
        </w:rPr>
        <w:fldChar w:fldCharType="end"/>
      </w:r>
      <w:r>
        <w:rPr>
          <w:b w:val="0"/>
          <w:color w:val="auto"/>
          <w:szCs w:val="24"/>
          <w:highlight w:val="none"/>
        </w:rPr>
        <w:fldChar w:fldCharType="end"/>
      </w:r>
    </w:p>
    <w:p w14:paraId="368D1A5E">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"_Toc490832363" </w:instrText>
      </w:r>
      <w:r>
        <w:rPr>
          <w:color w:val="auto"/>
          <w:highlight w:val="none"/>
        </w:rPr>
        <w:fldChar w:fldCharType="separate"/>
      </w:r>
      <w:r>
        <w:rPr>
          <w:rStyle w:val="46"/>
          <w:rFonts w:hint="eastAsia"/>
          <w:b w:val="0"/>
          <w:color w:val="auto"/>
          <w:szCs w:val="24"/>
          <w:highlight w:val="none"/>
        </w:rPr>
        <w:t>第六章</w:t>
      </w:r>
      <w:r>
        <w:rPr>
          <w:rStyle w:val="46"/>
          <w:b w:val="0"/>
          <w:color w:val="auto"/>
          <w:szCs w:val="24"/>
          <w:highlight w:val="none"/>
        </w:rPr>
        <w:t xml:space="preserve"> </w:t>
      </w:r>
      <w:r>
        <w:rPr>
          <w:rStyle w:val="46"/>
          <w:rFonts w:hint="eastAsia"/>
          <w:b w:val="0"/>
          <w:color w:val="auto"/>
          <w:szCs w:val="24"/>
          <w:highlight w:val="none"/>
        </w:rPr>
        <w:t>工程量清单</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_Toc490832363 \h </w:instrText>
      </w:r>
      <w:r>
        <w:rPr>
          <w:b w:val="0"/>
          <w:color w:val="auto"/>
          <w:szCs w:val="24"/>
          <w:highlight w:val="none"/>
        </w:rPr>
        <w:fldChar w:fldCharType="separate"/>
      </w:r>
      <w:r>
        <w:rPr>
          <w:b w:val="0"/>
          <w:color w:val="auto"/>
          <w:szCs w:val="24"/>
          <w:highlight w:val="none"/>
        </w:rPr>
        <w:t>106</w:t>
      </w:r>
      <w:r>
        <w:rPr>
          <w:b w:val="0"/>
          <w:color w:val="auto"/>
          <w:szCs w:val="24"/>
          <w:highlight w:val="none"/>
        </w:rPr>
        <w:fldChar w:fldCharType="end"/>
      </w:r>
      <w:r>
        <w:rPr>
          <w:b w:val="0"/>
          <w:color w:val="auto"/>
          <w:szCs w:val="24"/>
          <w:highlight w:val="none"/>
        </w:rPr>
        <w:fldChar w:fldCharType="end"/>
      </w:r>
    </w:p>
    <w:p w14:paraId="055E836C">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"_Toc490832364" </w:instrText>
      </w:r>
      <w:r>
        <w:rPr>
          <w:color w:val="auto"/>
          <w:highlight w:val="none"/>
        </w:rPr>
        <w:fldChar w:fldCharType="separate"/>
      </w:r>
      <w:r>
        <w:rPr>
          <w:rStyle w:val="46"/>
          <w:rFonts w:hint="eastAsia" w:cs="黑体"/>
          <w:b w:val="0"/>
          <w:color w:val="auto"/>
          <w:szCs w:val="24"/>
          <w:highlight w:val="none"/>
        </w:rPr>
        <w:t>第七章</w:t>
      </w:r>
      <w:r>
        <w:rPr>
          <w:rStyle w:val="46"/>
          <w:rFonts w:cs="黑体"/>
          <w:b w:val="0"/>
          <w:color w:val="auto"/>
          <w:szCs w:val="24"/>
          <w:highlight w:val="none"/>
        </w:rPr>
        <w:t xml:space="preserve"> </w:t>
      </w:r>
      <w:r>
        <w:rPr>
          <w:rStyle w:val="46"/>
          <w:rFonts w:hint="eastAsia" w:cs="黑体"/>
          <w:b w:val="0"/>
          <w:color w:val="auto"/>
          <w:szCs w:val="24"/>
          <w:highlight w:val="none"/>
        </w:rPr>
        <w:t>图纸</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_Toc490832364 \h </w:instrText>
      </w:r>
      <w:r>
        <w:rPr>
          <w:b w:val="0"/>
          <w:color w:val="auto"/>
          <w:szCs w:val="24"/>
          <w:highlight w:val="none"/>
        </w:rPr>
        <w:fldChar w:fldCharType="separate"/>
      </w:r>
      <w:r>
        <w:rPr>
          <w:b w:val="0"/>
          <w:color w:val="auto"/>
          <w:szCs w:val="24"/>
          <w:highlight w:val="none"/>
        </w:rPr>
        <w:t>109</w:t>
      </w:r>
      <w:r>
        <w:rPr>
          <w:b w:val="0"/>
          <w:color w:val="auto"/>
          <w:szCs w:val="24"/>
          <w:highlight w:val="none"/>
        </w:rPr>
        <w:fldChar w:fldCharType="end"/>
      </w:r>
      <w:r>
        <w:rPr>
          <w:b w:val="0"/>
          <w:color w:val="auto"/>
          <w:szCs w:val="24"/>
          <w:highlight w:val="none"/>
        </w:rPr>
        <w:fldChar w:fldCharType="end"/>
      </w:r>
    </w:p>
    <w:p w14:paraId="50F91EEF">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"_Toc490832365" </w:instrText>
      </w:r>
      <w:r>
        <w:rPr>
          <w:color w:val="auto"/>
          <w:highlight w:val="none"/>
        </w:rPr>
        <w:fldChar w:fldCharType="separate"/>
      </w:r>
      <w:r>
        <w:rPr>
          <w:rStyle w:val="46"/>
          <w:rFonts w:hint="eastAsia" w:cs="黑体"/>
          <w:b w:val="0"/>
          <w:color w:val="auto"/>
          <w:szCs w:val="24"/>
          <w:highlight w:val="none"/>
        </w:rPr>
        <w:t>第八章</w:t>
      </w:r>
      <w:r>
        <w:rPr>
          <w:rStyle w:val="46"/>
          <w:rFonts w:cs="黑体"/>
          <w:b w:val="0"/>
          <w:color w:val="auto"/>
          <w:szCs w:val="24"/>
          <w:highlight w:val="none"/>
        </w:rPr>
        <w:t xml:space="preserve"> </w:t>
      </w:r>
      <w:r>
        <w:rPr>
          <w:rStyle w:val="46"/>
          <w:rFonts w:hint="eastAsia" w:cs="黑体"/>
          <w:b w:val="0"/>
          <w:color w:val="auto"/>
          <w:szCs w:val="24"/>
          <w:highlight w:val="none"/>
        </w:rPr>
        <w:t>技术标准和要求</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_Toc490832365 \h </w:instrText>
      </w:r>
      <w:r>
        <w:rPr>
          <w:b w:val="0"/>
          <w:color w:val="auto"/>
          <w:szCs w:val="24"/>
          <w:highlight w:val="none"/>
        </w:rPr>
        <w:fldChar w:fldCharType="separate"/>
      </w:r>
      <w:r>
        <w:rPr>
          <w:b w:val="0"/>
          <w:color w:val="auto"/>
          <w:szCs w:val="24"/>
          <w:highlight w:val="none"/>
        </w:rPr>
        <w:t>110</w:t>
      </w:r>
      <w:r>
        <w:rPr>
          <w:b w:val="0"/>
          <w:color w:val="auto"/>
          <w:szCs w:val="24"/>
          <w:highlight w:val="none"/>
        </w:rPr>
        <w:fldChar w:fldCharType="end"/>
      </w:r>
      <w:r>
        <w:rPr>
          <w:b w:val="0"/>
          <w:color w:val="auto"/>
          <w:szCs w:val="24"/>
          <w:highlight w:val="none"/>
        </w:rPr>
        <w:fldChar w:fldCharType="end"/>
      </w:r>
    </w:p>
    <w:p w14:paraId="76DB0563">
      <w:pPr>
        <w:pStyle w:val="25"/>
        <w:spacing w:before="0" w:beforeLines="0"/>
        <w:rPr>
          <w:b w:val="0"/>
          <w:color w:val="auto"/>
          <w:szCs w:val="24"/>
          <w:highlight w:val="none"/>
        </w:rPr>
      </w:pPr>
      <w:r>
        <w:rPr>
          <w:color w:val="auto"/>
          <w:highlight w:val="none"/>
        </w:rPr>
        <w:fldChar w:fldCharType="begin"/>
      </w:r>
      <w:r>
        <w:rPr>
          <w:color w:val="auto"/>
          <w:highlight w:val="none"/>
        </w:rPr>
        <w:instrText xml:space="preserve"> HYPERLINK \l "_Toc490832368" </w:instrText>
      </w:r>
      <w:r>
        <w:rPr>
          <w:color w:val="auto"/>
          <w:highlight w:val="none"/>
        </w:rPr>
        <w:fldChar w:fldCharType="separate"/>
      </w:r>
      <w:r>
        <w:rPr>
          <w:rStyle w:val="46"/>
          <w:rFonts w:hint="eastAsia" w:cs="黑体"/>
          <w:b w:val="0"/>
          <w:color w:val="auto"/>
          <w:szCs w:val="24"/>
          <w:highlight w:val="none"/>
        </w:rPr>
        <w:t>第九章</w:t>
      </w:r>
      <w:r>
        <w:rPr>
          <w:rStyle w:val="46"/>
          <w:rFonts w:cs="黑体"/>
          <w:b w:val="0"/>
          <w:color w:val="auto"/>
          <w:szCs w:val="24"/>
          <w:highlight w:val="none"/>
        </w:rPr>
        <w:t xml:space="preserve"> </w:t>
      </w:r>
      <w:r>
        <w:rPr>
          <w:rStyle w:val="46"/>
          <w:rFonts w:hint="eastAsia" w:cs="黑体"/>
          <w:b w:val="0"/>
          <w:color w:val="auto"/>
          <w:szCs w:val="24"/>
          <w:highlight w:val="none"/>
        </w:rPr>
        <w:t>投标文件格式</w:t>
      </w:r>
      <w:r>
        <w:rPr>
          <w:b w:val="0"/>
          <w:color w:val="auto"/>
          <w:szCs w:val="24"/>
          <w:highlight w:val="none"/>
        </w:rPr>
        <w:tab/>
      </w:r>
      <w:r>
        <w:rPr>
          <w:b w:val="0"/>
          <w:color w:val="auto"/>
          <w:szCs w:val="24"/>
          <w:highlight w:val="none"/>
        </w:rPr>
        <w:fldChar w:fldCharType="begin"/>
      </w:r>
      <w:r>
        <w:rPr>
          <w:b w:val="0"/>
          <w:color w:val="auto"/>
          <w:szCs w:val="24"/>
          <w:highlight w:val="none"/>
        </w:rPr>
        <w:instrText xml:space="preserve"> PAGEREF _Toc490832368 \h </w:instrText>
      </w:r>
      <w:r>
        <w:rPr>
          <w:b w:val="0"/>
          <w:color w:val="auto"/>
          <w:szCs w:val="24"/>
          <w:highlight w:val="none"/>
        </w:rPr>
        <w:fldChar w:fldCharType="separate"/>
      </w:r>
      <w:r>
        <w:rPr>
          <w:b w:val="0"/>
          <w:color w:val="auto"/>
          <w:szCs w:val="24"/>
          <w:highlight w:val="none"/>
        </w:rPr>
        <w:t>112</w:t>
      </w:r>
      <w:r>
        <w:rPr>
          <w:b w:val="0"/>
          <w:color w:val="auto"/>
          <w:szCs w:val="24"/>
          <w:highlight w:val="none"/>
        </w:rPr>
        <w:fldChar w:fldCharType="end"/>
      </w:r>
      <w:r>
        <w:rPr>
          <w:b w:val="0"/>
          <w:color w:val="auto"/>
          <w:szCs w:val="24"/>
          <w:highlight w:val="none"/>
        </w:rPr>
        <w:fldChar w:fldCharType="end"/>
      </w:r>
    </w:p>
    <w:p w14:paraId="7F337914">
      <w:pPr>
        <w:widowControl/>
        <w:autoSpaceDE w:val="0"/>
        <w:autoSpaceDN w:val="0"/>
        <w:spacing w:line="360" w:lineRule="auto"/>
        <w:jc w:val="center"/>
        <w:textAlignment w:val="bottom"/>
        <w:rPr>
          <w:rFonts w:ascii="宋体" w:hAnsi="宋体" w:cs="黑体"/>
          <w:color w:val="auto"/>
          <w:highlight w:val="none"/>
        </w:rPr>
        <w:sectPr>
          <w:pgSz w:w="11906" w:h="16838"/>
          <w:pgMar w:top="1418" w:right="1134" w:bottom="1418" w:left="1134" w:header="851" w:footer="992" w:gutter="0"/>
          <w:pgNumType w:start="1"/>
          <w:cols w:space="720" w:num="1"/>
          <w:docGrid w:type="lines" w:linePitch="312" w:charSpace="0"/>
        </w:sectPr>
      </w:pPr>
      <w:r>
        <w:rPr>
          <w:rFonts w:hint="eastAsia" w:ascii="宋体" w:hAnsi="宋体" w:cs="宋体"/>
          <w:color w:val="auto"/>
          <w:sz w:val="24"/>
          <w:highlight w:val="none"/>
        </w:rPr>
        <w:fldChar w:fldCharType="end"/>
      </w:r>
    </w:p>
    <w:p w14:paraId="1ABCA4E3">
      <w:pPr>
        <w:pStyle w:val="2"/>
        <w:spacing w:line="300" w:lineRule="auto"/>
        <w:rPr>
          <w:rFonts w:ascii="宋体" w:hAnsi="宋体" w:cs="黑体"/>
          <w:color w:val="auto"/>
          <w:highlight w:val="none"/>
        </w:rPr>
      </w:pPr>
      <w:bookmarkStart w:id="2" w:name="_Toc490832261"/>
      <w:r>
        <w:rPr>
          <w:rFonts w:hint="eastAsia" w:ascii="宋体" w:hAnsi="宋体" w:cs="黑体"/>
          <w:color w:val="auto"/>
          <w:highlight w:val="none"/>
        </w:rPr>
        <w:t>第一章 招标公告</w:t>
      </w:r>
      <w:bookmarkEnd w:id="2"/>
    </w:p>
    <w:p w14:paraId="595D78B2">
      <w:pPr>
        <w:spacing w:line="360" w:lineRule="auto"/>
        <w:ind w:right="480"/>
        <w:jc w:val="center"/>
        <w:rPr>
          <w:rStyle w:val="70"/>
          <w:b/>
          <w:color w:val="auto"/>
          <w:sz w:val="28"/>
          <w:szCs w:val="28"/>
          <w:highlight w:val="none"/>
        </w:rPr>
      </w:pPr>
      <w:r>
        <w:rPr>
          <w:rFonts w:hint="eastAsia" w:ascii="宋体" w:hAnsi="宋体"/>
          <w:b/>
          <w:color w:val="auto"/>
          <w:sz w:val="28"/>
          <w:szCs w:val="28"/>
          <w:highlight w:val="none"/>
          <w:u w:val="single"/>
        </w:rPr>
        <w:t xml:space="preserve">           </w:t>
      </w:r>
      <w:r>
        <w:rPr>
          <w:rFonts w:hint="eastAsia" w:ascii="宋体" w:hAnsi="宋体"/>
          <w:b/>
          <w:snapToGrid w:val="0"/>
          <w:color w:val="auto"/>
          <w:kern w:val="0"/>
          <w:sz w:val="28"/>
          <w:szCs w:val="28"/>
          <w:highlight w:val="none"/>
        </w:rPr>
        <w:t>（项目名称）施工招标公告</w:t>
      </w:r>
    </w:p>
    <w:p w14:paraId="5DF37117">
      <w:pPr>
        <w:pStyle w:val="4"/>
        <w:numPr>
          <w:ilvl w:val="0"/>
          <w:numId w:val="2"/>
        </w:numPr>
        <w:spacing w:before="60" w:after="60" w:line="360" w:lineRule="auto"/>
        <w:ind w:left="0" w:firstLine="0"/>
        <w:rPr>
          <w:rFonts w:ascii="宋体" w:hAnsi="宋体"/>
          <w:color w:val="auto"/>
          <w:sz w:val="24"/>
          <w:szCs w:val="24"/>
          <w:highlight w:val="none"/>
        </w:rPr>
      </w:pPr>
      <w:bookmarkStart w:id="3" w:name="_Toc487653151"/>
      <w:bookmarkStart w:id="4" w:name="_Toc381806829"/>
      <w:bookmarkStart w:id="5" w:name="_Toc490832262"/>
      <w:bookmarkStart w:id="6" w:name="_Toc488483445"/>
      <w:bookmarkStart w:id="7" w:name="_Toc488492803"/>
      <w:bookmarkStart w:id="8" w:name="_Toc488483573"/>
      <w:bookmarkStart w:id="9" w:name="_Toc486685870"/>
      <w:r>
        <w:rPr>
          <w:rFonts w:hint="eastAsia" w:ascii="宋体" w:hAnsi="宋体"/>
          <w:color w:val="auto"/>
          <w:sz w:val="24"/>
          <w:szCs w:val="24"/>
          <w:highlight w:val="none"/>
        </w:rPr>
        <w:t>招标条件</w:t>
      </w:r>
      <w:bookmarkEnd w:id="3"/>
      <w:bookmarkEnd w:id="4"/>
      <w:bookmarkEnd w:id="5"/>
      <w:bookmarkEnd w:id="6"/>
      <w:bookmarkEnd w:id="7"/>
      <w:bookmarkEnd w:id="8"/>
      <w:bookmarkEnd w:id="9"/>
    </w:p>
    <w:p w14:paraId="610EE518">
      <w:pPr>
        <w:spacing w:line="300" w:lineRule="auto"/>
        <w:ind w:firstLine="420" w:firstLineChars="200"/>
        <w:rPr>
          <w:rFonts w:ascii="宋体" w:hAnsi="宋体"/>
          <w:color w:val="auto"/>
          <w:szCs w:val="21"/>
          <w:highlight w:val="none"/>
          <w:u w:val="single"/>
        </w:rPr>
      </w:pPr>
      <w:r>
        <w:rPr>
          <w:rStyle w:val="70"/>
          <w:rFonts w:hint="eastAsia"/>
          <w:color w:val="auto"/>
          <w:szCs w:val="21"/>
          <w:highlight w:val="none"/>
        </w:rPr>
        <w:t>本招标项目</w:t>
      </w:r>
      <w:r>
        <w:rPr>
          <w:rFonts w:hint="eastAsia" w:ascii="宋体" w:hAnsi="宋体"/>
          <w:color w:val="auto"/>
          <w:szCs w:val="21"/>
          <w:highlight w:val="none"/>
          <w:u w:val="single"/>
        </w:rPr>
        <w:t xml:space="preserve">                   </w:t>
      </w:r>
      <w:r>
        <w:rPr>
          <w:rStyle w:val="70"/>
          <w:rFonts w:hint="eastAsia"/>
          <w:color w:val="auto"/>
          <w:szCs w:val="21"/>
          <w:highlight w:val="none"/>
        </w:rPr>
        <w:t>（项目名称）已由</w:t>
      </w:r>
      <w:r>
        <w:rPr>
          <w:rFonts w:hint="eastAsia" w:ascii="宋体" w:hAnsi="宋体"/>
          <w:color w:val="auto"/>
          <w:szCs w:val="21"/>
          <w:highlight w:val="none"/>
          <w:u w:val="single"/>
        </w:rPr>
        <w:t xml:space="preserve">                    </w:t>
      </w:r>
      <w:r>
        <w:rPr>
          <w:rStyle w:val="70"/>
          <w:rFonts w:hint="eastAsia"/>
          <w:color w:val="auto"/>
          <w:szCs w:val="21"/>
          <w:highlight w:val="none"/>
        </w:rPr>
        <w:t>（项目审批、核准或备案机关名称）以</w:t>
      </w:r>
      <w:r>
        <w:rPr>
          <w:rFonts w:hint="eastAsia" w:ascii="宋体" w:hAnsi="宋体"/>
          <w:color w:val="auto"/>
          <w:szCs w:val="21"/>
          <w:highlight w:val="none"/>
          <w:u w:val="single"/>
        </w:rPr>
        <w:t xml:space="preserve">                </w:t>
      </w:r>
      <w:r>
        <w:rPr>
          <w:rStyle w:val="70"/>
          <w:rFonts w:hint="eastAsia"/>
          <w:color w:val="auto"/>
          <w:szCs w:val="21"/>
          <w:highlight w:val="none"/>
        </w:rPr>
        <w:t>（批文名称及编号）批准建设，项目业主为</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Style w:val="70"/>
          <w:rFonts w:hint="eastAsia"/>
          <w:color w:val="auto"/>
          <w:szCs w:val="21"/>
          <w:highlight w:val="none"/>
        </w:rPr>
        <w:t>建设资金来自</w:t>
      </w:r>
      <w:r>
        <w:rPr>
          <w:rFonts w:hint="eastAsia" w:ascii="宋体" w:hAnsi="宋体"/>
          <w:color w:val="auto"/>
          <w:szCs w:val="21"/>
          <w:highlight w:val="none"/>
          <w:u w:val="single"/>
        </w:rPr>
        <w:t xml:space="preserve">                     </w:t>
      </w:r>
      <w:r>
        <w:rPr>
          <w:rStyle w:val="70"/>
          <w:rFonts w:hint="eastAsia"/>
          <w:color w:val="auto"/>
          <w:szCs w:val="21"/>
          <w:highlight w:val="none"/>
        </w:rPr>
        <w:t>（资金来源），招标人为</w:t>
      </w:r>
      <w:r>
        <w:rPr>
          <w:rFonts w:hint="eastAsia" w:ascii="宋体" w:hAnsi="宋体"/>
          <w:color w:val="auto"/>
          <w:szCs w:val="21"/>
          <w:highlight w:val="none"/>
          <w:u w:val="single"/>
        </w:rPr>
        <w:t xml:space="preserve">                         </w:t>
      </w:r>
      <w:r>
        <w:rPr>
          <w:rStyle w:val="70"/>
          <w:rFonts w:hint="eastAsia"/>
          <w:color w:val="auto"/>
          <w:szCs w:val="21"/>
          <w:highlight w:val="none"/>
        </w:rPr>
        <w:t>，招标代理机构为</w:t>
      </w:r>
      <w:r>
        <w:rPr>
          <w:rFonts w:hint="eastAsia" w:ascii="宋体" w:hAnsi="宋体"/>
          <w:color w:val="auto"/>
          <w:szCs w:val="21"/>
          <w:highlight w:val="none"/>
          <w:u w:val="single"/>
        </w:rPr>
        <w:t xml:space="preserve">                    </w:t>
      </w:r>
      <w:r>
        <w:rPr>
          <w:rStyle w:val="70"/>
          <w:rFonts w:hint="eastAsia"/>
          <w:color w:val="auto"/>
          <w:szCs w:val="21"/>
          <w:highlight w:val="none"/>
        </w:rPr>
        <w:t>。</w:t>
      </w:r>
      <w:r>
        <w:rPr>
          <w:rFonts w:hint="eastAsia" w:ascii="宋体" w:hAnsi="宋体"/>
          <w:color w:val="auto"/>
          <w:szCs w:val="21"/>
          <w:highlight w:val="none"/>
        </w:rPr>
        <w:t>项目已具备招标条件，现对该项目的施工</w:t>
      </w:r>
      <w:r>
        <w:rPr>
          <w:rFonts w:hint="eastAsia" w:cs="宋体"/>
          <w:color w:val="auto"/>
          <w:szCs w:val="21"/>
          <w:highlight w:val="none"/>
        </w:rPr>
        <w:t>采用“评定分离”办法</w:t>
      </w:r>
      <w:r>
        <w:rPr>
          <w:rFonts w:hint="eastAsia" w:ascii="宋体" w:hAnsi="宋体"/>
          <w:color w:val="auto"/>
          <w:szCs w:val="21"/>
          <w:highlight w:val="none"/>
        </w:rPr>
        <w:t>进行公开招标。</w:t>
      </w:r>
    </w:p>
    <w:p w14:paraId="6AC2829A">
      <w:pPr>
        <w:pStyle w:val="4"/>
        <w:numPr>
          <w:ilvl w:val="0"/>
          <w:numId w:val="2"/>
        </w:numPr>
        <w:spacing w:before="60" w:after="60" w:line="360" w:lineRule="auto"/>
        <w:ind w:left="0" w:firstLine="0"/>
        <w:rPr>
          <w:rFonts w:ascii="宋体" w:hAnsi="宋体"/>
          <w:color w:val="auto"/>
          <w:sz w:val="24"/>
          <w:szCs w:val="24"/>
          <w:highlight w:val="none"/>
        </w:rPr>
      </w:pPr>
      <w:bookmarkStart w:id="10" w:name="_Toc488492804"/>
      <w:bookmarkStart w:id="11" w:name="_Toc486685871"/>
      <w:bookmarkStart w:id="12" w:name="_Toc490832263"/>
      <w:bookmarkStart w:id="13" w:name="_Toc381806830"/>
      <w:bookmarkStart w:id="14" w:name="_Toc487653152"/>
      <w:bookmarkStart w:id="15" w:name="_Toc488483574"/>
      <w:bookmarkStart w:id="16" w:name="_Toc488483446"/>
      <w:r>
        <w:rPr>
          <w:rFonts w:hint="eastAsia" w:ascii="宋体" w:hAnsi="宋体"/>
          <w:color w:val="auto"/>
          <w:sz w:val="24"/>
          <w:szCs w:val="24"/>
          <w:highlight w:val="none"/>
        </w:rPr>
        <w:t>项目概况与招标范围</w:t>
      </w:r>
      <w:bookmarkEnd w:id="10"/>
      <w:bookmarkEnd w:id="11"/>
      <w:bookmarkEnd w:id="12"/>
      <w:bookmarkEnd w:id="13"/>
      <w:bookmarkEnd w:id="14"/>
      <w:bookmarkEnd w:id="15"/>
      <w:bookmarkEnd w:id="16"/>
    </w:p>
    <w:p w14:paraId="6AC7DFA2">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建设地点：</w:t>
      </w:r>
      <w:r>
        <w:rPr>
          <w:rFonts w:hint="eastAsia" w:ascii="宋体" w:hAnsi="宋体"/>
          <w:color w:val="auto"/>
          <w:szCs w:val="21"/>
          <w:highlight w:val="none"/>
          <w:u w:val="single"/>
        </w:rPr>
        <w:t xml:space="preserve">                                 </w:t>
      </w:r>
      <w:r>
        <w:rPr>
          <w:rStyle w:val="70"/>
          <w:rFonts w:hint="eastAsia"/>
          <w:color w:val="auto"/>
          <w:szCs w:val="21"/>
          <w:highlight w:val="none"/>
        </w:rPr>
        <w:t>。</w:t>
      </w:r>
    </w:p>
    <w:p w14:paraId="7DDB6CFA">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工程建设规模</w:t>
      </w:r>
      <w:r>
        <w:rPr>
          <w:rStyle w:val="48"/>
          <w:rFonts w:hint="eastAsia"/>
          <w:color w:val="auto"/>
          <w:szCs w:val="21"/>
          <w:highlight w:val="none"/>
        </w:rPr>
        <w:footnoteReference w:id="0"/>
      </w:r>
      <w:r>
        <w:rPr>
          <w:rStyle w:val="70"/>
          <w:rFonts w:hint="eastAsia"/>
          <w:color w:val="auto"/>
          <w:szCs w:val="21"/>
          <w:highlight w:val="none"/>
        </w:rPr>
        <w:t>：</w:t>
      </w:r>
      <w:r>
        <w:rPr>
          <w:rFonts w:hint="eastAsia" w:ascii="宋体" w:hAnsi="宋体"/>
          <w:color w:val="auto"/>
          <w:szCs w:val="21"/>
          <w:highlight w:val="none"/>
          <w:u w:val="single"/>
        </w:rPr>
        <w:t xml:space="preserve">                             </w:t>
      </w:r>
      <w:r>
        <w:rPr>
          <w:rStyle w:val="70"/>
          <w:rFonts w:hint="eastAsia"/>
          <w:color w:val="auto"/>
          <w:szCs w:val="21"/>
          <w:highlight w:val="none"/>
        </w:rPr>
        <w:t>。</w:t>
      </w:r>
    </w:p>
    <w:p w14:paraId="173A31A9">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u w:val="single"/>
        </w:rPr>
      </w:pPr>
      <w:r>
        <w:rPr>
          <w:rStyle w:val="70"/>
          <w:rFonts w:hint="eastAsia"/>
          <w:color w:val="auto"/>
          <w:szCs w:val="21"/>
          <w:highlight w:val="none"/>
        </w:rPr>
        <w:t>招标范围和标段内容：</w:t>
      </w:r>
      <w:r>
        <w:rPr>
          <w:rStyle w:val="70"/>
          <w:rFonts w:hint="eastAsia"/>
          <w:color w:val="auto"/>
          <w:szCs w:val="21"/>
          <w:highlight w:val="none"/>
          <w:u w:val="single"/>
        </w:rPr>
        <w:t xml:space="preserve">                           </w:t>
      </w:r>
      <w:r>
        <w:rPr>
          <w:rStyle w:val="70"/>
          <w:rFonts w:hint="eastAsia"/>
          <w:color w:val="auto"/>
          <w:szCs w:val="21"/>
          <w:highlight w:val="none"/>
        </w:rPr>
        <w:t>。</w:t>
      </w:r>
    </w:p>
    <w:p w14:paraId="7E16AE92">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Style w:val="70"/>
          <w:rFonts w:hint="eastAsia"/>
          <w:color w:val="auto"/>
          <w:szCs w:val="21"/>
          <w:highlight w:val="none"/>
        </w:rPr>
        <w:t>工期要求：</w:t>
      </w:r>
      <w:r>
        <w:rPr>
          <w:rFonts w:hint="eastAsia" w:ascii="宋体" w:hAnsi="宋体" w:cs="仿宋_GB2312"/>
          <w:color w:val="auto"/>
          <w:kern w:val="0"/>
          <w:szCs w:val="21"/>
          <w:highlight w:val="none"/>
        </w:rPr>
        <w:t>总工期</w:t>
      </w:r>
      <w:r>
        <w:rPr>
          <w:rFonts w:hint="eastAsia"/>
          <w:color w:val="auto"/>
          <w:szCs w:val="21"/>
          <w:highlight w:val="none"/>
          <w:u w:val="single"/>
        </w:rPr>
        <w:t xml:space="preserve">      </w:t>
      </w:r>
      <w:r>
        <w:rPr>
          <w:rFonts w:hint="eastAsia"/>
          <w:color w:val="auto"/>
          <w:szCs w:val="21"/>
          <w:highlight w:val="none"/>
        </w:rPr>
        <w:t>日历天</w:t>
      </w:r>
      <w:r>
        <w:rPr>
          <w:rFonts w:ascii="宋体" w:hAnsi="宋体"/>
          <w:color w:val="auto"/>
          <w:szCs w:val="21"/>
          <w:highlight w:val="none"/>
        </w:rPr>
        <w:t>。</w:t>
      </w:r>
    </w:p>
    <w:p w14:paraId="12771D4A">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rPr>
      </w:pPr>
      <w:r>
        <w:rPr>
          <w:rFonts w:hint="eastAsia" w:ascii="宋体" w:hAnsi="宋体"/>
          <w:color w:val="auto"/>
          <w:szCs w:val="21"/>
          <w:highlight w:val="none"/>
        </w:rPr>
        <w:t>质量要求：满足施工图设计和规范要求，达到合格标准 。</w:t>
      </w:r>
    </w:p>
    <w:p w14:paraId="501D28FA">
      <w:pPr>
        <w:pStyle w:val="4"/>
        <w:numPr>
          <w:ilvl w:val="0"/>
          <w:numId w:val="2"/>
        </w:numPr>
        <w:spacing w:before="60" w:after="60" w:line="360" w:lineRule="auto"/>
        <w:ind w:left="0" w:firstLine="0"/>
        <w:rPr>
          <w:rFonts w:ascii="宋体" w:hAnsi="宋体"/>
          <w:color w:val="auto"/>
          <w:sz w:val="24"/>
          <w:szCs w:val="24"/>
          <w:highlight w:val="none"/>
        </w:rPr>
      </w:pPr>
      <w:bookmarkStart w:id="17" w:name="_Toc488483447"/>
      <w:bookmarkStart w:id="18" w:name="_Toc381806831"/>
      <w:bookmarkStart w:id="19" w:name="_Toc487653153"/>
      <w:bookmarkStart w:id="20" w:name="_Toc490832264"/>
      <w:bookmarkStart w:id="21" w:name="_Toc486685872"/>
      <w:bookmarkStart w:id="22" w:name="_Toc488492805"/>
      <w:bookmarkStart w:id="23" w:name="_Toc488483575"/>
      <w:r>
        <w:rPr>
          <w:rFonts w:hint="eastAsia" w:ascii="宋体" w:hAnsi="宋体"/>
          <w:color w:val="auto"/>
          <w:sz w:val="24"/>
          <w:szCs w:val="24"/>
          <w:highlight w:val="none"/>
        </w:rPr>
        <w:t>投标人资格要求</w:t>
      </w:r>
      <w:bookmarkEnd w:id="17"/>
      <w:bookmarkEnd w:id="18"/>
      <w:bookmarkEnd w:id="19"/>
      <w:bookmarkEnd w:id="20"/>
      <w:bookmarkEnd w:id="21"/>
      <w:bookmarkEnd w:id="22"/>
      <w:bookmarkEnd w:id="23"/>
    </w:p>
    <w:p w14:paraId="2B5F87BC">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b/>
          <w:color w:val="auto"/>
          <w:szCs w:val="21"/>
          <w:highlight w:val="none"/>
          <w:u w:val="single"/>
        </w:rPr>
      </w:pPr>
      <w:r>
        <w:rPr>
          <w:rFonts w:hint="eastAsia" w:ascii="宋体" w:hAnsi="宋体"/>
          <w:color w:val="auto"/>
          <w:szCs w:val="21"/>
          <w:highlight w:val="none"/>
        </w:rPr>
        <w:t>本次招标要求</w:t>
      </w:r>
      <w:r>
        <w:rPr>
          <w:rFonts w:hint="eastAsia" w:ascii="宋体" w:hAnsi="宋体" w:cs="仿宋_GB2312"/>
          <w:color w:val="auto"/>
          <w:kern w:val="0"/>
          <w:szCs w:val="21"/>
          <w:highlight w:val="none"/>
        </w:rPr>
        <w:t>投标人须：</w:t>
      </w:r>
      <w:r>
        <w:rPr>
          <w:rFonts w:hint="eastAsia" w:ascii="宋体" w:hAnsi="宋体"/>
          <w:color w:val="auto"/>
          <w:szCs w:val="21"/>
          <w:highlight w:val="none"/>
        </w:rPr>
        <w:t>①具有</w:t>
      </w:r>
      <w:r>
        <w:rPr>
          <w:rFonts w:hint="eastAsia" w:ascii="宋体" w:hAnsi="宋体"/>
          <w:color w:val="auto"/>
          <w:szCs w:val="21"/>
          <w:highlight w:val="none"/>
          <w:u w:val="single"/>
        </w:rPr>
        <w:t xml:space="preserve">       </w:t>
      </w:r>
      <w:r>
        <w:rPr>
          <w:rFonts w:hint="eastAsia" w:ascii="宋体" w:hAnsi="宋体"/>
          <w:color w:val="auto"/>
          <w:szCs w:val="21"/>
          <w:highlight w:val="none"/>
        </w:rPr>
        <w:t>资质等级证书；②具备独立的法人资格、有效的营业执照、有效的安全生产许可证。</w:t>
      </w:r>
    </w:p>
    <w:p w14:paraId="12330E72">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lang w:val="en-US" w:eastAsia="zh-CN"/>
        </w:rPr>
        <w:t>联合体投标</w:t>
      </w:r>
    </w:p>
    <w:p w14:paraId="212BAA69">
      <w:pPr>
        <w:shd w:val="clear" w:color="000000" w:fill="FFFFFF"/>
        <w:spacing w:line="360" w:lineRule="auto"/>
        <w:ind w:firstLine="420" w:firstLineChars="200"/>
        <w:rPr>
          <w:rFonts w:cs="宋体"/>
          <w:color w:val="auto"/>
          <w:sz w:val="21"/>
          <w:szCs w:val="21"/>
          <w:highlight w:val="none"/>
        </w:rPr>
      </w:pPr>
      <w:r>
        <w:rPr>
          <w:rFonts w:hint="eastAsia" w:ascii="宋体" w:hAnsi="宋体"/>
          <w:color w:val="auto"/>
          <w:szCs w:val="21"/>
          <w:highlight w:val="none"/>
          <w:lang w:val="en-US" w:eastAsia="zh-CN"/>
        </w:rPr>
        <w:t xml:space="preserve">3.2.1 </w:t>
      </w:r>
      <w:r>
        <w:rPr>
          <w:rFonts w:hint="eastAsia" w:ascii="宋体" w:hAnsi="宋体" w:cs="Times New Roman"/>
          <w:color w:val="auto"/>
          <w:sz w:val="21"/>
          <w:szCs w:val="21"/>
          <w:highlight w:val="none"/>
        </w:rPr>
        <w:t>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承担相同承包内容的单位组成联合体的，按照资质等级较低的单位确定资质等级。其中：</w:t>
      </w:r>
    </w:p>
    <w:p w14:paraId="6CFA30E2">
      <w:pPr>
        <w:shd w:val="clear" w:color="000000" w:fill="FFFFFF"/>
        <w:spacing w:line="360" w:lineRule="auto"/>
        <w:ind w:firstLine="488"/>
        <w:rPr>
          <w:rFonts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lang w:eastAsia="zh-CN"/>
        </w:rPr>
        <w:t>联合体协议书应明确由上述在厦注册的子公司或在厦注册的关联企业作为联合体牵头人</w:t>
      </w:r>
      <w:r>
        <w:rPr>
          <w:rFonts w:hint="eastAsia" w:cs="宋体"/>
          <w:color w:val="auto"/>
          <w:sz w:val="21"/>
          <w:szCs w:val="21"/>
          <w:highlight w:val="none"/>
        </w:rPr>
        <w:t>。</w:t>
      </w:r>
    </w:p>
    <w:p w14:paraId="0A39B33D">
      <w:pPr>
        <w:shd w:val="clear" w:color="000000" w:fill="FFFFFF"/>
        <w:spacing w:line="360" w:lineRule="auto"/>
        <w:ind w:firstLine="488"/>
        <w:rPr>
          <w:rFonts w:cs="宋体"/>
          <w:color w:val="auto"/>
          <w:sz w:val="21"/>
          <w:szCs w:val="21"/>
          <w:highlight w:val="none"/>
        </w:rPr>
      </w:pPr>
      <w:r>
        <w:rPr>
          <w:rFonts w:hint="eastAsia" w:cs="宋体"/>
          <w:color w:val="auto"/>
          <w:sz w:val="21"/>
          <w:szCs w:val="21"/>
          <w:highlight w:val="none"/>
        </w:rPr>
        <w:t>（2）联合体协议书应明确联合体投标人的业绩以联合体牵头人或联合体其余成员的业绩为准。前述业绩指投标人须知前附表附件3资格审查条</w:t>
      </w:r>
      <w:r>
        <w:rPr>
          <w:rFonts w:hint="eastAsia" w:ascii="宋体" w:hAnsi="宋体" w:cs="Times New Roman"/>
          <w:color w:val="auto"/>
          <w:sz w:val="21"/>
          <w:szCs w:val="21"/>
          <w:highlight w:val="none"/>
        </w:rPr>
        <w:t>件(业绩最低要求)</w:t>
      </w:r>
      <w:r>
        <w:rPr>
          <w:rFonts w:hint="eastAsia" w:ascii="宋体" w:hAnsi="宋体" w:cs="Times New Roman"/>
          <w:color w:val="auto"/>
          <w:sz w:val="21"/>
          <w:szCs w:val="21"/>
          <w:highlight w:val="none"/>
          <w:lang w:val="en-US" w:eastAsia="zh-CN"/>
        </w:rPr>
        <w:t>所要求的</w:t>
      </w:r>
      <w:r>
        <w:rPr>
          <w:rFonts w:hint="eastAsia" w:ascii="宋体" w:hAnsi="宋体" w:cs="Times New Roman"/>
          <w:color w:val="auto"/>
          <w:sz w:val="21"/>
          <w:szCs w:val="21"/>
          <w:highlight w:val="none"/>
        </w:rPr>
        <w:t>业绩</w:t>
      </w:r>
      <w:r>
        <w:rPr>
          <w:rFonts w:hint="eastAsia" w:cs="宋体"/>
          <w:color w:val="auto"/>
          <w:sz w:val="21"/>
          <w:szCs w:val="21"/>
          <w:highlight w:val="none"/>
        </w:rPr>
        <w:t>。</w:t>
      </w:r>
    </w:p>
    <w:p w14:paraId="76B035DF">
      <w:pPr>
        <w:shd w:val="clear" w:color="000000" w:fill="FFFFFF"/>
        <w:spacing w:line="360" w:lineRule="auto"/>
        <w:ind w:firstLine="488"/>
        <w:rPr>
          <w:rFonts w:hint="eastAsia" w:cs="宋体"/>
          <w:color w:val="auto"/>
          <w:sz w:val="21"/>
          <w:szCs w:val="21"/>
          <w:highlight w:val="none"/>
        </w:rPr>
      </w:pPr>
      <w:r>
        <w:rPr>
          <w:rFonts w:hint="eastAsia" w:cs="宋体"/>
          <w:color w:val="auto"/>
          <w:sz w:val="21"/>
          <w:szCs w:val="21"/>
          <w:highlight w:val="none"/>
        </w:rPr>
        <w:t>（3）联合体协议书应明确联合体投标人的信用以联合体牵头人或联合体其余成员的信用为准。前述信用指投标人须知前附表条款号第10.</w:t>
      </w:r>
      <w:r>
        <w:rPr>
          <w:rFonts w:hint="eastAsia" w:cs="宋体"/>
          <w:color w:val="auto"/>
          <w:sz w:val="21"/>
          <w:szCs w:val="21"/>
          <w:highlight w:val="none"/>
          <w:lang w:val="en-US" w:eastAsia="zh-CN"/>
        </w:rPr>
        <w:t>3</w:t>
      </w:r>
      <w:r>
        <w:rPr>
          <w:rFonts w:hint="eastAsia" w:cs="宋体"/>
          <w:color w:val="auto"/>
          <w:sz w:val="21"/>
          <w:szCs w:val="21"/>
          <w:highlight w:val="none"/>
        </w:rPr>
        <w:t>项所要求的厦门市建筑施工企业信用综合评价结果（包括信用等级和综合得分）和投标人须知前附表条款号第10.</w:t>
      </w:r>
      <w:r>
        <w:rPr>
          <w:rFonts w:hint="eastAsia" w:cs="宋体"/>
          <w:color w:val="auto"/>
          <w:sz w:val="21"/>
          <w:szCs w:val="21"/>
          <w:highlight w:val="none"/>
          <w:lang w:val="en-US" w:eastAsia="zh-CN"/>
        </w:rPr>
        <w:t>4</w:t>
      </w:r>
      <w:r>
        <w:rPr>
          <w:rFonts w:hint="eastAsia" w:cs="宋体"/>
          <w:color w:val="auto"/>
          <w:sz w:val="21"/>
          <w:szCs w:val="21"/>
          <w:highlight w:val="none"/>
        </w:rPr>
        <w:t>项所要求的福建省交通建设市场信用考核评价结果（以在“信用交通·福建”（http://220.160.53.3：30050/gzwz/）网站的公示结果为准）。</w:t>
      </w:r>
    </w:p>
    <w:p w14:paraId="6EABF9CF">
      <w:pPr>
        <w:widowControl/>
        <w:numPr>
          <w:ilvl w:val="-1"/>
          <w:numId w:val="0"/>
        </w:numPr>
        <w:tabs>
          <w:tab w:val="left" w:pos="510"/>
          <w:tab w:val="left" w:pos="900"/>
          <w:tab w:val="left" w:pos="993"/>
          <w:tab w:val="left" w:pos="1100"/>
          <w:tab w:val="left" w:pos="3807"/>
        </w:tabs>
        <w:spacing w:line="300" w:lineRule="auto"/>
        <w:ind w:left="0" w:leftChars="0" w:firstLine="420" w:firstLineChars="200"/>
        <w:jc w:val="left"/>
        <w:rPr>
          <w:rFonts w:hint="eastAsia" w:cs="宋体"/>
          <w:color w:val="auto"/>
          <w:sz w:val="21"/>
          <w:szCs w:val="21"/>
          <w:highlight w:val="none"/>
        </w:rPr>
      </w:pPr>
      <w:r>
        <w:rPr>
          <w:rFonts w:hint="eastAsia" w:cs="宋体"/>
          <w:color w:val="auto"/>
          <w:sz w:val="21"/>
          <w:szCs w:val="21"/>
          <w:highlight w:val="none"/>
        </w:rPr>
        <w:t>（4）联合体投标人应在投标文件中提交联合体各方之间的母子公司或关联企业关系的证明资料。</w:t>
      </w:r>
    </w:p>
    <w:p w14:paraId="1AB5218C">
      <w:pPr>
        <w:widowControl/>
        <w:numPr>
          <w:ilvl w:val="0"/>
          <w:numId w:val="0"/>
        </w:numPr>
        <w:tabs>
          <w:tab w:val="left" w:pos="510"/>
          <w:tab w:val="left" w:pos="900"/>
          <w:tab w:val="left" w:pos="993"/>
          <w:tab w:val="left" w:pos="1100"/>
          <w:tab w:val="left" w:pos="3807"/>
        </w:tabs>
        <w:spacing w:line="300" w:lineRule="auto"/>
        <w:ind w:firstLineChars="200"/>
        <w:jc w:val="left"/>
        <w:rPr>
          <w:rFonts w:hint="eastAsia"/>
          <w:color w:val="auto"/>
          <w:highlight w:val="none"/>
        </w:rPr>
      </w:pPr>
      <w:r>
        <w:rPr>
          <w:rFonts w:hint="eastAsia" w:cs="宋体"/>
          <w:color w:val="auto"/>
          <w:sz w:val="21"/>
          <w:szCs w:val="21"/>
          <w:highlight w:val="none"/>
          <w:lang w:val="en-US" w:eastAsia="zh-CN"/>
        </w:rPr>
        <w:t>3.2.2</w:t>
      </w:r>
      <w:r>
        <w:rPr>
          <w:rFonts w:hint="eastAsia" w:cs="宋体"/>
          <w:color w:val="auto"/>
          <w:sz w:val="21"/>
          <w:szCs w:val="21"/>
          <w:highlight w:val="none"/>
        </w:rPr>
        <w:t>本招标项目</w:t>
      </w:r>
      <w:r>
        <w:rPr>
          <w:rFonts w:hint="eastAsia" w:cs="宋体"/>
          <w:color w:val="auto"/>
          <w:sz w:val="21"/>
          <w:szCs w:val="21"/>
          <w:highlight w:val="none"/>
          <w:u w:val="single"/>
        </w:rPr>
        <w:t xml:space="preserve">      </w:t>
      </w:r>
      <w:r>
        <w:rPr>
          <w:rStyle w:val="48"/>
          <w:rFonts w:hint="eastAsia" w:cs="宋体"/>
          <w:color w:val="auto"/>
          <w:sz w:val="21"/>
          <w:szCs w:val="21"/>
          <w:highlight w:val="none"/>
          <w:u w:val="single"/>
        </w:rPr>
        <w:footnoteReference w:id="1"/>
      </w:r>
      <w:r>
        <w:rPr>
          <w:rFonts w:hint="eastAsia" w:cs="宋体"/>
          <w:color w:val="auto"/>
          <w:sz w:val="21"/>
          <w:szCs w:val="21"/>
          <w:highlight w:val="none"/>
        </w:rPr>
        <w:t>除3.</w:t>
      </w:r>
      <w:r>
        <w:rPr>
          <w:rFonts w:hint="eastAsia" w:cs="宋体"/>
          <w:color w:val="auto"/>
          <w:sz w:val="21"/>
          <w:szCs w:val="21"/>
          <w:highlight w:val="none"/>
          <w:lang w:val="en-US" w:eastAsia="zh-CN"/>
        </w:rPr>
        <w:t>2</w:t>
      </w:r>
      <w:r>
        <w:rPr>
          <w:rFonts w:hint="eastAsia" w:cs="宋体"/>
          <w:color w:val="auto"/>
          <w:sz w:val="21"/>
          <w:szCs w:val="21"/>
          <w:highlight w:val="none"/>
        </w:rPr>
        <w:t>.1项情形以外的联合体投标。招标人接受除3.</w:t>
      </w:r>
      <w:r>
        <w:rPr>
          <w:rFonts w:hint="eastAsia" w:cs="宋体"/>
          <w:color w:val="auto"/>
          <w:sz w:val="21"/>
          <w:szCs w:val="21"/>
          <w:highlight w:val="none"/>
          <w:lang w:val="en-US" w:eastAsia="zh-CN"/>
        </w:rPr>
        <w:t>2</w:t>
      </w:r>
      <w:r>
        <w:rPr>
          <w:rFonts w:hint="eastAsia" w:cs="宋体"/>
          <w:color w:val="auto"/>
          <w:sz w:val="21"/>
          <w:szCs w:val="21"/>
          <w:highlight w:val="none"/>
        </w:rPr>
        <w:t>.1项情形以外联合体投标的，自愿组成联合体的应由</w:t>
      </w:r>
      <w:r>
        <w:rPr>
          <w:rFonts w:hint="eastAsia"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rPr>
        <w:t xml:space="preserve">   </w:t>
      </w:r>
      <w:r>
        <w:rPr>
          <w:rFonts w:hint="eastAsia" w:cs="宋体"/>
          <w:color w:val="auto"/>
          <w:sz w:val="21"/>
          <w:szCs w:val="21"/>
          <w:highlight w:val="none"/>
        </w:rPr>
        <w:t>为牵头人，联合体投标人成员数量不得超过</w:t>
      </w:r>
      <w:r>
        <w:rPr>
          <w:rFonts w:hint="eastAsia" w:cs="宋体"/>
          <w:color w:val="auto"/>
          <w:sz w:val="21"/>
          <w:szCs w:val="21"/>
          <w:highlight w:val="none"/>
          <w:u w:val="single"/>
          <w:lang w:val="en-US" w:eastAsia="zh-CN"/>
        </w:rPr>
        <w:t>3</w:t>
      </w:r>
      <w:r>
        <w:rPr>
          <w:rFonts w:hint="eastAsia" w:cs="宋体"/>
          <w:color w:val="auto"/>
          <w:sz w:val="21"/>
          <w:szCs w:val="21"/>
          <w:highlight w:val="none"/>
        </w:rPr>
        <w:t>家，且各方应具备其所承担招标项目承包内容的相应资质条件；承担相同承包内容的单位组成联合体的，按照资质等级较低的单位确定资质等级。</w:t>
      </w:r>
    </w:p>
    <w:p w14:paraId="41344617">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投标人拟担任本招标项目的项目经理应</w:t>
      </w:r>
      <w:r>
        <w:rPr>
          <w:rFonts w:ascii="宋体" w:hAnsi="宋体"/>
          <w:color w:val="auto"/>
          <w:szCs w:val="21"/>
          <w:highlight w:val="none"/>
        </w:rPr>
        <w:t>具有</w:t>
      </w:r>
      <w:r>
        <w:rPr>
          <w:rFonts w:hint="eastAsia" w:ascii="宋体" w:hAnsi="宋体"/>
          <w:color w:val="auto"/>
          <w:szCs w:val="21"/>
          <w:highlight w:val="none"/>
          <w:u w:val="single"/>
        </w:rPr>
        <w:t xml:space="preserve">       </w:t>
      </w:r>
      <w:r>
        <w:rPr>
          <w:rFonts w:ascii="宋体" w:hAnsi="宋体"/>
          <w:color w:val="auto"/>
          <w:szCs w:val="21"/>
          <w:highlight w:val="none"/>
        </w:rPr>
        <w:t>注册建造师执业资格</w:t>
      </w:r>
      <w:r>
        <w:rPr>
          <w:rFonts w:hint="eastAsia" w:ascii="宋体" w:hAnsi="宋体"/>
          <w:color w:val="auto"/>
          <w:szCs w:val="21"/>
          <w:highlight w:val="none"/>
        </w:rPr>
        <w:t>证书，具备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rPr>
        <w:t xml:space="preserve">              及以上</w:t>
      </w:r>
      <w:r>
        <w:rPr>
          <w:rFonts w:hint="eastAsia" w:ascii="宋体" w:hAnsi="宋体"/>
          <w:color w:val="auto"/>
          <w:szCs w:val="21"/>
          <w:highlight w:val="none"/>
        </w:rPr>
        <w:t>技术职称，并持有合格有效的</w:t>
      </w:r>
      <w:r>
        <w:rPr>
          <w:rFonts w:ascii="宋体" w:hAnsi="宋体"/>
          <w:color w:val="auto"/>
          <w:szCs w:val="21"/>
          <w:highlight w:val="none"/>
        </w:rPr>
        <w:t>安全生产考核合格证书B证</w:t>
      </w:r>
      <w:r>
        <w:rPr>
          <w:rFonts w:hint="eastAsia" w:ascii="宋体" w:hAnsi="宋体"/>
          <w:color w:val="auto"/>
          <w:szCs w:val="21"/>
          <w:highlight w:val="none"/>
        </w:rPr>
        <w:t>。</w:t>
      </w:r>
    </w:p>
    <w:p w14:paraId="0AF3AFED">
      <w:pPr>
        <w:widowControl/>
        <w:tabs>
          <w:tab w:val="left" w:pos="510"/>
          <w:tab w:val="left" w:pos="900"/>
          <w:tab w:val="left" w:pos="1100"/>
          <w:tab w:val="left" w:pos="3807"/>
        </w:tabs>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港口与航道工程</w:t>
      </w:r>
      <w:r>
        <w:rPr>
          <w:rFonts w:hint="eastAsia" w:ascii="宋体" w:hAnsi="宋体" w:cs="宋体"/>
          <w:color w:val="auto"/>
          <w:szCs w:val="21"/>
          <w:highlight w:val="none"/>
        </w:rPr>
        <w:t>专业指</w:t>
      </w:r>
      <w:r>
        <w:rPr>
          <w:rFonts w:ascii="宋体" w:hAnsi="宋体" w:cs="宋体"/>
          <w:color w:val="auto"/>
          <w:szCs w:val="21"/>
          <w:highlight w:val="none"/>
        </w:rPr>
        <w:t>港航工程</w:t>
      </w:r>
      <w:r>
        <w:rPr>
          <w:rFonts w:hint="eastAsia" w:ascii="宋体" w:hAnsi="宋体" w:cs="宋体"/>
          <w:color w:val="auto"/>
          <w:szCs w:val="21"/>
          <w:highlight w:val="none"/>
        </w:rPr>
        <w:t>、</w:t>
      </w:r>
      <w:r>
        <w:rPr>
          <w:rFonts w:ascii="宋体" w:hAnsi="宋体" w:cs="宋体"/>
          <w:color w:val="auto"/>
          <w:szCs w:val="21"/>
          <w:highlight w:val="none"/>
        </w:rPr>
        <w:t>航道工程</w:t>
      </w:r>
      <w:r>
        <w:rPr>
          <w:rFonts w:hint="eastAsia" w:ascii="宋体" w:hAnsi="宋体" w:cs="宋体"/>
          <w:color w:val="auto"/>
          <w:szCs w:val="21"/>
          <w:highlight w:val="none"/>
        </w:rPr>
        <w:t>、</w:t>
      </w:r>
      <w:r>
        <w:rPr>
          <w:rFonts w:ascii="宋体" w:hAnsi="宋体" w:cs="宋体"/>
          <w:color w:val="auto"/>
          <w:szCs w:val="21"/>
          <w:highlight w:val="none"/>
        </w:rPr>
        <w:t>航道整治工程</w:t>
      </w:r>
      <w:r>
        <w:rPr>
          <w:rFonts w:hint="eastAsia" w:ascii="宋体" w:hAnsi="宋体" w:cs="宋体"/>
          <w:color w:val="auto"/>
          <w:szCs w:val="21"/>
          <w:highlight w:val="none"/>
        </w:rPr>
        <w:t>、</w:t>
      </w:r>
      <w:r>
        <w:rPr>
          <w:rFonts w:ascii="宋体" w:hAnsi="宋体" w:cs="宋体"/>
          <w:color w:val="auto"/>
          <w:szCs w:val="21"/>
          <w:highlight w:val="none"/>
        </w:rPr>
        <w:t>港口建筑工程</w:t>
      </w:r>
      <w:r>
        <w:rPr>
          <w:rFonts w:hint="eastAsia" w:ascii="宋体" w:hAnsi="宋体" w:cs="宋体"/>
          <w:color w:val="auto"/>
          <w:szCs w:val="21"/>
          <w:highlight w:val="none"/>
        </w:rPr>
        <w:t>、航道</w:t>
      </w:r>
      <w:r>
        <w:rPr>
          <w:rFonts w:ascii="宋体" w:hAnsi="宋体" w:cs="宋体"/>
          <w:color w:val="auto"/>
          <w:szCs w:val="21"/>
          <w:highlight w:val="none"/>
        </w:rPr>
        <w:t>及港口工程</w:t>
      </w:r>
      <w:r>
        <w:rPr>
          <w:rFonts w:hint="eastAsia" w:ascii="宋体" w:hAnsi="宋体" w:cs="宋体"/>
          <w:color w:val="auto"/>
          <w:szCs w:val="21"/>
          <w:highlight w:val="none"/>
        </w:rPr>
        <w:t>、</w:t>
      </w:r>
      <w:r>
        <w:rPr>
          <w:rFonts w:ascii="宋体" w:hAnsi="宋体" w:cs="宋体"/>
          <w:color w:val="auto"/>
          <w:szCs w:val="21"/>
          <w:highlight w:val="none"/>
        </w:rPr>
        <w:t>港口水工建筑工程</w:t>
      </w:r>
      <w:r>
        <w:rPr>
          <w:rFonts w:hint="eastAsia" w:ascii="宋体" w:hAnsi="宋体" w:cs="宋体"/>
          <w:color w:val="auto"/>
          <w:szCs w:val="21"/>
          <w:highlight w:val="none"/>
        </w:rPr>
        <w:t>、</w:t>
      </w:r>
      <w:r>
        <w:rPr>
          <w:rFonts w:ascii="宋体" w:hAnsi="宋体" w:cs="宋体"/>
          <w:color w:val="auto"/>
          <w:szCs w:val="21"/>
          <w:highlight w:val="none"/>
        </w:rPr>
        <w:t>航务工程</w:t>
      </w:r>
      <w:r>
        <w:rPr>
          <w:rFonts w:hint="eastAsia" w:ascii="宋体" w:hAnsi="宋体" w:cs="宋体"/>
          <w:color w:val="auto"/>
          <w:szCs w:val="21"/>
          <w:highlight w:val="none"/>
        </w:rPr>
        <w:t>、</w:t>
      </w:r>
      <w:r>
        <w:rPr>
          <w:rFonts w:ascii="宋体" w:hAnsi="宋体" w:cs="宋体"/>
          <w:color w:val="auto"/>
          <w:szCs w:val="21"/>
          <w:highlight w:val="none"/>
        </w:rPr>
        <w:t>水工工程</w:t>
      </w:r>
      <w:r>
        <w:rPr>
          <w:rFonts w:hint="eastAsia" w:ascii="宋体" w:hAnsi="宋体" w:cs="宋体"/>
          <w:color w:val="auto"/>
          <w:szCs w:val="21"/>
          <w:highlight w:val="none"/>
        </w:rPr>
        <w:t>、</w:t>
      </w:r>
      <w:r>
        <w:rPr>
          <w:rFonts w:ascii="宋体" w:hAnsi="宋体" w:cs="宋体"/>
          <w:color w:val="auto"/>
          <w:szCs w:val="21"/>
          <w:highlight w:val="none"/>
        </w:rPr>
        <w:t>水运工程</w:t>
      </w:r>
      <w:r>
        <w:rPr>
          <w:rFonts w:hint="eastAsia" w:ascii="宋体" w:hAnsi="宋体" w:cs="宋体"/>
          <w:color w:val="auto"/>
          <w:szCs w:val="21"/>
          <w:highlight w:val="none"/>
        </w:rPr>
        <w:t>、</w:t>
      </w:r>
      <w:r>
        <w:rPr>
          <w:rFonts w:ascii="宋体" w:hAnsi="宋体" w:cs="宋体"/>
          <w:color w:val="auto"/>
          <w:szCs w:val="21"/>
          <w:highlight w:val="none"/>
        </w:rPr>
        <w:t>海洋工程</w:t>
      </w:r>
      <w:r>
        <w:rPr>
          <w:rFonts w:hint="eastAsia" w:ascii="宋体" w:hAnsi="宋体" w:cs="宋体"/>
          <w:color w:val="auto"/>
          <w:szCs w:val="21"/>
          <w:highlight w:val="none"/>
        </w:rPr>
        <w:t>、</w:t>
      </w:r>
      <w:r>
        <w:rPr>
          <w:rFonts w:ascii="宋体" w:hAnsi="宋体" w:cs="宋体"/>
          <w:color w:val="auto"/>
          <w:szCs w:val="21"/>
          <w:highlight w:val="none"/>
        </w:rPr>
        <w:t>港工工程</w:t>
      </w:r>
      <w:r>
        <w:rPr>
          <w:rFonts w:hint="eastAsia" w:ascii="宋体" w:hAnsi="宋体" w:cs="宋体"/>
          <w:color w:val="auto"/>
          <w:szCs w:val="21"/>
          <w:highlight w:val="none"/>
        </w:rPr>
        <w:t>、</w:t>
      </w:r>
      <w:r>
        <w:rPr>
          <w:rFonts w:ascii="宋体" w:hAnsi="宋体" w:cs="宋体"/>
          <w:color w:val="auto"/>
          <w:szCs w:val="21"/>
          <w:highlight w:val="none"/>
        </w:rPr>
        <w:t>港口工程</w:t>
      </w:r>
      <w:r>
        <w:rPr>
          <w:rFonts w:hint="eastAsia" w:ascii="宋体" w:hAnsi="宋体" w:cs="宋体"/>
          <w:color w:val="auto"/>
          <w:szCs w:val="21"/>
          <w:highlight w:val="none"/>
        </w:rPr>
        <w:t>、</w:t>
      </w:r>
      <w:r>
        <w:rPr>
          <w:rFonts w:ascii="宋体" w:hAnsi="宋体" w:cs="宋体"/>
          <w:color w:val="auto"/>
          <w:szCs w:val="21"/>
          <w:highlight w:val="none"/>
        </w:rPr>
        <w:t>海岸工程</w:t>
      </w:r>
      <w:r>
        <w:rPr>
          <w:rFonts w:hint="eastAsia" w:ascii="宋体" w:hAnsi="宋体" w:cs="宋体"/>
          <w:color w:val="auto"/>
          <w:szCs w:val="21"/>
          <w:highlight w:val="none"/>
        </w:rPr>
        <w:t>、</w:t>
      </w:r>
      <w:r>
        <w:rPr>
          <w:rFonts w:ascii="宋体" w:hAnsi="宋体" w:cs="宋体"/>
          <w:color w:val="auto"/>
          <w:szCs w:val="21"/>
          <w:highlight w:val="none"/>
        </w:rPr>
        <w:t>近岸工程</w:t>
      </w:r>
      <w:r>
        <w:rPr>
          <w:rFonts w:hint="eastAsia" w:ascii="宋体" w:hAnsi="宋体" w:cs="宋体"/>
          <w:color w:val="auto"/>
          <w:szCs w:val="21"/>
          <w:highlight w:val="none"/>
        </w:rPr>
        <w:t>等专业，下同。</w:t>
      </w:r>
    </w:p>
    <w:p w14:paraId="12EA5ECF">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技术负责人职称要求：具备</w:t>
      </w:r>
      <w:r>
        <w:rPr>
          <w:rFonts w:ascii="宋体" w:hAnsi="宋体" w:cs="宋体"/>
          <w:color w:val="auto"/>
          <w:szCs w:val="21"/>
          <w:highlight w:val="none"/>
        </w:rPr>
        <w:t>港口与航道工程</w:t>
      </w:r>
      <w:r>
        <w:rPr>
          <w:rFonts w:hint="eastAsia" w:ascii="宋体" w:hAnsi="宋体"/>
          <w:color w:val="auto"/>
          <w:szCs w:val="21"/>
          <w:highlight w:val="none"/>
        </w:rPr>
        <w:t>专业</w:t>
      </w:r>
      <w:r>
        <w:rPr>
          <w:rFonts w:hint="eastAsia" w:ascii="宋体" w:hAnsi="宋体"/>
          <w:color w:val="auto"/>
          <w:szCs w:val="21"/>
          <w:highlight w:val="none"/>
          <w:u w:val="single"/>
        </w:rPr>
        <w:t xml:space="preserve">               及以上</w:t>
      </w:r>
      <w:r>
        <w:rPr>
          <w:rFonts w:hint="eastAsia" w:ascii="宋体" w:hAnsi="宋体"/>
          <w:color w:val="auto"/>
          <w:szCs w:val="21"/>
          <w:highlight w:val="none"/>
        </w:rPr>
        <w:t>技术职称。</w:t>
      </w:r>
    </w:p>
    <w:p w14:paraId="06FE19A2">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 w:val="24"/>
          <w:highlight w:val="none"/>
        </w:rPr>
      </w:pPr>
      <w:r>
        <w:rPr>
          <w:rFonts w:hint="eastAsia" w:ascii="宋体" w:hAnsi="宋体"/>
          <w:color w:val="auto"/>
          <w:szCs w:val="21"/>
          <w:highlight w:val="none"/>
        </w:rPr>
        <w:t>项目业绩要求：</w:t>
      </w:r>
      <w:r>
        <w:rPr>
          <w:rFonts w:hint="eastAsia" w:ascii="宋体" w:hAnsi="宋体"/>
          <w:color w:val="auto"/>
          <w:szCs w:val="21"/>
          <w:highlight w:val="none"/>
          <w:u w:val="single"/>
        </w:rPr>
        <w:t xml:space="preserve">                      。</w:t>
      </w:r>
    </w:p>
    <w:p w14:paraId="48B9CE58">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hint="eastAsia" w:ascii="宋体" w:hAnsi="宋体"/>
          <w:color w:val="auto"/>
          <w:szCs w:val="21"/>
          <w:highlight w:val="none"/>
        </w:rPr>
        <w:t>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14:paraId="4E3C4C4E">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应在人员、财务、履约信誉等方面具有承担本招标项目施工的能力，具体要求详见招标文件。</w:t>
      </w:r>
    </w:p>
    <w:p w14:paraId="50F5EE41">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Style w:val="70"/>
          <w:color w:val="auto"/>
          <w:szCs w:val="21"/>
          <w:highlight w:val="none"/>
        </w:rPr>
      </w:pPr>
      <w:r>
        <w:rPr>
          <w:rFonts w:hint="eastAsia" w:ascii="宋体" w:hAnsi="宋体"/>
          <w:color w:val="auto"/>
          <w:szCs w:val="21"/>
          <w:highlight w:val="none"/>
        </w:rPr>
        <w:t>本招标项目招标人对投标人的资格审查采用的方式：</w:t>
      </w:r>
      <w:r>
        <w:rPr>
          <w:rFonts w:hint="eastAsia" w:ascii="宋体" w:hAnsi="宋体"/>
          <w:color w:val="auto"/>
          <w:szCs w:val="21"/>
          <w:highlight w:val="none"/>
          <w:u w:val="single"/>
        </w:rPr>
        <w:t>资格</w:t>
      </w:r>
      <w:r>
        <w:rPr>
          <w:rFonts w:ascii="宋体" w:hAnsi="宋体"/>
          <w:color w:val="auto"/>
          <w:szCs w:val="21"/>
          <w:highlight w:val="none"/>
          <w:u w:val="single"/>
        </w:rPr>
        <w:t>后</w:t>
      </w:r>
      <w:r>
        <w:rPr>
          <w:rFonts w:hint="eastAsia" w:ascii="宋体" w:hAnsi="宋体"/>
          <w:color w:val="auto"/>
          <w:szCs w:val="21"/>
          <w:highlight w:val="none"/>
          <w:u w:val="single"/>
        </w:rPr>
        <w:t>审</w:t>
      </w:r>
      <w:r>
        <w:rPr>
          <w:rStyle w:val="70"/>
          <w:rFonts w:hint="eastAsia"/>
          <w:color w:val="auto"/>
          <w:szCs w:val="21"/>
          <w:highlight w:val="none"/>
        </w:rPr>
        <w:t>。</w:t>
      </w:r>
    </w:p>
    <w:p w14:paraId="5C26DF84">
      <w:pPr>
        <w:pStyle w:val="4"/>
        <w:numPr>
          <w:ilvl w:val="0"/>
          <w:numId w:val="2"/>
        </w:numPr>
        <w:spacing w:before="60" w:after="60" w:line="360" w:lineRule="auto"/>
        <w:ind w:left="0" w:firstLine="0"/>
        <w:rPr>
          <w:rFonts w:ascii="宋体" w:hAnsi="宋体"/>
          <w:color w:val="auto"/>
          <w:sz w:val="24"/>
          <w:szCs w:val="24"/>
          <w:highlight w:val="none"/>
        </w:rPr>
      </w:pPr>
      <w:bookmarkStart w:id="24" w:name="_Toc487653154"/>
      <w:bookmarkStart w:id="25" w:name="_Toc488492806"/>
      <w:bookmarkStart w:id="26" w:name="_Toc486685873"/>
      <w:bookmarkStart w:id="27" w:name="_Toc381806832"/>
      <w:bookmarkStart w:id="28" w:name="_Toc488483576"/>
      <w:bookmarkStart w:id="29" w:name="_Toc488483448"/>
      <w:bookmarkStart w:id="30" w:name="_Toc490832265"/>
      <w:r>
        <w:rPr>
          <w:rFonts w:hint="eastAsia" w:ascii="宋体" w:hAnsi="宋体"/>
          <w:color w:val="auto"/>
          <w:sz w:val="24"/>
          <w:szCs w:val="24"/>
          <w:highlight w:val="none"/>
        </w:rPr>
        <w:t>招标文件的获取</w:t>
      </w:r>
      <w:bookmarkEnd w:id="24"/>
      <w:bookmarkEnd w:id="25"/>
      <w:bookmarkEnd w:id="26"/>
      <w:bookmarkEnd w:id="27"/>
      <w:bookmarkEnd w:id="28"/>
      <w:bookmarkEnd w:id="29"/>
      <w:bookmarkEnd w:id="30"/>
    </w:p>
    <w:p w14:paraId="0AC624FF">
      <w:pPr>
        <w:widowControl/>
        <w:tabs>
          <w:tab w:val="left" w:pos="900"/>
          <w:tab w:val="left" w:pos="1100"/>
          <w:tab w:val="left" w:pos="3807"/>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凡有意参加投标者，请于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分__秒前登录电子招标投标交易平台（网址：</w:t>
      </w:r>
      <w:r>
        <w:rPr>
          <w:rFonts w:hint="eastAsia" w:ascii="宋体" w:hAnsi="宋体"/>
          <w:color w:val="auto"/>
          <w:szCs w:val="21"/>
          <w:highlight w:val="none"/>
          <w:u w:val="single"/>
        </w:rPr>
        <w:t xml:space="preserve">        </w:t>
      </w:r>
      <w:r>
        <w:rPr>
          <w:rFonts w:hint="eastAsia" w:ascii="宋体" w:hAnsi="宋体"/>
          <w:color w:val="auto"/>
          <w:szCs w:val="21"/>
          <w:highlight w:val="none"/>
        </w:rPr>
        <w:t>)下载有关电子招标文件。招标人不另行出售纸质招标文件。</w:t>
      </w:r>
    </w:p>
    <w:p w14:paraId="3FE89F0F">
      <w:pPr>
        <w:pStyle w:val="4"/>
        <w:numPr>
          <w:ilvl w:val="0"/>
          <w:numId w:val="2"/>
        </w:numPr>
        <w:spacing w:before="60" w:after="60" w:line="360" w:lineRule="auto"/>
        <w:ind w:left="0" w:firstLine="0"/>
        <w:rPr>
          <w:rFonts w:ascii="宋体" w:hAnsi="宋体"/>
          <w:color w:val="auto"/>
          <w:sz w:val="24"/>
          <w:szCs w:val="24"/>
          <w:highlight w:val="none"/>
        </w:rPr>
      </w:pPr>
      <w:bookmarkStart w:id="31" w:name="_Toc488483578"/>
      <w:bookmarkStart w:id="32" w:name="_Toc488483450"/>
      <w:bookmarkStart w:id="33" w:name="_Toc488492808"/>
      <w:bookmarkStart w:id="34" w:name="_Toc486685875"/>
      <w:bookmarkStart w:id="35" w:name="_Toc381806835"/>
      <w:bookmarkStart w:id="36" w:name="_Toc487653156"/>
      <w:bookmarkStart w:id="37" w:name="_Toc490832266"/>
      <w:r>
        <w:rPr>
          <w:rFonts w:hint="eastAsia" w:ascii="宋体" w:hAnsi="宋体"/>
          <w:color w:val="auto"/>
          <w:sz w:val="24"/>
          <w:szCs w:val="24"/>
          <w:highlight w:val="none"/>
        </w:rPr>
        <w:t>投标文件的递交</w:t>
      </w:r>
      <w:bookmarkEnd w:id="31"/>
      <w:bookmarkEnd w:id="32"/>
      <w:bookmarkEnd w:id="33"/>
      <w:bookmarkEnd w:id="34"/>
      <w:bookmarkEnd w:id="35"/>
      <w:bookmarkEnd w:id="36"/>
      <w:bookmarkEnd w:id="37"/>
    </w:p>
    <w:p w14:paraId="55B8BE33">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color w:val="auto"/>
          <w:szCs w:val="21"/>
          <w:highlight w:val="none"/>
        </w:rPr>
      </w:pPr>
      <w:bookmarkStart w:id="38" w:name="_Toc381806837"/>
      <w:r>
        <w:rPr>
          <w:rFonts w:hint="eastAsia" w:ascii="宋体" w:hAnsi="宋体" w:cs="宋体"/>
          <w:color w:val="auto"/>
          <w:kern w:val="0"/>
          <w:szCs w:val="21"/>
          <w:highlight w:val="none"/>
        </w:rPr>
        <w:t>投标文件递交的截止时间（投标截止时间，下同）为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分__秒，投标人必须在投标截止时间前通过</w:t>
      </w:r>
      <w:r>
        <w:rPr>
          <w:rFonts w:hint="eastAsia" w:ascii="宋体" w:hAnsi="宋体" w:cs="宋体"/>
          <w:color w:val="auto"/>
          <w:kern w:val="0"/>
          <w:szCs w:val="21"/>
          <w:highlight w:val="none"/>
          <w:u w:val="single"/>
        </w:rPr>
        <w:t>电子招标投</w:t>
      </w:r>
      <w:r>
        <w:rPr>
          <w:rFonts w:hint="eastAsia" w:ascii="宋体" w:hAnsi="宋体" w:cs="宋体"/>
          <w:color w:val="auto"/>
          <w:kern w:val="0"/>
          <w:szCs w:val="21"/>
          <w:highlight w:val="none"/>
        </w:rPr>
        <w:t>标</w:t>
      </w:r>
      <w:r>
        <w:rPr>
          <w:rFonts w:hint="eastAsia" w:ascii="宋体" w:hAnsi="宋体" w:cs="宋体"/>
          <w:color w:val="auto"/>
          <w:kern w:val="0"/>
          <w:szCs w:val="21"/>
          <w:highlight w:val="none"/>
          <w:u w:val="single"/>
        </w:rPr>
        <w:t>交易</w:t>
      </w:r>
      <w:r>
        <w:rPr>
          <w:rFonts w:hint="eastAsia" w:ascii="宋体" w:hAnsi="宋体" w:cs="宋体"/>
          <w:color w:val="auto"/>
          <w:kern w:val="0"/>
          <w:szCs w:val="21"/>
          <w:highlight w:val="none"/>
        </w:rPr>
        <w:t>平</w:t>
      </w:r>
      <w:r>
        <w:rPr>
          <w:rFonts w:hint="eastAsia" w:ascii="宋体" w:hAnsi="宋体" w:cs="宋体"/>
          <w:color w:val="auto"/>
          <w:kern w:val="0"/>
          <w:szCs w:val="21"/>
          <w:highlight w:val="none"/>
          <w:u w:val="single"/>
        </w:rPr>
        <w:t>台（网</w:t>
      </w:r>
      <w:r>
        <w:rPr>
          <w:rFonts w:hint="eastAsia" w:ascii="宋体" w:hAnsi="宋体" w:cs="宋体"/>
          <w:color w:val="auto"/>
          <w:kern w:val="0"/>
          <w:szCs w:val="21"/>
          <w:highlight w:val="none"/>
        </w:rPr>
        <w:t>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）上传电</w:t>
      </w:r>
      <w:r>
        <w:rPr>
          <w:rFonts w:hint="eastAsia" w:ascii="宋体" w:hAnsi="宋体"/>
          <w:color w:val="auto"/>
          <w:szCs w:val="21"/>
          <w:highlight w:val="none"/>
        </w:rPr>
        <w:t>子投标文件，但应认真检查投标文件的完整性。逾期到达或者未到达</w:t>
      </w:r>
      <w:r>
        <w:rPr>
          <w:rFonts w:hint="eastAsia" w:ascii="宋体" w:hAnsi="宋体"/>
          <w:color w:val="auto"/>
          <w:szCs w:val="21"/>
          <w:highlight w:val="none"/>
          <w:u w:val="single"/>
        </w:rPr>
        <w:t>交易系统的投</w:t>
      </w:r>
      <w:r>
        <w:rPr>
          <w:rFonts w:hint="eastAsia" w:ascii="宋体" w:hAnsi="宋体"/>
          <w:color w:val="auto"/>
          <w:szCs w:val="21"/>
          <w:highlight w:val="none"/>
        </w:rPr>
        <w:t>标文件视为放弃本次投标。</w:t>
      </w:r>
    </w:p>
    <w:p w14:paraId="351EF49A">
      <w:pPr>
        <w:widowControl/>
        <w:numPr>
          <w:ilvl w:val="1"/>
          <w:numId w:val="2"/>
        </w:numPr>
        <w:tabs>
          <w:tab w:val="left" w:pos="510"/>
          <w:tab w:val="left" w:pos="900"/>
          <w:tab w:val="left" w:pos="993"/>
          <w:tab w:val="left" w:pos="1100"/>
          <w:tab w:val="left" w:pos="3807"/>
        </w:tabs>
        <w:spacing w:line="300" w:lineRule="auto"/>
        <w:ind w:left="0" w:firstLine="420" w:firstLineChars="200"/>
        <w:jc w:val="left"/>
        <w:rPr>
          <w:rFonts w:ascii="宋体" w:hAnsi="宋体"/>
          <w:i/>
          <w:color w:val="auto"/>
          <w:szCs w:val="21"/>
          <w:highlight w:val="none"/>
        </w:rPr>
      </w:pPr>
      <w:r>
        <w:rPr>
          <w:rFonts w:hint="eastAsia" w:ascii="宋体" w:hAnsi="宋体" w:cs="宋体"/>
          <w:color w:val="auto"/>
          <w:kern w:val="0"/>
          <w:szCs w:val="21"/>
          <w:highlight w:val="none"/>
        </w:rPr>
        <w:t>在投标截止时间前，允许投标人对已投递的电子投标文件撤回、编辑再投递。投标人应使用投标时所使用的数字证书完成电子投标文件的解密，</w:t>
      </w:r>
      <w:r>
        <w:rPr>
          <w:rFonts w:hint="eastAsia" w:ascii="宋体" w:hAnsi="宋体" w:cs="宋体"/>
          <w:color w:val="auto"/>
          <w:szCs w:val="21"/>
          <w:highlight w:val="none"/>
        </w:rPr>
        <w:t>因投标人的原因，导致开标时无法解密投标文件的，按否决其投标处理。</w:t>
      </w:r>
    </w:p>
    <w:p w14:paraId="783FF8C4">
      <w:pPr>
        <w:pStyle w:val="4"/>
        <w:numPr>
          <w:ilvl w:val="0"/>
          <w:numId w:val="2"/>
        </w:numPr>
        <w:spacing w:before="60" w:after="60" w:line="360" w:lineRule="auto"/>
        <w:ind w:left="0" w:firstLine="0"/>
        <w:rPr>
          <w:rFonts w:ascii="宋体" w:hAnsi="宋体"/>
          <w:color w:val="auto"/>
          <w:sz w:val="24"/>
          <w:szCs w:val="24"/>
          <w:highlight w:val="none"/>
        </w:rPr>
      </w:pPr>
      <w:bookmarkStart w:id="39" w:name="_Toc488483451"/>
      <w:bookmarkStart w:id="40" w:name="_Toc487653157"/>
      <w:bookmarkStart w:id="41" w:name="_Toc486685876"/>
      <w:bookmarkStart w:id="42" w:name="_Toc488492809"/>
      <w:bookmarkStart w:id="43" w:name="_Toc490832267"/>
      <w:bookmarkStart w:id="44" w:name="_Toc488483579"/>
      <w:r>
        <w:rPr>
          <w:rFonts w:hint="eastAsia" w:ascii="宋体" w:hAnsi="宋体"/>
          <w:color w:val="auto"/>
          <w:sz w:val="24"/>
          <w:szCs w:val="24"/>
          <w:highlight w:val="none"/>
        </w:rPr>
        <w:t>评标办法</w:t>
      </w:r>
      <w:bookmarkEnd w:id="39"/>
      <w:bookmarkEnd w:id="40"/>
      <w:bookmarkEnd w:id="41"/>
      <w:bookmarkEnd w:id="42"/>
      <w:bookmarkEnd w:id="43"/>
      <w:bookmarkEnd w:id="44"/>
    </w:p>
    <w:p w14:paraId="537C2028">
      <w:pPr>
        <w:widowControl/>
        <w:tabs>
          <w:tab w:val="left" w:pos="510"/>
          <w:tab w:val="left" w:pos="900"/>
          <w:tab w:val="left" w:pos="1100"/>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本招标项目采用的评标办法：</w:t>
      </w:r>
      <w:r>
        <w:rPr>
          <w:rFonts w:hint="eastAsia" w:ascii="宋体" w:hAnsi="宋体" w:cs="宋体"/>
          <w:color w:val="auto"/>
          <w:sz w:val="24"/>
          <w:highlight w:val="none"/>
          <w:u w:val="single"/>
        </w:rPr>
        <w:t>定性评审法</w:t>
      </w:r>
    </w:p>
    <w:p w14:paraId="25A54E86">
      <w:pPr>
        <w:pStyle w:val="4"/>
        <w:numPr>
          <w:ilvl w:val="0"/>
          <w:numId w:val="2"/>
        </w:numPr>
        <w:spacing w:before="60" w:after="60"/>
        <w:ind w:left="426" w:hanging="426" w:hangingChars="177"/>
        <w:rPr>
          <w:rFonts w:ascii="宋体" w:hAnsi="宋体"/>
          <w:color w:val="auto"/>
          <w:sz w:val="24"/>
          <w:szCs w:val="24"/>
          <w:highlight w:val="none"/>
        </w:rPr>
      </w:pPr>
      <w:r>
        <w:rPr>
          <w:rFonts w:hint="eastAsia" w:ascii="宋体" w:hAnsi="宋体"/>
          <w:color w:val="auto"/>
          <w:sz w:val="24"/>
          <w:szCs w:val="24"/>
          <w:highlight w:val="none"/>
        </w:rPr>
        <w:t>定标方法</w:t>
      </w:r>
    </w:p>
    <w:p w14:paraId="52029AF3">
      <w:pPr>
        <w:wordWrap w:val="0"/>
        <w:spacing w:line="300" w:lineRule="auto"/>
        <w:ind w:firstLine="420" w:firstLineChars="200"/>
        <w:rPr>
          <w:color w:val="auto"/>
          <w:highlight w:val="none"/>
        </w:rPr>
      </w:pPr>
      <w:r>
        <w:rPr>
          <w:rFonts w:hint="eastAsia" w:ascii="宋体" w:hAnsi="宋体"/>
          <w:color w:val="auto"/>
          <w:szCs w:val="21"/>
          <w:highlight w:val="none"/>
        </w:rPr>
        <w:t>本招标项目采用的定标方法</w:t>
      </w:r>
      <w:r>
        <w:rPr>
          <w:rStyle w:val="48"/>
          <w:rFonts w:hint="eastAsia" w:ascii="宋体" w:hAnsi="宋体" w:cs="宋体"/>
          <w:color w:val="auto"/>
          <w:sz w:val="24"/>
          <w:highlight w:val="none"/>
          <w:u w:val="single"/>
        </w:rPr>
        <w:footnoteReference w:id="2"/>
      </w:r>
      <w:r>
        <w:rPr>
          <w:rFonts w:hint="eastAsia" w:ascii="宋体" w:hAnsi="宋体" w:cs="宋体"/>
          <w:color w:val="auto"/>
          <w:sz w:val="24"/>
          <w:highlight w:val="none"/>
          <w:u w:val="single"/>
        </w:rPr>
        <w:t>：                                。</w:t>
      </w:r>
    </w:p>
    <w:p w14:paraId="1019BDBB">
      <w:pPr>
        <w:pStyle w:val="4"/>
        <w:numPr>
          <w:ilvl w:val="0"/>
          <w:numId w:val="2"/>
        </w:numPr>
        <w:tabs>
          <w:tab w:val="clear" w:pos="454"/>
        </w:tabs>
        <w:spacing w:before="60" w:after="60" w:line="240" w:lineRule="auto"/>
        <w:ind w:left="426" w:hanging="426" w:hangingChars="177"/>
        <w:rPr>
          <w:rFonts w:ascii="宋体" w:hAnsi="宋体"/>
          <w:color w:val="auto"/>
          <w:sz w:val="24"/>
          <w:szCs w:val="24"/>
          <w:highlight w:val="none"/>
        </w:rPr>
      </w:pPr>
      <w:bookmarkStart w:id="45" w:name="_Toc488483452"/>
      <w:bookmarkStart w:id="46" w:name="_Toc486685877"/>
      <w:bookmarkStart w:id="47" w:name="_Toc488483580"/>
      <w:bookmarkStart w:id="48" w:name="_Toc490832268"/>
      <w:bookmarkStart w:id="49" w:name="_Toc488492810"/>
      <w:bookmarkStart w:id="50" w:name="_Toc487653158"/>
      <w:r>
        <w:rPr>
          <w:rFonts w:hint="eastAsia" w:ascii="宋体" w:hAnsi="宋体"/>
          <w:color w:val="auto"/>
          <w:sz w:val="24"/>
          <w:szCs w:val="24"/>
          <w:highlight w:val="none"/>
        </w:rPr>
        <w:t>发布公告的媒介</w:t>
      </w:r>
      <w:bookmarkEnd w:id="38"/>
      <w:bookmarkEnd w:id="45"/>
      <w:bookmarkEnd w:id="46"/>
      <w:bookmarkEnd w:id="47"/>
      <w:bookmarkEnd w:id="48"/>
      <w:bookmarkEnd w:id="49"/>
      <w:bookmarkEnd w:id="50"/>
    </w:p>
    <w:p w14:paraId="7C377F02">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本次招标公告在</w:t>
      </w:r>
      <w:r>
        <w:rPr>
          <w:rFonts w:hint="eastAsia" w:ascii="宋体" w:hAnsi="宋体" w:cs="宋体"/>
          <w:color w:val="auto"/>
          <w:sz w:val="24"/>
          <w:highlight w:val="none"/>
        </w:rPr>
        <w:t>福建省公共资源交易电子公共服务平台</w:t>
      </w:r>
      <w:r>
        <w:rPr>
          <w:rFonts w:hint="eastAsia" w:ascii="宋体" w:hAnsi="宋体"/>
          <w:color w:val="auto"/>
          <w:szCs w:val="21"/>
          <w:highlight w:val="none"/>
          <w:u w:val="single"/>
        </w:rPr>
        <w:t>（网址：</w:t>
      </w:r>
      <w:r>
        <w:rPr>
          <w:rFonts w:ascii="宋体" w:hAnsi="宋体"/>
          <w:color w:val="auto"/>
          <w:szCs w:val="21"/>
          <w:highlight w:val="none"/>
        </w:rPr>
        <w:t xml:space="preserve">ggzyfw.fj.gov.cn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Style w:val="46"/>
          <w:rFonts w:hint="eastAsia" w:ascii="宋体" w:hAnsi="宋体" w:cs="宋体"/>
          <w:b/>
          <w:color w:val="auto"/>
          <w:szCs w:val="21"/>
          <w:highlight w:val="none"/>
        </w:rPr>
        <w:t>电子招标投标交易平台</w:t>
      </w:r>
      <w:r>
        <w:rPr>
          <w:rFonts w:hint="eastAsia" w:ascii="宋体" w:hAnsi="宋体"/>
          <w:color w:val="auto"/>
          <w:szCs w:val="21"/>
          <w:highlight w:val="none"/>
          <w:u w:val="single"/>
        </w:rPr>
        <w:t>（网址：                     ）</w:t>
      </w:r>
      <w:r>
        <w:rPr>
          <w:rFonts w:hint="eastAsia" w:ascii="宋体" w:hAnsi="宋体"/>
          <w:color w:val="auto"/>
          <w:szCs w:val="21"/>
          <w:highlight w:val="none"/>
        </w:rPr>
        <w:t>发布。</w:t>
      </w:r>
    </w:p>
    <w:p w14:paraId="433686DF">
      <w:pPr>
        <w:widowControl/>
        <w:tabs>
          <w:tab w:val="left" w:pos="900"/>
          <w:tab w:val="left" w:pos="1100"/>
        </w:tabs>
        <w:spacing w:line="300" w:lineRule="auto"/>
        <w:ind w:left="105" w:leftChars="50" w:firstLine="316" w:firstLineChars="150"/>
        <w:rPr>
          <w:rStyle w:val="70"/>
          <w:b/>
          <w:color w:val="auto"/>
          <w:szCs w:val="21"/>
          <w:highlight w:val="none"/>
        </w:rPr>
      </w:pPr>
      <w:r>
        <w:rPr>
          <w:rFonts w:hint="eastAsia" w:ascii="宋体" w:hAnsi="宋体" w:cs="宋体"/>
          <w:b/>
          <w:color w:val="auto"/>
          <w:szCs w:val="21"/>
          <w:highlight w:val="none"/>
        </w:rPr>
        <w:t>注意事项：本工程答疑纪要及补充通知等将在福建省公共资源交易电子公共服务平台（网址：</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Fonts w:ascii="宋体" w:hAnsi="宋体"/>
          <w:color w:val="auto"/>
          <w:szCs w:val="21"/>
          <w:highlight w:val="none"/>
        </w:rPr>
        <w:t xml:space="preserve">ggzyfw.fj.gov.cn </w:t>
      </w:r>
      <w:r>
        <w:rPr>
          <w:rStyle w:val="46"/>
          <w:rFonts w:hint="eastAsia" w:ascii="宋体" w:hAnsi="宋体" w:cs="宋体"/>
          <w:b/>
          <w:color w:val="auto"/>
          <w:szCs w:val="21"/>
          <w:highlight w:val="none"/>
        </w:rPr>
        <w:t>）、电子招标投标交易平台</w:t>
      </w:r>
      <w:r>
        <w:rPr>
          <w:rStyle w:val="46"/>
          <w:rFonts w:hint="eastAsia" w:ascii="宋体" w:hAnsi="宋体" w:cs="宋体"/>
          <w:b/>
          <w:color w:val="auto"/>
          <w:szCs w:val="21"/>
          <w:highlight w:val="none"/>
        </w:rPr>
        <w:fldChar w:fldCharType="end"/>
      </w:r>
      <w:r>
        <w:rPr>
          <w:rFonts w:hint="eastAsia" w:ascii="宋体" w:hAnsi="宋体" w:cs="宋体"/>
          <w:b/>
          <w:color w:val="auto"/>
          <w:szCs w:val="21"/>
          <w:highlight w:val="none"/>
        </w:rPr>
        <w:t>（</w:t>
      </w:r>
      <w:r>
        <w:rPr>
          <w:rFonts w:hint="eastAsia" w:ascii="宋体" w:hAnsi="宋体"/>
          <w:color w:val="auto"/>
          <w:szCs w:val="21"/>
          <w:highlight w:val="none"/>
          <w:u w:val="single"/>
        </w:rPr>
        <w:t>网址：</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 “公告答疑”上发布。各投标人应随时关注发布的相关信息，否则由此引起的后果及损失由各投标人自行承担。</w:t>
      </w:r>
    </w:p>
    <w:p w14:paraId="2AAE3264">
      <w:pPr>
        <w:pStyle w:val="4"/>
        <w:numPr>
          <w:ilvl w:val="0"/>
          <w:numId w:val="2"/>
        </w:numPr>
        <w:spacing w:before="60" w:after="60" w:line="360" w:lineRule="auto"/>
        <w:ind w:left="0" w:firstLine="0"/>
        <w:rPr>
          <w:rFonts w:ascii="宋体" w:hAnsi="宋体"/>
          <w:color w:val="auto"/>
          <w:sz w:val="24"/>
          <w:szCs w:val="24"/>
          <w:highlight w:val="none"/>
        </w:rPr>
      </w:pPr>
      <w:bookmarkStart w:id="51" w:name="_Toc490832269"/>
      <w:bookmarkStart w:id="52" w:name="_Toc381806838"/>
      <w:bookmarkStart w:id="53" w:name="_Toc488483453"/>
      <w:bookmarkStart w:id="54" w:name="_Toc487653159"/>
      <w:bookmarkStart w:id="55" w:name="_Toc488492811"/>
      <w:bookmarkStart w:id="56" w:name="_Toc488483581"/>
      <w:bookmarkStart w:id="57" w:name="_Toc486685878"/>
      <w:r>
        <w:rPr>
          <w:rFonts w:hint="eastAsia" w:ascii="宋体" w:hAnsi="宋体"/>
          <w:color w:val="auto"/>
          <w:sz w:val="24"/>
          <w:szCs w:val="24"/>
          <w:highlight w:val="none"/>
        </w:rPr>
        <w:t>联系方式</w:t>
      </w:r>
      <w:bookmarkEnd w:id="51"/>
      <w:bookmarkEnd w:id="52"/>
      <w:bookmarkEnd w:id="53"/>
      <w:bookmarkEnd w:id="54"/>
      <w:bookmarkEnd w:id="55"/>
      <w:bookmarkEnd w:id="56"/>
      <w:bookmarkEnd w:id="57"/>
    </w:p>
    <w:p w14:paraId="1B1D53CF">
      <w:pPr>
        <w:pStyle w:val="8"/>
        <w:spacing w:line="360" w:lineRule="auto"/>
        <w:ind w:left="0" w:firstLine="422" w:firstLineChars="200"/>
        <w:rPr>
          <w:rFonts w:hAnsi="宋体"/>
          <w:bCs/>
          <w:color w:val="auto"/>
          <w:sz w:val="21"/>
          <w:szCs w:val="21"/>
          <w:highlight w:val="none"/>
        </w:rPr>
      </w:pPr>
      <w:r>
        <w:rPr>
          <w:rFonts w:hint="eastAsia" w:hAnsi="宋体"/>
          <w:b/>
          <w:bCs/>
          <w:color w:val="auto"/>
          <w:sz w:val="21"/>
          <w:szCs w:val="21"/>
          <w:highlight w:val="none"/>
        </w:rPr>
        <w:t>招标人（盖单位电子章）</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14:paraId="500F4CE1">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地址：</w:t>
      </w:r>
      <w:r>
        <w:rPr>
          <w:rFonts w:hint="eastAsia" w:hAnsi="宋体" w:cs="黑体"/>
          <w:bCs/>
          <w:color w:val="auto"/>
          <w:sz w:val="21"/>
          <w:szCs w:val="21"/>
          <w:highlight w:val="none"/>
          <w:u w:val="single"/>
        </w:rPr>
        <w:t>_________________________</w:t>
      </w:r>
    </w:p>
    <w:p w14:paraId="688002E5">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邮政编码：</w:t>
      </w:r>
      <w:r>
        <w:rPr>
          <w:rFonts w:hint="eastAsia" w:hAnsi="宋体" w:cs="黑体"/>
          <w:bCs/>
          <w:color w:val="auto"/>
          <w:sz w:val="21"/>
          <w:szCs w:val="21"/>
          <w:highlight w:val="none"/>
          <w:u w:val="single"/>
        </w:rPr>
        <w:t>_________________________</w:t>
      </w:r>
    </w:p>
    <w:p w14:paraId="6E480075">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联系人：</w:t>
      </w:r>
      <w:r>
        <w:rPr>
          <w:rFonts w:hint="eastAsia" w:hAnsi="宋体" w:cs="黑体"/>
          <w:bCs/>
          <w:color w:val="auto"/>
          <w:sz w:val="21"/>
          <w:szCs w:val="21"/>
          <w:highlight w:val="none"/>
          <w:u w:val="single"/>
        </w:rPr>
        <w:t>_________________________</w:t>
      </w:r>
    </w:p>
    <w:p w14:paraId="3F1482FA">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传真：</w:t>
      </w:r>
      <w:r>
        <w:rPr>
          <w:rFonts w:hint="eastAsia" w:hAnsi="宋体" w:cs="黑体"/>
          <w:bCs/>
          <w:color w:val="auto"/>
          <w:sz w:val="21"/>
          <w:szCs w:val="21"/>
          <w:highlight w:val="none"/>
          <w:u w:val="single"/>
        </w:rPr>
        <w:t>_________________________</w:t>
      </w:r>
    </w:p>
    <w:p w14:paraId="3A5CF6BF">
      <w:pPr>
        <w:pStyle w:val="8"/>
        <w:spacing w:line="360" w:lineRule="auto"/>
        <w:ind w:left="0" w:firstLine="420" w:firstLineChars="200"/>
        <w:rPr>
          <w:rFonts w:hAnsi="宋体"/>
          <w:bCs/>
          <w:color w:val="auto"/>
          <w:sz w:val="21"/>
          <w:szCs w:val="21"/>
          <w:highlight w:val="none"/>
        </w:rPr>
      </w:pPr>
      <w:r>
        <w:rPr>
          <w:rFonts w:hint="eastAsia" w:hAnsi="宋体"/>
          <w:bCs/>
          <w:color w:val="auto"/>
          <w:sz w:val="21"/>
          <w:szCs w:val="21"/>
          <w:highlight w:val="none"/>
        </w:rPr>
        <w:t>电话：</w:t>
      </w:r>
      <w:r>
        <w:rPr>
          <w:rFonts w:hint="eastAsia" w:hAnsi="宋体" w:cs="黑体"/>
          <w:bCs/>
          <w:color w:val="auto"/>
          <w:sz w:val="21"/>
          <w:szCs w:val="21"/>
          <w:highlight w:val="none"/>
          <w:u w:val="single"/>
        </w:rPr>
        <w:t>__________________________</w:t>
      </w:r>
    </w:p>
    <w:p w14:paraId="2CE6E38D">
      <w:pPr>
        <w:spacing w:line="360" w:lineRule="auto"/>
        <w:ind w:firstLine="422" w:firstLineChars="200"/>
        <w:rPr>
          <w:rFonts w:ascii="宋体" w:hAnsi="宋体"/>
          <w:b/>
          <w:bCs/>
          <w:color w:val="auto"/>
          <w:szCs w:val="21"/>
          <w:highlight w:val="none"/>
        </w:rPr>
      </w:pPr>
    </w:p>
    <w:p w14:paraId="11BDDFC4">
      <w:pPr>
        <w:spacing w:line="360" w:lineRule="auto"/>
        <w:ind w:firstLine="422" w:firstLineChars="200"/>
        <w:rPr>
          <w:rFonts w:ascii="宋体" w:hAnsi="宋体"/>
          <w:bCs/>
          <w:color w:val="auto"/>
          <w:szCs w:val="21"/>
          <w:highlight w:val="none"/>
        </w:rPr>
      </w:pPr>
      <w:r>
        <w:rPr>
          <w:rFonts w:hint="eastAsia" w:ascii="宋体" w:hAnsi="宋体"/>
          <w:b/>
          <w:bCs/>
          <w:color w:val="auto"/>
          <w:szCs w:val="21"/>
          <w:highlight w:val="none"/>
        </w:rPr>
        <w:t>招标代理机构</w:t>
      </w:r>
      <w:r>
        <w:rPr>
          <w:rFonts w:hint="eastAsia" w:hAnsi="宋体"/>
          <w:b/>
          <w:bCs/>
          <w:color w:val="auto"/>
          <w:szCs w:val="21"/>
          <w:highlight w:val="none"/>
        </w:rPr>
        <w:t>（盖单位电子章）</w:t>
      </w:r>
      <w:r>
        <w:rPr>
          <w:rFonts w:hint="eastAsia" w:ascii="宋体" w:hAnsi="宋体"/>
          <w:color w:val="auto"/>
          <w:szCs w:val="21"/>
          <w:highlight w:val="none"/>
        </w:rPr>
        <w:t>：</w:t>
      </w:r>
      <w:r>
        <w:rPr>
          <w:rFonts w:hint="eastAsia" w:ascii="宋体" w:hAnsi="宋体" w:cs="黑体"/>
          <w:bCs/>
          <w:color w:val="auto"/>
          <w:szCs w:val="21"/>
          <w:highlight w:val="none"/>
          <w:u w:val="single"/>
        </w:rPr>
        <w:t>_________________________</w:t>
      </w:r>
    </w:p>
    <w:p w14:paraId="4561E7D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地    址：</w:t>
      </w:r>
      <w:r>
        <w:rPr>
          <w:rFonts w:hint="eastAsia" w:ascii="宋体" w:hAnsi="宋体" w:cs="黑体"/>
          <w:bCs/>
          <w:color w:val="auto"/>
          <w:szCs w:val="21"/>
          <w:highlight w:val="none"/>
          <w:u w:val="single"/>
        </w:rPr>
        <w:t>_________________________</w:t>
      </w:r>
    </w:p>
    <w:p w14:paraId="5CA2E1E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邮政编码：</w:t>
      </w:r>
      <w:r>
        <w:rPr>
          <w:rFonts w:hint="eastAsia" w:ascii="宋体" w:hAnsi="宋体" w:cs="黑体"/>
          <w:bCs/>
          <w:color w:val="auto"/>
          <w:szCs w:val="21"/>
          <w:highlight w:val="none"/>
          <w:u w:val="single"/>
        </w:rPr>
        <w:t>_________________________</w:t>
      </w:r>
    </w:p>
    <w:p w14:paraId="1661F94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联系人：</w:t>
      </w:r>
      <w:r>
        <w:rPr>
          <w:rFonts w:hint="eastAsia" w:ascii="宋体" w:hAnsi="宋体" w:cs="黑体"/>
          <w:bCs/>
          <w:color w:val="auto"/>
          <w:szCs w:val="21"/>
          <w:highlight w:val="none"/>
          <w:u w:val="single"/>
        </w:rPr>
        <w:t>_________________________</w:t>
      </w:r>
    </w:p>
    <w:p w14:paraId="6F67DDC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电   话：</w:t>
      </w:r>
      <w:r>
        <w:rPr>
          <w:rFonts w:hint="eastAsia" w:ascii="宋体" w:hAnsi="宋体" w:cs="黑体"/>
          <w:bCs/>
          <w:color w:val="auto"/>
          <w:szCs w:val="21"/>
          <w:highlight w:val="none"/>
          <w:u w:val="single"/>
        </w:rPr>
        <w:t>_________________________</w:t>
      </w:r>
    </w:p>
    <w:p w14:paraId="5B766162">
      <w:pPr>
        <w:spacing w:line="360" w:lineRule="auto"/>
        <w:ind w:firstLine="422" w:firstLineChars="200"/>
        <w:rPr>
          <w:rFonts w:hAnsi="宋体"/>
          <w:b/>
          <w:color w:val="auto"/>
          <w:szCs w:val="21"/>
          <w:highlight w:val="none"/>
        </w:rPr>
      </w:pPr>
    </w:p>
    <w:p w14:paraId="02315238">
      <w:pPr>
        <w:pStyle w:val="8"/>
        <w:spacing w:line="360" w:lineRule="auto"/>
        <w:ind w:left="0" w:firstLine="422" w:firstLineChars="200"/>
        <w:rPr>
          <w:rFonts w:hAnsi="宋体"/>
          <w:b/>
          <w:color w:val="auto"/>
          <w:sz w:val="21"/>
          <w:szCs w:val="21"/>
          <w:highlight w:val="none"/>
        </w:rPr>
      </w:pPr>
      <w:r>
        <w:rPr>
          <w:rFonts w:hint="eastAsia" w:hAnsi="宋体"/>
          <w:b/>
          <w:color w:val="auto"/>
          <w:sz w:val="21"/>
          <w:szCs w:val="21"/>
          <w:highlight w:val="none"/>
        </w:rPr>
        <w:t>监督单位</w:t>
      </w:r>
      <w:r>
        <w:rPr>
          <w:rFonts w:hint="eastAsia" w:hAnsi="宋体"/>
          <w:color w:val="auto"/>
          <w:sz w:val="21"/>
          <w:szCs w:val="21"/>
          <w:highlight w:val="none"/>
        </w:rPr>
        <w:t>：</w:t>
      </w:r>
      <w:r>
        <w:rPr>
          <w:rFonts w:hint="eastAsia" w:hAnsi="宋体" w:cs="黑体"/>
          <w:bCs/>
          <w:color w:val="auto"/>
          <w:sz w:val="21"/>
          <w:szCs w:val="21"/>
          <w:highlight w:val="none"/>
          <w:u w:val="single"/>
        </w:rPr>
        <w:t>_________________________</w:t>
      </w:r>
    </w:p>
    <w:p w14:paraId="5CA76021">
      <w:pPr>
        <w:pStyle w:val="8"/>
        <w:spacing w:line="360" w:lineRule="auto"/>
        <w:ind w:left="0" w:firstLine="422" w:firstLineChars="200"/>
        <w:rPr>
          <w:rFonts w:hAnsi="宋体" w:cs="黑体"/>
          <w:bCs/>
          <w:color w:val="auto"/>
          <w:sz w:val="21"/>
          <w:szCs w:val="21"/>
          <w:highlight w:val="none"/>
          <w:u w:val="single"/>
        </w:rPr>
      </w:pPr>
      <w:r>
        <w:rPr>
          <w:rFonts w:hint="eastAsia" w:hAnsi="宋体"/>
          <w:b/>
          <w:color w:val="auto"/>
          <w:sz w:val="21"/>
          <w:szCs w:val="21"/>
          <w:highlight w:val="none"/>
        </w:rPr>
        <w:t>联系电话：</w:t>
      </w:r>
      <w:r>
        <w:rPr>
          <w:rFonts w:hint="eastAsia" w:hAnsi="宋体" w:cs="黑体"/>
          <w:bCs/>
          <w:color w:val="auto"/>
          <w:sz w:val="21"/>
          <w:szCs w:val="21"/>
          <w:highlight w:val="none"/>
          <w:u w:val="single"/>
        </w:rPr>
        <w:t>_________________________</w:t>
      </w:r>
    </w:p>
    <w:p w14:paraId="7FD295A5">
      <w:pPr>
        <w:pStyle w:val="8"/>
        <w:spacing w:line="360" w:lineRule="auto"/>
        <w:ind w:left="0" w:firstLine="420" w:firstLineChars="200"/>
        <w:rPr>
          <w:rFonts w:hAnsi="宋体" w:cs="黑体"/>
          <w:bCs/>
          <w:color w:val="auto"/>
          <w:sz w:val="21"/>
          <w:szCs w:val="21"/>
          <w:highlight w:val="none"/>
          <w:u w:val="single"/>
        </w:rPr>
      </w:pPr>
    </w:p>
    <w:p w14:paraId="096E1544">
      <w:pPr>
        <w:pStyle w:val="8"/>
        <w:spacing w:line="360" w:lineRule="auto"/>
        <w:ind w:left="0" w:firstLine="420" w:firstLineChars="200"/>
        <w:rPr>
          <w:rFonts w:hAnsi="宋体" w:cs="黑体"/>
          <w:bCs/>
          <w:color w:val="auto"/>
          <w:sz w:val="21"/>
          <w:szCs w:val="21"/>
          <w:highlight w:val="none"/>
          <w:u w:val="single"/>
        </w:rPr>
      </w:pPr>
      <w:r>
        <w:rPr>
          <w:rFonts w:hint="eastAsia" w:hAnsi="宋体" w:cs="黑体"/>
          <w:bCs/>
          <w:color w:val="auto"/>
          <w:sz w:val="21"/>
          <w:szCs w:val="21"/>
          <w:highlight w:val="none"/>
        </w:rPr>
        <w:t>电子交易平台联系电话</w:t>
      </w:r>
      <w:r>
        <w:rPr>
          <w:rFonts w:hint="eastAsia" w:hAnsi="宋体"/>
          <w:b/>
          <w:color w:val="auto"/>
          <w:sz w:val="21"/>
          <w:szCs w:val="21"/>
          <w:highlight w:val="none"/>
        </w:rPr>
        <w:t>：</w:t>
      </w:r>
      <w:r>
        <w:rPr>
          <w:rFonts w:hint="eastAsia" w:hAnsi="宋体" w:cs="黑体"/>
          <w:bCs/>
          <w:color w:val="auto"/>
          <w:sz w:val="21"/>
          <w:szCs w:val="21"/>
          <w:highlight w:val="none"/>
          <w:u w:val="single"/>
        </w:rPr>
        <w:t>_________________________</w:t>
      </w:r>
    </w:p>
    <w:p w14:paraId="304B544A">
      <w:pPr>
        <w:pStyle w:val="8"/>
        <w:spacing w:line="360" w:lineRule="auto"/>
        <w:ind w:left="0" w:firstLine="480" w:firstLineChars="200"/>
        <w:rPr>
          <w:rFonts w:hAnsi="宋体"/>
          <w:color w:val="auto"/>
          <w:sz w:val="24"/>
          <w:highlight w:val="none"/>
        </w:rPr>
      </w:pPr>
      <w:r>
        <w:rPr>
          <w:rFonts w:hAnsi="宋体"/>
          <w:color w:val="auto"/>
          <w:sz w:val="24"/>
          <w:highlight w:val="none"/>
        </w:rPr>
        <w:t xml:space="preserve"> </w:t>
      </w:r>
    </w:p>
    <w:p w14:paraId="447D0993">
      <w:pPr>
        <w:pStyle w:val="8"/>
        <w:ind w:firstLine="4837" w:firstLineChars="733"/>
        <w:jc w:val="center"/>
        <w:rPr>
          <w:rFonts w:hAnsi="宋体"/>
          <w:color w:val="auto"/>
          <w:sz w:val="24"/>
          <w:highlight w:val="none"/>
        </w:rPr>
      </w:pPr>
      <w:r>
        <w:rPr>
          <w:rFonts w:hAnsi="宋体"/>
          <w:color w:val="auto"/>
          <w:spacing w:val="210"/>
          <w:kern w:val="0"/>
          <w:sz w:val="24"/>
          <w:highlight w:val="none"/>
        </w:rPr>
        <w:t>日</w:t>
      </w:r>
      <w:r>
        <w:rPr>
          <w:rFonts w:hAnsi="宋体"/>
          <w:color w:val="auto"/>
          <w:kern w:val="0"/>
          <w:sz w:val="24"/>
          <w:highlight w:val="none"/>
        </w:rPr>
        <w:t>期</w:t>
      </w:r>
      <w:r>
        <w:rPr>
          <w:rFonts w:hAnsi="宋体"/>
          <w:color w:val="auto"/>
          <w:sz w:val="24"/>
          <w:highlight w:val="none"/>
        </w:rPr>
        <w:t>：</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年</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月</w:t>
      </w:r>
      <w:r>
        <w:rPr>
          <w:rFonts w:hAnsi="宋体"/>
          <w:color w:val="auto"/>
          <w:sz w:val="24"/>
          <w:highlight w:val="none"/>
          <w:u w:val="single"/>
        </w:rPr>
        <w:t xml:space="preserve"> </w:t>
      </w:r>
      <w:r>
        <w:rPr>
          <w:rFonts w:hint="eastAsia" w:hAnsi="宋体"/>
          <w:color w:val="auto"/>
          <w:sz w:val="24"/>
          <w:highlight w:val="none"/>
          <w:u w:val="single"/>
        </w:rPr>
        <w:t xml:space="preserve">  </w:t>
      </w:r>
      <w:r>
        <w:rPr>
          <w:rFonts w:hAnsi="宋体"/>
          <w:color w:val="auto"/>
          <w:sz w:val="24"/>
          <w:highlight w:val="none"/>
        </w:rPr>
        <w:t xml:space="preserve">日 </w:t>
      </w:r>
    </w:p>
    <w:p w14:paraId="080E45F0">
      <w:pPr>
        <w:pStyle w:val="8"/>
        <w:ind w:firstLine="1759" w:firstLineChars="733"/>
        <w:jc w:val="center"/>
        <w:rPr>
          <w:rFonts w:hAnsi="宋体"/>
          <w:color w:val="auto"/>
          <w:sz w:val="24"/>
          <w:highlight w:val="none"/>
        </w:rPr>
      </w:pPr>
    </w:p>
    <w:p w14:paraId="348319FD">
      <w:pPr>
        <w:pStyle w:val="8"/>
        <w:ind w:firstLine="1759" w:firstLineChars="733"/>
        <w:jc w:val="center"/>
        <w:rPr>
          <w:color w:val="auto"/>
          <w:sz w:val="24"/>
          <w:highlight w:val="none"/>
        </w:rPr>
        <w:sectPr>
          <w:pgSz w:w="11906" w:h="16838"/>
          <w:pgMar w:top="1440" w:right="1418" w:bottom="1440" w:left="1418" w:header="851" w:footer="992" w:gutter="0"/>
          <w:cols w:space="720" w:num="1"/>
          <w:docGrid w:type="lines" w:linePitch="312" w:charSpace="0"/>
        </w:sectPr>
      </w:pPr>
      <w:bookmarkStart w:id="58" w:name="_Toc490832270"/>
    </w:p>
    <w:p w14:paraId="579D3869">
      <w:pPr>
        <w:pStyle w:val="2"/>
        <w:spacing w:line="300" w:lineRule="auto"/>
        <w:rPr>
          <w:rFonts w:hint="eastAsia" w:ascii="宋体" w:hAnsi="宋体" w:cs="黑体"/>
          <w:color w:val="auto"/>
          <w:highlight w:val="none"/>
        </w:rPr>
      </w:pPr>
      <w:r>
        <w:rPr>
          <w:rFonts w:hint="eastAsia" w:ascii="宋体" w:hAnsi="宋体" w:cs="黑体"/>
          <w:color w:val="auto"/>
          <w:highlight w:val="none"/>
        </w:rPr>
        <w:t>第二章 投标人须知</w:t>
      </w:r>
      <w:bookmarkEnd w:id="58"/>
    </w:p>
    <w:p w14:paraId="243342D7">
      <w:pPr>
        <w:pStyle w:val="4"/>
        <w:jc w:val="center"/>
        <w:rPr>
          <w:rFonts w:ascii="宋体" w:hAnsi="宋体"/>
          <w:color w:val="auto"/>
          <w:highlight w:val="none"/>
        </w:rPr>
      </w:pPr>
      <w:bookmarkStart w:id="59" w:name="_Toc490832271"/>
      <w:r>
        <w:rPr>
          <w:rFonts w:hint="eastAsia" w:ascii="宋体" w:hAnsi="宋体"/>
          <w:color w:val="auto"/>
          <w:highlight w:val="none"/>
        </w:rPr>
        <w:t>投标人须知前附表</w:t>
      </w:r>
      <w:bookmarkEnd w:id="59"/>
    </w:p>
    <w:p w14:paraId="73080C0F">
      <w:pPr>
        <w:jc w:val="center"/>
        <w:rPr>
          <w:color w:val="auto"/>
          <w:highlight w:val="none"/>
        </w:rPr>
      </w:pPr>
      <w:r>
        <w:rPr>
          <w:rFonts w:hint="eastAsia"/>
          <w:color w:val="auto"/>
          <w:highlight w:val="none"/>
        </w:rPr>
        <w:t>（电子交易平台自动生成）</w:t>
      </w:r>
    </w:p>
    <w:p w14:paraId="04470F0F">
      <w:pPr>
        <w:rPr>
          <w:color w:val="auto"/>
          <w:highlight w:val="none"/>
        </w:rPr>
      </w:pPr>
      <w:r>
        <w:rPr>
          <w:rFonts w:hint="eastAsia"/>
          <w:color w:val="auto"/>
          <w:highlight w:val="none"/>
        </w:rPr>
        <w:t>说明：投标人须知前附表是投标人须知的修改和补充，不一致的以前附表内容为准。</w:t>
      </w:r>
    </w:p>
    <w:tbl>
      <w:tblPr>
        <w:tblStyle w:val="3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9"/>
        <w:gridCol w:w="1805"/>
        <w:gridCol w:w="9"/>
        <w:gridCol w:w="9"/>
        <w:gridCol w:w="9"/>
        <w:gridCol w:w="6296"/>
        <w:gridCol w:w="9"/>
        <w:gridCol w:w="18"/>
      </w:tblGrid>
      <w:tr w14:paraId="3C4AC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tblHeader/>
          <w:jc w:val="center"/>
        </w:trPr>
        <w:tc>
          <w:tcPr>
            <w:tcW w:w="1324" w:type="dxa"/>
            <w:gridSpan w:val="2"/>
            <w:tcBorders>
              <w:top w:val="single" w:color="auto" w:sz="12" w:space="0"/>
              <w:left w:val="single" w:color="auto" w:sz="12" w:space="0"/>
              <w:right w:val="single" w:color="auto" w:sz="4" w:space="0"/>
            </w:tcBorders>
            <w:vAlign w:val="center"/>
          </w:tcPr>
          <w:p w14:paraId="1324B419">
            <w:pPr>
              <w:tabs>
                <w:tab w:val="left" w:pos="477"/>
              </w:tabs>
              <w:autoSpaceDE/>
              <w:autoSpaceDN/>
              <w:adjustRightInd w:val="0"/>
              <w:snapToGrid w:val="0"/>
              <w:spacing w:before="32" w:beforeLines="10" w:afterLines="0" w:line="25" w:lineRule="atLeast"/>
              <w:ind w:left="-1" w:leftChars="-51" w:hanging="106" w:hangingChars="56"/>
              <w:jc w:val="center"/>
              <w:rPr>
                <w:rFonts w:ascii="宋体" w:hAnsi="宋体"/>
                <w:color w:val="auto"/>
                <w:spacing w:val="-10"/>
                <w:kern w:val="0"/>
                <w:szCs w:val="21"/>
                <w:highlight w:val="none"/>
              </w:rPr>
            </w:pPr>
            <w:r>
              <w:rPr>
                <w:rFonts w:hint="eastAsia" w:ascii="宋体" w:hAnsi="宋体"/>
                <w:color w:val="auto"/>
                <w:spacing w:val="-10"/>
                <w:kern w:val="0"/>
                <w:szCs w:val="21"/>
                <w:highlight w:val="none"/>
              </w:rPr>
              <w:t>条款号</w:t>
            </w:r>
          </w:p>
        </w:tc>
        <w:tc>
          <w:tcPr>
            <w:tcW w:w="1814" w:type="dxa"/>
            <w:gridSpan w:val="2"/>
            <w:tcBorders>
              <w:top w:val="single" w:color="auto" w:sz="12" w:space="0"/>
              <w:left w:val="single" w:color="auto" w:sz="4" w:space="0"/>
              <w:right w:val="single" w:color="auto" w:sz="4" w:space="0"/>
            </w:tcBorders>
            <w:vAlign w:val="center"/>
          </w:tcPr>
          <w:p w14:paraId="4014544B">
            <w:pPr>
              <w:tabs>
                <w:tab w:val="left" w:pos="477"/>
              </w:tabs>
              <w:autoSpaceDE/>
              <w:autoSpaceDN/>
              <w:adjustRightInd w:val="0"/>
              <w:snapToGrid w:val="0"/>
              <w:spacing w:before="32" w:beforeLines="10" w:afterLines="0" w:line="25" w:lineRule="atLeast"/>
              <w:ind w:left="-1" w:leftChars="-51" w:hanging="106" w:hangingChars="56"/>
              <w:jc w:val="center"/>
              <w:rPr>
                <w:rFonts w:ascii="宋体" w:hAnsi="宋体"/>
                <w:color w:val="auto"/>
                <w:spacing w:val="-10"/>
                <w:kern w:val="0"/>
                <w:szCs w:val="21"/>
                <w:highlight w:val="none"/>
              </w:rPr>
            </w:pPr>
            <w:r>
              <w:rPr>
                <w:rFonts w:hint="eastAsia" w:ascii="宋体" w:hAnsi="宋体"/>
                <w:color w:val="auto"/>
                <w:spacing w:val="-10"/>
                <w:kern w:val="0"/>
                <w:szCs w:val="21"/>
                <w:highlight w:val="none"/>
              </w:rPr>
              <w:t>条款名称</w:t>
            </w:r>
          </w:p>
        </w:tc>
        <w:tc>
          <w:tcPr>
            <w:tcW w:w="6323" w:type="dxa"/>
            <w:gridSpan w:val="4"/>
            <w:tcBorders>
              <w:top w:val="single" w:color="auto" w:sz="12" w:space="0"/>
              <w:left w:val="single" w:color="auto" w:sz="4" w:space="0"/>
              <w:right w:val="single" w:color="auto" w:sz="12" w:space="0"/>
            </w:tcBorders>
            <w:vAlign w:val="center"/>
          </w:tcPr>
          <w:p w14:paraId="56BAB56E">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编   列  内</w:t>
            </w:r>
            <w:r>
              <w:rPr>
                <w:rFonts w:ascii="宋体" w:hAnsi="宋体"/>
                <w:color w:val="auto"/>
                <w:kern w:val="0"/>
                <w:szCs w:val="21"/>
                <w:highlight w:val="none"/>
              </w:rPr>
              <w:t xml:space="preserve">   </w:t>
            </w:r>
            <w:r>
              <w:rPr>
                <w:rFonts w:hint="eastAsia" w:ascii="宋体" w:hAnsi="宋体"/>
                <w:color w:val="auto"/>
                <w:kern w:val="0"/>
                <w:szCs w:val="21"/>
                <w:highlight w:val="none"/>
              </w:rPr>
              <w:t>容</w:t>
            </w:r>
          </w:p>
        </w:tc>
      </w:tr>
      <w:tr w14:paraId="336F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4FB78302">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1.1.2</w:t>
            </w:r>
          </w:p>
        </w:tc>
        <w:tc>
          <w:tcPr>
            <w:tcW w:w="1823" w:type="dxa"/>
            <w:gridSpan w:val="3"/>
            <w:tcBorders>
              <w:left w:val="single" w:color="auto" w:sz="4" w:space="0"/>
              <w:right w:val="single" w:color="auto" w:sz="4" w:space="0"/>
            </w:tcBorders>
            <w:vAlign w:val="center"/>
          </w:tcPr>
          <w:p w14:paraId="3422EF73">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招标人</w:t>
            </w:r>
          </w:p>
        </w:tc>
        <w:tc>
          <w:tcPr>
            <w:tcW w:w="6332" w:type="dxa"/>
            <w:gridSpan w:val="4"/>
            <w:tcBorders>
              <w:left w:val="single" w:color="auto" w:sz="4" w:space="0"/>
              <w:right w:val="single" w:color="auto" w:sz="12" w:space="0"/>
            </w:tcBorders>
            <w:vAlign w:val="center"/>
          </w:tcPr>
          <w:p w14:paraId="4DFEAABD">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14:paraId="7F2FB7AE">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p>
          <w:p w14:paraId="40CC1D63">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14:paraId="5FD4E2DD">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14:paraId="7B7871B3">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p>
          <w:p w14:paraId="510B85CF">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14:paraId="6ADAD853">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14:paraId="5D59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6434434A">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1.1.3</w:t>
            </w:r>
          </w:p>
        </w:tc>
        <w:tc>
          <w:tcPr>
            <w:tcW w:w="1823" w:type="dxa"/>
            <w:gridSpan w:val="3"/>
            <w:tcBorders>
              <w:left w:val="single" w:color="auto" w:sz="4" w:space="0"/>
              <w:right w:val="single" w:color="auto" w:sz="4" w:space="0"/>
            </w:tcBorders>
            <w:vAlign w:val="center"/>
          </w:tcPr>
          <w:p w14:paraId="7D61AD0B">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招标代理机构</w:t>
            </w:r>
          </w:p>
        </w:tc>
        <w:tc>
          <w:tcPr>
            <w:tcW w:w="6332" w:type="dxa"/>
            <w:gridSpan w:val="4"/>
            <w:tcBorders>
              <w:left w:val="single" w:color="auto" w:sz="4" w:space="0"/>
              <w:right w:val="single" w:color="auto" w:sz="12" w:space="0"/>
            </w:tcBorders>
            <w:vAlign w:val="center"/>
          </w:tcPr>
          <w:p w14:paraId="77D7B3C5">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名称：</w:t>
            </w:r>
            <w:r>
              <w:rPr>
                <w:rFonts w:hint="eastAsia" w:ascii="宋体" w:hAnsi="宋体" w:cs="黑体"/>
                <w:bCs/>
                <w:color w:val="auto"/>
                <w:sz w:val="24"/>
                <w:highlight w:val="none"/>
                <w:u w:val="single"/>
              </w:rPr>
              <w:t>_________________________</w:t>
            </w:r>
          </w:p>
          <w:p w14:paraId="06F81769">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14:paraId="481275CD">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s="黑体"/>
                <w:bCs/>
                <w:color w:val="auto"/>
                <w:sz w:val="24"/>
                <w:highlight w:val="none"/>
                <w:u w:val="single"/>
              </w:rPr>
              <w:t>_________________________</w:t>
            </w:r>
          </w:p>
          <w:p w14:paraId="2933588C">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14:paraId="7A0EF74D">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s="黑体"/>
                <w:bCs/>
                <w:color w:val="auto"/>
                <w:sz w:val="24"/>
                <w:highlight w:val="none"/>
                <w:u w:val="single"/>
              </w:rPr>
              <w:t>_________________________</w:t>
            </w:r>
            <w:r>
              <w:rPr>
                <w:rFonts w:hint="eastAsia" w:ascii="宋体" w:hAnsi="宋体"/>
                <w:color w:val="auto"/>
                <w:szCs w:val="21"/>
                <w:highlight w:val="none"/>
              </w:rPr>
              <w:t xml:space="preserve"> </w:t>
            </w:r>
          </w:p>
          <w:p w14:paraId="73C78880">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s="黑体"/>
                <w:bCs/>
                <w:color w:val="auto"/>
                <w:sz w:val="24"/>
                <w:highlight w:val="none"/>
                <w:u w:val="single"/>
              </w:rPr>
              <w:t>_________________________</w:t>
            </w:r>
          </w:p>
          <w:p w14:paraId="0355F46D">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电子邮箱：</w:t>
            </w:r>
            <w:r>
              <w:rPr>
                <w:rFonts w:hint="eastAsia" w:ascii="宋体" w:hAnsi="宋体" w:cs="黑体"/>
                <w:bCs/>
                <w:color w:val="auto"/>
                <w:sz w:val="24"/>
                <w:highlight w:val="none"/>
                <w:u w:val="single"/>
              </w:rPr>
              <w:t>_________________________</w:t>
            </w:r>
          </w:p>
        </w:tc>
      </w:tr>
      <w:tr w14:paraId="6A2A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23253895">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1.1.4</w:t>
            </w:r>
          </w:p>
        </w:tc>
        <w:tc>
          <w:tcPr>
            <w:tcW w:w="1823" w:type="dxa"/>
            <w:gridSpan w:val="3"/>
            <w:tcBorders>
              <w:left w:val="single" w:color="auto" w:sz="4" w:space="0"/>
              <w:right w:val="single" w:color="auto" w:sz="4" w:space="0"/>
            </w:tcBorders>
            <w:vAlign w:val="center"/>
          </w:tcPr>
          <w:p w14:paraId="10153DDE">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项目名称</w:t>
            </w:r>
          </w:p>
        </w:tc>
        <w:tc>
          <w:tcPr>
            <w:tcW w:w="6332" w:type="dxa"/>
            <w:gridSpan w:val="4"/>
            <w:tcBorders>
              <w:left w:val="single" w:color="auto" w:sz="4" w:space="0"/>
              <w:right w:val="single" w:color="auto" w:sz="12" w:space="0"/>
            </w:tcBorders>
            <w:vAlign w:val="center"/>
          </w:tcPr>
          <w:p w14:paraId="36F56C95">
            <w:pPr>
              <w:adjustRightInd w:val="0"/>
              <w:snapToGrid w:val="0"/>
              <w:spacing w:before="32" w:beforeLines="10" w:afterLines="0" w:line="25" w:lineRule="atLeast"/>
              <w:jc w:val="left"/>
              <w:textAlignment w:val="center"/>
              <w:rPr>
                <w:color w:val="auto"/>
                <w:szCs w:val="21"/>
                <w:highlight w:val="none"/>
                <w:u w:val="single"/>
              </w:rPr>
            </w:pPr>
            <w:r>
              <w:rPr>
                <w:rFonts w:hint="eastAsia"/>
                <w:color w:val="auto"/>
                <w:szCs w:val="21"/>
                <w:highlight w:val="none"/>
                <w:u w:val="single"/>
              </w:rPr>
              <w:t xml:space="preserve">    </w:t>
            </w:r>
          </w:p>
        </w:tc>
      </w:tr>
      <w:tr w14:paraId="75F3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067181FE">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1.1.5</w:t>
            </w:r>
          </w:p>
        </w:tc>
        <w:tc>
          <w:tcPr>
            <w:tcW w:w="1823" w:type="dxa"/>
            <w:gridSpan w:val="3"/>
            <w:tcBorders>
              <w:left w:val="single" w:color="auto" w:sz="4" w:space="0"/>
              <w:right w:val="single" w:color="auto" w:sz="4" w:space="0"/>
            </w:tcBorders>
            <w:vAlign w:val="center"/>
          </w:tcPr>
          <w:p w14:paraId="6F02F626">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建设地点</w:t>
            </w:r>
          </w:p>
        </w:tc>
        <w:tc>
          <w:tcPr>
            <w:tcW w:w="6332" w:type="dxa"/>
            <w:gridSpan w:val="4"/>
            <w:tcBorders>
              <w:left w:val="single" w:color="auto" w:sz="4" w:space="0"/>
              <w:right w:val="single" w:color="auto" w:sz="12" w:space="0"/>
            </w:tcBorders>
            <w:vAlign w:val="center"/>
          </w:tcPr>
          <w:p w14:paraId="066F35ED">
            <w:pPr>
              <w:adjustRightInd w:val="0"/>
              <w:snapToGrid w:val="0"/>
              <w:spacing w:before="32" w:beforeLines="10" w:afterLines="0" w:line="25" w:lineRule="atLeast"/>
              <w:jc w:val="left"/>
              <w:textAlignment w:val="center"/>
              <w:rPr>
                <w:rFonts w:ascii="宋体" w:hAnsi="宋体"/>
                <w:color w:val="auto"/>
                <w:szCs w:val="21"/>
                <w:highlight w:val="none"/>
              </w:rPr>
            </w:pPr>
          </w:p>
        </w:tc>
      </w:tr>
      <w:tr w14:paraId="7A25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232463C3">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1.2.1</w:t>
            </w:r>
          </w:p>
        </w:tc>
        <w:tc>
          <w:tcPr>
            <w:tcW w:w="1823" w:type="dxa"/>
            <w:gridSpan w:val="3"/>
            <w:tcBorders>
              <w:left w:val="single" w:color="auto" w:sz="4" w:space="0"/>
              <w:right w:val="single" w:color="auto" w:sz="4" w:space="0"/>
            </w:tcBorders>
            <w:vAlign w:val="center"/>
          </w:tcPr>
          <w:p w14:paraId="1EA76B71">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资金来源</w:t>
            </w:r>
          </w:p>
        </w:tc>
        <w:tc>
          <w:tcPr>
            <w:tcW w:w="6332" w:type="dxa"/>
            <w:gridSpan w:val="4"/>
            <w:tcBorders>
              <w:left w:val="single" w:color="auto" w:sz="4" w:space="0"/>
              <w:right w:val="single" w:color="auto" w:sz="12" w:space="0"/>
            </w:tcBorders>
            <w:vAlign w:val="center"/>
          </w:tcPr>
          <w:p w14:paraId="7AC3B393">
            <w:pPr>
              <w:adjustRightInd w:val="0"/>
              <w:snapToGrid w:val="0"/>
              <w:spacing w:before="32" w:beforeLines="10" w:afterLines="0" w:line="25" w:lineRule="atLeast"/>
              <w:jc w:val="left"/>
              <w:textAlignment w:val="center"/>
              <w:rPr>
                <w:rFonts w:ascii="宋体" w:hAnsi="宋体"/>
                <w:color w:val="auto"/>
                <w:szCs w:val="21"/>
                <w:highlight w:val="none"/>
                <w:u w:val="single"/>
              </w:rPr>
            </w:pPr>
          </w:p>
        </w:tc>
      </w:tr>
      <w:tr w14:paraId="6B7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01C9E55C">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1.2.2</w:t>
            </w:r>
          </w:p>
        </w:tc>
        <w:tc>
          <w:tcPr>
            <w:tcW w:w="1823" w:type="dxa"/>
            <w:gridSpan w:val="3"/>
            <w:tcBorders>
              <w:left w:val="single" w:color="auto" w:sz="4" w:space="0"/>
              <w:right w:val="single" w:color="auto" w:sz="4" w:space="0"/>
            </w:tcBorders>
            <w:vAlign w:val="center"/>
          </w:tcPr>
          <w:p w14:paraId="1917D223">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出资比例</w:t>
            </w:r>
          </w:p>
        </w:tc>
        <w:tc>
          <w:tcPr>
            <w:tcW w:w="6332" w:type="dxa"/>
            <w:gridSpan w:val="4"/>
            <w:tcBorders>
              <w:left w:val="single" w:color="auto" w:sz="4" w:space="0"/>
              <w:right w:val="single" w:color="auto" w:sz="12" w:space="0"/>
            </w:tcBorders>
            <w:vAlign w:val="center"/>
          </w:tcPr>
          <w:p w14:paraId="41364D8A">
            <w:pPr>
              <w:adjustRightInd w:val="0"/>
              <w:snapToGrid w:val="0"/>
              <w:spacing w:before="32" w:beforeLines="10" w:afterLines="0" w:line="25" w:lineRule="atLeast"/>
              <w:jc w:val="left"/>
              <w:textAlignment w:val="center"/>
              <w:rPr>
                <w:rFonts w:ascii="宋体" w:hAnsi="宋体"/>
                <w:color w:val="auto"/>
                <w:szCs w:val="21"/>
                <w:highlight w:val="none"/>
              </w:rPr>
            </w:pPr>
          </w:p>
        </w:tc>
      </w:tr>
      <w:tr w14:paraId="6622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0AD1328F">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1.2.3</w:t>
            </w:r>
          </w:p>
        </w:tc>
        <w:tc>
          <w:tcPr>
            <w:tcW w:w="1823" w:type="dxa"/>
            <w:gridSpan w:val="3"/>
            <w:tcBorders>
              <w:left w:val="single" w:color="auto" w:sz="4" w:space="0"/>
              <w:right w:val="single" w:color="auto" w:sz="4" w:space="0"/>
            </w:tcBorders>
            <w:vAlign w:val="center"/>
          </w:tcPr>
          <w:p w14:paraId="4DBD24F0">
            <w:pPr>
              <w:tabs>
                <w:tab w:val="left" w:pos="1620"/>
              </w:tabs>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资金落实情况</w:t>
            </w:r>
          </w:p>
        </w:tc>
        <w:tc>
          <w:tcPr>
            <w:tcW w:w="6332" w:type="dxa"/>
            <w:gridSpan w:val="4"/>
            <w:tcBorders>
              <w:left w:val="single" w:color="auto" w:sz="4" w:space="0"/>
              <w:right w:val="single" w:color="auto" w:sz="12" w:space="0"/>
            </w:tcBorders>
            <w:vAlign w:val="center"/>
          </w:tcPr>
          <w:p w14:paraId="56EEBD9A">
            <w:pPr>
              <w:adjustRightInd w:val="0"/>
              <w:snapToGrid w:val="0"/>
              <w:spacing w:before="32" w:beforeLines="10" w:afterLines="0" w:line="25" w:lineRule="atLeast"/>
              <w:jc w:val="left"/>
              <w:textAlignment w:val="center"/>
              <w:rPr>
                <w:rFonts w:ascii="宋体" w:hAnsi="宋体"/>
                <w:color w:val="auto"/>
                <w:szCs w:val="21"/>
                <w:highlight w:val="none"/>
                <w:u w:val="single"/>
              </w:rPr>
            </w:pPr>
          </w:p>
        </w:tc>
      </w:tr>
      <w:tr w14:paraId="17D07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324" w:type="dxa"/>
            <w:gridSpan w:val="2"/>
            <w:tcBorders>
              <w:left w:val="single" w:color="auto" w:sz="12" w:space="0"/>
              <w:right w:val="single" w:color="auto" w:sz="4" w:space="0"/>
            </w:tcBorders>
            <w:vAlign w:val="center"/>
          </w:tcPr>
          <w:p w14:paraId="03EA87BE">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823" w:type="dxa"/>
            <w:gridSpan w:val="3"/>
            <w:tcBorders>
              <w:left w:val="single" w:color="auto" w:sz="4" w:space="0"/>
              <w:right w:val="single" w:color="auto" w:sz="4" w:space="0"/>
            </w:tcBorders>
            <w:vAlign w:val="center"/>
          </w:tcPr>
          <w:p w14:paraId="4AE52800">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招标范围</w:t>
            </w:r>
          </w:p>
        </w:tc>
        <w:tc>
          <w:tcPr>
            <w:tcW w:w="6332" w:type="dxa"/>
            <w:gridSpan w:val="4"/>
            <w:tcBorders>
              <w:left w:val="single" w:color="auto" w:sz="4" w:space="0"/>
              <w:right w:val="single" w:color="auto" w:sz="12" w:space="0"/>
            </w:tcBorders>
            <w:vAlign w:val="center"/>
          </w:tcPr>
          <w:p w14:paraId="0A589DBC">
            <w:pPr>
              <w:adjustRightInd w:val="0"/>
              <w:snapToGrid w:val="0"/>
              <w:spacing w:before="32" w:beforeLines="10" w:afterLines="0" w:line="25" w:lineRule="atLeast"/>
              <w:jc w:val="left"/>
              <w:textAlignment w:val="center"/>
              <w:rPr>
                <w:rFonts w:ascii="宋体" w:hAnsi="宋体"/>
                <w:color w:val="auto"/>
                <w:szCs w:val="21"/>
                <w:highlight w:val="none"/>
              </w:rPr>
            </w:pPr>
          </w:p>
        </w:tc>
      </w:tr>
      <w:tr w14:paraId="6AF0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324" w:type="dxa"/>
            <w:gridSpan w:val="2"/>
            <w:tcBorders>
              <w:left w:val="single" w:color="auto" w:sz="12" w:space="0"/>
              <w:right w:val="single" w:color="auto" w:sz="4" w:space="0"/>
            </w:tcBorders>
            <w:vAlign w:val="center"/>
          </w:tcPr>
          <w:p w14:paraId="667D76F1">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1.3.2</w:t>
            </w:r>
          </w:p>
        </w:tc>
        <w:tc>
          <w:tcPr>
            <w:tcW w:w="1823" w:type="dxa"/>
            <w:gridSpan w:val="3"/>
            <w:tcBorders>
              <w:left w:val="single" w:color="auto" w:sz="4" w:space="0"/>
              <w:right w:val="single" w:color="auto" w:sz="4" w:space="0"/>
            </w:tcBorders>
            <w:vAlign w:val="center"/>
          </w:tcPr>
          <w:p w14:paraId="21472F8E">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计划工期</w:t>
            </w:r>
          </w:p>
        </w:tc>
        <w:tc>
          <w:tcPr>
            <w:tcW w:w="6332" w:type="dxa"/>
            <w:gridSpan w:val="4"/>
            <w:tcBorders>
              <w:left w:val="single" w:color="auto" w:sz="4" w:space="0"/>
              <w:right w:val="single" w:color="auto" w:sz="12" w:space="0"/>
            </w:tcBorders>
            <w:vAlign w:val="center"/>
          </w:tcPr>
          <w:p w14:paraId="65FFCDE4">
            <w:pPr>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计划工期：</w:t>
            </w:r>
            <w:r>
              <w:rPr>
                <w:rFonts w:hint="eastAsia"/>
                <w:color w:val="auto"/>
                <w:szCs w:val="21"/>
                <w:highlight w:val="none"/>
                <w:u w:val="single"/>
              </w:rPr>
              <w:t xml:space="preserve">      </w:t>
            </w:r>
            <w:r>
              <w:rPr>
                <w:rFonts w:hint="eastAsia"/>
                <w:color w:val="auto"/>
                <w:szCs w:val="21"/>
                <w:highlight w:val="none"/>
              </w:rPr>
              <w:t>日历天</w:t>
            </w:r>
          </w:p>
          <w:p w14:paraId="0B8162A6">
            <w:pPr>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计划开工日期：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hAnsi="宋体"/>
                <w:color w:val="auto"/>
                <w:szCs w:val="21"/>
                <w:highlight w:val="none"/>
              </w:rPr>
              <w:t>（暂定，以实际开工令写明的时间为准）</w:t>
            </w:r>
          </w:p>
          <w:p w14:paraId="4C485853">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计划交工日期：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日（暂定）</w:t>
            </w:r>
          </w:p>
          <w:p w14:paraId="6D5A4EE5">
            <w:p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olor w:val="auto"/>
                <w:szCs w:val="21"/>
                <w:highlight w:val="none"/>
              </w:rPr>
              <w:t>重要节点工期：</w:t>
            </w:r>
            <w:r>
              <w:rPr>
                <w:rFonts w:hint="eastAsia" w:ascii="宋体" w:hAnsi="宋体"/>
                <w:color w:val="auto"/>
                <w:szCs w:val="21"/>
                <w:highlight w:val="none"/>
                <w:u w:val="single"/>
              </w:rPr>
              <w:t>________________________</w:t>
            </w:r>
          </w:p>
        </w:tc>
      </w:tr>
      <w:tr w14:paraId="2F65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1F29120E">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1.3.3</w:t>
            </w:r>
          </w:p>
        </w:tc>
        <w:tc>
          <w:tcPr>
            <w:tcW w:w="1823" w:type="dxa"/>
            <w:gridSpan w:val="3"/>
            <w:tcBorders>
              <w:left w:val="single" w:color="auto" w:sz="4" w:space="0"/>
              <w:right w:val="single" w:color="auto" w:sz="4" w:space="0"/>
            </w:tcBorders>
            <w:vAlign w:val="center"/>
          </w:tcPr>
          <w:p w14:paraId="1DC957C2">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质量要求</w:t>
            </w:r>
          </w:p>
        </w:tc>
        <w:tc>
          <w:tcPr>
            <w:tcW w:w="6332" w:type="dxa"/>
            <w:gridSpan w:val="4"/>
            <w:tcBorders>
              <w:left w:val="single" w:color="auto" w:sz="4" w:space="0"/>
              <w:right w:val="single" w:color="auto" w:sz="12" w:space="0"/>
            </w:tcBorders>
            <w:vAlign w:val="center"/>
          </w:tcPr>
          <w:p w14:paraId="6AC255BF">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满足施工图设计和规范要求，达到合格标准</w:t>
            </w:r>
          </w:p>
        </w:tc>
      </w:tr>
      <w:tr w14:paraId="06B8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2759CA14">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1.4.1</w:t>
            </w:r>
          </w:p>
        </w:tc>
        <w:tc>
          <w:tcPr>
            <w:tcW w:w="1823" w:type="dxa"/>
            <w:gridSpan w:val="3"/>
            <w:tcBorders>
              <w:left w:val="single" w:color="auto" w:sz="4" w:space="0"/>
              <w:right w:val="single" w:color="auto" w:sz="4" w:space="0"/>
            </w:tcBorders>
            <w:vAlign w:val="center"/>
          </w:tcPr>
          <w:p w14:paraId="4744E21F">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投标人资质条件、能力和信誉</w:t>
            </w:r>
          </w:p>
        </w:tc>
        <w:tc>
          <w:tcPr>
            <w:tcW w:w="6332" w:type="dxa"/>
            <w:gridSpan w:val="4"/>
            <w:tcBorders>
              <w:left w:val="single" w:color="auto" w:sz="4" w:space="0"/>
              <w:right w:val="single" w:color="auto" w:sz="12" w:space="0"/>
            </w:tcBorders>
            <w:vAlign w:val="center"/>
          </w:tcPr>
          <w:p w14:paraId="4B035274">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资质最低条件：详见附件1；</w:t>
            </w:r>
          </w:p>
          <w:p w14:paraId="6A98C4A4">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财务最低要求：详见附件2；</w:t>
            </w:r>
          </w:p>
          <w:p w14:paraId="561D5733">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业绩最低要求：详见附件3；</w:t>
            </w:r>
          </w:p>
          <w:p w14:paraId="13420A99">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信誉最低要求：详见附件4；</w:t>
            </w:r>
          </w:p>
          <w:p w14:paraId="1FD33875">
            <w:pPr>
              <w:autoSpaceDE/>
              <w:autoSpaceDN/>
              <w:adjustRightInd w:val="0"/>
              <w:snapToGrid w:val="0"/>
              <w:spacing w:before="32" w:beforeLines="10" w:afterLines="0" w:line="25" w:lineRule="atLeast"/>
              <w:rPr>
                <w:rFonts w:ascii="宋体" w:hAnsi="宋体"/>
                <w:color w:val="auto"/>
                <w:szCs w:val="21"/>
                <w:highlight w:val="none"/>
                <w:u w:val="single"/>
              </w:rPr>
            </w:pPr>
            <w:r>
              <w:rPr>
                <w:rFonts w:hint="eastAsia" w:ascii="宋体" w:hAnsi="宋体"/>
                <w:color w:val="auto"/>
                <w:szCs w:val="21"/>
                <w:highlight w:val="none"/>
              </w:rPr>
              <w:t>主要人员最低要求：详见附件5；</w:t>
            </w:r>
          </w:p>
          <w:p w14:paraId="222BFA2E">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其他要求：详见附件6。</w:t>
            </w:r>
          </w:p>
        </w:tc>
      </w:tr>
      <w:tr w14:paraId="7F06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24" w:type="dxa"/>
            <w:gridSpan w:val="2"/>
            <w:tcBorders>
              <w:left w:val="single" w:color="auto" w:sz="12" w:space="0"/>
              <w:right w:val="single" w:color="auto" w:sz="4" w:space="0"/>
            </w:tcBorders>
            <w:vAlign w:val="center"/>
          </w:tcPr>
          <w:p w14:paraId="53F4E56D">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1.4.2</w:t>
            </w:r>
          </w:p>
        </w:tc>
        <w:tc>
          <w:tcPr>
            <w:tcW w:w="1832" w:type="dxa"/>
            <w:gridSpan w:val="4"/>
            <w:tcBorders>
              <w:left w:val="single" w:color="auto" w:sz="4" w:space="0"/>
              <w:right w:val="single" w:color="auto" w:sz="4" w:space="0"/>
            </w:tcBorders>
            <w:vAlign w:val="center"/>
          </w:tcPr>
          <w:p w14:paraId="749FC307">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联合体</w:t>
            </w:r>
          </w:p>
        </w:tc>
        <w:tc>
          <w:tcPr>
            <w:tcW w:w="6323" w:type="dxa"/>
            <w:gridSpan w:val="3"/>
            <w:tcBorders>
              <w:left w:val="single" w:color="auto" w:sz="4" w:space="0"/>
              <w:right w:val="single" w:color="auto" w:sz="12" w:space="0"/>
            </w:tcBorders>
            <w:vAlign w:val="center"/>
          </w:tcPr>
          <w:p w14:paraId="63C43974">
            <w:pPr>
              <w:pageBreakBefore w:val="0"/>
              <w:shd w:val="clear" w:color="000000" w:fill="FFFFFF"/>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rPr>
            </w:pPr>
            <w:r>
              <w:rPr>
                <w:rFonts w:hint="eastAsia" w:cs="宋体"/>
                <w:color w:val="auto"/>
                <w:sz w:val="21"/>
                <w:szCs w:val="21"/>
                <w:highlight w:val="none"/>
              </w:rPr>
              <w:t>1.根据《厦门市建设局关于建筑业招商引进企业营收和业绩促进措施的通知》（厦建筑[2021]138号）规定，本招标项目允许非本市注册的建筑业企业与其在厦注册的子公司【由该企业全资或控股（控股指持股比例大于50%）】或在厦注册的关联企业【关联企业指与该企业最终由同一集团（公司）控股（控股指持股比例大于50%）的企业】的其中一家，组成承担相同承包内容的联合体参与投标，其中：</w:t>
            </w:r>
          </w:p>
          <w:p w14:paraId="06C54809">
            <w:pPr>
              <w:pageBreakBefore w:val="0"/>
              <w:shd w:val="clear" w:color="000000" w:fill="FFFFFF"/>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rPr>
            </w:pPr>
            <w:r>
              <w:rPr>
                <w:rFonts w:hint="eastAsia" w:cs="宋体"/>
                <w:color w:val="auto"/>
                <w:sz w:val="21"/>
                <w:szCs w:val="21"/>
                <w:highlight w:val="none"/>
              </w:rPr>
              <w:t>（1）</w:t>
            </w:r>
            <w:r>
              <w:rPr>
                <w:rFonts w:hint="eastAsia" w:cs="宋体"/>
                <w:color w:val="auto"/>
                <w:sz w:val="21"/>
                <w:szCs w:val="21"/>
                <w:highlight w:val="none"/>
                <w:lang w:eastAsia="zh-CN"/>
              </w:rPr>
              <w:t>联合体协议书应明确由上述在厦注册的子公司或在厦注册的关联企业作为联合体牵头人</w:t>
            </w:r>
            <w:r>
              <w:rPr>
                <w:rFonts w:hint="eastAsia" w:cs="宋体"/>
                <w:color w:val="auto"/>
                <w:sz w:val="21"/>
                <w:szCs w:val="21"/>
                <w:highlight w:val="none"/>
              </w:rPr>
              <w:t>。</w:t>
            </w:r>
          </w:p>
          <w:p w14:paraId="2A3E5470">
            <w:pPr>
              <w:shd w:val="clear" w:color="000000" w:fill="FFFFFF"/>
              <w:adjustRightInd w:val="0"/>
              <w:snapToGrid w:val="0"/>
              <w:spacing w:before="32" w:beforeLines="10" w:afterLines="0" w:line="25" w:lineRule="atLeast"/>
              <w:ind w:firstLine="488"/>
              <w:rPr>
                <w:rFonts w:cs="宋体"/>
                <w:color w:val="auto"/>
                <w:sz w:val="21"/>
                <w:szCs w:val="21"/>
                <w:highlight w:val="none"/>
              </w:rPr>
            </w:pPr>
            <w:r>
              <w:rPr>
                <w:rFonts w:hint="eastAsia" w:cs="宋体"/>
                <w:color w:val="auto"/>
                <w:sz w:val="21"/>
                <w:szCs w:val="21"/>
                <w:highlight w:val="none"/>
              </w:rPr>
              <w:t>（2）联合体协议书应明确联合体投标人的业绩以联合体牵头人或联合体其余成员的业绩为准。前述业绩指投标人须知前附表附件3资格审查条</w:t>
            </w:r>
            <w:r>
              <w:rPr>
                <w:rFonts w:hint="eastAsia" w:ascii="宋体" w:hAnsi="宋体" w:cs="Times New Roman"/>
                <w:color w:val="auto"/>
                <w:sz w:val="21"/>
                <w:szCs w:val="21"/>
                <w:highlight w:val="none"/>
              </w:rPr>
              <w:t>件(业绩最低要求)</w:t>
            </w:r>
            <w:r>
              <w:rPr>
                <w:rFonts w:hint="eastAsia" w:ascii="宋体" w:hAnsi="宋体" w:cs="Times New Roman"/>
                <w:color w:val="auto"/>
                <w:sz w:val="21"/>
                <w:szCs w:val="21"/>
                <w:highlight w:val="none"/>
                <w:lang w:val="en-US" w:eastAsia="zh-CN"/>
              </w:rPr>
              <w:t>所要求的</w:t>
            </w:r>
            <w:r>
              <w:rPr>
                <w:rFonts w:hint="eastAsia" w:ascii="宋体" w:hAnsi="宋体" w:cs="Times New Roman"/>
                <w:color w:val="auto"/>
                <w:sz w:val="21"/>
                <w:szCs w:val="21"/>
                <w:highlight w:val="none"/>
              </w:rPr>
              <w:t>业绩</w:t>
            </w:r>
            <w:r>
              <w:rPr>
                <w:rFonts w:hint="eastAsia" w:cs="宋体"/>
                <w:color w:val="auto"/>
                <w:sz w:val="21"/>
                <w:szCs w:val="21"/>
                <w:highlight w:val="none"/>
              </w:rPr>
              <w:t>。</w:t>
            </w:r>
          </w:p>
          <w:p w14:paraId="773B08E8">
            <w:pPr>
              <w:pageBreakBefore w:val="0"/>
              <w:shd w:val="clear" w:color="000000" w:fill="FFFFFF"/>
              <w:kinsoku/>
              <w:wordWrap/>
              <w:overflowPunct/>
              <w:topLinePunct w:val="0"/>
              <w:bidi w:val="0"/>
              <w:adjustRightInd w:val="0"/>
              <w:snapToGrid w:val="0"/>
              <w:spacing w:before="32" w:beforeLines="10" w:afterLines="0" w:line="25" w:lineRule="atLeast"/>
              <w:ind w:firstLine="488" w:firstLineChars="0"/>
              <w:rPr>
                <w:rFonts w:hint="eastAsia" w:cs="宋体"/>
                <w:color w:val="auto"/>
                <w:sz w:val="21"/>
                <w:szCs w:val="21"/>
                <w:highlight w:val="none"/>
              </w:rPr>
            </w:pPr>
            <w:r>
              <w:rPr>
                <w:rFonts w:hint="eastAsia" w:cs="宋体"/>
                <w:color w:val="auto"/>
                <w:sz w:val="21"/>
                <w:szCs w:val="21"/>
                <w:highlight w:val="none"/>
              </w:rPr>
              <w:t>（3）联合体协议书应明确联合体投标人的信用以联合体牵头人或联合体其余成员的信用为准。前述信用指投标人须知前附表条款号第10.</w:t>
            </w:r>
            <w:r>
              <w:rPr>
                <w:rFonts w:hint="eastAsia" w:cs="宋体"/>
                <w:color w:val="auto"/>
                <w:sz w:val="21"/>
                <w:szCs w:val="21"/>
                <w:highlight w:val="none"/>
                <w:lang w:val="en-US" w:eastAsia="zh-CN"/>
              </w:rPr>
              <w:t>3</w:t>
            </w:r>
            <w:r>
              <w:rPr>
                <w:rFonts w:hint="eastAsia" w:cs="宋体"/>
                <w:color w:val="auto"/>
                <w:sz w:val="21"/>
                <w:szCs w:val="21"/>
                <w:highlight w:val="none"/>
              </w:rPr>
              <w:t>项所要求的厦门市建筑施工企业信用综合评价结果（包括信用等级和综合得分）和投标人须知前附表条款号第10.</w:t>
            </w:r>
            <w:r>
              <w:rPr>
                <w:rFonts w:hint="eastAsia" w:cs="宋体"/>
                <w:color w:val="auto"/>
                <w:sz w:val="21"/>
                <w:szCs w:val="21"/>
                <w:highlight w:val="none"/>
                <w:lang w:val="en-US" w:eastAsia="zh-CN"/>
              </w:rPr>
              <w:t>4</w:t>
            </w:r>
            <w:r>
              <w:rPr>
                <w:rFonts w:hint="eastAsia" w:cs="宋体"/>
                <w:color w:val="auto"/>
                <w:sz w:val="21"/>
                <w:szCs w:val="21"/>
                <w:highlight w:val="none"/>
              </w:rPr>
              <w:t>项所要求的福建省交通建设市场信用考核评价结果（以在“信用交通·福建”（http://220.160.53.3：30050/gzwz/）网站的公示结果为准）。</w:t>
            </w:r>
          </w:p>
          <w:p w14:paraId="2CDF729A">
            <w:pPr>
              <w:pageBreakBefore w:val="0"/>
              <w:kinsoku/>
              <w:wordWrap/>
              <w:overflowPunct/>
              <w:topLinePunct w:val="0"/>
              <w:bidi w:val="0"/>
              <w:adjustRightInd w:val="0"/>
              <w:snapToGrid w:val="0"/>
              <w:spacing w:before="32" w:beforeLines="10" w:afterLines="0" w:line="25" w:lineRule="atLeast"/>
              <w:ind w:firstLine="420" w:firstLineChars="200"/>
              <w:rPr>
                <w:rFonts w:hint="eastAsia" w:cs="宋体"/>
                <w:color w:val="auto"/>
                <w:kern w:val="1"/>
                <w:sz w:val="21"/>
                <w:szCs w:val="21"/>
                <w:highlight w:val="none"/>
              </w:rPr>
            </w:pPr>
            <w:r>
              <w:rPr>
                <w:rFonts w:hint="eastAsia" w:cs="宋体"/>
                <w:color w:val="auto"/>
                <w:sz w:val="21"/>
                <w:szCs w:val="21"/>
                <w:highlight w:val="none"/>
              </w:rPr>
              <w:t>（4）联合体投标人应在投标文件中提交联合体各方之间的母子公司或关联企业关系的证明资料。</w:t>
            </w:r>
          </w:p>
          <w:p w14:paraId="2043C123">
            <w:pPr>
              <w:adjustRightInd w:val="0"/>
              <w:snapToGrid w:val="0"/>
              <w:spacing w:before="32" w:beforeLines="10" w:afterLines="0" w:line="25" w:lineRule="atLeast"/>
              <w:ind w:firstLine="420" w:firstLineChars="200"/>
              <w:jc w:val="left"/>
              <w:textAlignment w:val="center"/>
              <w:rPr>
                <w:rFonts w:hint="eastAsia" w:ascii="宋体" w:hAnsi="宋体"/>
                <w:color w:val="auto"/>
                <w:szCs w:val="21"/>
                <w:highlight w:val="none"/>
              </w:rPr>
            </w:pPr>
            <w:r>
              <w:rPr>
                <w:rFonts w:hint="eastAsia" w:cs="宋体"/>
                <w:color w:val="auto"/>
                <w:sz w:val="21"/>
                <w:szCs w:val="21"/>
                <w:highlight w:val="none"/>
                <w:lang w:val="en-US" w:eastAsia="zh-CN"/>
              </w:rPr>
              <w:t>2、</w:t>
            </w:r>
            <w:r>
              <w:rPr>
                <w:rFonts w:hint="eastAsia" w:cs="宋体"/>
                <w:color w:val="auto"/>
                <w:sz w:val="21"/>
                <w:szCs w:val="21"/>
                <w:highlight w:val="none"/>
              </w:rPr>
              <w:t>本招标项目</w:t>
            </w:r>
            <w:r>
              <w:rPr>
                <w:rFonts w:hint="eastAsia" w:cs="宋体"/>
                <w:color w:val="auto"/>
                <w:sz w:val="21"/>
                <w:szCs w:val="21"/>
                <w:highlight w:val="none"/>
                <w:u w:val="single"/>
              </w:rPr>
              <w:t xml:space="preserve">      </w:t>
            </w:r>
            <w:r>
              <w:rPr>
                <w:rStyle w:val="48"/>
                <w:rFonts w:hint="eastAsia" w:cs="宋体"/>
                <w:color w:val="auto"/>
                <w:sz w:val="21"/>
                <w:szCs w:val="21"/>
                <w:highlight w:val="none"/>
                <w:u w:val="single"/>
              </w:rPr>
              <w:footnoteReference w:id="3"/>
            </w:r>
            <w:r>
              <w:rPr>
                <w:rFonts w:hint="eastAsia" w:cs="宋体"/>
                <w:color w:val="auto"/>
                <w:sz w:val="21"/>
                <w:szCs w:val="21"/>
                <w:highlight w:val="none"/>
              </w:rPr>
              <w:t>除</w:t>
            </w:r>
            <w:r>
              <w:rPr>
                <w:rFonts w:hint="eastAsia" w:cs="宋体"/>
                <w:color w:val="auto"/>
                <w:sz w:val="21"/>
                <w:szCs w:val="21"/>
                <w:highlight w:val="none"/>
                <w:lang w:val="en-US" w:eastAsia="zh-CN"/>
              </w:rPr>
              <w:t>上述第1</w:t>
            </w:r>
            <w:r>
              <w:rPr>
                <w:rFonts w:hint="eastAsia" w:cs="宋体"/>
                <w:color w:val="auto"/>
                <w:sz w:val="21"/>
                <w:szCs w:val="21"/>
                <w:highlight w:val="none"/>
              </w:rPr>
              <w:t>项情形以外的联合体投标。招标人接受除</w:t>
            </w:r>
            <w:r>
              <w:rPr>
                <w:rFonts w:hint="eastAsia" w:cs="宋体"/>
                <w:color w:val="auto"/>
                <w:sz w:val="21"/>
                <w:szCs w:val="21"/>
                <w:highlight w:val="none"/>
                <w:lang w:val="en-US" w:eastAsia="zh-CN"/>
              </w:rPr>
              <w:t>上述第1</w:t>
            </w:r>
            <w:r>
              <w:rPr>
                <w:rFonts w:hint="eastAsia" w:cs="宋体"/>
                <w:color w:val="auto"/>
                <w:sz w:val="21"/>
                <w:szCs w:val="21"/>
                <w:highlight w:val="none"/>
              </w:rPr>
              <w:t>项情形以外联合体投标的，自愿组成联合体的应由</w:t>
            </w:r>
            <w:r>
              <w:rPr>
                <w:rFonts w:hint="eastAsia" w:cs="宋体"/>
                <w:color w:val="auto"/>
                <w:sz w:val="21"/>
                <w:szCs w:val="21"/>
                <w:highlight w:val="none"/>
                <w:u w:val="single"/>
              </w:rPr>
              <w:t xml:space="preserve">     </w:t>
            </w:r>
            <w:r>
              <w:rPr>
                <w:rFonts w:hint="eastAsia" w:cs="宋体"/>
                <w:color w:val="auto"/>
                <w:sz w:val="21"/>
                <w:szCs w:val="21"/>
                <w:highlight w:val="none"/>
              </w:rPr>
              <w:t>为牵头人，</w:t>
            </w:r>
            <w:r>
              <w:rPr>
                <w:rFonts w:hint="eastAsia" w:ascii="宋体" w:hAnsi="宋体"/>
                <w:color w:val="auto"/>
                <w:szCs w:val="21"/>
                <w:highlight w:val="none"/>
              </w:rPr>
              <w:t>应满足下列要求:</w:t>
            </w:r>
          </w:p>
          <w:p w14:paraId="66CA23E7">
            <w:pPr>
              <w:numPr>
                <w:ilvl w:val="0"/>
                <w:numId w:val="3"/>
              </w:numPr>
              <w:adjustRightInd w:val="0"/>
              <w:snapToGrid w:val="0"/>
              <w:spacing w:before="32" w:beforeLines="10" w:afterLines="0" w:line="25" w:lineRule="atLeast"/>
              <w:jc w:val="left"/>
              <w:textAlignment w:val="center"/>
              <w:rPr>
                <w:rFonts w:ascii="宋体" w:hAnsi="宋体"/>
                <w:bCs/>
                <w:color w:val="auto"/>
                <w:szCs w:val="21"/>
                <w:highlight w:val="none"/>
              </w:rPr>
            </w:pPr>
            <w:r>
              <w:rPr>
                <w:rFonts w:hint="eastAsia" w:ascii="宋体" w:hAnsi="宋体"/>
                <w:bCs/>
                <w:color w:val="auto"/>
                <w:szCs w:val="21"/>
                <w:highlight w:val="none"/>
              </w:rPr>
              <w:t>联合体所有成员数量不得超过3家；</w:t>
            </w:r>
          </w:p>
          <w:p w14:paraId="1742840D">
            <w:pPr>
              <w:numPr>
                <w:ilvl w:val="0"/>
                <w:numId w:val="3"/>
              </w:num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cs="宋体"/>
                <w:color w:val="auto"/>
                <w:szCs w:val="21"/>
                <w:highlight w:val="none"/>
                <w:shd w:val="clear" w:color="auto" w:fill="auto"/>
              </w:rPr>
              <w:t>投标人的信用等级按联合体牵头人的信用等级确定。</w:t>
            </w:r>
          </w:p>
          <w:p w14:paraId="713AEFBE">
            <w:pPr>
              <w:numPr>
                <w:ilvl w:val="0"/>
                <w:numId w:val="3"/>
              </w:numPr>
              <w:adjustRightInd w:val="0"/>
              <w:snapToGrid w:val="0"/>
              <w:spacing w:before="32" w:beforeLines="10" w:afterLines="0" w:line="25" w:lineRule="atLeast"/>
              <w:jc w:val="left"/>
              <w:textAlignment w:val="center"/>
              <w:rPr>
                <w:rFonts w:ascii="宋体" w:hAnsi="宋体"/>
                <w:color w:val="auto"/>
                <w:szCs w:val="21"/>
                <w:highlight w:val="none"/>
              </w:rPr>
            </w:pPr>
            <w:r>
              <w:rPr>
                <w:rFonts w:hint="eastAsia" w:ascii="宋体" w:hAnsi="宋体"/>
                <w:bCs/>
                <w:color w:val="auto"/>
                <w:szCs w:val="21"/>
                <w:highlight w:val="none"/>
              </w:rPr>
              <w:t>联合体要求：</w:t>
            </w:r>
            <w:r>
              <w:rPr>
                <w:rFonts w:hint="eastAsia" w:ascii="宋体" w:hAnsi="宋体" w:cs="黑体"/>
                <w:bCs/>
                <w:color w:val="auto"/>
                <w:sz w:val="24"/>
                <w:highlight w:val="none"/>
                <w:u w:val="single"/>
              </w:rPr>
              <w:t>_____________________</w:t>
            </w:r>
          </w:p>
        </w:tc>
      </w:tr>
      <w:tr w14:paraId="7973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1F930FA1">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1.9.1</w:t>
            </w:r>
          </w:p>
        </w:tc>
        <w:tc>
          <w:tcPr>
            <w:tcW w:w="1814" w:type="dxa"/>
            <w:gridSpan w:val="2"/>
            <w:tcBorders>
              <w:left w:val="single" w:color="auto" w:sz="4" w:space="0"/>
              <w:right w:val="single" w:color="auto" w:sz="4" w:space="0"/>
            </w:tcBorders>
            <w:vAlign w:val="center"/>
          </w:tcPr>
          <w:p w14:paraId="4B400905">
            <w:pPr>
              <w:adjustRightInd w:val="0"/>
              <w:snapToGrid w:val="0"/>
              <w:spacing w:before="32" w:beforeLines="10" w:afterLines="0" w:line="25" w:lineRule="atLeast"/>
              <w:jc w:val="center"/>
              <w:textAlignment w:val="center"/>
              <w:rPr>
                <w:rFonts w:ascii="宋体" w:hAnsi="宋体"/>
                <w:color w:val="auto"/>
                <w:szCs w:val="21"/>
                <w:highlight w:val="none"/>
              </w:rPr>
            </w:pPr>
            <w:r>
              <w:rPr>
                <w:rFonts w:hint="eastAsia" w:ascii="宋体" w:hAnsi="宋体"/>
                <w:color w:val="auto"/>
                <w:szCs w:val="21"/>
                <w:highlight w:val="none"/>
              </w:rPr>
              <w:t>踏勘现场</w:t>
            </w:r>
          </w:p>
        </w:tc>
        <w:tc>
          <w:tcPr>
            <w:tcW w:w="6323" w:type="dxa"/>
            <w:gridSpan w:val="4"/>
            <w:tcBorders>
              <w:left w:val="single" w:color="auto" w:sz="4" w:space="0"/>
              <w:right w:val="single" w:color="auto" w:sz="12" w:space="0"/>
            </w:tcBorders>
            <w:vAlign w:val="center"/>
          </w:tcPr>
          <w:p w14:paraId="1F2DA29A">
            <w:pPr>
              <w:adjustRightInd w:val="0"/>
              <w:snapToGrid w:val="0"/>
              <w:spacing w:before="32" w:beforeLines="10" w:afterLines="0" w:line="25" w:lineRule="atLeast"/>
              <w:jc w:val="left"/>
              <w:textAlignment w:val="center"/>
              <w:rPr>
                <w:rFonts w:ascii="宋体" w:hAnsi="宋体"/>
                <w:bCs/>
                <w:color w:val="auto"/>
                <w:szCs w:val="21"/>
                <w:highlight w:val="none"/>
                <w:u w:val="single"/>
              </w:rPr>
            </w:pPr>
            <w:r>
              <w:rPr>
                <w:rFonts w:hint="eastAsia" w:ascii="宋体" w:hAnsi="宋体"/>
                <w:color w:val="auto"/>
                <w:szCs w:val="21"/>
                <w:highlight w:val="none"/>
              </w:rPr>
              <w:t>不组织，投标人可自行踏勘现场</w:t>
            </w:r>
          </w:p>
        </w:tc>
      </w:tr>
      <w:tr w14:paraId="00BF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3D2D077D">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1.10.1</w:t>
            </w:r>
          </w:p>
        </w:tc>
        <w:tc>
          <w:tcPr>
            <w:tcW w:w="1814" w:type="dxa"/>
            <w:gridSpan w:val="2"/>
            <w:tcBorders>
              <w:left w:val="single" w:color="auto" w:sz="4" w:space="0"/>
              <w:right w:val="single" w:color="auto" w:sz="4" w:space="0"/>
            </w:tcBorders>
            <w:vAlign w:val="center"/>
          </w:tcPr>
          <w:p w14:paraId="2712FFC7">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投标预备会</w:t>
            </w:r>
          </w:p>
        </w:tc>
        <w:tc>
          <w:tcPr>
            <w:tcW w:w="6323" w:type="dxa"/>
            <w:gridSpan w:val="4"/>
            <w:tcBorders>
              <w:left w:val="single" w:color="auto" w:sz="4" w:space="0"/>
              <w:right w:val="single" w:color="auto" w:sz="12" w:space="0"/>
            </w:tcBorders>
            <w:vAlign w:val="center"/>
          </w:tcPr>
          <w:p w14:paraId="07950638">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color w:val="auto"/>
                <w:kern w:val="0"/>
                <w:szCs w:val="21"/>
                <w:highlight w:val="none"/>
              </w:rPr>
              <w:t>不召开</w:t>
            </w:r>
          </w:p>
        </w:tc>
      </w:tr>
      <w:tr w14:paraId="33AF9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62BC8225">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1.10.2</w:t>
            </w:r>
          </w:p>
        </w:tc>
        <w:tc>
          <w:tcPr>
            <w:tcW w:w="1814" w:type="dxa"/>
            <w:gridSpan w:val="2"/>
            <w:tcBorders>
              <w:left w:val="single" w:color="auto" w:sz="4" w:space="0"/>
              <w:right w:val="single" w:color="auto" w:sz="4" w:space="0"/>
            </w:tcBorders>
            <w:vAlign w:val="center"/>
          </w:tcPr>
          <w:p w14:paraId="695CF1C2">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投标人提出问题的截止时间</w:t>
            </w:r>
          </w:p>
        </w:tc>
        <w:tc>
          <w:tcPr>
            <w:tcW w:w="6323" w:type="dxa"/>
            <w:gridSpan w:val="4"/>
            <w:tcBorders>
              <w:left w:val="single" w:color="auto" w:sz="4" w:space="0"/>
              <w:right w:val="single" w:color="auto" w:sz="12" w:space="0"/>
            </w:tcBorders>
            <w:vAlign w:val="center"/>
          </w:tcPr>
          <w:p w14:paraId="4D8FDCDC">
            <w:pPr>
              <w:autoSpaceDE/>
              <w:autoSpaceDN/>
              <w:adjustRightInd w:val="0"/>
              <w:snapToGrid w:val="0"/>
              <w:spacing w:before="32" w:beforeLines="10" w:afterLines="0" w:line="25" w:lineRule="atLeast"/>
              <w:rPr>
                <w:rFonts w:ascii="宋体" w:hAnsi="宋体"/>
                <w:color w:val="auto"/>
                <w:kern w:val="0"/>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14:paraId="5540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747EB8A7">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1.10.3</w:t>
            </w:r>
          </w:p>
        </w:tc>
        <w:tc>
          <w:tcPr>
            <w:tcW w:w="1814" w:type="dxa"/>
            <w:gridSpan w:val="2"/>
            <w:tcBorders>
              <w:left w:val="single" w:color="auto" w:sz="4" w:space="0"/>
              <w:right w:val="single" w:color="auto" w:sz="4" w:space="0"/>
            </w:tcBorders>
            <w:vAlign w:val="center"/>
          </w:tcPr>
          <w:p w14:paraId="64F51E9D">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招标人书面澄清的时间</w:t>
            </w:r>
          </w:p>
        </w:tc>
        <w:tc>
          <w:tcPr>
            <w:tcW w:w="6323" w:type="dxa"/>
            <w:gridSpan w:val="4"/>
            <w:tcBorders>
              <w:left w:val="single" w:color="auto" w:sz="4" w:space="0"/>
              <w:right w:val="single" w:color="auto" w:sz="12" w:space="0"/>
            </w:tcBorders>
            <w:vAlign w:val="center"/>
          </w:tcPr>
          <w:p w14:paraId="162539EF">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秒之前</w:t>
            </w:r>
          </w:p>
        </w:tc>
      </w:tr>
      <w:tr w14:paraId="2A4A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177C19BA">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1.11</w:t>
            </w:r>
          </w:p>
        </w:tc>
        <w:tc>
          <w:tcPr>
            <w:tcW w:w="1814" w:type="dxa"/>
            <w:gridSpan w:val="2"/>
            <w:tcBorders>
              <w:left w:val="single" w:color="auto" w:sz="4" w:space="0"/>
              <w:right w:val="single" w:color="auto" w:sz="4" w:space="0"/>
            </w:tcBorders>
            <w:vAlign w:val="center"/>
          </w:tcPr>
          <w:p w14:paraId="6D1E6483">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分包</w:t>
            </w:r>
          </w:p>
        </w:tc>
        <w:tc>
          <w:tcPr>
            <w:tcW w:w="6323" w:type="dxa"/>
            <w:gridSpan w:val="4"/>
            <w:tcBorders>
              <w:left w:val="single" w:color="auto" w:sz="4" w:space="0"/>
              <w:right w:val="single" w:color="auto" w:sz="12" w:space="0"/>
            </w:tcBorders>
            <w:vAlign w:val="center"/>
          </w:tcPr>
          <w:p w14:paraId="559F27BA">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14:paraId="0F5F2E74">
            <w:pPr>
              <w:adjustRightInd w:val="0"/>
              <w:snapToGrid w:val="0"/>
              <w:spacing w:before="32" w:beforeLines="10" w:afterLines="0" w:line="25" w:lineRule="atLeast"/>
              <w:jc w:val="left"/>
              <w:textAlignment w:val="center"/>
              <w:rPr>
                <w:rFonts w:ascii="宋体" w:hAnsi="宋体"/>
                <w:bCs/>
                <w:color w:val="auto"/>
                <w:szCs w:val="21"/>
                <w:highlight w:val="none"/>
              </w:rPr>
            </w:pPr>
            <w:r>
              <w:rPr>
                <w:rFonts w:hint="eastAsia" w:ascii="宋体" w:hAnsi="宋体"/>
                <w:bCs/>
                <w:color w:val="auto"/>
                <w:szCs w:val="21"/>
                <w:highlight w:val="none"/>
              </w:rPr>
              <w:t>□允许：分包金额不高于投标总价的30%</w:t>
            </w:r>
          </w:p>
          <w:p w14:paraId="0EDC17BB">
            <w:pPr>
              <w:numPr>
                <w:ilvl w:val="0"/>
                <w:numId w:val="4"/>
              </w:numPr>
              <w:adjustRightInd w:val="0"/>
              <w:snapToGrid w:val="0"/>
              <w:spacing w:before="32" w:beforeLines="10" w:afterLines="0" w:line="25" w:lineRule="atLeast"/>
              <w:jc w:val="left"/>
              <w:textAlignment w:val="center"/>
              <w:rPr>
                <w:rFonts w:ascii="宋体" w:hAnsi="宋体"/>
                <w:bCs/>
                <w:color w:val="auto"/>
                <w:szCs w:val="21"/>
                <w:highlight w:val="none"/>
                <w:u w:val="single"/>
              </w:rPr>
            </w:pPr>
            <w:r>
              <w:rPr>
                <w:rFonts w:hint="eastAsia" w:ascii="宋体" w:hAnsi="宋体"/>
                <w:bCs/>
                <w:color w:val="auto"/>
                <w:szCs w:val="21"/>
                <w:highlight w:val="none"/>
              </w:rPr>
              <w:t>分包内容要求：</w:t>
            </w:r>
            <w:r>
              <w:rPr>
                <w:rFonts w:hint="eastAsia" w:ascii="宋体" w:hAnsi="宋体" w:cs="黑体"/>
                <w:bCs/>
                <w:color w:val="auto"/>
                <w:sz w:val="24"/>
                <w:highlight w:val="none"/>
                <w:u w:val="single"/>
              </w:rPr>
              <w:t>_________________________</w:t>
            </w:r>
          </w:p>
          <w:p w14:paraId="0E8BA9E4">
            <w:pPr>
              <w:numPr>
                <w:ilvl w:val="0"/>
                <w:numId w:val="4"/>
              </w:numPr>
              <w:adjustRightInd w:val="0"/>
              <w:snapToGrid w:val="0"/>
              <w:spacing w:before="32" w:beforeLines="10" w:afterLines="0" w:line="25" w:lineRule="atLeast"/>
              <w:jc w:val="left"/>
              <w:textAlignment w:val="center"/>
              <w:rPr>
                <w:rFonts w:ascii="宋体" w:hAnsi="宋体"/>
                <w:color w:val="auto"/>
                <w:kern w:val="0"/>
                <w:szCs w:val="21"/>
                <w:highlight w:val="none"/>
              </w:rPr>
            </w:pPr>
            <w:r>
              <w:rPr>
                <w:rFonts w:hint="eastAsia" w:ascii="宋体" w:hAnsi="宋体"/>
                <w:bCs/>
                <w:color w:val="auto"/>
                <w:szCs w:val="21"/>
                <w:highlight w:val="none"/>
              </w:rPr>
              <w:t>分包人资质要求：</w:t>
            </w:r>
            <w:r>
              <w:rPr>
                <w:rFonts w:hint="eastAsia" w:ascii="宋体" w:hAnsi="宋体" w:cs="黑体"/>
                <w:bCs/>
                <w:color w:val="auto"/>
                <w:sz w:val="24"/>
                <w:highlight w:val="none"/>
                <w:u w:val="single"/>
              </w:rPr>
              <w:t>_________________________</w:t>
            </w:r>
            <w:r>
              <w:rPr>
                <w:rFonts w:hint="eastAsia" w:ascii="宋体" w:hAnsi="宋体"/>
                <w:color w:val="auto"/>
                <w:kern w:val="0"/>
                <w:szCs w:val="21"/>
                <w:highlight w:val="none"/>
              </w:rPr>
              <w:t xml:space="preserve"> </w:t>
            </w:r>
          </w:p>
        </w:tc>
      </w:tr>
      <w:tr w14:paraId="6097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165D194A">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1.12</w:t>
            </w:r>
          </w:p>
        </w:tc>
        <w:tc>
          <w:tcPr>
            <w:tcW w:w="1814" w:type="dxa"/>
            <w:gridSpan w:val="2"/>
            <w:tcBorders>
              <w:left w:val="single" w:color="auto" w:sz="4" w:space="0"/>
              <w:right w:val="single" w:color="auto" w:sz="4" w:space="0"/>
            </w:tcBorders>
            <w:vAlign w:val="center"/>
          </w:tcPr>
          <w:p w14:paraId="05162A13">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偏离</w:t>
            </w:r>
          </w:p>
        </w:tc>
        <w:tc>
          <w:tcPr>
            <w:tcW w:w="6323" w:type="dxa"/>
            <w:gridSpan w:val="4"/>
            <w:tcBorders>
              <w:left w:val="single" w:color="auto" w:sz="4" w:space="0"/>
              <w:right w:val="single" w:color="auto" w:sz="12" w:space="0"/>
            </w:tcBorders>
            <w:vAlign w:val="center"/>
          </w:tcPr>
          <w:p w14:paraId="0B8B73DE">
            <w:pPr>
              <w:adjustRightInd w:val="0"/>
              <w:snapToGrid w:val="0"/>
              <w:spacing w:before="32" w:beforeLines="10" w:afterLines="0" w:line="25" w:lineRule="atLeast"/>
              <w:ind w:firstLine="315" w:firstLineChars="150"/>
              <w:rPr>
                <w:rFonts w:ascii="宋体" w:hAnsi="宋体"/>
                <w:color w:val="auto"/>
                <w:szCs w:val="21"/>
                <w:highlight w:val="none"/>
              </w:rPr>
            </w:pPr>
            <w:r>
              <w:rPr>
                <w:rFonts w:hint="eastAsia" w:ascii="宋体" w:hAnsi="宋体"/>
                <w:color w:val="auto"/>
                <w:szCs w:val="21"/>
                <w:highlight w:val="none"/>
              </w:rPr>
              <w:t>□不允许</w:t>
            </w:r>
          </w:p>
          <w:p w14:paraId="44423781">
            <w:pPr>
              <w:adjustRightInd w:val="0"/>
              <w:snapToGrid w:val="0"/>
              <w:spacing w:before="32" w:beforeLines="10" w:afterLines="0" w:line="25" w:lineRule="atLeast"/>
              <w:ind w:firstLine="315" w:firstLineChars="150"/>
              <w:rPr>
                <w:rFonts w:ascii="宋体" w:hAnsi="宋体"/>
                <w:color w:val="auto"/>
                <w:szCs w:val="21"/>
                <w:highlight w:val="none"/>
              </w:rPr>
            </w:pPr>
            <w:r>
              <w:rPr>
                <w:rFonts w:hint="eastAsia" w:ascii="宋体" w:hAnsi="宋体"/>
                <w:color w:val="auto"/>
                <w:szCs w:val="21"/>
                <w:highlight w:val="none"/>
              </w:rPr>
              <w:t xml:space="preserve">□允许：                    。 </w:t>
            </w:r>
          </w:p>
        </w:tc>
      </w:tr>
      <w:tr w14:paraId="43902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0500BC7E">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2.1</w:t>
            </w:r>
          </w:p>
        </w:tc>
        <w:tc>
          <w:tcPr>
            <w:tcW w:w="1814" w:type="dxa"/>
            <w:gridSpan w:val="2"/>
            <w:tcBorders>
              <w:left w:val="single" w:color="auto" w:sz="4" w:space="0"/>
              <w:right w:val="single" w:color="auto" w:sz="4" w:space="0"/>
            </w:tcBorders>
            <w:vAlign w:val="center"/>
          </w:tcPr>
          <w:p w14:paraId="28DC0DFB">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构成招标文件的其他材料</w:t>
            </w:r>
          </w:p>
        </w:tc>
        <w:tc>
          <w:tcPr>
            <w:tcW w:w="6323" w:type="dxa"/>
            <w:gridSpan w:val="4"/>
            <w:tcBorders>
              <w:left w:val="single" w:color="auto" w:sz="4" w:space="0"/>
              <w:right w:val="single" w:color="auto" w:sz="12" w:space="0"/>
            </w:tcBorders>
            <w:vAlign w:val="center"/>
          </w:tcPr>
          <w:p w14:paraId="02CA217B">
            <w:pPr>
              <w:adjustRightInd w:val="0"/>
              <w:snapToGrid w:val="0"/>
              <w:spacing w:before="32" w:beforeLines="10" w:afterLines="0" w:line="25" w:lineRule="atLeast"/>
              <w:rPr>
                <w:color w:val="auto"/>
                <w:highlight w:val="none"/>
              </w:rPr>
            </w:pPr>
            <w:r>
              <w:rPr>
                <w:rFonts w:hint="eastAsia"/>
                <w:color w:val="auto"/>
                <w:highlight w:val="none"/>
              </w:rPr>
              <w:t>项目相关文件及相关图纸，招标人在投标截止时间之前发出的所有的澄清、修改、补遗书和其他有关通知等。</w:t>
            </w:r>
          </w:p>
        </w:tc>
      </w:tr>
      <w:tr w14:paraId="618D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090A4AE9">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2.2.1</w:t>
            </w:r>
          </w:p>
        </w:tc>
        <w:tc>
          <w:tcPr>
            <w:tcW w:w="1814" w:type="dxa"/>
            <w:gridSpan w:val="2"/>
            <w:tcBorders>
              <w:left w:val="single" w:color="auto" w:sz="4" w:space="0"/>
              <w:right w:val="single" w:color="auto" w:sz="4" w:space="0"/>
            </w:tcBorders>
            <w:vAlign w:val="center"/>
          </w:tcPr>
          <w:p w14:paraId="3B66116B">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投标人要求澄清招标文件的截止时间</w:t>
            </w:r>
          </w:p>
        </w:tc>
        <w:tc>
          <w:tcPr>
            <w:tcW w:w="6323" w:type="dxa"/>
            <w:gridSpan w:val="4"/>
            <w:tcBorders>
              <w:left w:val="single" w:color="auto" w:sz="4" w:space="0"/>
              <w:right w:val="single" w:color="auto" w:sz="12" w:space="0"/>
            </w:tcBorders>
            <w:vAlign w:val="center"/>
          </w:tcPr>
          <w:p w14:paraId="295802C1">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14:paraId="4560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5220CCE2">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2.2.2</w:t>
            </w:r>
          </w:p>
        </w:tc>
        <w:tc>
          <w:tcPr>
            <w:tcW w:w="1814" w:type="dxa"/>
            <w:gridSpan w:val="2"/>
            <w:tcBorders>
              <w:left w:val="single" w:color="auto" w:sz="4" w:space="0"/>
              <w:right w:val="single" w:color="auto" w:sz="4" w:space="0"/>
            </w:tcBorders>
            <w:vAlign w:val="center"/>
          </w:tcPr>
          <w:p w14:paraId="22C8F3BA">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323" w:type="dxa"/>
            <w:gridSpan w:val="4"/>
            <w:tcBorders>
              <w:left w:val="single" w:color="auto" w:sz="4" w:space="0"/>
              <w:right w:val="single" w:color="auto" w:sz="12" w:space="0"/>
            </w:tcBorders>
            <w:vAlign w:val="center"/>
          </w:tcPr>
          <w:p w14:paraId="1D5B6A31">
            <w:pPr>
              <w:autoSpaceDE/>
              <w:autoSpaceDN/>
              <w:adjustRightInd w:val="0"/>
              <w:snapToGrid w:val="0"/>
              <w:spacing w:before="32" w:beforeLines="10" w:afterLines="0" w:line="25" w:lineRule="atLeas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 xml:space="preserve">   </w:t>
            </w:r>
            <w:r>
              <w:rPr>
                <w:rFonts w:hint="eastAsia" w:ascii="宋体" w:hAnsi="宋体"/>
                <w:color w:val="auto"/>
                <w:szCs w:val="21"/>
                <w:highlight w:val="none"/>
              </w:rPr>
              <w:t>秒</w:t>
            </w:r>
          </w:p>
        </w:tc>
      </w:tr>
      <w:tr w14:paraId="7927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00C3B04E">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2.2.3</w:t>
            </w:r>
          </w:p>
        </w:tc>
        <w:tc>
          <w:tcPr>
            <w:tcW w:w="1814" w:type="dxa"/>
            <w:gridSpan w:val="2"/>
            <w:tcBorders>
              <w:left w:val="single" w:color="auto" w:sz="4" w:space="0"/>
              <w:right w:val="single" w:color="auto" w:sz="4" w:space="0"/>
            </w:tcBorders>
            <w:vAlign w:val="center"/>
          </w:tcPr>
          <w:p w14:paraId="54CE16AE">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投标人确认收到招标文件澄清的时间</w:t>
            </w:r>
          </w:p>
        </w:tc>
        <w:tc>
          <w:tcPr>
            <w:tcW w:w="6323" w:type="dxa"/>
            <w:gridSpan w:val="4"/>
            <w:tcBorders>
              <w:left w:val="single" w:color="auto" w:sz="4" w:space="0"/>
              <w:right w:val="single" w:color="auto" w:sz="12" w:space="0"/>
            </w:tcBorders>
            <w:vAlign w:val="center"/>
          </w:tcPr>
          <w:p w14:paraId="7D32D49C">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在福建省公共资源交易电子公共服务平台（网址：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"http://www.fjbid.gov.cn）、电子招标投标交易平台" </w:instrText>
            </w:r>
            <w:r>
              <w:rPr>
                <w:color w:val="auto"/>
                <w:highlight w:val="none"/>
              </w:rPr>
              <w:fldChar w:fldCharType="separate"/>
            </w:r>
            <w:r>
              <w:rPr>
                <w:rStyle w:val="46"/>
                <w:rFonts w:hint="eastAsia" w:ascii="宋体" w:hAnsi="宋体"/>
                <w:color w:val="auto"/>
                <w:szCs w:val="21"/>
                <w:highlight w:val="none"/>
              </w:rPr>
              <w:t>）、电子招标投标交易平台</w:t>
            </w:r>
            <w:r>
              <w:rPr>
                <w:rStyle w:val="46"/>
                <w:rFonts w:hint="eastAsia"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14:paraId="3A45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2FF48D2E">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2.3.2</w:t>
            </w:r>
          </w:p>
        </w:tc>
        <w:tc>
          <w:tcPr>
            <w:tcW w:w="1814" w:type="dxa"/>
            <w:gridSpan w:val="2"/>
            <w:tcBorders>
              <w:left w:val="single" w:color="auto" w:sz="4" w:space="0"/>
              <w:right w:val="single" w:color="auto" w:sz="4" w:space="0"/>
            </w:tcBorders>
            <w:vAlign w:val="center"/>
          </w:tcPr>
          <w:p w14:paraId="2DA8CECC">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投标人确认收到招标文件修改的时间</w:t>
            </w:r>
          </w:p>
        </w:tc>
        <w:tc>
          <w:tcPr>
            <w:tcW w:w="6323" w:type="dxa"/>
            <w:gridSpan w:val="4"/>
            <w:tcBorders>
              <w:left w:val="single" w:color="auto" w:sz="4" w:space="0"/>
              <w:right w:val="single" w:color="auto" w:sz="12" w:space="0"/>
            </w:tcBorders>
            <w:vAlign w:val="center"/>
          </w:tcPr>
          <w:p w14:paraId="06D572EC">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bCs/>
                <w:color w:val="auto"/>
                <w:szCs w:val="21"/>
                <w:highlight w:val="none"/>
              </w:rPr>
              <w:t>在</w:t>
            </w:r>
            <w:r>
              <w:rPr>
                <w:rFonts w:hint="eastAsia" w:ascii="宋体" w:hAnsi="宋体"/>
                <w:color w:val="auto"/>
                <w:szCs w:val="21"/>
                <w:highlight w:val="none"/>
              </w:rPr>
              <w:t>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6"/>
                <w:rFonts w:hint="eastAsia" w:ascii="宋体" w:hAnsi="宋体"/>
                <w:color w:val="auto"/>
                <w:szCs w:val="21"/>
                <w:highlight w:val="none"/>
              </w:rPr>
              <w:t>）、电子招标投标交易平台</w:t>
            </w:r>
            <w:r>
              <w:rPr>
                <w:rStyle w:val="46"/>
                <w:rFonts w:hint="eastAsia" w:ascii="宋体" w:hAnsi="宋体"/>
                <w:color w:val="auto"/>
                <w:szCs w:val="21"/>
                <w:highlight w:val="none"/>
              </w:rPr>
              <w:fldChar w:fldCharType="end"/>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rPr>
              <w:t xml:space="preserve">)上自行查询，无需确认。     </w:t>
            </w:r>
          </w:p>
        </w:tc>
      </w:tr>
      <w:tr w14:paraId="51312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2D8C5867">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3.1.1</w:t>
            </w:r>
          </w:p>
        </w:tc>
        <w:tc>
          <w:tcPr>
            <w:tcW w:w="1814" w:type="dxa"/>
            <w:gridSpan w:val="2"/>
            <w:tcBorders>
              <w:left w:val="single" w:color="auto" w:sz="4" w:space="0"/>
              <w:right w:val="single" w:color="auto" w:sz="4" w:space="0"/>
            </w:tcBorders>
            <w:vAlign w:val="center"/>
          </w:tcPr>
          <w:p w14:paraId="53FCB397">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构成投标文件的其他资料</w:t>
            </w:r>
          </w:p>
        </w:tc>
        <w:tc>
          <w:tcPr>
            <w:tcW w:w="6323" w:type="dxa"/>
            <w:gridSpan w:val="4"/>
            <w:tcBorders>
              <w:left w:val="single" w:color="auto" w:sz="4" w:space="0"/>
              <w:right w:val="single" w:color="auto" w:sz="12" w:space="0"/>
            </w:tcBorders>
            <w:vAlign w:val="center"/>
          </w:tcPr>
          <w:p w14:paraId="74D6C8B8">
            <w:pPr>
              <w:adjustRightInd w:val="0"/>
              <w:snapToGrid w:val="0"/>
              <w:spacing w:before="32" w:beforeLines="10" w:afterLines="0" w:line="25" w:lineRule="atLeast"/>
              <w:jc w:val="left"/>
              <w:textAlignment w:val="center"/>
              <w:rPr>
                <w:rFonts w:ascii="宋体" w:hAnsi="宋体"/>
                <w:color w:val="auto"/>
                <w:szCs w:val="21"/>
                <w:highlight w:val="none"/>
                <w:u w:val="single"/>
              </w:rPr>
            </w:pPr>
            <w:r>
              <w:rPr>
                <w:rFonts w:hint="eastAsia" w:ascii="宋体" w:hAnsi="宋体"/>
                <w:color w:val="auto"/>
                <w:szCs w:val="21"/>
                <w:highlight w:val="none"/>
              </w:rPr>
              <w:t>包括但不限于投标文件格式所列要求需提供的证明材料、对评标委员会提出的投标文件有关问题（若有）的澄清函。</w:t>
            </w:r>
          </w:p>
        </w:tc>
      </w:tr>
      <w:tr w14:paraId="1E5E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vAlign w:val="center"/>
          </w:tcPr>
          <w:p w14:paraId="4812ECAB">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3.2.</w:t>
            </w:r>
            <w:r>
              <w:rPr>
                <w:rFonts w:hint="eastAsia" w:ascii="宋体" w:hAnsi="宋体"/>
                <w:color w:val="auto"/>
                <w:kern w:val="0"/>
                <w:szCs w:val="21"/>
                <w:highlight w:val="none"/>
                <w:lang w:val="en-US" w:eastAsia="zh-CN"/>
              </w:rPr>
              <w:t>6</w:t>
            </w:r>
          </w:p>
        </w:tc>
        <w:tc>
          <w:tcPr>
            <w:tcW w:w="1814" w:type="dxa"/>
            <w:gridSpan w:val="2"/>
            <w:tcBorders>
              <w:left w:val="single" w:color="auto" w:sz="4" w:space="0"/>
              <w:right w:val="single" w:color="auto" w:sz="4" w:space="0"/>
            </w:tcBorders>
            <w:vAlign w:val="center"/>
          </w:tcPr>
          <w:p w14:paraId="11678AA4">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szCs w:val="21"/>
                <w:highlight w:val="none"/>
              </w:rPr>
              <w:t>最高投标报价限价</w:t>
            </w:r>
          </w:p>
        </w:tc>
        <w:tc>
          <w:tcPr>
            <w:tcW w:w="6323" w:type="dxa"/>
            <w:gridSpan w:val="4"/>
            <w:tcBorders>
              <w:left w:val="single" w:color="auto" w:sz="4" w:space="0"/>
              <w:right w:val="single" w:color="auto" w:sz="12" w:space="0"/>
            </w:tcBorders>
            <w:vAlign w:val="center"/>
          </w:tcPr>
          <w:p w14:paraId="2F2F02FA">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本招标项目设有最高投标报价限价</w:t>
            </w:r>
            <w:r>
              <w:rPr>
                <w:rFonts w:hint="eastAsia" w:ascii="宋体" w:hAnsi="宋体"/>
                <w:color w:val="auto"/>
                <w:szCs w:val="21"/>
                <w:highlight w:val="none"/>
                <w:u w:val="single"/>
              </w:rPr>
              <w:t xml:space="preserve">         </w:t>
            </w:r>
            <w:r>
              <w:rPr>
                <w:rFonts w:hint="eastAsia" w:ascii="宋体" w:hAnsi="宋体"/>
                <w:color w:val="auto"/>
                <w:szCs w:val="21"/>
                <w:highlight w:val="none"/>
              </w:rPr>
              <w:t>元。投标人投标报价若高于最高投标报价限价，投标文件将做废标处理。</w:t>
            </w:r>
          </w:p>
        </w:tc>
      </w:tr>
      <w:tr w14:paraId="500B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849" w:hRule="atLeast"/>
          <w:jc w:val="center"/>
        </w:trPr>
        <w:tc>
          <w:tcPr>
            <w:tcW w:w="1315" w:type="dxa"/>
            <w:tcBorders>
              <w:left w:val="single" w:color="auto" w:sz="12" w:space="0"/>
              <w:right w:val="single" w:color="auto" w:sz="4" w:space="0"/>
            </w:tcBorders>
            <w:vAlign w:val="center"/>
          </w:tcPr>
          <w:p w14:paraId="5D94CF9E">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3.2.8</w:t>
            </w:r>
          </w:p>
        </w:tc>
        <w:tc>
          <w:tcPr>
            <w:tcW w:w="1814" w:type="dxa"/>
            <w:gridSpan w:val="2"/>
            <w:tcBorders>
              <w:left w:val="single" w:color="auto" w:sz="4" w:space="0"/>
              <w:right w:val="single" w:color="auto" w:sz="4" w:space="0"/>
            </w:tcBorders>
            <w:vAlign w:val="center"/>
          </w:tcPr>
          <w:p w14:paraId="6CAB9335">
            <w:pPr>
              <w:autoSpaceDE/>
              <w:autoSpaceDN/>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报价要求</w:t>
            </w:r>
          </w:p>
        </w:tc>
        <w:tc>
          <w:tcPr>
            <w:tcW w:w="6323" w:type="dxa"/>
            <w:gridSpan w:val="4"/>
            <w:tcBorders>
              <w:left w:val="single" w:color="auto" w:sz="4" w:space="0"/>
              <w:right w:val="single" w:color="auto" w:sz="12" w:space="0"/>
            </w:tcBorders>
            <w:vAlign w:val="center"/>
          </w:tcPr>
          <w:p w14:paraId="59F5F607">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本项目采用以下方式确定承包合同价格：</w:t>
            </w:r>
          </w:p>
          <w:p w14:paraId="63AE02F3">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u w:val="single"/>
              </w:rPr>
            </w:pPr>
            <w:r>
              <w:rPr>
                <w:rFonts w:hint="eastAsia" w:ascii="宋体" w:hAnsi="宋体"/>
                <w:color w:val="auto"/>
                <w:szCs w:val="21"/>
                <w:highlight w:val="none"/>
              </w:rPr>
              <w:t>□固定总价合同：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3094804F">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□固定单价合同：</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14:paraId="06E454E2">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color w:val="auto"/>
                <w:szCs w:val="21"/>
                <w:highlight w:val="none"/>
              </w:rPr>
              <w:t>报价其他要求：</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tc>
      </w:tr>
      <w:tr w14:paraId="2501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0B44F200">
            <w:pPr>
              <w:autoSpaceDE/>
              <w:autoSpaceDN/>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kern w:val="0"/>
                <w:szCs w:val="21"/>
                <w:highlight w:val="none"/>
              </w:rPr>
              <w:t>3.3.1</w:t>
            </w:r>
          </w:p>
        </w:tc>
        <w:tc>
          <w:tcPr>
            <w:tcW w:w="1814" w:type="dxa"/>
            <w:gridSpan w:val="2"/>
            <w:tcBorders>
              <w:left w:val="single" w:color="auto" w:sz="4" w:space="0"/>
              <w:right w:val="single" w:color="auto" w:sz="4" w:space="0"/>
            </w:tcBorders>
            <w:vAlign w:val="center"/>
          </w:tcPr>
          <w:p w14:paraId="60878505">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color w:val="auto"/>
                <w:szCs w:val="21"/>
                <w:highlight w:val="none"/>
              </w:rPr>
              <w:t>投标有效期</w:t>
            </w:r>
          </w:p>
        </w:tc>
        <w:tc>
          <w:tcPr>
            <w:tcW w:w="6323" w:type="dxa"/>
            <w:gridSpan w:val="4"/>
            <w:tcBorders>
              <w:left w:val="single" w:color="auto" w:sz="4" w:space="0"/>
              <w:right w:val="single" w:color="auto" w:sz="12" w:space="0"/>
            </w:tcBorders>
            <w:vAlign w:val="center"/>
          </w:tcPr>
          <w:p w14:paraId="387D34D7">
            <w:pPr>
              <w:adjustRightInd w:val="0"/>
              <w:snapToGrid w:val="0"/>
              <w:spacing w:before="32" w:beforeLines="10" w:afterLines="0" w:line="25" w:lineRule="atLeast"/>
              <w:ind w:firstLine="420" w:firstLineChars="200"/>
              <w:rPr>
                <w:rFonts w:ascii="宋体" w:hAnsi="宋体" w:cs="宋体"/>
                <w:color w:val="auto"/>
                <w:szCs w:val="21"/>
                <w:highlight w:val="none"/>
              </w:rPr>
            </w:pPr>
            <w:r>
              <w:rPr>
                <w:rFonts w:hint="eastAsia" w:ascii="宋体" w:hAnsi="宋体"/>
                <w:color w:val="auto"/>
                <w:szCs w:val="21"/>
                <w:highlight w:val="none"/>
              </w:rPr>
              <w:t xml:space="preserve">自开标之日起       天         </w:t>
            </w:r>
          </w:p>
        </w:tc>
      </w:tr>
      <w:tr w14:paraId="2D80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785D654A">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3.4.1</w:t>
            </w:r>
          </w:p>
        </w:tc>
        <w:tc>
          <w:tcPr>
            <w:tcW w:w="1814" w:type="dxa"/>
            <w:gridSpan w:val="2"/>
            <w:tcBorders>
              <w:left w:val="single" w:color="auto" w:sz="4" w:space="0"/>
              <w:right w:val="single" w:color="auto" w:sz="4" w:space="0"/>
            </w:tcBorders>
            <w:vAlign w:val="center"/>
          </w:tcPr>
          <w:p w14:paraId="4C869BFA">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投标保证金（投标保证金按照项目估算价的2%计算，最高不得超过80万元）</w:t>
            </w:r>
          </w:p>
        </w:tc>
        <w:tc>
          <w:tcPr>
            <w:tcW w:w="6323" w:type="dxa"/>
            <w:gridSpan w:val="4"/>
            <w:tcBorders>
              <w:left w:val="single" w:color="auto" w:sz="4" w:space="0"/>
              <w:right w:val="single" w:color="auto" w:sz="12" w:space="0"/>
            </w:tcBorders>
            <w:vAlign w:val="center"/>
          </w:tcPr>
          <w:p w14:paraId="6C2C3594">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不要求。</w:t>
            </w:r>
          </w:p>
          <w:p w14:paraId="53CFEF36">
            <w:pPr>
              <w:wordWrap w:val="0"/>
              <w:adjustRightInd w:val="0"/>
              <w:snapToGrid w:val="0"/>
              <w:spacing w:before="32" w:beforeLines="10" w:afterLines="0" w:line="25" w:lineRule="atLeast"/>
              <w:ind w:firstLine="420" w:firstLineChars="200"/>
              <w:rPr>
                <w:rFonts w:hint="eastAsia" w:ascii="宋体" w:hAnsi="宋体" w:eastAsia="宋体" w:cs="宋体"/>
                <w:color w:val="auto"/>
                <w:szCs w:val="21"/>
                <w:highlight w:val="none"/>
                <w:shd w:val="clear" w:color="auto" w:fill="auto"/>
                <w:lang w:eastAsia="zh-CN"/>
              </w:rPr>
            </w:pPr>
            <w:r>
              <w:rPr>
                <w:rFonts w:hint="eastAsia" w:ascii="宋体" w:hAnsi="宋体"/>
                <w:color w:val="auto"/>
                <w:szCs w:val="21"/>
                <w:highlight w:val="none"/>
              </w:rPr>
              <w:t>□</w:t>
            </w:r>
            <w:r>
              <w:rPr>
                <w:rFonts w:hint="eastAsia" w:ascii="宋体" w:hAnsi="宋体" w:cs="宋体"/>
                <w:color w:val="auto"/>
                <w:szCs w:val="21"/>
                <w:highlight w:val="none"/>
                <w:shd w:val="clear" w:color="auto" w:fill="auto"/>
              </w:rPr>
              <w:t>要求</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投标保证金为人民币</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w:t>
            </w:r>
            <w:r>
              <w:rPr>
                <w:rFonts w:hint="eastAsia" w:ascii="宋体" w:hAnsi="宋体" w:cs="宋体"/>
                <w:color w:val="auto"/>
                <w:szCs w:val="21"/>
                <w:highlight w:val="none"/>
                <w:shd w:val="clear" w:color="auto" w:fill="auto"/>
                <w:lang w:eastAsia="zh-CN"/>
              </w:rPr>
              <w:t>。</w:t>
            </w:r>
          </w:p>
          <w:p w14:paraId="436751CA">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rPr>
              <w:t>本招标项目</w:t>
            </w:r>
            <w:r>
              <w:rPr>
                <w:rFonts w:hint="eastAsia" w:ascii="宋体" w:hAnsi="宋体" w:cs="宋体"/>
                <w:color w:val="auto"/>
                <w:szCs w:val="21"/>
                <w:highlight w:val="none"/>
                <w:u w:val="single"/>
                <w:shd w:val="clear" w:color="auto" w:fill="auto"/>
              </w:rPr>
              <w:t>□ 不接受  □ 接受</w:t>
            </w:r>
            <w:r>
              <w:rPr>
                <w:rFonts w:hint="eastAsia" w:ascii="宋体" w:hAnsi="宋体" w:cs="宋体"/>
                <w:color w:val="auto"/>
                <w:szCs w:val="21"/>
                <w:highlight w:val="none"/>
                <w:shd w:val="clear" w:color="auto" w:fill="auto"/>
              </w:rPr>
              <w:t>投标截止时没有被列为招投标重点监管对象的投标人投标保证金减缴：</w:t>
            </w:r>
          </w:p>
          <w:p w14:paraId="0A971C48">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olor w:val="auto"/>
                <w:szCs w:val="21"/>
                <w:highlight w:val="none"/>
              </w:rPr>
              <w:t>□</w:t>
            </w:r>
            <w:r>
              <w:rPr>
                <w:rFonts w:hint="eastAsia" w:ascii="宋体" w:hAnsi="宋体"/>
                <w:snapToGrid w:val="0"/>
                <w:color w:val="auto"/>
                <w:kern w:val="0"/>
                <w:szCs w:val="21"/>
                <w:highlight w:val="none"/>
              </w:rPr>
              <w:t>水运项目：</w:t>
            </w:r>
            <w:r>
              <w:rPr>
                <w:rFonts w:hint="eastAsia" w:ascii="宋体" w:hAnsi="宋体" w:cs="宋体"/>
                <w:color w:val="auto"/>
                <w:szCs w:val="21"/>
                <w:highlight w:val="none"/>
                <w:shd w:val="clear" w:color="auto" w:fill="auto"/>
              </w:rPr>
              <w:t>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14:paraId="65E57957">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hint="eastAsia" w:ascii="宋体" w:hAnsi="宋体"/>
                <w:color w:val="auto"/>
                <w:szCs w:val="21"/>
                <w:highlight w:val="none"/>
              </w:rPr>
              <w:t>□</w:t>
            </w:r>
            <w:r>
              <w:rPr>
                <w:rFonts w:hint="eastAsia" w:ascii="宋体" w:hAnsi="宋体"/>
                <w:snapToGrid w:val="0"/>
                <w:color w:val="auto"/>
                <w:kern w:val="0"/>
                <w:szCs w:val="21"/>
                <w:highlight w:val="none"/>
              </w:rPr>
              <w:t>涉海项目：</w:t>
            </w:r>
          </w:p>
          <w:p w14:paraId="0F8CDEA7">
            <w:pPr>
              <w:wordWrap w:val="0"/>
              <w:adjustRightInd w:val="0"/>
              <w:snapToGrid w:val="0"/>
              <w:spacing w:before="32" w:beforeLines="10" w:afterLines="0" w:line="25" w:lineRule="atLeas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投</w:t>
            </w:r>
            <w:r>
              <w:rPr>
                <w:rFonts w:hint="eastAsia" w:ascii="宋体" w:hAnsi="宋体" w:cs="宋体"/>
                <w:color w:val="auto"/>
                <w:szCs w:val="21"/>
                <w:highlight w:val="none"/>
                <w:shd w:val="clear" w:color="auto" w:fill="auto"/>
              </w:rPr>
              <w:t>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 xml:space="preserve">为 </w:t>
            </w:r>
            <w:r>
              <w:rPr>
                <w:rFonts w:hint="eastAsia" w:ascii="宋体" w:hAnsi="宋体" w:cs="宋体"/>
                <w:color w:val="auto"/>
                <w:szCs w:val="21"/>
                <w:highlight w:val="none"/>
                <w:shd w:val="clear" w:color="auto" w:fill="auto"/>
                <w:lang w:val="en-US" w:eastAsia="zh-CN"/>
              </w:rPr>
              <w:t>A</w:t>
            </w:r>
            <w:r>
              <w:rPr>
                <w:rFonts w:hint="eastAsia" w:ascii="宋体" w:hAnsi="宋体" w:cs="宋体"/>
                <w:color w:val="auto"/>
                <w:szCs w:val="21"/>
                <w:highlight w:val="none"/>
                <w:shd w:val="clear" w:color="auto" w:fill="auto"/>
              </w:rPr>
              <w:t>A级的，缴交投标保证金为招标文件要求金额的50%，即（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万元人民币）；投标人最近期</w:t>
            </w:r>
            <w:r>
              <w:rPr>
                <w:rFonts w:hint="eastAsia"/>
                <w:color w:val="auto"/>
                <w:sz w:val="21"/>
                <w:szCs w:val="21"/>
                <w:highlight w:val="none"/>
                <w:shd w:val="clear" w:color="auto" w:fill="auto"/>
                <w:lang w:val="en-US" w:eastAsia="zh-CN"/>
              </w:rPr>
              <w:t>福建省交通建设市场信用考核评价结果</w:t>
            </w:r>
            <w:r>
              <w:rPr>
                <w:rFonts w:hint="eastAsia" w:ascii="宋体" w:hAnsi="宋体" w:cs="宋体"/>
                <w:color w:val="auto"/>
                <w:szCs w:val="21"/>
                <w:highlight w:val="none"/>
                <w:shd w:val="clear" w:color="auto" w:fill="auto"/>
              </w:rPr>
              <w:t>为</w:t>
            </w:r>
            <w:r>
              <w:rPr>
                <w:rFonts w:hint="eastAsia" w:ascii="宋体" w:hAnsi="宋体" w:cs="宋体"/>
                <w:color w:val="auto"/>
                <w:szCs w:val="21"/>
                <w:highlight w:val="none"/>
                <w:shd w:val="clear" w:color="auto" w:fill="auto"/>
                <w:lang w:eastAsia="zh-CN"/>
              </w:rPr>
              <w:t>A</w:t>
            </w:r>
            <w:r>
              <w:rPr>
                <w:rFonts w:hint="eastAsia" w:ascii="宋体" w:hAnsi="宋体" w:cs="宋体"/>
                <w:color w:val="auto"/>
                <w:szCs w:val="21"/>
                <w:highlight w:val="none"/>
                <w:shd w:val="clear" w:color="auto" w:fill="auto"/>
              </w:rPr>
              <w:t>级的，缴交投标保证金为招标文件要求金额的75%，即（</w:t>
            </w:r>
            <w:r>
              <w:rPr>
                <w:rFonts w:hint="eastAsia" w:ascii="宋体" w:hAnsi="宋体" w:cs="宋体"/>
                <w:color w:val="auto"/>
                <w:szCs w:val="21"/>
                <w:highlight w:val="none"/>
                <w:u w:val="single"/>
                <w:shd w:val="clear" w:color="auto" w:fill="auto"/>
              </w:rPr>
              <w:t xml:space="preserve">     </w:t>
            </w:r>
            <w:r>
              <w:rPr>
                <w:rFonts w:hint="eastAsia" w:ascii="宋体" w:hAnsi="宋体" w:cs="宋体"/>
                <w:color w:val="auto"/>
                <w:szCs w:val="21"/>
                <w:highlight w:val="none"/>
                <w:shd w:val="clear" w:color="auto" w:fill="auto"/>
              </w:rPr>
              <w:t>万元人民币）。</w:t>
            </w:r>
          </w:p>
          <w:p w14:paraId="65F454C8">
            <w:pPr>
              <w:pStyle w:val="8"/>
              <w:adjustRightInd w:val="0"/>
              <w:snapToGrid w:val="0"/>
              <w:spacing w:before="32" w:beforeLines="10" w:afterLines="0" w:line="25" w:lineRule="atLeast"/>
              <w:ind w:firstLineChars="200"/>
              <w:rPr>
                <w:color w:val="auto"/>
                <w:highlight w:val="none"/>
              </w:rPr>
            </w:pPr>
            <w:r>
              <w:rPr>
                <w:rFonts w:hint="eastAsia" w:hAnsi="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投标人最近期厦门市建筑施工企业信用综合评价等级为 A 级的，缴交投标保证金为招标文件要求金额的50%，即（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万元人民币）；投标人最近期厦门市建筑施工企业信用综合评价等级为 BB+级的，缴交投标保证金为招标文件要求金额的75%，即（</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万元人民币）。</w:t>
            </w:r>
          </w:p>
          <w:p w14:paraId="5F3B4735">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按照投标人须知前附表第1.4.2项第1条组成联合体投标的，以联合体协议书确定联合体投标人的信用综合评价等级；按照投标人须知前附表第1.4.2项第</w:t>
            </w:r>
            <w:r>
              <w:rPr>
                <w:rFonts w:hint="eastAsia" w:ascii="宋体" w:hAnsi="宋体" w:cs="宋体"/>
                <w:color w:val="auto"/>
                <w:szCs w:val="21"/>
                <w:highlight w:val="none"/>
                <w:shd w:val="clear" w:color="auto" w:fill="auto"/>
                <w:lang w:eastAsia="zh-CN"/>
              </w:rPr>
              <w:t>2</w:t>
            </w:r>
            <w:r>
              <w:rPr>
                <w:rFonts w:hint="eastAsia" w:ascii="宋体" w:hAnsi="宋体" w:cs="宋体"/>
                <w:color w:val="auto"/>
                <w:szCs w:val="21"/>
                <w:highlight w:val="none"/>
                <w:shd w:val="clear" w:color="auto" w:fill="auto"/>
              </w:rPr>
              <w:t>条组成联合体投标的，以联合体</w:t>
            </w:r>
            <w:r>
              <w:rPr>
                <w:rFonts w:hint="eastAsia" w:ascii="宋体" w:hAnsi="宋体" w:cs="宋体"/>
                <w:color w:val="auto"/>
                <w:szCs w:val="21"/>
                <w:highlight w:val="none"/>
                <w:shd w:val="clear" w:color="auto" w:fill="auto"/>
                <w:lang w:val="en-US" w:eastAsia="zh-CN"/>
              </w:rPr>
              <w:t>牵头人</w:t>
            </w:r>
            <w:r>
              <w:rPr>
                <w:rFonts w:hint="eastAsia" w:ascii="宋体" w:hAnsi="宋体" w:cs="宋体"/>
                <w:color w:val="auto"/>
                <w:szCs w:val="21"/>
                <w:highlight w:val="none"/>
                <w:shd w:val="clear" w:color="auto" w:fill="auto"/>
              </w:rPr>
              <w:t>确定联合体投标人的信用综合评价等级。</w:t>
            </w:r>
          </w:p>
          <w:p w14:paraId="2A202705">
            <w:pPr>
              <w:wordWrap/>
              <w:adjustRightInd w:val="0"/>
              <w:snapToGrid w:val="0"/>
              <w:spacing w:before="32" w:beforeLines="10" w:afterLines="0" w:line="25" w:lineRule="atLeast"/>
              <w:ind w:firstLine="420" w:firstLineChars="200"/>
              <w:textAlignment w:val="auto"/>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rPr>
              <w:t>投标人可选择下列其中一种投标保证金形式</w:t>
            </w:r>
            <w:r>
              <w:rPr>
                <w:rStyle w:val="48"/>
                <w:rFonts w:hint="eastAsia" w:ascii="宋体" w:hAnsi="宋体" w:cs="宋体"/>
                <w:color w:val="auto"/>
                <w:szCs w:val="21"/>
                <w:highlight w:val="none"/>
                <w:shd w:val="clear" w:color="auto" w:fill="auto"/>
              </w:rPr>
              <w:footnoteReference w:id="4"/>
            </w:r>
            <w:r>
              <w:rPr>
                <w:rFonts w:hint="eastAsia" w:ascii="宋体" w:hAnsi="宋体" w:cs="宋体"/>
                <w:color w:val="auto"/>
                <w:szCs w:val="21"/>
                <w:highlight w:val="none"/>
                <w:shd w:val="clear" w:color="auto" w:fill="auto"/>
              </w:rPr>
              <w:t>：</w:t>
            </w:r>
            <w:r>
              <w:rPr>
                <w:rFonts w:hint="eastAsia" w:ascii="宋体" w:hAnsi="宋体" w:cs="宋体"/>
                <w:color w:val="auto"/>
                <w:sz w:val="21"/>
                <w:szCs w:val="21"/>
                <w:highlight w:val="none"/>
                <w:u w:val="single"/>
                <w:lang w:val="en-US" w:eastAsia="zh-CN"/>
              </w:rPr>
              <w:t>本</w:t>
            </w:r>
            <w:r>
              <w:rPr>
                <w:rFonts w:hint="eastAsia" w:cs="宋体"/>
                <w:color w:val="auto"/>
                <w:sz w:val="21"/>
                <w:szCs w:val="21"/>
                <w:highlight w:val="none"/>
                <w:u w:val="single"/>
                <w:lang w:val="en-US" w:eastAsia="zh-CN"/>
              </w:rPr>
              <w:t>招标</w:t>
            </w:r>
            <w:r>
              <w:rPr>
                <w:rFonts w:hint="eastAsia" w:ascii="宋体" w:hAnsi="宋体" w:cs="宋体"/>
                <w:color w:val="auto"/>
                <w:sz w:val="21"/>
                <w:szCs w:val="21"/>
                <w:highlight w:val="none"/>
                <w:u w:val="single"/>
                <w:lang w:val="en-US" w:eastAsia="zh-CN"/>
              </w:rPr>
              <w:t>项目投标截止时没有被列为招投标重点监管对象的投标人可以使用下列第</w:t>
            </w:r>
            <w:r>
              <w:rPr>
                <w:rFonts w:hint="eastAsia" w:cs="宋体"/>
                <w:color w:val="auto"/>
                <w:sz w:val="21"/>
                <w:szCs w:val="21"/>
                <w:highlight w:val="none"/>
                <w:u w:val="single"/>
                <w:lang w:val="en-US" w:eastAsia="zh-CN"/>
              </w:rPr>
              <w:t>□①、□②、□③、□④、□⑤、□⑥</w:t>
            </w:r>
            <w:r>
              <w:rPr>
                <w:rFonts w:hint="eastAsia" w:ascii="宋体" w:hAnsi="宋体" w:cs="宋体"/>
                <w:color w:val="auto"/>
                <w:sz w:val="21"/>
                <w:szCs w:val="21"/>
                <w:highlight w:val="none"/>
                <w:u w:val="single"/>
                <w:lang w:val="en-US" w:eastAsia="zh-CN"/>
              </w:rPr>
              <w:t>种形式提交；本</w:t>
            </w:r>
            <w:r>
              <w:rPr>
                <w:rFonts w:hint="eastAsia" w:cs="宋体"/>
                <w:color w:val="auto"/>
                <w:sz w:val="21"/>
                <w:szCs w:val="21"/>
                <w:highlight w:val="none"/>
                <w:u w:val="single"/>
                <w:lang w:val="en-US" w:eastAsia="zh-CN"/>
              </w:rPr>
              <w:t>招标</w:t>
            </w:r>
            <w:r>
              <w:rPr>
                <w:rFonts w:hint="eastAsia" w:ascii="宋体" w:hAnsi="宋体" w:cs="宋体"/>
                <w:color w:val="auto"/>
                <w:sz w:val="21"/>
                <w:szCs w:val="21"/>
                <w:highlight w:val="none"/>
                <w:u w:val="single"/>
                <w:lang w:val="en-US" w:eastAsia="zh-CN"/>
              </w:rPr>
              <w:t>项目投标截止时仍被列为招投标重点监管对象的投标人，仅限于使用第</w:t>
            </w:r>
            <w:r>
              <w:rPr>
                <w:rFonts w:hint="eastAsia" w:cs="宋体"/>
                <w:color w:val="auto"/>
                <w:sz w:val="21"/>
                <w:szCs w:val="21"/>
                <w:highlight w:val="none"/>
                <w:u w:val="single"/>
                <w:lang w:val="en-US" w:eastAsia="zh-CN"/>
              </w:rPr>
              <w:t>①</w:t>
            </w:r>
            <w:r>
              <w:rPr>
                <w:rFonts w:hint="eastAsia" w:ascii="宋体" w:hAnsi="宋体" w:cs="宋体"/>
                <w:color w:val="auto"/>
                <w:sz w:val="21"/>
                <w:szCs w:val="21"/>
                <w:highlight w:val="none"/>
                <w:u w:val="single"/>
                <w:lang w:val="en-US" w:eastAsia="zh-CN"/>
              </w:rPr>
              <w:t>种形式提交。招投标重点监管对象名单通过福建省公共资源电子行政监督平台查询</w:t>
            </w:r>
            <w:r>
              <w:rPr>
                <w:rFonts w:hint="eastAsia" w:cs="宋体"/>
                <w:color w:val="auto"/>
                <w:sz w:val="21"/>
                <w:szCs w:val="21"/>
                <w:highlight w:val="none"/>
                <w:u w:val="single"/>
              </w:rPr>
              <w:t>。</w:t>
            </w:r>
          </w:p>
          <w:p w14:paraId="772B792B">
            <w:pPr>
              <w:wordWrap w:val="0"/>
              <w:adjustRightInd w:val="0"/>
              <w:snapToGrid w:val="0"/>
              <w:spacing w:before="32" w:beforeLines="10" w:afterLines="0" w:line="25" w:lineRule="atLeast"/>
              <w:ind w:firstLine="210" w:firstLineChars="100"/>
              <w:rPr>
                <w:rFonts w:hint="eastAsia" w:ascii="宋体" w:hAnsi="宋体" w:eastAsia="宋体" w:cs="宋体"/>
                <w:color w:val="auto"/>
                <w:szCs w:val="21"/>
                <w:highlight w:val="none"/>
                <w:u w:val="single"/>
                <w:shd w:val="clear" w:color="auto" w:fill="auto"/>
                <w:lang w:val="en-US" w:eastAsia="zh-CN"/>
              </w:rPr>
            </w:pPr>
            <w:r>
              <w:rPr>
                <w:rFonts w:hint="eastAsia" w:ascii="宋体" w:hAnsi="宋体" w:cs="宋体"/>
                <w:color w:val="auto"/>
                <w:szCs w:val="21"/>
                <w:highlight w:val="none"/>
                <w:u w:val="single"/>
                <w:shd w:val="clear" w:color="auto" w:fill="auto"/>
                <w:lang w:val="en-US" w:eastAsia="zh-CN"/>
              </w:rPr>
              <w:t>①</w:t>
            </w:r>
            <w:r>
              <w:rPr>
                <w:rFonts w:hint="eastAsia" w:ascii="宋体" w:hAnsi="宋体" w:cs="宋体"/>
                <w:color w:val="auto"/>
                <w:szCs w:val="21"/>
                <w:highlight w:val="none"/>
                <w:u w:val="single"/>
                <w:shd w:val="clear" w:color="auto" w:fill="auto"/>
              </w:rPr>
              <w:t>采用现金</w:t>
            </w:r>
            <w:r>
              <w:rPr>
                <w:rFonts w:hint="eastAsia" w:ascii="宋体" w:hAnsi="宋体" w:cs="宋体"/>
                <w:color w:val="auto"/>
                <w:szCs w:val="21"/>
                <w:highlight w:val="none"/>
                <w:u w:val="single"/>
                <w:shd w:val="clear" w:color="auto" w:fill="auto"/>
                <w:lang w:val="en-US" w:eastAsia="zh-CN"/>
              </w:rPr>
              <w:t>形式</w:t>
            </w:r>
          </w:p>
          <w:p w14:paraId="6E216AE8">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应在投标截止时间之前从投标人所在地银行的投标人企业基本账户以电汇或银行转账的形式，汇到招标文件指定的投标保证金账户，并应在电汇或银行转账单上注明</w:t>
            </w:r>
            <w:r>
              <w:rPr>
                <w:rFonts w:hint="eastAsia" w:ascii="宋体" w:hAnsi="宋体" w:cs="宋体"/>
                <w:color w:val="auto"/>
                <w:szCs w:val="21"/>
                <w:highlight w:val="none"/>
                <w:u w:val="single"/>
                <w:shd w:val="clear" w:color="auto" w:fill="auto"/>
              </w:rPr>
              <w:t xml:space="preserve">    （招标项目编号）</w:t>
            </w:r>
            <w:r>
              <w:rPr>
                <w:rFonts w:hint="eastAsia" w:ascii="宋体" w:hAnsi="宋体" w:cs="宋体"/>
                <w:color w:val="auto"/>
                <w:szCs w:val="21"/>
                <w:highlight w:val="none"/>
                <w:shd w:val="clear" w:color="auto" w:fill="auto"/>
              </w:rPr>
              <w:t>，如因投标人汇款凭证未注明招标项目编号造成银行无法识别投标保证金到账情况或识别错误的，其责任由投标人自行承担。招标人在投标截止的同一时间到银行查询投标保证金到账情况，并以银行出具的加盖公章的投标保证金到账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w:t>
            </w:r>
            <w:r>
              <w:rPr>
                <w:rFonts w:hint="eastAsia" w:ascii="宋体" w:hAnsi="宋体" w:cs="宋体"/>
                <w:b w:val="0"/>
                <w:bCs/>
                <w:color w:val="auto"/>
                <w:szCs w:val="21"/>
                <w:highlight w:val="none"/>
              </w:rPr>
              <w:t>应否决其投标</w:t>
            </w:r>
            <w:r>
              <w:rPr>
                <w:rFonts w:hint="eastAsia" w:ascii="宋体" w:hAnsi="宋体" w:cs="宋体"/>
                <w:color w:val="auto"/>
                <w:szCs w:val="21"/>
                <w:highlight w:val="none"/>
                <w:shd w:val="clear" w:color="auto" w:fill="auto"/>
              </w:rPr>
              <w:t>。</w:t>
            </w:r>
          </w:p>
          <w:p w14:paraId="48F1218C">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投标保证金银行</w:t>
            </w:r>
            <w:r>
              <w:rPr>
                <w:rFonts w:hint="eastAsia" w:cs="宋体"/>
                <w:color w:val="auto"/>
                <w:sz w:val="21"/>
                <w:szCs w:val="21"/>
                <w:highlight w:val="none"/>
                <w:lang w:eastAsia="zh-CN"/>
              </w:rPr>
              <w:t>账</w:t>
            </w:r>
            <w:r>
              <w:rPr>
                <w:rFonts w:hint="eastAsia" w:cs="宋体"/>
                <w:color w:val="auto"/>
                <w:sz w:val="21"/>
                <w:szCs w:val="21"/>
                <w:highlight w:val="none"/>
              </w:rPr>
              <w:t>号：</w:t>
            </w:r>
          </w:p>
          <w:p w14:paraId="65354144">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开户银行：</w:t>
            </w:r>
            <w:r>
              <w:rPr>
                <w:rFonts w:hint="eastAsia" w:cs="宋体"/>
                <w:color w:val="auto"/>
                <w:sz w:val="21"/>
                <w:szCs w:val="21"/>
                <w:highlight w:val="none"/>
                <w:u w:val="single"/>
              </w:rPr>
              <w:t>中国农业银行股份有限公司厦门政务中心支行</w:t>
            </w:r>
          </w:p>
          <w:p w14:paraId="24869246">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户名称：</w:t>
            </w:r>
            <w:r>
              <w:rPr>
                <w:rFonts w:hint="eastAsia" w:cs="宋体"/>
                <w:color w:val="auto"/>
                <w:sz w:val="21"/>
                <w:szCs w:val="21"/>
                <w:highlight w:val="none"/>
                <w:u w:val="single"/>
              </w:rPr>
              <w:t xml:space="preserve">厦门市公共资源交易中心 </w:t>
            </w:r>
          </w:p>
          <w:p w14:paraId="42BCB99F">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lang w:eastAsia="zh-CN"/>
              </w:rPr>
              <w:t>账</w:t>
            </w:r>
            <w:r>
              <w:rPr>
                <w:rFonts w:hint="eastAsia" w:cs="宋体"/>
                <w:color w:val="auto"/>
                <w:sz w:val="21"/>
                <w:szCs w:val="21"/>
                <w:highlight w:val="none"/>
              </w:rPr>
              <w:t xml:space="preserve">    号：</w:t>
            </w:r>
            <w:r>
              <w:rPr>
                <w:rFonts w:hint="eastAsia" w:cs="宋体"/>
                <w:color w:val="auto"/>
                <w:sz w:val="21"/>
                <w:szCs w:val="21"/>
                <w:highlight w:val="none"/>
                <w:u w:val="single"/>
              </w:rPr>
              <w:t xml:space="preserve">                       </w:t>
            </w:r>
          </w:p>
          <w:p w14:paraId="5F126663">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银行存款利率类型为：银行存款同期活期利率，并从投标截止当日开始计息。</w:t>
            </w:r>
          </w:p>
          <w:p w14:paraId="20E8A6B9">
            <w:pPr>
              <w:keepNext w:val="0"/>
              <w:keepLines w:val="0"/>
              <w:pageBreakBefore w:val="0"/>
              <w:kinsoku/>
              <w:wordWrap/>
              <w:overflowPunct/>
              <w:topLinePunct w:val="0"/>
              <w:bidi w:val="0"/>
              <w:adjustRightInd w:val="0"/>
              <w:snapToGrid w:val="0"/>
              <w:spacing w:before="32" w:beforeLines="10" w:afterLines="0" w:line="25"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利息部分应出具发票的类型为：</w:t>
            </w:r>
            <w:r>
              <w:rPr>
                <w:rFonts w:hint="eastAsia" w:ascii="宋体" w:hAnsi="宋体" w:cs="宋体"/>
                <w:color w:val="auto"/>
                <w:szCs w:val="21"/>
                <w:highlight w:val="none"/>
                <w:u w:val="single"/>
              </w:rPr>
              <w:t>税务发票</w:t>
            </w:r>
            <w:r>
              <w:rPr>
                <w:rFonts w:hint="eastAsia" w:ascii="宋体" w:hAnsi="宋体" w:cs="宋体"/>
                <w:color w:val="auto"/>
                <w:szCs w:val="21"/>
                <w:highlight w:val="none"/>
              </w:rPr>
              <w:t>。</w:t>
            </w:r>
          </w:p>
          <w:p w14:paraId="02DFDC9B">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②银行保函形式：</w:t>
            </w:r>
            <w:r>
              <w:rPr>
                <w:rFonts w:hint="eastAsia" w:cs="宋体"/>
                <w:color w:val="auto"/>
                <w:sz w:val="21"/>
                <w:szCs w:val="21"/>
                <w:highlight w:val="none"/>
                <w:u w:val="single"/>
              </w:rPr>
              <w:t>投标人须在投标截止时间前按厦建筑〔2019〕41 号规定要求自行办妥电子投标保函手续；银行电子保函应注明项目名称，保函额度等信息，电子保函额度不少于招标文件规定的金额。</w:t>
            </w:r>
          </w:p>
          <w:p w14:paraId="0733601E">
            <w:pPr>
              <w:pageBreakBefore w:val="0"/>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rPr>
            </w:pPr>
            <w:r>
              <w:rPr>
                <w:rFonts w:hint="eastAsia" w:cs="宋体"/>
                <w:color w:val="auto"/>
                <w:sz w:val="21"/>
                <w:szCs w:val="21"/>
                <w:highlight w:val="none"/>
              </w:rPr>
              <w:t>③工程担保公司出具的担保保函形式：</w:t>
            </w:r>
            <w:r>
              <w:rPr>
                <w:rFonts w:hint="eastAsia" w:cs="宋体"/>
                <w:color w:val="auto"/>
                <w:sz w:val="21"/>
                <w:szCs w:val="21"/>
                <w:highlight w:val="none"/>
                <w:u w:val="single"/>
              </w:rPr>
              <w:t>投标人须在投标截止时间前按厦建筑〔2019〕41 号规定要求自行办妥电子投标保函手续；电子工程担保保函应注明项目名称，保函额度等信息，电子担保保函额度不少于招标文件规定的金额。</w:t>
            </w:r>
          </w:p>
          <w:p w14:paraId="583880B5">
            <w:pPr>
              <w:pageBreakBefore w:val="0"/>
              <w:widowControl/>
              <w:kinsoku/>
              <w:wordWrap/>
              <w:overflowPunct/>
              <w:topLinePunct w:val="0"/>
              <w:bidi w:val="0"/>
              <w:adjustRightInd w:val="0"/>
              <w:snapToGrid w:val="0"/>
              <w:spacing w:before="32" w:beforeLines="10" w:afterLines="0" w:line="25" w:lineRule="atLeast"/>
              <w:ind w:firstLine="420" w:firstLineChars="200"/>
              <w:rPr>
                <w:rFonts w:hint="eastAsia" w:cs="宋体"/>
                <w:color w:val="auto"/>
                <w:sz w:val="21"/>
                <w:szCs w:val="21"/>
                <w:highlight w:val="none"/>
                <w:u w:val="single"/>
              </w:rPr>
            </w:pPr>
            <w:r>
              <w:rPr>
                <w:rFonts w:hint="eastAsia" w:cs="宋体"/>
                <w:color w:val="auto"/>
                <w:kern w:val="2"/>
                <w:sz w:val="21"/>
                <w:szCs w:val="21"/>
                <w:highlight w:val="none"/>
              </w:rPr>
              <w:t>④保险公司出具的投标保证保险形式：</w:t>
            </w:r>
            <w:r>
              <w:rPr>
                <w:rFonts w:hint="eastAsia" w:cs="宋体"/>
                <w:color w:val="auto"/>
                <w:sz w:val="21"/>
                <w:szCs w:val="21"/>
                <w:highlight w:val="none"/>
                <w:u w:val="single"/>
              </w:rPr>
              <w:t>投标保证保险应为先行赔付、后续追偿的见索即付保单。保险条款须经</w:t>
            </w:r>
            <w:r>
              <w:rPr>
                <w:rFonts w:hint="eastAsia" w:ascii="宋体" w:cs="宋体"/>
                <w:b w:val="0"/>
                <w:bCs/>
                <w:iCs/>
                <w:color w:val="auto"/>
                <w:sz w:val="21"/>
                <w:szCs w:val="21"/>
                <w:highlight w:val="none"/>
                <w:u w:val="single"/>
                <w:lang w:val="en-US"/>
              </w:rPr>
              <w:t>国家金融监督管理总局</w:t>
            </w:r>
            <w:r>
              <w:rPr>
                <w:rFonts w:hint="eastAsia" w:cs="宋体"/>
                <w:color w:val="auto"/>
                <w:sz w:val="21"/>
                <w:szCs w:val="21"/>
                <w:highlight w:val="none"/>
                <w:u w:val="single"/>
              </w:rPr>
              <w:t>批准或备案。保险人应在保单中的特别约定条款中注明以下责任，如无注明则视为无效保单：</w:t>
            </w:r>
          </w:p>
          <w:p w14:paraId="48683C11">
            <w:pPr>
              <w:pageBreakBefore w:val="0"/>
              <w:widowControl/>
              <w:kinsoku/>
              <w:wordWrap/>
              <w:overflowPunct/>
              <w:topLinePunct w:val="0"/>
              <w:bidi w:val="0"/>
              <w:adjustRightInd w:val="0"/>
              <w:snapToGrid w:val="0"/>
              <w:spacing w:before="32" w:beforeLines="10" w:afterLines="0" w:line="25" w:lineRule="atLeast"/>
              <w:ind w:firstLine="420" w:firstLineChars="200"/>
              <w:textAlignment w:val="auto"/>
              <w:rPr>
                <w:rFonts w:hint="eastAsia" w:cs="宋体"/>
                <w:color w:val="auto"/>
                <w:sz w:val="21"/>
                <w:szCs w:val="21"/>
                <w:highlight w:val="none"/>
                <w:u w:val="single"/>
              </w:rPr>
            </w:pPr>
            <w:r>
              <w:rPr>
                <w:rFonts w:hint="eastAsia" w:cs="宋体"/>
                <w:color w:val="auto"/>
                <w:sz w:val="21"/>
                <w:szCs w:val="21"/>
                <w:highlight w:val="none"/>
                <w:u w:val="single"/>
                <w:lang w:val="en-US" w:eastAsia="zh-CN"/>
              </w:rPr>
              <w:t>a</w:t>
            </w:r>
            <w:r>
              <w:rPr>
                <w:rFonts w:hint="eastAsia" w:cs="宋体"/>
                <w:color w:val="auto"/>
                <w:sz w:val="21"/>
                <w:szCs w:val="21"/>
                <w:highlight w:val="none"/>
                <w:u w:val="single"/>
              </w:rPr>
              <w:t>.保险人在投标人存在违反法律、法规和招标文件规定投标保证金不予退还的情形时承担保证保险责任。</w:t>
            </w:r>
          </w:p>
          <w:p w14:paraId="0952C783">
            <w:pPr>
              <w:pStyle w:val="8"/>
              <w:pageBreakBefore w:val="0"/>
              <w:kinsoku/>
              <w:wordWrap/>
              <w:overflowPunct/>
              <w:topLinePunct w:val="0"/>
              <w:bidi w:val="0"/>
              <w:adjustRightInd w:val="0"/>
              <w:snapToGrid w:val="0"/>
              <w:spacing w:before="32" w:beforeLines="10" w:afterLines="0" w:line="25" w:lineRule="atLeast"/>
              <w:ind w:right="59" w:rightChars="28" w:firstLineChars="200"/>
              <w:rPr>
                <w:rFonts w:hint="eastAsia" w:cs="宋体"/>
                <w:color w:val="auto"/>
                <w:kern w:val="0"/>
                <w:sz w:val="21"/>
                <w:szCs w:val="21"/>
                <w:highlight w:val="none"/>
                <w:u w:val="single"/>
              </w:rPr>
            </w:pPr>
            <w:r>
              <w:rPr>
                <w:rFonts w:hint="eastAsia" w:cs="宋体"/>
                <w:color w:val="auto"/>
                <w:kern w:val="0"/>
                <w:sz w:val="21"/>
                <w:szCs w:val="21"/>
                <w:highlight w:val="none"/>
                <w:u w:val="single"/>
                <w:lang w:val="en-US" w:eastAsia="zh-CN"/>
              </w:rPr>
              <w:t>b</w:t>
            </w:r>
            <w:r>
              <w:rPr>
                <w:rFonts w:hint="eastAsia" w:cs="宋体"/>
                <w:color w:val="auto"/>
                <w:kern w:val="0"/>
                <w:sz w:val="21"/>
                <w:szCs w:val="21"/>
                <w:highlight w:val="none"/>
                <w:u w:val="single"/>
              </w:rPr>
              <w:t>.本保单为</w:t>
            </w:r>
            <w:r>
              <w:rPr>
                <w:rFonts w:hint="eastAsia" w:cs="宋体"/>
                <w:color w:val="auto"/>
                <w:kern w:val="0"/>
                <w:sz w:val="21"/>
                <w:szCs w:val="21"/>
                <w:highlight w:val="none"/>
                <w:u w:val="single"/>
                <w:lang w:val="en-US" w:eastAsia="zh-CN"/>
              </w:rPr>
              <w:t>先</w:t>
            </w:r>
            <w:r>
              <w:rPr>
                <w:rFonts w:hint="eastAsia" w:cs="宋体"/>
                <w:color w:val="auto"/>
                <w:kern w:val="0"/>
                <w:sz w:val="21"/>
                <w:szCs w:val="21"/>
                <w:highlight w:val="none"/>
                <w:u w:val="single"/>
              </w:rPr>
              <w:t>行赔付、后续追偿的见索即付保单。本保单</w:t>
            </w:r>
            <w:r>
              <w:rPr>
                <w:rFonts w:hint="eastAsia" w:cs="宋体"/>
                <w:color w:val="auto"/>
                <w:kern w:val="0"/>
                <w:sz w:val="21"/>
                <w:szCs w:val="21"/>
                <w:highlight w:val="none"/>
                <w:u w:val="single"/>
                <w:lang w:eastAsia="zh-CN"/>
              </w:rPr>
              <w:t>有效期</w:t>
            </w:r>
            <w:r>
              <w:rPr>
                <w:rFonts w:hint="eastAsia" w:cs="宋体"/>
                <w:color w:val="auto"/>
                <w:kern w:val="0"/>
                <w:sz w:val="21"/>
                <w:szCs w:val="21"/>
                <w:highlight w:val="none"/>
                <w:u w:val="single"/>
              </w:rPr>
              <w:t>自开立之日起至投标有效期届满之日后的28日（含）。</w:t>
            </w:r>
          </w:p>
          <w:p w14:paraId="358D082B">
            <w:pPr>
              <w:adjustRightInd w:val="0"/>
              <w:snapToGrid w:val="0"/>
              <w:spacing w:before="32" w:beforeLines="10" w:afterLines="0" w:line="25" w:lineRule="atLeast"/>
              <w:ind w:firstLine="420" w:firstLineChars="200"/>
              <w:textAlignment w:val="auto"/>
              <w:rPr>
                <w:rFonts w:cs="宋体"/>
                <w:color w:val="auto"/>
                <w:kern w:val="2"/>
                <w:sz w:val="21"/>
                <w:szCs w:val="21"/>
                <w:highlight w:val="none"/>
              </w:rPr>
            </w:pPr>
            <w:r>
              <w:rPr>
                <w:rFonts w:hint="eastAsia" w:ascii="宋体" w:hAnsi="宋体" w:cs="宋体"/>
                <w:color w:val="auto"/>
                <w:szCs w:val="21"/>
                <w:highlight w:val="none"/>
                <w:shd w:val="clear" w:color="auto" w:fill="auto"/>
                <w:lang w:val="en-US" w:eastAsia="zh-CN"/>
              </w:rPr>
              <w:t>⑤</w:t>
            </w:r>
            <w:r>
              <w:rPr>
                <w:rFonts w:hint="eastAsia" w:cs="宋体"/>
                <w:color w:val="auto"/>
                <w:kern w:val="2"/>
                <w:sz w:val="21"/>
                <w:szCs w:val="21"/>
                <w:highlight w:val="none"/>
              </w:rPr>
              <w:t>免缴投标保证金形式：符合下列情形的投标人，予以免缴投标保证金。</w:t>
            </w:r>
          </w:p>
          <w:p w14:paraId="2585EB35">
            <w:pPr>
              <w:pStyle w:val="8"/>
              <w:keepNext w:val="0"/>
              <w:keepLines w:val="0"/>
              <w:pageBreakBefore w:val="0"/>
              <w:widowControl w:val="0"/>
              <w:kinsoku/>
              <w:wordWrap/>
              <w:overflowPunct/>
              <w:topLinePunct w:val="0"/>
              <w:autoSpaceDE/>
              <w:autoSpaceDN/>
              <w:bidi w:val="0"/>
              <w:adjustRightInd w:val="0"/>
              <w:snapToGrid w:val="0"/>
              <w:spacing w:before="32" w:beforeLines="10" w:afterLines="0" w:line="25" w:lineRule="atLeast"/>
              <w:ind w:firstLine="525" w:firstLineChars="250"/>
              <w:textAlignment w:val="auto"/>
              <w:rPr>
                <w:rFonts w:hint="eastAsia" w:ascii="宋体" w:hAnsi="宋体"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u w:val="none"/>
                <w:lang w:val="en-US" w:eastAsia="zh-CN"/>
              </w:rPr>
              <w:t>最近三年（    -    ）</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w:t>
            </w:r>
          </w:p>
          <w:p w14:paraId="5DD84987">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lang w:eastAsia="zh-CN"/>
              </w:rPr>
            </w:pPr>
            <w:r>
              <w:rPr>
                <w:rFonts w:hint="eastAsia" w:ascii="宋体" w:hAnsi="宋体" w:cs="宋体"/>
                <w:color w:val="auto"/>
                <w:szCs w:val="21"/>
                <w:highlight w:val="none"/>
                <w:shd w:val="clear" w:color="auto" w:fill="auto"/>
              </w:rPr>
              <w:t>按照投标人须知前附表第1.4.2项第1条组成联合体投标的，以联合体协议书确定联合体投标人的信用综合评价等级；按照投标人须知前附表第1.4.2项第</w:t>
            </w:r>
            <w:r>
              <w:rPr>
                <w:rFonts w:hint="eastAsia" w:ascii="宋体" w:hAnsi="宋体" w:cs="宋体"/>
                <w:color w:val="auto"/>
                <w:szCs w:val="21"/>
                <w:highlight w:val="none"/>
                <w:shd w:val="clear" w:color="auto" w:fill="auto"/>
                <w:lang w:eastAsia="zh-CN"/>
              </w:rPr>
              <w:t>2</w:t>
            </w:r>
            <w:r>
              <w:rPr>
                <w:rFonts w:hint="eastAsia" w:ascii="宋体" w:hAnsi="宋体" w:cs="宋体"/>
                <w:color w:val="auto"/>
                <w:szCs w:val="21"/>
                <w:highlight w:val="none"/>
                <w:shd w:val="clear" w:color="auto" w:fill="auto"/>
              </w:rPr>
              <w:t>条组成联合体投标的，以联合体</w:t>
            </w:r>
            <w:r>
              <w:rPr>
                <w:rFonts w:hint="eastAsia" w:ascii="宋体" w:hAnsi="宋体" w:cs="宋体"/>
                <w:color w:val="auto"/>
                <w:szCs w:val="21"/>
                <w:highlight w:val="none"/>
                <w:shd w:val="clear" w:color="auto" w:fill="auto"/>
                <w:lang w:val="en-US" w:eastAsia="zh-CN"/>
              </w:rPr>
              <w:t>牵头人</w:t>
            </w:r>
            <w:r>
              <w:rPr>
                <w:rFonts w:hint="eastAsia" w:ascii="宋体" w:hAnsi="宋体" w:cs="宋体"/>
                <w:color w:val="auto"/>
                <w:szCs w:val="21"/>
                <w:highlight w:val="none"/>
                <w:shd w:val="clear" w:color="auto" w:fill="auto"/>
              </w:rPr>
              <w:t>确定联合体投标人的信用综合评价等级。</w:t>
            </w:r>
          </w:p>
          <w:p w14:paraId="761B1D40">
            <w:pPr>
              <w:pStyle w:val="8"/>
              <w:adjustRightInd w:val="0"/>
              <w:snapToGrid w:val="0"/>
              <w:spacing w:before="32" w:beforeLines="10" w:afterLines="0" w:line="25" w:lineRule="atLeast"/>
              <w:ind w:right="59" w:rightChars="28" w:firstLineChars="200"/>
              <w:rPr>
                <w:rFonts w:hint="eastAsia" w:cs="宋体"/>
                <w:color w:val="auto"/>
                <w:kern w:val="0"/>
                <w:sz w:val="21"/>
                <w:szCs w:val="21"/>
                <w:highlight w:val="none"/>
              </w:rPr>
            </w:pPr>
            <w:r>
              <w:rPr>
                <w:rFonts w:hint="eastAsia" w:ascii="宋体" w:hAnsi="宋体" w:cs="宋体"/>
                <w:color w:val="auto"/>
                <w:sz w:val="21"/>
                <w:szCs w:val="21"/>
                <w:highlight w:val="none"/>
                <w:lang w:val="en-US" w:eastAsia="zh-CN"/>
              </w:rPr>
              <w:t>⑥其他形式：</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p>
          <w:p w14:paraId="045F1216">
            <w:pPr>
              <w:adjustRightInd w:val="0"/>
              <w:snapToGrid w:val="0"/>
              <w:spacing w:before="32" w:beforeLines="10" w:afterLines="0" w:line="25" w:lineRule="atLeast"/>
              <w:ind w:firstLine="420" w:firstLineChars="200"/>
              <w:jc w:val="left"/>
              <w:textAlignment w:val="auto"/>
              <w:rPr>
                <w:rFonts w:cs="宋体"/>
                <w:b w:val="0"/>
                <w:bCs/>
                <w:color w:val="auto"/>
                <w:sz w:val="21"/>
                <w:szCs w:val="21"/>
                <w:highlight w:val="none"/>
              </w:rPr>
            </w:pPr>
            <w:r>
              <w:rPr>
                <w:rFonts w:hint="eastAsia" w:cs="宋体"/>
                <w:b w:val="0"/>
                <w:bCs/>
                <w:color w:val="auto"/>
                <w:sz w:val="21"/>
                <w:szCs w:val="21"/>
                <w:highlight w:val="none"/>
              </w:rPr>
              <w:t>3.投标保证金证明材料要求：</w:t>
            </w:r>
          </w:p>
          <w:p w14:paraId="015CDEF1">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①采用现金形式：提交电汇或银行转账单的扫描件以及企业基本账户开户许可证或基本存款账户开户银行开具的《基本存款账户信息》扫描件，并加盖投标人单位电子印章，作为资格文件的组成部分。</w:t>
            </w:r>
          </w:p>
          <w:p w14:paraId="43E0C75B">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②采用投标保函（包括银行保函、担保保函、投标保证保险，下同）：</w:t>
            </w:r>
          </w:p>
          <w:p w14:paraId="69E95446">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a.投标保函应采用电子保函形式，投标人应通过“厦门市建设工程电子招投标交易平台——电子投标保函系统”使用其企业CA证书申请购买电子投标保函。</w:t>
            </w:r>
          </w:p>
          <w:p w14:paraId="1ACC8A09">
            <w:pPr>
              <w:pStyle w:val="38"/>
              <w:adjustRightInd w:val="0"/>
              <w:snapToGrid w:val="0"/>
              <w:spacing w:before="32" w:beforeLines="10" w:afterLines="0" w:line="25" w:lineRule="atLeast"/>
              <w:ind w:left="0" w:leftChars="0"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b.投标人应将</w:t>
            </w:r>
            <w:r>
              <w:rPr>
                <w:rFonts w:hint="eastAsia" w:ascii="宋体" w:hAnsi="宋体" w:cs="瀹嬩綋"/>
                <w:color w:val="auto"/>
                <w:kern w:val="0"/>
                <w:sz w:val="21"/>
                <w:szCs w:val="21"/>
                <w:highlight w:val="none"/>
              </w:rPr>
              <w:t>:①电子投标保函原件（加盖电子投标保函开立人电子印章或电子投标保函开立人依法刻制并授权用于投标保函业务的专用章）、②支付电子投标保函费用的电汇或银行转账回单扫描件（加盖投标人单位电子印章）、③电子投标保函开立人出具的加盖电子投标保函开立人电子印章或电子投标保函开立人依法刻制并授权用于投标保函业务的专用章的到账证明扫描件（加盖投标人单位电子印章）、④企业基本账户开户许可证或基本存款账户开户银行开具的《基本存款账户信息》扫描件（加盖投标人单位电子印章）作为资格文件的组成部分</w:t>
            </w:r>
            <w:r>
              <w:rPr>
                <w:rFonts w:hint="eastAsia" w:ascii="宋体" w:hAnsi="宋体" w:cs="宋体"/>
                <w:color w:val="auto"/>
                <w:kern w:val="0"/>
                <w:sz w:val="21"/>
                <w:szCs w:val="21"/>
                <w:highlight w:val="none"/>
              </w:rPr>
              <w:t>。</w:t>
            </w:r>
          </w:p>
          <w:p w14:paraId="039C0802">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c.投标人向电子投标保函开立人购买电子投标保函所支付的费用应在投标截止时间之前从投标人企业基本账户转出，并在电汇或银行转账回单上注明招标项目编号。</w:t>
            </w:r>
          </w:p>
          <w:p w14:paraId="15F51CE1">
            <w:pPr>
              <w:adjustRightInd w:val="0"/>
              <w:snapToGrid w:val="0"/>
              <w:spacing w:before="32" w:beforeLines="10" w:afterLines="0" w:line="25" w:lineRule="atLeast"/>
              <w:ind w:firstLine="420" w:firstLineChars="200"/>
              <w:jc w:val="left"/>
              <w:textAlignment w:val="auto"/>
              <w:rPr>
                <w:rFonts w:cs="宋体"/>
                <w:color w:val="auto"/>
                <w:sz w:val="21"/>
                <w:szCs w:val="21"/>
                <w:highlight w:val="none"/>
              </w:rPr>
            </w:pPr>
            <w:r>
              <w:rPr>
                <w:rFonts w:hint="eastAsia" w:cs="宋体"/>
                <w:color w:val="auto"/>
                <w:sz w:val="21"/>
                <w:szCs w:val="21"/>
                <w:highlight w:val="none"/>
              </w:rPr>
              <w:t>投标人应确保其企业基本账户开户许可证或基本存款账户开户银行开具的《基本存款账户信息》上账号与投标人支付电子投标保函费用的电汇或银行转账回单上账号一致，否则视同未缴交投标保证金。</w:t>
            </w:r>
          </w:p>
          <w:p w14:paraId="1B8259EB">
            <w:pPr>
              <w:adjustRightInd w:val="0"/>
              <w:snapToGrid w:val="0"/>
              <w:spacing w:before="32" w:beforeLines="10" w:afterLines="0" w:line="25" w:lineRule="atLeast"/>
              <w:ind w:firstLine="420" w:firstLineChars="200"/>
              <w:jc w:val="left"/>
              <w:textAlignment w:val="auto"/>
              <w:rPr>
                <w:rFonts w:cs="宋体"/>
                <w:bCs/>
                <w:color w:val="auto"/>
                <w:sz w:val="21"/>
                <w:szCs w:val="21"/>
                <w:highlight w:val="none"/>
              </w:rPr>
            </w:pPr>
            <w:r>
              <w:rPr>
                <w:rFonts w:hint="eastAsia" w:cs="宋体"/>
                <w:bCs/>
                <w:color w:val="auto"/>
                <w:sz w:val="21"/>
                <w:szCs w:val="21"/>
                <w:highlight w:val="none"/>
              </w:rPr>
              <w:t>d.投标人以电子投标保函形式提交投标保证金的，</w:t>
            </w:r>
            <w:r>
              <w:rPr>
                <w:rFonts w:hint="eastAsia" w:cs="宋体"/>
                <w:bCs/>
                <w:color w:val="auto"/>
                <w:sz w:val="21"/>
                <w:szCs w:val="21"/>
                <w:highlight w:val="none"/>
                <w:lang w:eastAsia="zh-CN"/>
              </w:rPr>
              <w:t>评标委员会</w:t>
            </w:r>
            <w:r>
              <w:rPr>
                <w:rFonts w:hint="eastAsia" w:cs="宋体"/>
                <w:bCs/>
                <w:color w:val="auto"/>
                <w:sz w:val="21"/>
                <w:szCs w:val="21"/>
                <w:highlight w:val="none"/>
              </w:rPr>
              <w:t>应当核对投标人支付电子投标保函费用电汇或银行转账回单上账号是否与投标人企业基本账户开户许可证或基本存款账户开户银行开具的《基本存款账户信息》上账号一致，如不一致的，应否决其投标。</w:t>
            </w:r>
          </w:p>
          <w:p w14:paraId="63C40467">
            <w:pPr>
              <w:adjustRightInd w:val="0"/>
              <w:snapToGrid w:val="0"/>
              <w:spacing w:before="32" w:beforeLines="10" w:afterLines="0" w:line="25" w:lineRule="atLeast"/>
              <w:ind w:firstLine="420" w:firstLineChars="200"/>
              <w:textAlignment w:val="auto"/>
              <w:rPr>
                <w:rFonts w:cs="宋体"/>
                <w:color w:val="auto"/>
                <w:sz w:val="21"/>
                <w:szCs w:val="21"/>
                <w:highlight w:val="none"/>
              </w:rPr>
            </w:pPr>
            <w:r>
              <w:rPr>
                <w:rFonts w:hint="eastAsia" w:cs="宋体"/>
                <w:color w:val="auto"/>
                <w:sz w:val="21"/>
                <w:szCs w:val="21"/>
                <w:highlight w:val="none"/>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14:paraId="23A79280">
            <w:pPr>
              <w:adjustRightInd w:val="0"/>
              <w:snapToGrid w:val="0"/>
              <w:spacing w:before="32" w:beforeLines="10" w:after="0" w:afterLines="0" w:line="25" w:lineRule="atLeast"/>
              <w:ind w:firstLine="420" w:firstLineChars="200"/>
              <w:textAlignment w:val="auto"/>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③采用</w:t>
            </w:r>
            <w:r>
              <w:rPr>
                <w:rFonts w:hint="eastAsia" w:ascii="Times New Roman" w:hAnsi="Times New Roman" w:eastAsia="宋体" w:cs="宋体"/>
                <w:color w:val="auto"/>
                <w:szCs w:val="21"/>
                <w:highlight w:val="none"/>
                <w:lang w:val="zh-CN"/>
              </w:rPr>
              <w:t>免缴投标保证金形式：</w:t>
            </w:r>
            <w:r>
              <w:rPr>
                <w:rFonts w:hint="eastAsia" w:ascii="Times New Roman" w:hAnsi="Times New Roman" w:eastAsia="宋体" w:cs="宋体"/>
                <w:color w:val="auto"/>
                <w:kern w:val="2"/>
                <w:szCs w:val="21"/>
                <w:highlight w:val="none"/>
              </w:rPr>
              <w:t>符合免缴投标保证金情形的投标人，在本招标项目采用免缴投标保证金形式的，提交加盖投标人单位电子印章的《免缴投标保证金承诺函》</w:t>
            </w:r>
            <w:r>
              <w:rPr>
                <w:rFonts w:hint="eastAsia" w:ascii="Times New Roman" w:hAnsi="Times New Roman" w:eastAsia="宋体" w:cs="宋体"/>
                <w:b w:val="0"/>
                <w:bCs w:val="0"/>
                <w:i w:val="0"/>
                <w:iCs w:val="0"/>
                <w:color w:val="auto"/>
                <w:kern w:val="2"/>
                <w:szCs w:val="21"/>
                <w:highlight w:val="none"/>
                <w:lang w:val="en-US" w:eastAsia="zh-CN"/>
              </w:rPr>
              <w:t>并提交加盖投标人单位电子印章的符合免缴投标保证金形式规定的证明材料</w:t>
            </w:r>
            <w:r>
              <w:rPr>
                <w:rFonts w:hint="eastAsia" w:ascii="Times New Roman" w:hAnsi="Times New Roman" w:eastAsia="宋体" w:cs="宋体"/>
                <w:color w:val="auto"/>
                <w:kern w:val="2"/>
                <w:szCs w:val="21"/>
                <w:highlight w:val="none"/>
              </w:rPr>
              <w:t>，作为资格文件的组成部分。</w:t>
            </w:r>
          </w:p>
          <w:p w14:paraId="536AB2CC">
            <w:pPr>
              <w:widowControl/>
              <w:numPr>
                <w:ilvl w:val="0"/>
                <w:numId w:val="0"/>
              </w:numPr>
              <w:shd w:val="clear" w:color="auto" w:fill="auto"/>
              <w:adjustRightInd w:val="0"/>
              <w:snapToGrid w:val="0"/>
              <w:spacing w:before="32" w:beforeLines="10" w:afterLines="0" w:line="25" w:lineRule="atLeast"/>
              <w:ind w:firstLine="420" w:firstLineChars="200"/>
              <w:textAlignment w:val="auto"/>
              <w:rPr>
                <w:rFonts w:hint="eastAsia" w:cs="宋体"/>
                <w:color w:val="auto"/>
                <w:spacing w:val="0"/>
                <w:sz w:val="21"/>
                <w:szCs w:val="21"/>
                <w:highlight w:val="none"/>
              </w:rPr>
            </w:pPr>
            <w:r>
              <w:rPr>
                <w:rFonts w:hint="eastAsia" w:ascii="Times New Roman" w:hAnsi="Times New Roman" w:eastAsia="宋体" w:cs="宋体"/>
                <w:color w:val="auto"/>
                <w:spacing w:val="0"/>
                <w:sz w:val="21"/>
                <w:szCs w:val="21"/>
                <w:highlight w:val="none"/>
                <w:lang w:val="en-US" w:eastAsia="zh-CN" w:bidi="ar-SA"/>
              </w:rPr>
              <w:t>4.</w:t>
            </w:r>
            <w:r>
              <w:rPr>
                <w:rFonts w:hint="eastAsia" w:cs="宋体"/>
                <w:b w:val="0"/>
                <w:bCs w:val="0"/>
                <w:color w:val="auto"/>
                <w:spacing w:val="0"/>
                <w:sz w:val="21"/>
                <w:szCs w:val="21"/>
                <w:highlight w:val="none"/>
              </w:rPr>
              <w:t>投标保证金有效期：</w:t>
            </w:r>
            <w:r>
              <w:rPr>
                <w:rFonts w:hint="eastAsia" w:cs="宋体"/>
                <w:color w:val="auto"/>
                <w:spacing w:val="0"/>
                <w:sz w:val="21"/>
                <w:szCs w:val="21"/>
                <w:highlight w:val="none"/>
              </w:rPr>
              <w:t>除保证保险形式外，至少与投标有效期一致。</w:t>
            </w:r>
          </w:p>
          <w:p w14:paraId="15ACDC2A">
            <w:pPr>
              <w:numPr>
                <w:ilvl w:val="-1"/>
                <w:numId w:val="0"/>
              </w:numPr>
              <w:adjustRightInd w:val="0"/>
              <w:snapToGrid w:val="0"/>
              <w:spacing w:before="32" w:beforeLines="10" w:afterLines="0" w:line="25" w:lineRule="atLeast"/>
              <w:ind w:firstLine="418" w:firstLineChars="192"/>
              <w:rPr>
                <w:rFonts w:ascii="宋体" w:hAnsi="宋体"/>
                <w:color w:val="auto"/>
                <w:szCs w:val="21"/>
                <w:highlight w:val="none"/>
              </w:rPr>
            </w:pPr>
            <w:r>
              <w:rPr>
                <w:rFonts w:hint="eastAsia" w:ascii="宋体" w:hAnsi="宋体" w:eastAsia="宋体" w:cs="宋体"/>
                <w:color w:val="auto"/>
                <w:spacing w:val="4"/>
                <w:sz w:val="21"/>
                <w:szCs w:val="21"/>
                <w:highlight w:val="none"/>
                <w:lang w:val="en-US" w:eastAsia="zh-CN" w:bidi="ar-SA"/>
              </w:rPr>
              <w:t>5.其他：投标人享受投标保证金减缴或免缴的，应当提交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p w14:paraId="56595823">
            <w:pPr>
              <w:adjustRightInd w:val="0"/>
              <w:snapToGrid w:val="0"/>
              <w:spacing w:before="32" w:beforeLines="10" w:afterLines="0" w:line="25" w:lineRule="atLeast"/>
              <w:ind w:firstLine="315" w:firstLineChars="150"/>
              <w:jc w:val="left"/>
              <w:rPr>
                <w:rFonts w:ascii="宋体" w:hAnsi="宋体"/>
                <w:color w:val="auto"/>
                <w:szCs w:val="21"/>
                <w:highlight w:val="none"/>
              </w:rPr>
            </w:pPr>
          </w:p>
        </w:tc>
      </w:tr>
      <w:tr w14:paraId="3391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3D7AF97D">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3.4.3</w:t>
            </w:r>
          </w:p>
        </w:tc>
        <w:tc>
          <w:tcPr>
            <w:tcW w:w="1814" w:type="dxa"/>
            <w:gridSpan w:val="2"/>
            <w:tcBorders>
              <w:left w:val="single" w:color="auto" w:sz="4" w:space="0"/>
              <w:right w:val="single" w:color="auto" w:sz="4" w:space="0"/>
            </w:tcBorders>
            <w:vAlign w:val="center"/>
          </w:tcPr>
          <w:p w14:paraId="1956490E">
            <w:pPr>
              <w:autoSpaceDE/>
              <w:autoSpaceDN/>
              <w:adjustRightInd w:val="0"/>
              <w:snapToGrid w:val="0"/>
              <w:spacing w:before="32" w:beforeLines="10" w:afterLines="0" w:line="25" w:lineRule="atLeast"/>
              <w:ind w:right="6"/>
              <w:jc w:val="center"/>
              <w:rPr>
                <w:color w:val="auto"/>
                <w:sz w:val="18"/>
                <w:szCs w:val="18"/>
                <w:highlight w:val="none"/>
              </w:rPr>
            </w:pPr>
            <w:r>
              <w:rPr>
                <w:rFonts w:hint="eastAsia" w:ascii="宋体" w:hAnsi="宋体" w:cs="宋体"/>
                <w:color w:val="auto"/>
                <w:szCs w:val="21"/>
                <w:highlight w:val="none"/>
                <w:shd w:val="clear" w:color="auto" w:fill="auto"/>
              </w:rPr>
              <w:t>投标保证金的利息计算原则</w:t>
            </w:r>
          </w:p>
        </w:tc>
        <w:tc>
          <w:tcPr>
            <w:tcW w:w="6323" w:type="dxa"/>
            <w:gridSpan w:val="4"/>
            <w:tcBorders>
              <w:left w:val="single" w:color="auto" w:sz="4" w:space="0"/>
              <w:right w:val="single" w:color="auto" w:sz="12" w:space="0"/>
            </w:tcBorders>
            <w:vAlign w:val="center"/>
          </w:tcPr>
          <w:p w14:paraId="5BEC899E">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（1）计算利息的起始日期为投标截止当日，终止日期为招标人退还投标保证金日期的前一日；</w:t>
            </w:r>
          </w:p>
          <w:p w14:paraId="4E5C157A">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（2）投标保证金的利息按照第（1）款所述计息时间段内招标人指定汇入银行公告的活期存款利率计付，并扣除招标人汇款手续费；</w:t>
            </w:r>
          </w:p>
          <w:p w14:paraId="661119F7">
            <w:pPr>
              <w:adjustRightInd w:val="0"/>
              <w:snapToGrid w:val="0"/>
              <w:spacing w:before="32" w:beforeLines="10" w:afterLines="0" w:line="25" w:lineRule="atLeast"/>
              <w:ind w:firstLine="315" w:firstLineChars="150"/>
              <w:jc w:val="left"/>
              <w:rPr>
                <w:color w:val="auto"/>
                <w:sz w:val="18"/>
                <w:szCs w:val="18"/>
                <w:highlight w:val="none"/>
              </w:rPr>
            </w:pPr>
            <w:r>
              <w:rPr>
                <w:rFonts w:hint="eastAsia" w:ascii="宋体" w:hAnsi="宋体" w:cs="宋体"/>
                <w:color w:val="auto"/>
                <w:szCs w:val="21"/>
                <w:highlight w:val="none"/>
                <w:shd w:val="clear" w:color="auto" w:fill="auto"/>
              </w:rPr>
              <w:t>（3）利息金额计算至分位，分以下尾数四舍五入。</w:t>
            </w:r>
          </w:p>
        </w:tc>
      </w:tr>
      <w:tr w14:paraId="3D88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510" w:hRule="atLeast"/>
          <w:jc w:val="center"/>
        </w:trPr>
        <w:tc>
          <w:tcPr>
            <w:tcW w:w="1315" w:type="dxa"/>
            <w:tcBorders>
              <w:left w:val="single" w:color="auto" w:sz="12" w:space="0"/>
              <w:right w:val="single" w:color="auto" w:sz="4" w:space="0"/>
            </w:tcBorders>
            <w:vAlign w:val="center"/>
          </w:tcPr>
          <w:p w14:paraId="543A89B6">
            <w:pPr>
              <w:autoSpaceDE/>
              <w:autoSpaceDN/>
              <w:adjustRightInd w:val="0"/>
              <w:snapToGrid w:val="0"/>
              <w:spacing w:before="32" w:beforeLines="10" w:afterLines="0" w:line="25" w:lineRule="atLeast"/>
              <w:ind w:right="6"/>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3.4.4</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lang w:eastAsia="zh-CN"/>
              </w:rPr>
              <w:t>）</w:t>
            </w:r>
          </w:p>
        </w:tc>
        <w:tc>
          <w:tcPr>
            <w:tcW w:w="1814" w:type="dxa"/>
            <w:gridSpan w:val="2"/>
            <w:tcBorders>
              <w:left w:val="single" w:color="auto" w:sz="4" w:space="0"/>
              <w:right w:val="single" w:color="auto" w:sz="4" w:space="0"/>
            </w:tcBorders>
            <w:vAlign w:val="center"/>
          </w:tcPr>
          <w:p w14:paraId="61A9FEBC">
            <w:pPr>
              <w:autoSpaceDE/>
              <w:autoSpaceDN/>
              <w:adjustRightInd w:val="0"/>
              <w:snapToGrid w:val="0"/>
              <w:spacing w:before="32" w:beforeLines="10" w:afterLines="0" w:line="25" w:lineRule="atLeast"/>
              <w:ind w:right="6"/>
              <w:jc w:val="center"/>
              <w:rPr>
                <w:color w:val="auto"/>
                <w:sz w:val="18"/>
                <w:szCs w:val="18"/>
                <w:highlight w:val="none"/>
              </w:rPr>
            </w:pPr>
            <w:r>
              <w:rPr>
                <w:rStyle w:val="69"/>
                <w:rFonts w:hint="eastAsia"/>
                <w:color w:val="auto"/>
                <w:sz w:val="21"/>
                <w:szCs w:val="21"/>
                <w:highlight w:val="none"/>
                <w:shd w:val="clear" w:color="auto" w:fill="auto"/>
              </w:rPr>
              <w:t>其他可以</w:t>
            </w:r>
            <w:r>
              <w:rPr>
                <w:rStyle w:val="69"/>
                <w:rFonts w:hint="eastAsia"/>
                <w:color w:val="auto"/>
                <w:sz w:val="21"/>
                <w:szCs w:val="21"/>
                <w:highlight w:val="none"/>
                <w:shd w:val="clear" w:color="auto" w:fill="auto"/>
                <w:lang w:val="zh-TW" w:eastAsia="zh-TW"/>
              </w:rPr>
              <w:t>不予退还投标保证金的情形</w:t>
            </w:r>
          </w:p>
        </w:tc>
        <w:tc>
          <w:tcPr>
            <w:tcW w:w="6323" w:type="dxa"/>
            <w:gridSpan w:val="4"/>
            <w:tcBorders>
              <w:left w:val="single" w:color="auto" w:sz="4" w:space="0"/>
              <w:right w:val="single" w:color="auto" w:sz="12" w:space="0"/>
            </w:tcBorders>
            <w:vAlign w:val="center"/>
          </w:tcPr>
          <w:p w14:paraId="73DA185A">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（1）投标人提交了虚假资料；</w:t>
            </w:r>
          </w:p>
          <w:p w14:paraId="4B1D5CE8">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（2）不同投标人的电子投标文件上传计算机的网卡MAC地址、CPU序列号和硬盘序列号硬件均相同的（开标现场上传电子投标文件的除外）；</w:t>
            </w:r>
          </w:p>
          <w:p w14:paraId="73944071">
            <w:pPr>
              <w:wordWrap w:val="0"/>
              <w:adjustRightInd w:val="0"/>
              <w:snapToGrid w:val="0"/>
              <w:spacing w:before="32" w:beforeLines="10" w:afterLines="0" w:line="25" w:lineRule="atLeast"/>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（3）有证据显示投标人以他人名义投标、与他人串通投标、以非法手段谋取中标；</w:t>
            </w:r>
          </w:p>
          <w:p w14:paraId="57DF62D7">
            <w:pPr>
              <w:adjustRightInd w:val="0"/>
              <w:snapToGrid w:val="0"/>
              <w:spacing w:before="32" w:beforeLines="10" w:afterLines="0" w:line="25" w:lineRule="atLeast"/>
              <w:ind w:firstLine="420" w:firstLineChars="200"/>
              <w:jc w:val="left"/>
              <w:rPr>
                <w:color w:val="auto"/>
                <w:sz w:val="18"/>
                <w:szCs w:val="18"/>
                <w:highlight w:val="none"/>
              </w:rPr>
            </w:pPr>
            <w:r>
              <w:rPr>
                <w:rFonts w:hint="eastAsia" w:ascii="宋体" w:hAnsi="宋体" w:cs="宋体"/>
                <w:color w:val="auto"/>
                <w:szCs w:val="21"/>
                <w:highlight w:val="none"/>
                <w:shd w:val="clear" w:color="auto" w:fill="auto"/>
              </w:rPr>
              <w:t>（4）法律、法规规定的其他情形。</w:t>
            </w:r>
          </w:p>
        </w:tc>
      </w:tr>
      <w:tr w14:paraId="3699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61F9F7BA">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3.5.2</w:t>
            </w:r>
          </w:p>
        </w:tc>
        <w:tc>
          <w:tcPr>
            <w:tcW w:w="1814" w:type="dxa"/>
            <w:gridSpan w:val="2"/>
            <w:tcBorders>
              <w:left w:val="single" w:color="auto" w:sz="4" w:space="0"/>
              <w:right w:val="single" w:color="auto" w:sz="4" w:space="0"/>
            </w:tcBorders>
            <w:vAlign w:val="center"/>
          </w:tcPr>
          <w:p w14:paraId="5997C415">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近年财务状况的年份要求</w:t>
            </w:r>
          </w:p>
        </w:tc>
        <w:tc>
          <w:tcPr>
            <w:tcW w:w="6323" w:type="dxa"/>
            <w:gridSpan w:val="4"/>
            <w:tcBorders>
              <w:left w:val="single" w:color="auto" w:sz="4" w:space="0"/>
              <w:right w:val="single" w:color="auto" w:sz="12" w:space="0"/>
            </w:tcBorders>
            <w:vAlign w:val="center"/>
          </w:tcPr>
          <w:p w14:paraId="4576B2A3">
            <w:pPr>
              <w:adjustRightInd w:val="0"/>
              <w:snapToGrid w:val="0"/>
              <w:spacing w:before="32" w:beforeLines="10" w:afterLines="0" w:line="25" w:lineRule="atLeast"/>
              <w:rPr>
                <w:rFonts w:hint="eastAsia" w:ascii="宋体" w:hAnsi="宋体" w:eastAsia="宋体"/>
                <w:color w:val="auto"/>
                <w:highlight w:val="none"/>
                <w:lang w:eastAsia="zh-CN"/>
              </w:rPr>
            </w:pPr>
            <w:r>
              <w:rPr>
                <w:rFonts w:hint="eastAsia" w:ascii="宋体" w:hAnsi="宋体"/>
                <w:color w:val="auto"/>
                <w:highlight w:val="none"/>
                <w:lang w:val="en-US" w:eastAsia="zh-CN"/>
              </w:rPr>
              <w:t>不需要</w:t>
            </w:r>
          </w:p>
        </w:tc>
      </w:tr>
      <w:tr w14:paraId="7E03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57" w:hRule="atLeast"/>
          <w:jc w:val="center"/>
        </w:trPr>
        <w:tc>
          <w:tcPr>
            <w:tcW w:w="1324" w:type="dxa"/>
            <w:gridSpan w:val="2"/>
            <w:tcBorders>
              <w:left w:val="single" w:color="auto" w:sz="12" w:space="0"/>
              <w:right w:val="single" w:color="auto" w:sz="4" w:space="0"/>
            </w:tcBorders>
            <w:vAlign w:val="center"/>
          </w:tcPr>
          <w:p w14:paraId="2950CAB6">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3.5.3</w:t>
            </w:r>
          </w:p>
        </w:tc>
        <w:tc>
          <w:tcPr>
            <w:tcW w:w="1814" w:type="dxa"/>
            <w:gridSpan w:val="2"/>
            <w:tcBorders>
              <w:left w:val="single" w:color="auto" w:sz="4" w:space="0"/>
              <w:right w:val="single" w:color="auto" w:sz="4" w:space="0"/>
            </w:tcBorders>
            <w:vAlign w:val="center"/>
          </w:tcPr>
          <w:p w14:paraId="0179240B">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近年完成的项目的年份要求</w:t>
            </w:r>
          </w:p>
        </w:tc>
        <w:tc>
          <w:tcPr>
            <w:tcW w:w="6323" w:type="dxa"/>
            <w:gridSpan w:val="4"/>
            <w:tcBorders>
              <w:left w:val="single" w:color="auto" w:sz="4" w:space="0"/>
              <w:right w:val="single" w:color="auto" w:sz="12" w:space="0"/>
            </w:tcBorders>
            <w:vAlign w:val="center"/>
          </w:tcPr>
          <w:p w14:paraId="50CEAAB2">
            <w:pPr>
              <w:adjustRightInd w:val="0"/>
              <w:snapToGrid w:val="0"/>
              <w:spacing w:before="32" w:beforeLines="10" w:afterLines="0" w:line="25" w:lineRule="atLeast"/>
              <w:rPr>
                <w:rFonts w:ascii="宋体" w:hAnsi="宋体"/>
                <w:snapToGrid w:val="0"/>
                <w:color w:val="auto"/>
                <w:kern w:val="0"/>
                <w:szCs w:val="21"/>
                <w:highlight w:val="none"/>
              </w:rPr>
            </w:pPr>
            <w:r>
              <w:rPr>
                <w:rFonts w:hint="eastAsia" w:ascii="宋体" w:hAnsi="宋体"/>
                <w:snapToGrid w:val="0"/>
                <w:color w:val="auto"/>
                <w:kern w:val="0"/>
                <w:szCs w:val="21"/>
                <w:highlight w:val="none"/>
              </w:rPr>
              <w:t>□不作要求</w:t>
            </w:r>
          </w:p>
          <w:p w14:paraId="4D37F333">
            <w:pPr>
              <w:adjustRightInd w:val="0"/>
              <w:snapToGrid w:val="0"/>
              <w:spacing w:before="32" w:beforeLines="10" w:afterLines="0" w:line="25" w:lineRule="atLeast"/>
              <w:rPr>
                <w:color w:val="auto"/>
                <w:szCs w:val="21"/>
                <w:highlight w:val="none"/>
                <w:u w:val="single"/>
              </w:rPr>
            </w:pPr>
            <w:r>
              <w:rPr>
                <w:rFonts w:hint="eastAsia" w:ascii="宋体" w:hAnsi="宋体"/>
                <w:color w:val="auto"/>
                <w:highlight w:val="none"/>
              </w:rPr>
              <w:t>□近5年：</w:t>
            </w:r>
            <w:r>
              <w:rPr>
                <w:rFonts w:hint="eastAsia" w:ascii="宋体" w:hAnsi="宋体"/>
                <w:color w:val="auto"/>
                <w:szCs w:val="21"/>
                <w:highlight w:val="none"/>
              </w:rPr>
              <w:t>自招标公告正式发布之日前5年至</w:t>
            </w:r>
            <w:r>
              <w:rPr>
                <w:rFonts w:hint="eastAsia"/>
                <w:color w:val="auto"/>
                <w:szCs w:val="21"/>
                <w:highlight w:val="none"/>
                <w:u w:val="single"/>
              </w:rPr>
              <w:t>投标截止时</w:t>
            </w:r>
          </w:p>
          <w:p w14:paraId="1BD3A829">
            <w:pPr>
              <w:adjustRightInd w:val="0"/>
              <w:snapToGrid w:val="0"/>
              <w:spacing w:before="32" w:beforeLines="10" w:afterLines="0" w:line="25" w:lineRule="atLeast"/>
              <w:rPr>
                <w:color w:val="auto"/>
                <w:szCs w:val="21"/>
                <w:highlight w:val="none"/>
                <w:u w:val="single"/>
              </w:rPr>
            </w:pPr>
            <w:r>
              <w:rPr>
                <w:rFonts w:hint="eastAsia" w:ascii="宋体" w:hAnsi="宋体"/>
                <w:color w:val="auto"/>
                <w:highlight w:val="none"/>
              </w:rPr>
              <w:t>□近10年：</w:t>
            </w:r>
            <w:r>
              <w:rPr>
                <w:rFonts w:hint="eastAsia" w:ascii="宋体" w:hAnsi="宋体"/>
                <w:color w:val="auto"/>
                <w:szCs w:val="21"/>
                <w:highlight w:val="none"/>
              </w:rPr>
              <w:t>自招标公告正式发布之日前10年至</w:t>
            </w:r>
            <w:r>
              <w:rPr>
                <w:rFonts w:hint="eastAsia"/>
                <w:color w:val="auto"/>
                <w:szCs w:val="21"/>
                <w:highlight w:val="none"/>
                <w:u w:val="single"/>
              </w:rPr>
              <w:t>投标截止时</w:t>
            </w:r>
          </w:p>
        </w:tc>
      </w:tr>
      <w:tr w14:paraId="0498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42" w:hRule="atLeast"/>
          <w:jc w:val="center"/>
        </w:trPr>
        <w:tc>
          <w:tcPr>
            <w:tcW w:w="1324" w:type="dxa"/>
            <w:gridSpan w:val="2"/>
            <w:tcBorders>
              <w:left w:val="single" w:color="auto" w:sz="12" w:space="0"/>
              <w:right w:val="single" w:color="auto" w:sz="4" w:space="0"/>
            </w:tcBorders>
            <w:vAlign w:val="center"/>
          </w:tcPr>
          <w:p w14:paraId="42B31F30">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3.5.4</w:t>
            </w:r>
          </w:p>
        </w:tc>
        <w:tc>
          <w:tcPr>
            <w:tcW w:w="1814" w:type="dxa"/>
            <w:gridSpan w:val="2"/>
            <w:tcBorders>
              <w:left w:val="single" w:color="auto" w:sz="4" w:space="0"/>
              <w:right w:val="single" w:color="auto" w:sz="4" w:space="0"/>
            </w:tcBorders>
            <w:vAlign w:val="center"/>
          </w:tcPr>
          <w:p w14:paraId="0D7DDCEC">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近年发生的诉讼及仲裁情况的年份要求</w:t>
            </w:r>
          </w:p>
        </w:tc>
        <w:tc>
          <w:tcPr>
            <w:tcW w:w="6323" w:type="dxa"/>
            <w:gridSpan w:val="4"/>
            <w:tcBorders>
              <w:left w:val="single" w:color="auto" w:sz="4" w:space="0"/>
              <w:right w:val="single" w:color="auto" w:sz="12" w:space="0"/>
            </w:tcBorders>
            <w:vAlign w:val="center"/>
          </w:tcPr>
          <w:p w14:paraId="5A010698">
            <w:pPr>
              <w:adjustRightInd w:val="0"/>
              <w:snapToGrid w:val="0"/>
              <w:spacing w:before="32" w:beforeLines="10" w:afterLines="0" w:line="25" w:lineRule="atLeast"/>
              <w:rPr>
                <w:rFonts w:ascii="宋体" w:hAnsi="宋体"/>
                <w:color w:val="auto"/>
                <w:highlight w:val="none"/>
              </w:rPr>
            </w:pPr>
            <w:r>
              <w:rPr>
                <w:rFonts w:hint="eastAsia" w:ascii="宋体" w:hAnsi="宋体"/>
                <w:color w:val="auto"/>
                <w:highlight w:val="none"/>
              </w:rPr>
              <w:t>近3年：</w:t>
            </w:r>
            <w:r>
              <w:rPr>
                <w:rFonts w:hint="eastAsia" w:ascii="宋体" w:hAnsi="宋体"/>
                <w:color w:val="auto"/>
                <w:szCs w:val="21"/>
                <w:highlight w:val="none"/>
              </w:rPr>
              <w:t>自招标公告正式发布之日前3年</w:t>
            </w:r>
            <w:r>
              <w:rPr>
                <w:rFonts w:hint="eastAsia"/>
                <w:color w:val="auto"/>
                <w:szCs w:val="21"/>
                <w:highlight w:val="none"/>
              </w:rPr>
              <w:t>至</w:t>
            </w:r>
            <w:r>
              <w:rPr>
                <w:rFonts w:hint="eastAsia"/>
                <w:color w:val="auto"/>
                <w:szCs w:val="21"/>
                <w:highlight w:val="none"/>
                <w:u w:val="single"/>
              </w:rPr>
              <w:t>投标截止时</w:t>
            </w:r>
          </w:p>
        </w:tc>
      </w:tr>
      <w:tr w14:paraId="6E0A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69" w:hRule="atLeast"/>
          <w:jc w:val="center"/>
        </w:trPr>
        <w:tc>
          <w:tcPr>
            <w:tcW w:w="1324" w:type="dxa"/>
            <w:gridSpan w:val="2"/>
            <w:tcBorders>
              <w:left w:val="single" w:color="auto" w:sz="12" w:space="0"/>
              <w:right w:val="single" w:color="auto" w:sz="4" w:space="0"/>
            </w:tcBorders>
            <w:vAlign w:val="center"/>
          </w:tcPr>
          <w:p w14:paraId="4A28D1E4">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3.6</w:t>
            </w:r>
          </w:p>
        </w:tc>
        <w:tc>
          <w:tcPr>
            <w:tcW w:w="1814" w:type="dxa"/>
            <w:gridSpan w:val="2"/>
            <w:tcBorders>
              <w:left w:val="single" w:color="auto" w:sz="4" w:space="0"/>
              <w:right w:val="single" w:color="auto" w:sz="4" w:space="0"/>
            </w:tcBorders>
            <w:vAlign w:val="center"/>
          </w:tcPr>
          <w:p w14:paraId="29B32E5C">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是否允许递交备选投标方案</w:t>
            </w:r>
          </w:p>
        </w:tc>
        <w:tc>
          <w:tcPr>
            <w:tcW w:w="6323" w:type="dxa"/>
            <w:gridSpan w:val="4"/>
            <w:tcBorders>
              <w:left w:val="single" w:color="auto" w:sz="4" w:space="0"/>
              <w:right w:val="single" w:color="auto" w:sz="12" w:space="0"/>
            </w:tcBorders>
            <w:vAlign w:val="center"/>
          </w:tcPr>
          <w:p w14:paraId="32F1F8EB">
            <w:pPr>
              <w:autoSpaceDE/>
              <w:autoSpaceDN/>
              <w:adjustRightInd w:val="0"/>
              <w:snapToGrid w:val="0"/>
              <w:spacing w:before="32" w:beforeLines="10" w:afterLines="0" w:line="25" w:lineRule="atLeast"/>
              <w:rPr>
                <w:rFonts w:ascii="宋体" w:hAnsi="宋体"/>
                <w:color w:val="auto"/>
                <w:kern w:val="0"/>
                <w:szCs w:val="21"/>
                <w:highlight w:val="none"/>
              </w:rPr>
            </w:pPr>
            <w:r>
              <w:rPr>
                <w:rFonts w:hint="eastAsia" w:ascii="宋体" w:hAnsi="宋体"/>
                <w:bCs/>
                <w:color w:val="auto"/>
                <w:szCs w:val="21"/>
                <w:highlight w:val="none"/>
              </w:rPr>
              <w:t>□</w:t>
            </w:r>
            <w:r>
              <w:rPr>
                <w:rFonts w:hint="eastAsia" w:ascii="宋体" w:hAnsi="宋体"/>
                <w:color w:val="auto"/>
                <w:kern w:val="0"/>
                <w:szCs w:val="21"/>
                <w:highlight w:val="none"/>
              </w:rPr>
              <w:t>不允许</w:t>
            </w:r>
          </w:p>
          <w:p w14:paraId="2C0BB9D6">
            <w:pPr>
              <w:autoSpaceDE/>
              <w:autoSpaceDN/>
              <w:adjustRightInd w:val="0"/>
              <w:snapToGrid w:val="0"/>
              <w:spacing w:before="32" w:beforeLines="10" w:afterLines="0" w:line="25" w:lineRule="atLeast"/>
              <w:ind w:right="6"/>
              <w:rPr>
                <w:rFonts w:ascii="宋体" w:hAnsi="宋体"/>
                <w:b/>
                <w:color w:val="auto"/>
                <w:szCs w:val="21"/>
                <w:highlight w:val="none"/>
              </w:rPr>
            </w:pPr>
            <w:r>
              <w:rPr>
                <w:rFonts w:hint="eastAsia" w:ascii="宋体" w:hAnsi="宋体"/>
                <w:bCs/>
                <w:color w:val="auto"/>
                <w:szCs w:val="21"/>
                <w:highlight w:val="none"/>
              </w:rPr>
              <w:t>□允许</w:t>
            </w:r>
          </w:p>
        </w:tc>
      </w:tr>
      <w:tr w14:paraId="1CD0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2FC3441E">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5.1</w:t>
            </w:r>
          </w:p>
        </w:tc>
        <w:tc>
          <w:tcPr>
            <w:tcW w:w="1814" w:type="dxa"/>
            <w:gridSpan w:val="2"/>
            <w:tcBorders>
              <w:left w:val="single" w:color="auto" w:sz="4" w:space="0"/>
              <w:right w:val="single" w:color="auto" w:sz="4" w:space="0"/>
            </w:tcBorders>
            <w:vAlign w:val="center"/>
          </w:tcPr>
          <w:p w14:paraId="6BFBAAFE">
            <w:pPr>
              <w:autoSpaceDE/>
              <w:autoSpaceDN/>
              <w:adjustRightInd w:val="0"/>
              <w:snapToGrid w:val="0"/>
              <w:spacing w:before="32" w:beforeLines="10" w:afterLines="0" w:line="25" w:lineRule="atLeast"/>
              <w:ind w:right="6"/>
              <w:jc w:val="center"/>
              <w:rPr>
                <w:rFonts w:ascii="宋体" w:hAnsi="宋体"/>
                <w:color w:val="auto"/>
                <w:kern w:val="0"/>
                <w:szCs w:val="21"/>
                <w:highlight w:val="none"/>
              </w:rPr>
            </w:pPr>
            <w:r>
              <w:rPr>
                <w:rFonts w:hint="eastAsia" w:ascii="宋体" w:hAnsi="宋体"/>
                <w:color w:val="auto"/>
                <w:kern w:val="0"/>
                <w:szCs w:val="21"/>
                <w:highlight w:val="none"/>
              </w:rPr>
              <w:t>开标时间和地点</w:t>
            </w:r>
          </w:p>
        </w:tc>
        <w:tc>
          <w:tcPr>
            <w:tcW w:w="6323" w:type="dxa"/>
            <w:gridSpan w:val="4"/>
            <w:tcBorders>
              <w:left w:val="single" w:color="auto" w:sz="4" w:space="0"/>
              <w:right w:val="single" w:color="auto" w:sz="12" w:space="0"/>
            </w:tcBorders>
            <w:vAlign w:val="center"/>
          </w:tcPr>
          <w:p w14:paraId="5C46C329">
            <w:pPr>
              <w:autoSpaceDE/>
              <w:autoSpaceDN/>
              <w:adjustRightInd w:val="0"/>
              <w:snapToGrid w:val="0"/>
              <w:spacing w:before="32" w:beforeLines="10" w:afterLines="0" w:line="25" w:lineRule="atLeast"/>
              <w:ind w:firstLine="420" w:firstLineChars="200"/>
              <w:rPr>
                <w:rFonts w:ascii="宋体" w:hAnsi="宋体"/>
                <w:color w:val="auto"/>
                <w:highlight w:val="none"/>
              </w:rPr>
            </w:pPr>
            <w:r>
              <w:rPr>
                <w:rFonts w:hint="eastAsia" w:ascii="宋体" w:hAnsi="宋体"/>
                <w:color w:val="auto"/>
                <w:highlight w:val="none"/>
              </w:rPr>
              <w:t>开标时间：同投标截止时间</w:t>
            </w:r>
          </w:p>
          <w:p w14:paraId="07C8EDBC">
            <w:pPr>
              <w:autoSpaceDE/>
              <w:autoSpaceDN/>
              <w:adjustRightInd w:val="0"/>
              <w:snapToGrid w:val="0"/>
              <w:spacing w:before="32" w:beforeLines="10" w:afterLines="0" w:line="25" w:lineRule="atLeast"/>
              <w:ind w:firstLine="420" w:firstLineChars="200"/>
              <w:rPr>
                <w:rFonts w:ascii="宋体" w:hAnsi="宋体"/>
                <w:color w:val="auto"/>
                <w:highlight w:val="none"/>
                <w:u w:val="single"/>
              </w:rPr>
            </w:pPr>
            <w:r>
              <w:rPr>
                <w:rFonts w:hint="eastAsia" w:ascii="宋体" w:hAnsi="宋体"/>
                <w:color w:val="auto"/>
                <w:highlight w:val="none"/>
              </w:rPr>
              <w:t>开标地点：</w:t>
            </w:r>
            <w:r>
              <w:rPr>
                <w:rFonts w:hint="eastAsia" w:ascii="宋体" w:hAnsi="宋体"/>
                <w:color w:val="auto"/>
                <w:szCs w:val="21"/>
                <w:highlight w:val="none"/>
              </w:rPr>
              <w:t>在电子交易平台上在线公开开标，</w:t>
            </w:r>
            <w:r>
              <w:rPr>
                <w:rFonts w:hint="eastAsia" w:ascii="宋体" w:hAnsi="宋体"/>
                <w:color w:val="auto"/>
                <w:highlight w:val="none"/>
              </w:rPr>
              <w:t>投标人应在线参加开标。</w:t>
            </w:r>
            <w:r>
              <w:rPr>
                <w:rFonts w:hint="eastAsia" w:ascii="宋体" w:hAnsi="宋体"/>
                <w:color w:val="auto"/>
                <w:szCs w:val="21"/>
                <w:highlight w:val="none"/>
              </w:rPr>
              <w:t>同时在</w:t>
            </w:r>
            <w:r>
              <w:rPr>
                <w:rFonts w:hint="eastAsia" w:ascii="宋体" w:hAnsi="宋体"/>
                <w:color w:val="auto"/>
                <w:szCs w:val="21"/>
                <w:highlight w:val="none"/>
                <w:u w:val="single"/>
              </w:rPr>
              <w:t xml:space="preserve">      （</w:t>
            </w:r>
            <w:r>
              <w:rPr>
                <w:rFonts w:hint="eastAsia" w:ascii="宋体" w:hAnsi="宋体"/>
                <w:color w:val="auto"/>
                <w:szCs w:val="21"/>
                <w:highlight w:val="none"/>
              </w:rPr>
              <w:t>交易场所）设置在线开标会场，投标人可到场参加开标会。</w:t>
            </w:r>
            <w:r>
              <w:rPr>
                <w:rFonts w:hint="eastAsia" w:ascii="宋体" w:hAnsi="宋体"/>
                <w:color w:val="auto"/>
                <w:highlight w:val="none"/>
                <w:u w:val="single"/>
              </w:rPr>
              <w:t xml:space="preserve"> </w:t>
            </w:r>
          </w:p>
        </w:tc>
      </w:tr>
      <w:tr w14:paraId="7573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72" w:hRule="atLeast"/>
          <w:jc w:val="center"/>
        </w:trPr>
        <w:tc>
          <w:tcPr>
            <w:tcW w:w="1324" w:type="dxa"/>
            <w:gridSpan w:val="2"/>
            <w:tcBorders>
              <w:left w:val="single" w:color="auto" w:sz="12" w:space="0"/>
              <w:right w:val="single" w:color="auto" w:sz="4" w:space="0"/>
            </w:tcBorders>
            <w:vAlign w:val="center"/>
          </w:tcPr>
          <w:p w14:paraId="0E147CBB">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highlight w:val="none"/>
              </w:rPr>
              <w:t>6.1.1</w:t>
            </w:r>
          </w:p>
        </w:tc>
        <w:tc>
          <w:tcPr>
            <w:tcW w:w="1814" w:type="dxa"/>
            <w:gridSpan w:val="2"/>
            <w:tcBorders>
              <w:left w:val="single" w:color="auto" w:sz="4" w:space="0"/>
              <w:right w:val="single" w:color="auto" w:sz="4" w:space="0"/>
            </w:tcBorders>
            <w:vAlign w:val="center"/>
          </w:tcPr>
          <w:p w14:paraId="534FC585">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highlight w:val="none"/>
              </w:rPr>
              <w:t>评标委员会的组建</w:t>
            </w:r>
          </w:p>
        </w:tc>
        <w:tc>
          <w:tcPr>
            <w:tcW w:w="6323" w:type="dxa"/>
            <w:gridSpan w:val="4"/>
            <w:tcBorders>
              <w:left w:val="single" w:color="auto" w:sz="4" w:space="0"/>
              <w:right w:val="single" w:color="auto" w:sz="12" w:space="0"/>
            </w:tcBorders>
            <w:vAlign w:val="center"/>
          </w:tcPr>
          <w:p w14:paraId="5F1C244A">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评标委员会构成：</w:t>
            </w:r>
            <w:r>
              <w:rPr>
                <w:rFonts w:hint="eastAsia" w:ascii="宋体" w:hAnsi="宋体"/>
                <w:color w:val="auto"/>
                <w:szCs w:val="21"/>
                <w:highlight w:val="none"/>
                <w:u w:val="single"/>
              </w:rPr>
              <w:t xml:space="preserve">    </w:t>
            </w:r>
            <w:r>
              <w:rPr>
                <w:rFonts w:hint="eastAsia" w:ascii="宋体" w:hAnsi="宋体"/>
                <w:color w:val="auto"/>
                <w:szCs w:val="21"/>
                <w:highlight w:val="none"/>
              </w:rPr>
              <w:t>人，其中招标人代表</w:t>
            </w:r>
            <w:r>
              <w:rPr>
                <w:rFonts w:hint="eastAsia" w:ascii="宋体" w:hAnsi="宋体"/>
                <w:color w:val="auto"/>
                <w:szCs w:val="21"/>
                <w:highlight w:val="none"/>
                <w:u w:val="single"/>
              </w:rPr>
              <w:t xml:space="preserve">    </w:t>
            </w:r>
            <w:r>
              <w:rPr>
                <w:rFonts w:hint="eastAsia" w:ascii="宋体" w:hAnsi="宋体"/>
                <w:color w:val="auto"/>
                <w:szCs w:val="21"/>
                <w:highlight w:val="none"/>
              </w:rPr>
              <w:t>人,专家</w:t>
            </w:r>
            <w:r>
              <w:rPr>
                <w:rFonts w:hint="eastAsia" w:ascii="宋体" w:hAnsi="宋体"/>
                <w:color w:val="auto"/>
                <w:szCs w:val="21"/>
                <w:highlight w:val="none"/>
                <w:u w:val="single"/>
              </w:rPr>
              <w:t xml:space="preserve">   </w:t>
            </w:r>
            <w:r>
              <w:rPr>
                <w:rFonts w:hint="eastAsia" w:ascii="宋体" w:hAnsi="宋体"/>
                <w:color w:val="auto"/>
                <w:szCs w:val="21"/>
                <w:highlight w:val="none"/>
              </w:rPr>
              <w:t>人；</w:t>
            </w:r>
          </w:p>
          <w:p w14:paraId="0E03DC41">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评标专家确定方式：</w:t>
            </w:r>
          </w:p>
          <w:p w14:paraId="7DB73501">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按规定从</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
              </w:rPr>
              <w:t>（</w:t>
            </w:r>
            <w:r>
              <w:rPr>
                <w:rFonts w:hint="eastAsia" w:ascii="宋体" w:hAnsi="宋体"/>
                <w:color w:val="auto"/>
                <w:szCs w:val="21"/>
                <w:highlight w:val="none"/>
                <w:u w:val="single"/>
              </w:rPr>
              <w:t>交通运输部或福建省</w:t>
            </w:r>
            <w:r>
              <w:rPr>
                <w:rFonts w:hint="eastAsia" w:ascii="宋体" w:hAnsi="宋体"/>
                <w:color w:val="auto"/>
                <w:szCs w:val="21"/>
                <w:highlight w:val="none"/>
                <w:u w:val="single"/>
                <w:lang w:val="en"/>
              </w:rPr>
              <w:t>）</w:t>
            </w:r>
            <w:r>
              <w:rPr>
                <w:rFonts w:hint="eastAsia" w:ascii="宋体" w:hAnsi="宋体"/>
                <w:color w:val="auto"/>
                <w:szCs w:val="21"/>
                <w:highlight w:val="none"/>
                <w:u w:val="single"/>
              </w:rPr>
              <w:t xml:space="preserve"> 评标</w:t>
            </w:r>
            <w:r>
              <w:rPr>
                <w:rFonts w:hint="eastAsia" w:ascii="宋体" w:hAnsi="宋体"/>
                <w:color w:val="auto"/>
                <w:szCs w:val="21"/>
                <w:highlight w:val="none"/>
              </w:rPr>
              <w:t>专家库中随机抽取。</w:t>
            </w:r>
          </w:p>
        </w:tc>
      </w:tr>
      <w:tr w14:paraId="5C17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1A465529">
            <w:pPr>
              <w:autoSpaceDE/>
              <w:autoSpaceDN/>
              <w:adjustRightInd w:val="0"/>
              <w:snapToGrid w:val="0"/>
              <w:spacing w:before="32" w:beforeLines="10" w:afterLines="0" w:line="25" w:lineRule="atLeast"/>
              <w:jc w:val="center"/>
              <w:rPr>
                <w:rFonts w:ascii="宋体" w:hAnsi="宋体" w:cs="宋体"/>
                <w:color w:val="auto"/>
                <w:highlight w:val="none"/>
              </w:rPr>
            </w:pPr>
            <w:r>
              <w:rPr>
                <w:rFonts w:hint="eastAsia" w:ascii="宋体" w:hAnsi="宋体" w:cs="宋体"/>
                <w:color w:val="auto"/>
                <w:highlight w:val="none"/>
              </w:rPr>
              <w:t>6.3.1</w:t>
            </w:r>
          </w:p>
        </w:tc>
        <w:tc>
          <w:tcPr>
            <w:tcW w:w="1814" w:type="dxa"/>
            <w:gridSpan w:val="2"/>
            <w:tcBorders>
              <w:left w:val="single" w:color="auto" w:sz="4" w:space="0"/>
              <w:right w:val="single" w:color="auto" w:sz="4" w:space="0"/>
            </w:tcBorders>
            <w:vAlign w:val="center"/>
          </w:tcPr>
          <w:p w14:paraId="7451A7A9">
            <w:pPr>
              <w:wordWrap w:val="0"/>
              <w:adjustRightInd w:val="0"/>
              <w:snapToGrid w:val="0"/>
              <w:spacing w:before="32" w:beforeLines="10" w:afterLines="0" w:line="25" w:lineRule="atLeast"/>
              <w:jc w:val="left"/>
              <w:rPr>
                <w:rFonts w:ascii="宋体" w:hAnsi="宋体"/>
                <w:color w:val="auto"/>
                <w:highlight w:val="none"/>
              </w:rPr>
            </w:pPr>
            <w:r>
              <w:rPr>
                <w:rFonts w:hint="eastAsia" w:ascii="宋体" w:hAnsi="宋体" w:cs="宋体"/>
                <w:color w:val="auto"/>
                <w:szCs w:val="21"/>
                <w:highlight w:val="none"/>
              </w:rPr>
              <w:t>评标办法</w:t>
            </w:r>
          </w:p>
        </w:tc>
        <w:tc>
          <w:tcPr>
            <w:tcW w:w="6323" w:type="dxa"/>
            <w:gridSpan w:val="4"/>
            <w:tcBorders>
              <w:left w:val="single" w:color="auto" w:sz="4" w:space="0"/>
              <w:right w:val="single" w:color="auto" w:sz="12" w:space="0"/>
            </w:tcBorders>
            <w:vAlign w:val="center"/>
          </w:tcPr>
          <w:p w14:paraId="3B1C050D">
            <w:pPr>
              <w:widowControl/>
              <w:adjustRightInd w:val="0"/>
              <w:snapToGrid w:val="0"/>
              <w:spacing w:before="32" w:beforeLines="10" w:afterLines="0" w:line="25" w:lineRule="atLeast"/>
              <w:jc w:val="left"/>
              <w:rPr>
                <w:color w:val="auto"/>
                <w:szCs w:val="21"/>
                <w:highlight w:val="none"/>
              </w:rPr>
            </w:pPr>
            <w:r>
              <w:rPr>
                <w:rFonts w:hint="eastAsia" w:ascii="宋体" w:hAnsi="宋体" w:cs="宋体"/>
                <w:color w:val="auto"/>
                <w:kern w:val="0"/>
                <w:szCs w:val="21"/>
                <w:highlight w:val="none"/>
                <w:lang w:bidi="ar"/>
              </w:rPr>
              <w:t xml:space="preserve">定性评审法，适用于： </w:t>
            </w:r>
          </w:p>
          <w:p w14:paraId="414BACE4">
            <w:pPr>
              <w:widowControl/>
              <w:adjustRightInd w:val="0"/>
              <w:snapToGrid w:val="0"/>
              <w:spacing w:before="32" w:beforeLines="10" w:afterLines="0" w:line="25" w:lineRule="atLeast"/>
              <w:jc w:val="left"/>
              <w:rPr>
                <w:color w:val="auto"/>
                <w:szCs w:val="21"/>
                <w:highlight w:val="none"/>
              </w:rPr>
            </w:pPr>
            <w:r>
              <w:rPr>
                <w:rFonts w:hint="eastAsia" w:ascii="宋体" w:hAnsi="宋体" w:cs="宋体"/>
                <w:color w:val="auto"/>
                <w:kern w:val="0"/>
                <w:szCs w:val="21"/>
                <w:highlight w:val="none"/>
                <w:lang w:bidi="ar"/>
              </w:rPr>
              <w:t>是否将评标办法第 2.</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项第（</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）目“资格审查”先于第（3）目“确定入围投标人”进行：</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（是或否） </w:t>
            </w:r>
          </w:p>
          <w:p w14:paraId="308CDDB7">
            <w:pPr>
              <w:wordWrap w:val="0"/>
              <w:adjustRightInd w:val="0"/>
              <w:snapToGrid w:val="0"/>
              <w:spacing w:before="32" w:beforeLines="10" w:afterLines="0" w:line="25" w:lineRule="atLeast"/>
              <w:rPr>
                <w:rFonts w:ascii="宋体" w:hAnsi="宋体"/>
                <w:color w:val="auto"/>
                <w:szCs w:val="21"/>
                <w:highlight w:val="none"/>
              </w:rPr>
            </w:pPr>
            <w:r>
              <w:rPr>
                <w:rFonts w:hint="eastAsia" w:ascii="宋体" w:hAnsi="宋体" w:cs="宋体"/>
                <w:color w:val="auto"/>
                <w:szCs w:val="21"/>
                <w:highlight w:val="none"/>
              </w:rPr>
              <w:t>招标文件规定将资格审查程序先于确定入围投标人程序的，“投标人”指资格审查合格的投标人。</w:t>
            </w:r>
          </w:p>
        </w:tc>
      </w:tr>
      <w:tr w14:paraId="4E20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55A55531">
            <w:pPr>
              <w:wordWrap w:val="0"/>
              <w:adjustRightInd w:val="0"/>
              <w:snapToGrid w:val="0"/>
              <w:spacing w:before="32" w:beforeLines="10" w:afterLines="0" w:line="25" w:lineRule="atLeast"/>
              <w:jc w:val="center"/>
              <w:rPr>
                <w:rFonts w:hint="default" w:ascii="宋体" w:hAnsi="宋体" w:eastAsia="宋体" w:cs="宋体"/>
                <w:color w:val="auto"/>
                <w:highlight w:val="none"/>
                <w:lang w:val="en-US" w:eastAsia="zh-CN"/>
              </w:rPr>
            </w:pPr>
            <w:r>
              <w:rPr>
                <w:rFonts w:hint="eastAsia" w:ascii="宋体" w:hAnsi="宋体" w:cs="宋体"/>
                <w:color w:val="auto"/>
                <w:szCs w:val="21"/>
                <w:highlight w:val="none"/>
                <w:lang w:val="en-US" w:eastAsia="zh-CN"/>
              </w:rPr>
              <w:t>7.4</w:t>
            </w:r>
          </w:p>
        </w:tc>
        <w:tc>
          <w:tcPr>
            <w:tcW w:w="1814" w:type="dxa"/>
            <w:gridSpan w:val="2"/>
            <w:tcBorders>
              <w:left w:val="single" w:color="auto" w:sz="4" w:space="0"/>
              <w:right w:val="single" w:color="auto" w:sz="4" w:space="0"/>
            </w:tcBorders>
            <w:vAlign w:val="center"/>
          </w:tcPr>
          <w:p w14:paraId="60CEE035">
            <w:pPr>
              <w:wordWrap w:val="0"/>
              <w:adjustRightInd w:val="0"/>
              <w:snapToGrid w:val="0"/>
              <w:spacing w:before="32" w:beforeLines="10" w:afterLines="0" w:line="25" w:lineRule="atLeast"/>
              <w:jc w:val="left"/>
              <w:rPr>
                <w:rFonts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323" w:type="dxa"/>
            <w:gridSpan w:val="4"/>
            <w:tcBorders>
              <w:left w:val="single" w:color="auto" w:sz="4" w:space="0"/>
              <w:right w:val="single" w:color="auto" w:sz="12" w:space="0"/>
            </w:tcBorders>
            <w:vAlign w:val="center"/>
          </w:tcPr>
          <w:p w14:paraId="201F84C6">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公示媒介：</w:t>
            </w:r>
            <w:r>
              <w:rPr>
                <w:rFonts w:hint="eastAsia" w:ascii="宋体" w:hAnsi="宋体"/>
                <w:color w:val="auto"/>
                <w:szCs w:val="21"/>
                <w:highlight w:val="none"/>
                <w:u w:val="single"/>
              </w:rPr>
              <w:t xml:space="preserve"> </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rFonts w:ascii="宋体" w:hAnsi="宋体" w:cs="宋体"/>
                <w:color w:val="auto"/>
                <w:szCs w:val="21"/>
                <w:highlight w:val="none"/>
              </w:rPr>
              <w:fldChar w:fldCharType="begin"/>
            </w:r>
            <w:r>
              <w:rPr>
                <w:rFonts w:ascii="宋体" w:hAnsi="宋体" w:cs="宋体"/>
                <w:color w:val="auto"/>
                <w:szCs w:val="21"/>
                <w:highlight w:val="none"/>
              </w:rPr>
              <w:instrText xml:space="preserve"> HYPERLINK "</w:instrText>
            </w:r>
            <w:r>
              <w:rPr>
                <w:rFonts w:hint="eastAsia" w:ascii="宋体" w:hAnsi="宋体" w:cs="宋体"/>
                <w:color w:val="auto"/>
                <w:szCs w:val="21"/>
                <w:highlight w:val="none"/>
              </w:rPr>
              <w:instrText xml:space="preserve">）、电子招标投标交易平台</w:instrText>
            </w:r>
            <w:r>
              <w:rPr>
                <w:rFonts w:ascii="宋体" w:hAnsi="宋体" w:cs="宋体"/>
                <w:color w:val="auto"/>
                <w:szCs w:val="21"/>
                <w:highlight w:val="none"/>
              </w:rPr>
              <w:instrText xml:space="preserve">" </w:instrText>
            </w:r>
            <w:r>
              <w:rPr>
                <w:rFonts w:ascii="宋体" w:hAnsi="宋体" w:cs="宋体"/>
                <w:color w:val="auto"/>
                <w:szCs w:val="21"/>
                <w:highlight w:val="none"/>
              </w:rPr>
              <w:fldChar w:fldCharType="separate"/>
            </w:r>
            <w:r>
              <w:rPr>
                <w:rStyle w:val="46"/>
                <w:rFonts w:hint="eastAsia" w:ascii="宋体" w:hAnsi="宋体" w:cs="宋体"/>
                <w:color w:val="auto"/>
                <w:szCs w:val="21"/>
                <w:highlight w:val="none"/>
              </w:rPr>
              <w:t>）、电子招标投标交易平台</w:t>
            </w:r>
            <w:r>
              <w:rPr>
                <w:rFonts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7BABE003">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公示期限：</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B4229A3">
            <w:pPr>
              <w:adjustRightInd w:val="0"/>
              <w:snapToGrid w:val="0"/>
              <w:spacing w:before="32" w:beforeLines="10" w:afterLines="0" w:line="25" w:lineRule="atLeast"/>
              <w:jc w:val="left"/>
              <w:rPr>
                <w:rFonts w:ascii="宋体" w:hAnsi="宋体" w:cs="宋体"/>
                <w:color w:val="auto"/>
                <w:kern w:val="0"/>
                <w:szCs w:val="21"/>
                <w:highlight w:val="none"/>
                <w:lang w:bidi="ar"/>
              </w:rPr>
            </w:pPr>
            <w:r>
              <w:rPr>
                <w:rFonts w:hint="eastAsia" w:ascii="宋体" w:hAnsi="宋体"/>
                <w:color w:val="auto"/>
                <w:szCs w:val="21"/>
                <w:highlight w:val="none"/>
              </w:rPr>
              <w:t>公示的其他内容：</w:t>
            </w:r>
            <w:r>
              <w:rPr>
                <w:rFonts w:hint="eastAsia" w:ascii="宋体" w:hAnsi="宋体" w:cs="宋体"/>
                <w:color w:val="auto"/>
                <w:szCs w:val="21"/>
                <w:highlight w:val="none"/>
                <w:u w:val="single"/>
                <w:shd w:val="clear" w:color="auto" w:fill="auto"/>
              </w:rPr>
              <w:t xml:space="preserve">           </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 xml:space="preserve">      </w:t>
            </w:r>
          </w:p>
        </w:tc>
      </w:tr>
      <w:tr w14:paraId="39B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vMerge w:val="restart"/>
            <w:tcBorders>
              <w:left w:val="single" w:color="auto" w:sz="12" w:space="0"/>
              <w:right w:val="single" w:color="auto" w:sz="4" w:space="0"/>
            </w:tcBorders>
            <w:vAlign w:val="center"/>
          </w:tcPr>
          <w:p w14:paraId="5A36D811">
            <w:pPr>
              <w:autoSpaceDE/>
              <w:autoSpaceDN/>
              <w:adjustRightInd w:val="0"/>
              <w:snapToGrid w:val="0"/>
              <w:spacing w:before="32" w:beforeLines="10" w:afterLines="0" w:line="25" w:lineRule="atLeast"/>
              <w:jc w:val="center"/>
              <w:rPr>
                <w:rFonts w:hint="default" w:ascii="宋体" w:hAnsi="宋体" w:eastAsia="宋体" w:cs="宋体"/>
                <w:color w:val="auto"/>
                <w:highlight w:val="none"/>
                <w:lang w:val="en-US" w:eastAsia="zh-CN"/>
              </w:rPr>
            </w:pPr>
            <w:r>
              <w:rPr>
                <w:rFonts w:hint="eastAsia" w:ascii="宋体" w:hAnsi="宋体" w:cs="宋体"/>
                <w:color w:val="auto"/>
                <w:kern w:val="0"/>
                <w:szCs w:val="21"/>
                <w:highlight w:val="none"/>
                <w:lang w:val="en-US" w:eastAsia="zh-CN"/>
              </w:rPr>
              <w:t>7.3</w:t>
            </w:r>
          </w:p>
        </w:tc>
        <w:tc>
          <w:tcPr>
            <w:tcW w:w="1814" w:type="dxa"/>
            <w:gridSpan w:val="2"/>
            <w:tcBorders>
              <w:left w:val="single" w:color="auto" w:sz="4" w:space="0"/>
              <w:right w:val="single" w:color="auto" w:sz="4" w:space="0"/>
            </w:tcBorders>
            <w:vAlign w:val="center"/>
          </w:tcPr>
          <w:p w14:paraId="0AA8EADB">
            <w:pPr>
              <w:wordWrap w:val="0"/>
              <w:adjustRightInd w:val="0"/>
              <w:snapToGrid w:val="0"/>
              <w:spacing w:before="32" w:beforeLines="10" w:afterLines="0" w:line="25" w:lineRule="atLeast"/>
              <w:jc w:val="left"/>
              <w:rPr>
                <w:rFonts w:ascii="宋体" w:hAnsi="宋体"/>
                <w:color w:val="auto"/>
                <w:highlight w:val="none"/>
              </w:rPr>
            </w:pPr>
            <w:r>
              <w:rPr>
                <w:rFonts w:hint="eastAsia" w:ascii="宋体" w:hAnsi="宋体" w:cs="宋体"/>
                <w:color w:val="auto"/>
                <w:szCs w:val="21"/>
                <w:highlight w:val="none"/>
              </w:rPr>
              <w:t>定标方法</w:t>
            </w:r>
          </w:p>
        </w:tc>
        <w:tc>
          <w:tcPr>
            <w:tcW w:w="6323" w:type="dxa"/>
            <w:gridSpan w:val="4"/>
            <w:tcBorders>
              <w:left w:val="single" w:color="auto" w:sz="4" w:space="0"/>
              <w:right w:val="single" w:color="auto" w:sz="12" w:space="0"/>
            </w:tcBorders>
            <w:vAlign w:val="center"/>
          </w:tcPr>
          <w:p w14:paraId="45C1B8C9">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lang w:bidi="zh-CN"/>
              </w:rPr>
              <w:t>高分低价</w:t>
            </w:r>
            <w:r>
              <w:rPr>
                <w:rFonts w:hint="eastAsia" w:ascii="宋体" w:hAnsi="宋体"/>
                <w:color w:val="auto"/>
                <w:szCs w:val="21"/>
                <w:highlight w:val="none"/>
                <w:lang w:val="zh-CN" w:bidi="zh-CN"/>
              </w:rPr>
              <w:t>法</w:t>
            </w:r>
          </w:p>
          <w:p w14:paraId="76A8A0BA">
            <w:pPr>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lang w:val="zh-CN" w:bidi="zh-CN"/>
              </w:rPr>
              <w:t xml:space="preserve">□ </w:t>
            </w:r>
            <w:r>
              <w:rPr>
                <w:rFonts w:hint="eastAsia" w:ascii="宋体" w:hAnsi="宋体"/>
                <w:color w:val="auto"/>
                <w:szCs w:val="21"/>
                <w:highlight w:val="none"/>
                <w:lang w:bidi="zh-CN"/>
              </w:rPr>
              <w:t>高分随机</w:t>
            </w:r>
            <w:r>
              <w:rPr>
                <w:rFonts w:hint="eastAsia" w:ascii="宋体" w:hAnsi="宋体"/>
                <w:color w:val="auto"/>
                <w:szCs w:val="21"/>
                <w:highlight w:val="none"/>
              </w:rPr>
              <w:t>法</w:t>
            </w:r>
          </w:p>
          <w:p w14:paraId="69BDBD8B">
            <w:pPr>
              <w:pStyle w:val="98"/>
              <w:adjustRightInd w:val="0"/>
              <w:snapToGrid w:val="0"/>
              <w:spacing w:before="32" w:beforeLines="10" w:afterLines="0" w:line="25" w:lineRule="atLeast"/>
              <w:jc w:val="left"/>
              <w:rPr>
                <w:color w:val="auto"/>
                <w:szCs w:val="21"/>
                <w:highlight w:val="none"/>
              </w:rPr>
            </w:pPr>
            <w:r>
              <w:rPr>
                <w:rFonts w:hint="eastAsia" w:ascii="宋体" w:hAnsi="宋体"/>
                <w:color w:val="auto"/>
                <w:szCs w:val="21"/>
                <w:highlight w:val="none"/>
                <w:lang w:val="zh-CN" w:bidi="zh-CN"/>
              </w:rPr>
              <w:t>□</w:t>
            </w:r>
            <w:r>
              <w:rPr>
                <w:rFonts w:hint="eastAsia"/>
                <w:color w:val="auto"/>
                <w:szCs w:val="21"/>
                <w:highlight w:val="none"/>
              </w:rPr>
              <w:t xml:space="preserve"> </w:t>
            </w:r>
            <w:r>
              <w:rPr>
                <w:rFonts w:hint="eastAsia"/>
                <w:color w:val="auto"/>
                <w:szCs w:val="21"/>
                <w:highlight w:val="none"/>
                <w:lang w:val="en-US"/>
              </w:rPr>
              <w:t>低价随机</w:t>
            </w:r>
            <w:r>
              <w:rPr>
                <w:rFonts w:hint="eastAsia"/>
                <w:color w:val="auto"/>
                <w:szCs w:val="21"/>
                <w:highlight w:val="none"/>
              </w:rPr>
              <w:t>法</w:t>
            </w:r>
          </w:p>
          <w:p w14:paraId="1E1671B1">
            <w:pPr>
              <w:adjustRightInd w:val="0"/>
              <w:snapToGrid w:val="0"/>
              <w:spacing w:before="32" w:beforeLines="10" w:afterLines="0" w:line="25" w:lineRule="atLeast"/>
              <w:jc w:val="left"/>
              <w:rPr>
                <w:rFonts w:ascii="宋体" w:hAnsi="宋体"/>
                <w:color w:val="auto"/>
                <w:kern w:val="0"/>
                <w:szCs w:val="21"/>
                <w:highlight w:val="none"/>
              </w:rPr>
            </w:pPr>
            <w:r>
              <w:rPr>
                <w:rFonts w:hint="eastAsia" w:ascii="宋体" w:hAnsi="宋体"/>
                <w:color w:val="auto"/>
                <w:szCs w:val="21"/>
                <w:highlight w:val="none"/>
                <w:lang w:val="zh-CN" w:bidi="zh-CN"/>
              </w:rPr>
              <w:t>□</w:t>
            </w:r>
            <w:r>
              <w:rPr>
                <w:rFonts w:hint="eastAsia" w:cs="宋体"/>
                <w:color w:val="auto"/>
                <w:szCs w:val="21"/>
                <w:highlight w:val="none"/>
                <w:lang w:bidi="zh-CN"/>
              </w:rPr>
              <w:t>在“</w:t>
            </w:r>
            <w:r>
              <w:rPr>
                <w:rFonts w:hint="eastAsia" w:ascii="宋体" w:hAnsi="宋体" w:cs="宋体"/>
                <w:color w:val="auto"/>
                <w:szCs w:val="21"/>
                <w:highlight w:val="none"/>
              </w:rPr>
              <w:t>高分低价法</w:t>
            </w:r>
            <w:r>
              <w:rPr>
                <w:rFonts w:hint="eastAsia" w:cs="宋体"/>
                <w:color w:val="auto"/>
                <w:szCs w:val="21"/>
                <w:highlight w:val="none"/>
                <w:lang w:bidi="zh-CN"/>
              </w:rPr>
              <w:t>”、“</w:t>
            </w:r>
            <w:r>
              <w:rPr>
                <w:rFonts w:hint="eastAsia" w:ascii="宋体" w:hAnsi="宋体" w:cs="宋体"/>
                <w:color w:val="auto"/>
                <w:szCs w:val="21"/>
                <w:highlight w:val="none"/>
              </w:rPr>
              <w:t>高分随机法</w:t>
            </w:r>
            <w:r>
              <w:rPr>
                <w:rFonts w:hint="eastAsia" w:cs="宋体"/>
                <w:color w:val="auto"/>
                <w:szCs w:val="21"/>
                <w:highlight w:val="none"/>
                <w:lang w:bidi="zh-CN"/>
              </w:rPr>
              <w:t>”、“</w:t>
            </w:r>
            <w:r>
              <w:rPr>
                <w:rFonts w:hint="eastAsia" w:ascii="宋体" w:hAnsi="宋体" w:cs="宋体"/>
                <w:color w:val="auto"/>
                <w:szCs w:val="21"/>
                <w:highlight w:val="none"/>
              </w:rPr>
              <w:t>低价随机法</w:t>
            </w:r>
            <w:r>
              <w:rPr>
                <w:rFonts w:hint="eastAsia" w:cs="宋体"/>
                <w:color w:val="auto"/>
                <w:szCs w:val="21"/>
                <w:highlight w:val="none"/>
                <w:lang w:bidi="zh-CN"/>
              </w:rPr>
              <w:t>”</w:t>
            </w:r>
            <w:r>
              <w:rPr>
                <w:rFonts w:hint="eastAsia" w:cs="宋体"/>
                <w:color w:val="auto"/>
                <w:szCs w:val="21"/>
                <w:highlight w:val="none"/>
              </w:rPr>
              <w:t>中</w:t>
            </w:r>
            <w:r>
              <w:rPr>
                <w:rFonts w:hint="eastAsia" w:ascii="宋体" w:hAnsi="宋体" w:cs="宋体"/>
                <w:color w:val="auto"/>
                <w:szCs w:val="21"/>
                <w:highlight w:val="none"/>
              </w:rPr>
              <w:t>随机抽取</w:t>
            </w:r>
          </w:p>
        </w:tc>
      </w:tr>
      <w:tr w14:paraId="020F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vMerge w:val="continue"/>
            <w:tcBorders>
              <w:left w:val="single" w:color="auto" w:sz="12" w:space="0"/>
              <w:right w:val="single" w:color="auto" w:sz="4" w:space="0"/>
            </w:tcBorders>
            <w:vAlign w:val="center"/>
          </w:tcPr>
          <w:p w14:paraId="0EFA3570">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p>
        </w:tc>
        <w:tc>
          <w:tcPr>
            <w:tcW w:w="1814" w:type="dxa"/>
            <w:gridSpan w:val="2"/>
            <w:tcBorders>
              <w:left w:val="single" w:color="auto" w:sz="4" w:space="0"/>
              <w:right w:val="single" w:color="auto" w:sz="4" w:space="0"/>
            </w:tcBorders>
            <w:vAlign w:val="center"/>
          </w:tcPr>
          <w:p w14:paraId="562A1479">
            <w:pPr>
              <w:wordWrap w:val="0"/>
              <w:adjustRightInd w:val="0"/>
              <w:snapToGrid w:val="0"/>
              <w:spacing w:before="32" w:beforeLines="10" w:afterLines="0" w:line="25" w:lineRule="atLeast"/>
              <w:jc w:val="left"/>
              <w:rPr>
                <w:rFonts w:ascii="宋体" w:hAnsi="宋体" w:cs="宋体"/>
                <w:color w:val="auto"/>
                <w:szCs w:val="21"/>
                <w:highlight w:val="none"/>
              </w:rPr>
            </w:pPr>
            <w:r>
              <w:rPr>
                <w:rFonts w:hint="eastAsia" w:cs="宋体"/>
                <w:color w:val="auto"/>
                <w:kern w:val="1"/>
                <w:szCs w:val="21"/>
                <w:highlight w:val="none"/>
              </w:rPr>
              <w:t>项目负责人陈述答辩考核工作方案</w:t>
            </w:r>
          </w:p>
        </w:tc>
        <w:tc>
          <w:tcPr>
            <w:tcW w:w="6323" w:type="dxa"/>
            <w:gridSpan w:val="4"/>
            <w:tcBorders>
              <w:left w:val="single" w:color="auto" w:sz="4" w:space="0"/>
              <w:right w:val="single" w:color="auto" w:sz="12" w:space="0"/>
            </w:tcBorders>
            <w:vAlign w:val="center"/>
          </w:tcPr>
          <w:p w14:paraId="6E3DC708">
            <w:pPr>
              <w:pStyle w:val="4"/>
              <w:widowControl/>
              <w:adjustRightInd w:val="0"/>
              <w:snapToGrid w:val="0"/>
              <w:spacing w:before="32" w:beforeLines="10" w:after="0" w:afterLines="0" w:line="25" w:lineRule="atLeast"/>
              <w:ind w:firstLine="499" w:firstLineChars="238"/>
              <w:rPr>
                <w:rFonts w:ascii="宋体" w:hAnsi="宋体" w:cs="宋体"/>
                <w:b w:val="0"/>
                <w:bCs w:val="0"/>
                <w:color w:val="auto"/>
                <w:kern w:val="0"/>
                <w:sz w:val="21"/>
                <w:szCs w:val="21"/>
                <w:highlight w:val="none"/>
                <w:lang w:bidi="zh-CN"/>
              </w:rPr>
            </w:pPr>
            <w:r>
              <w:rPr>
                <w:rFonts w:hint="eastAsia" w:ascii="宋体" w:hAnsi="宋体" w:cs="宋体"/>
                <w:b w:val="0"/>
                <w:bCs w:val="0"/>
                <w:color w:val="auto"/>
                <w:kern w:val="0"/>
                <w:sz w:val="21"/>
                <w:szCs w:val="21"/>
                <w:highlight w:val="none"/>
                <w:lang w:bidi="zh-CN"/>
              </w:rPr>
              <w:t>定标方案明确要求项目负责人陈述答辩考核的，陈述答辩考核工作方案具体内容如下，应参加陈述答辩的投标人（所有入围投标人以及资格审查不合格的投标人均为参加陈述答辩的通知范围）以及项目负责人名称、时间、地点由招标人另行通知：</w:t>
            </w:r>
          </w:p>
          <w:p w14:paraId="4C0C0E7A">
            <w:pPr>
              <w:autoSpaceDE/>
              <w:autoSpaceDN/>
              <w:adjustRightInd w:val="0"/>
              <w:snapToGrid w:val="0"/>
              <w:spacing w:before="32" w:beforeLines="10" w:afterLines="0" w:line="25" w:lineRule="atLeast"/>
              <w:ind w:firstLine="420" w:firstLineChars="200"/>
              <w:jc w:val="left"/>
              <w:rPr>
                <w:rFonts w:ascii="宋体" w:hAnsi="宋体" w:cs="宋体"/>
                <w:color w:val="auto"/>
                <w:kern w:val="0"/>
                <w:szCs w:val="21"/>
                <w:highlight w:val="none"/>
                <w:lang w:val="zh-CN" w:bidi="zh-CN"/>
              </w:rPr>
            </w:pPr>
            <w:r>
              <w:rPr>
                <w:rFonts w:hint="eastAsia" w:ascii="宋体" w:hAnsi="宋体" w:cs="宋体"/>
                <w:color w:val="auto"/>
                <w:kern w:val="0"/>
                <w:szCs w:val="21"/>
                <w:highlight w:val="none"/>
                <w:lang w:val="zh-CN" w:bidi="zh-CN"/>
              </w:rPr>
              <w:t>一、总则</w:t>
            </w:r>
          </w:p>
          <w:p w14:paraId="32AEF843">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为确保</w:t>
            </w:r>
            <w:r>
              <w:rPr>
                <w:rFonts w:hint="eastAsia" w:cs="宋体"/>
                <w:color w:val="auto"/>
                <w:szCs w:val="21"/>
                <w:highlight w:val="none"/>
                <w:lang w:bidi="zh-CN"/>
              </w:rPr>
              <w:t>项目负责人陈述</w:t>
            </w:r>
            <w:r>
              <w:rPr>
                <w:rFonts w:hint="eastAsia" w:ascii="宋体" w:hAnsi="宋体" w:cs="宋体"/>
                <w:color w:val="auto"/>
                <w:szCs w:val="21"/>
                <w:highlight w:val="none"/>
                <w:lang w:val="zh-CN" w:bidi="zh-CN"/>
              </w:rPr>
              <w:t>答辩工作安排合理，工作人员分工明确，</w:t>
            </w:r>
            <w:r>
              <w:rPr>
                <w:rFonts w:hint="eastAsia" w:cs="宋体"/>
                <w:color w:val="auto"/>
                <w:szCs w:val="21"/>
                <w:highlight w:val="none"/>
                <w:lang w:bidi="zh-CN"/>
              </w:rPr>
              <w:t>有关</w:t>
            </w:r>
            <w:r>
              <w:rPr>
                <w:rFonts w:hint="eastAsia" w:ascii="宋体" w:hAnsi="宋体" w:cs="宋体"/>
                <w:color w:val="auto"/>
                <w:szCs w:val="21"/>
                <w:highlight w:val="none"/>
                <w:lang w:val="zh-CN" w:bidi="zh-CN"/>
              </w:rPr>
              <w:t>人员互不干扰串通，</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答辩评价结果客观公正，参加</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答辩的拟派本项目的项目负责人（以下简称</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答辩人员）应</w:t>
            </w:r>
            <w:r>
              <w:rPr>
                <w:rFonts w:hint="eastAsia" w:cs="宋体"/>
                <w:color w:val="auto"/>
                <w:szCs w:val="21"/>
                <w:highlight w:val="none"/>
                <w:lang w:bidi="zh-CN"/>
              </w:rPr>
              <w:t>按</w:t>
            </w:r>
            <w:r>
              <w:rPr>
                <w:rFonts w:hint="eastAsia" w:ascii="宋体" w:hAnsi="宋体" w:cs="宋体"/>
                <w:color w:val="auto"/>
                <w:szCs w:val="21"/>
                <w:highlight w:val="none"/>
                <w:lang w:val="zh-CN" w:bidi="zh-CN"/>
              </w:rPr>
              <w:t>要求做好准备工作，服从现场工作人员的安排。</w:t>
            </w:r>
          </w:p>
          <w:p w14:paraId="76621D5C">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二、</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w:t>
            </w:r>
          </w:p>
          <w:p w14:paraId="333F638B">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w:t>
            </w:r>
            <w:r>
              <w:rPr>
                <w:rFonts w:hint="eastAsia" w:ascii="宋体" w:hAnsi="宋体" w:cs="宋体"/>
                <w:color w:val="auto"/>
                <w:szCs w:val="21"/>
                <w:highlight w:val="none"/>
                <w:lang w:bidi="zh-CN"/>
              </w:rPr>
              <w:t>必须为</w:t>
            </w:r>
            <w:r>
              <w:rPr>
                <w:rFonts w:hint="eastAsia" w:ascii="宋体" w:hAnsi="宋体" w:cs="宋体"/>
                <w:color w:val="auto"/>
                <w:szCs w:val="21"/>
                <w:highlight w:val="none"/>
                <w:lang w:val="zh-CN" w:bidi="zh-CN"/>
              </w:rPr>
              <w:t>投标文件中确定的项目负责人，除此之外的其他人员不得作为答辩人员。</w:t>
            </w:r>
          </w:p>
          <w:p w14:paraId="6D0D5A97">
            <w:pPr>
              <w:autoSpaceDE/>
              <w:autoSpaceDN/>
              <w:adjustRightInd w:val="0"/>
              <w:snapToGrid w:val="0"/>
              <w:spacing w:before="32" w:beforeLines="10" w:afterLines="0" w:line="25" w:lineRule="atLeast"/>
              <w:ind w:firstLine="420" w:firstLineChars="200"/>
              <w:jc w:val="left"/>
              <w:rPr>
                <w:rFonts w:cs="宋体"/>
                <w:color w:val="auto"/>
                <w:szCs w:val="21"/>
                <w:highlight w:val="none"/>
                <w:lang w:bidi="zh-CN"/>
              </w:rPr>
            </w:pPr>
            <w:r>
              <w:rPr>
                <w:rFonts w:hint="eastAsia" w:cs="宋体"/>
                <w:color w:val="auto"/>
                <w:szCs w:val="21"/>
                <w:highlight w:val="none"/>
                <w:lang w:bidi="zh-CN"/>
              </w:rPr>
              <w:t>2.陈述</w:t>
            </w:r>
            <w:r>
              <w:rPr>
                <w:rFonts w:hint="eastAsia" w:ascii="宋体" w:hAnsi="宋体" w:cs="宋体"/>
                <w:color w:val="auto"/>
                <w:szCs w:val="21"/>
                <w:highlight w:val="none"/>
                <w:lang w:val="zh-CN" w:bidi="zh-CN"/>
              </w:rPr>
              <w:t>答辩人员应携带《</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答辩授权委托书》（具体格式详见附件）、身份证原件及复印件（正反两面，加盖公章），在</w:t>
            </w:r>
            <w:r>
              <w:rPr>
                <w:rFonts w:hint="eastAsia" w:cs="宋体"/>
                <w:color w:val="auto"/>
                <w:szCs w:val="21"/>
                <w:highlight w:val="none"/>
                <w:lang w:bidi="zh-CN"/>
              </w:rPr>
              <w:t>招标人通知的时间和地点，准时</w:t>
            </w:r>
            <w:r>
              <w:rPr>
                <w:rFonts w:hint="eastAsia" w:ascii="宋体" w:hAnsi="宋体" w:cs="宋体"/>
                <w:color w:val="auto"/>
                <w:szCs w:val="21"/>
                <w:highlight w:val="none"/>
                <w:lang w:val="zh-CN" w:bidi="zh-CN"/>
              </w:rPr>
              <w:t>签到</w:t>
            </w:r>
            <w:r>
              <w:rPr>
                <w:rFonts w:hint="eastAsia" w:cs="宋体"/>
                <w:color w:val="auto"/>
                <w:szCs w:val="21"/>
                <w:highlight w:val="none"/>
                <w:lang w:bidi="zh-CN"/>
              </w:rPr>
              <w:t>并</w:t>
            </w:r>
            <w:r>
              <w:rPr>
                <w:rFonts w:hint="eastAsia" w:ascii="宋体" w:hAnsi="宋体" w:cs="宋体"/>
                <w:color w:val="auto"/>
                <w:szCs w:val="21"/>
                <w:highlight w:val="none"/>
                <w:lang w:val="zh-CN" w:bidi="zh-CN"/>
              </w:rPr>
              <w:t>向</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提交身份验证（验证时应摘除口罩），验证通过方可参加答辩，</w:t>
            </w:r>
            <w:r>
              <w:rPr>
                <w:rFonts w:hint="eastAsia" w:cs="宋体"/>
                <w:color w:val="auto"/>
                <w:szCs w:val="21"/>
                <w:highlight w:val="none"/>
                <w:lang w:bidi="zh-CN"/>
              </w:rPr>
              <w:t>未准时签到或验证不符合要求的，视为放弃答辩。</w:t>
            </w:r>
          </w:p>
          <w:p w14:paraId="1F1D5DC5">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bidi="zh-CN"/>
              </w:rPr>
            </w:pPr>
            <w:r>
              <w:rPr>
                <w:rFonts w:hint="eastAsia" w:cs="宋体"/>
                <w:color w:val="auto"/>
                <w:szCs w:val="21"/>
                <w:highlight w:val="none"/>
                <w:lang w:bidi="zh-CN"/>
              </w:rPr>
              <w:t>3.陈述答辩人员在答辩期间应全程携带工作牌。</w:t>
            </w:r>
          </w:p>
          <w:p w14:paraId="4A9E7014">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4.身份</w:t>
            </w:r>
            <w:r>
              <w:rPr>
                <w:rFonts w:hint="eastAsia" w:ascii="宋体" w:hAnsi="宋体" w:cs="宋体"/>
                <w:color w:val="auto"/>
                <w:szCs w:val="21"/>
                <w:highlight w:val="none"/>
                <w:lang w:val="zh-CN" w:bidi="zh-CN"/>
              </w:rPr>
              <w:t>验证后</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留存授权书和身份证复印件。</w:t>
            </w:r>
          </w:p>
          <w:p w14:paraId="2643132B">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三、</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答辩签到时间、地点</w:t>
            </w:r>
          </w:p>
          <w:p w14:paraId="54864F47">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bidi="zh-CN"/>
              </w:rPr>
            </w:pPr>
            <w:r>
              <w:rPr>
                <w:rFonts w:hint="eastAsia" w:cs="宋体"/>
                <w:color w:val="auto"/>
                <w:szCs w:val="21"/>
                <w:highlight w:val="none"/>
                <w:lang w:bidi="zh-CN"/>
              </w:rPr>
              <w:t>1.</w:t>
            </w:r>
            <w:r>
              <w:rPr>
                <w:rFonts w:hint="eastAsia" w:ascii="宋体" w:hAnsi="宋体" w:cs="宋体"/>
                <w:color w:val="auto"/>
                <w:szCs w:val="21"/>
                <w:highlight w:val="none"/>
                <w:lang w:val="zh-CN" w:bidi="zh-CN"/>
              </w:rPr>
              <w:t>签到时间：</w:t>
            </w:r>
            <w:r>
              <w:rPr>
                <w:rFonts w:hint="eastAsia" w:cs="宋体"/>
                <w:color w:val="auto"/>
                <w:szCs w:val="21"/>
                <w:highlight w:val="none"/>
                <w:lang w:bidi="zh-CN"/>
              </w:rPr>
              <w:t>另行通知</w:t>
            </w:r>
          </w:p>
          <w:p w14:paraId="606F4CE8">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2.签到</w:t>
            </w:r>
            <w:r>
              <w:rPr>
                <w:rFonts w:hint="eastAsia" w:ascii="宋体" w:hAnsi="宋体" w:cs="宋体"/>
                <w:color w:val="auto"/>
                <w:szCs w:val="21"/>
                <w:highlight w:val="none"/>
                <w:lang w:val="zh-CN" w:bidi="zh-CN"/>
              </w:rPr>
              <w:t>地点：</w:t>
            </w:r>
            <w:r>
              <w:rPr>
                <w:rFonts w:hint="eastAsia" w:cs="宋体"/>
                <w:color w:val="auto"/>
                <w:szCs w:val="21"/>
                <w:highlight w:val="none"/>
                <w:lang w:bidi="zh-CN"/>
              </w:rPr>
              <w:t>另行通知，</w:t>
            </w:r>
            <w:r>
              <w:rPr>
                <w:rFonts w:hint="eastAsia" w:ascii="宋体" w:hAnsi="宋体" w:cs="宋体"/>
                <w:color w:val="auto"/>
                <w:szCs w:val="21"/>
                <w:highlight w:val="none"/>
                <w:lang w:val="zh-CN" w:bidi="zh-CN"/>
              </w:rPr>
              <w:t>签到地点即为候辩室。</w:t>
            </w:r>
          </w:p>
          <w:p w14:paraId="3FC9E91C">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四、</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答辩方式</w:t>
            </w:r>
          </w:p>
          <w:p w14:paraId="07B1F74C">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现场语音答辩</w:t>
            </w:r>
            <w:r>
              <w:rPr>
                <w:rFonts w:hint="eastAsia" w:cs="宋体"/>
                <w:color w:val="auto"/>
                <w:szCs w:val="21"/>
                <w:highlight w:val="none"/>
                <w:lang w:val="zh-CN" w:bidi="zh-CN"/>
              </w:rPr>
              <w:t>，</w:t>
            </w:r>
            <w:r>
              <w:rPr>
                <w:rFonts w:hint="eastAsia" w:cs="宋体"/>
                <w:color w:val="auto"/>
                <w:szCs w:val="21"/>
                <w:highlight w:val="none"/>
                <w:lang w:bidi="zh-CN"/>
              </w:rPr>
              <w:t>陈述答辩人员不得以任何形式向定标委员会透露姓名以及所属投标人名称，否则陈述答辩不得分</w:t>
            </w:r>
            <w:r>
              <w:rPr>
                <w:rFonts w:hint="eastAsia" w:ascii="宋体" w:hAnsi="宋体" w:cs="宋体"/>
                <w:color w:val="auto"/>
                <w:szCs w:val="21"/>
                <w:highlight w:val="none"/>
                <w:lang w:val="zh-CN" w:bidi="zh-CN"/>
              </w:rPr>
              <w:t>。</w:t>
            </w:r>
          </w:p>
          <w:p w14:paraId="4DC928C8">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五、</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w:t>
            </w:r>
            <w:r>
              <w:rPr>
                <w:rFonts w:hint="eastAsia" w:cs="宋体"/>
                <w:color w:val="auto"/>
                <w:szCs w:val="21"/>
                <w:highlight w:val="none"/>
                <w:lang w:bidi="zh-CN"/>
              </w:rPr>
              <w:t>控制</w:t>
            </w:r>
            <w:r>
              <w:rPr>
                <w:rFonts w:hint="eastAsia" w:ascii="宋体" w:hAnsi="宋体" w:cs="宋体"/>
                <w:color w:val="auto"/>
                <w:szCs w:val="21"/>
                <w:highlight w:val="none"/>
                <w:lang w:val="zh-CN" w:bidi="zh-CN"/>
              </w:rPr>
              <w:t>时间</w:t>
            </w:r>
          </w:p>
          <w:p w14:paraId="7DBA7576">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cs="宋体"/>
                <w:color w:val="auto"/>
                <w:szCs w:val="21"/>
                <w:highlight w:val="none"/>
                <w:lang w:bidi="zh-CN"/>
              </w:rPr>
              <w:t>陈述</w:t>
            </w:r>
            <w:r>
              <w:rPr>
                <w:rFonts w:hint="eastAsia" w:ascii="宋体" w:hAnsi="宋体" w:cs="宋体"/>
                <w:color w:val="auto"/>
                <w:szCs w:val="21"/>
                <w:highlight w:val="none"/>
                <w:lang w:val="zh-CN" w:bidi="zh-CN"/>
              </w:rPr>
              <w:t>答辩的总时间严格控制为不超过</w:t>
            </w:r>
            <w:r>
              <w:rPr>
                <w:rFonts w:hint="eastAsia" w:cs="宋体"/>
                <w:color w:val="auto"/>
                <w:szCs w:val="21"/>
                <w:highlight w:val="none"/>
                <w:u w:val="single"/>
                <w:lang w:bidi="zh-CN"/>
              </w:rPr>
              <w:t xml:space="preserve">     </w:t>
            </w:r>
            <w:r>
              <w:rPr>
                <w:rFonts w:hint="eastAsia" w:ascii="宋体" w:hAnsi="宋体" w:cs="宋体"/>
                <w:color w:val="auto"/>
                <w:szCs w:val="21"/>
                <w:highlight w:val="none"/>
                <w:lang w:val="zh-CN" w:bidi="zh-CN"/>
              </w:rPr>
              <w:t>分钟。答辩室内提供计时器，剩余2分钟时由</w:t>
            </w:r>
            <w:r>
              <w:rPr>
                <w:rFonts w:hint="eastAsia" w:cs="宋体"/>
                <w:color w:val="auto"/>
                <w:szCs w:val="21"/>
                <w:highlight w:val="none"/>
                <w:lang w:bidi="zh-CN"/>
              </w:rPr>
              <w:t>工作人员</w:t>
            </w:r>
            <w:r>
              <w:rPr>
                <w:rFonts w:hint="eastAsia" w:ascii="宋体" w:hAnsi="宋体" w:cs="宋体"/>
                <w:color w:val="auto"/>
                <w:szCs w:val="21"/>
                <w:highlight w:val="none"/>
                <w:lang w:val="zh-CN" w:bidi="zh-CN"/>
              </w:rPr>
              <w:t>提醒，计时开始后</w:t>
            </w:r>
            <w:r>
              <w:rPr>
                <w:rFonts w:hint="eastAsia" w:cs="宋体"/>
                <w:color w:val="auto"/>
                <w:szCs w:val="21"/>
                <w:highlight w:val="none"/>
                <w:lang w:bidi="zh-CN"/>
              </w:rPr>
              <w:t>至前述控制时间截止</w:t>
            </w:r>
            <w:r>
              <w:rPr>
                <w:rFonts w:hint="eastAsia" w:ascii="宋体" w:hAnsi="宋体" w:cs="宋体"/>
                <w:color w:val="auto"/>
                <w:szCs w:val="21"/>
                <w:highlight w:val="none"/>
                <w:lang w:val="zh-CN" w:bidi="zh-CN"/>
              </w:rPr>
              <w:t>时停止</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w:t>
            </w:r>
          </w:p>
          <w:p w14:paraId="327B95B9">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六、</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答辩流程</w:t>
            </w:r>
          </w:p>
          <w:p w14:paraId="69E9B96C">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1</w:t>
            </w:r>
            <w:r>
              <w:rPr>
                <w:rFonts w:hint="eastAsia" w:ascii="宋体" w:hAnsi="宋体" w:cs="宋体"/>
                <w:color w:val="auto"/>
                <w:szCs w:val="21"/>
                <w:highlight w:val="none"/>
                <w:lang w:bidi="zh-CN"/>
              </w:rPr>
              <w:t>.</w:t>
            </w:r>
            <w:r>
              <w:rPr>
                <w:rFonts w:hint="eastAsia" w:ascii="宋体" w:hAnsi="宋体" w:cs="宋体"/>
                <w:color w:val="auto"/>
                <w:szCs w:val="21"/>
                <w:highlight w:val="none"/>
                <w:lang w:val="zh-CN" w:bidi="zh-CN"/>
              </w:rPr>
              <w:t>主要流程</w:t>
            </w:r>
          </w:p>
          <w:p w14:paraId="5BCC5B49">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1.1</w:t>
            </w:r>
            <w:r>
              <w:rPr>
                <w:rFonts w:hint="eastAsia" w:ascii="宋体" w:hAnsi="宋体" w:cs="宋体"/>
                <w:color w:val="auto"/>
                <w:szCs w:val="21"/>
                <w:highlight w:val="none"/>
                <w:lang w:val="zh-CN" w:bidi="zh-CN"/>
              </w:rPr>
              <w:t>答辩顺序</w:t>
            </w:r>
            <w:r>
              <w:rPr>
                <w:rFonts w:hint="eastAsia" w:ascii="宋体" w:hAnsi="宋体" w:cs="宋体"/>
                <w:color w:val="auto"/>
                <w:szCs w:val="21"/>
                <w:highlight w:val="none"/>
                <w:lang w:bidi="zh-CN"/>
              </w:rPr>
              <w:t>由现场随机抽取确定，随机抽取规则如下：</w:t>
            </w:r>
          </w:p>
          <w:p w14:paraId="01089FB7">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（1）投标人代表号即为</w:t>
            </w:r>
            <w:r>
              <w:rPr>
                <w:rFonts w:hint="eastAsia" w:ascii="宋体" w:hAnsi="宋体" w:cs="宋体"/>
                <w:color w:val="auto"/>
                <w:szCs w:val="21"/>
                <w:highlight w:val="none"/>
                <w:lang w:bidi="zh-CN"/>
              </w:rPr>
              <w:t>投标</w:t>
            </w:r>
            <w:r>
              <w:rPr>
                <w:rFonts w:hint="eastAsia" w:ascii="宋体" w:hAnsi="宋体" w:cs="宋体"/>
                <w:color w:val="auto"/>
                <w:szCs w:val="21"/>
                <w:highlight w:val="none"/>
                <w:lang w:val="zh-CN" w:bidi="zh-CN"/>
              </w:rPr>
              <w:t>代表球号；</w:t>
            </w:r>
          </w:p>
          <w:p w14:paraId="1889FF4F">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（2）由建设单位代表（除定标委员会成员以外）或代建单位代表在市公共资源交易中心开标区抽取机中放入所有</w:t>
            </w:r>
            <w:r>
              <w:rPr>
                <w:rFonts w:hint="eastAsia" w:ascii="宋体" w:hAnsi="宋体" w:cs="宋体"/>
                <w:color w:val="auto"/>
                <w:szCs w:val="21"/>
                <w:highlight w:val="none"/>
                <w:lang w:bidi="zh-CN"/>
              </w:rPr>
              <w:t>投标人</w:t>
            </w:r>
            <w:r>
              <w:rPr>
                <w:rFonts w:hint="eastAsia" w:ascii="宋体" w:hAnsi="宋体" w:cs="宋体"/>
                <w:color w:val="auto"/>
                <w:szCs w:val="21"/>
                <w:highlight w:val="none"/>
                <w:lang w:val="zh-CN" w:bidi="zh-CN"/>
              </w:rPr>
              <w:t>代表球号，</w:t>
            </w:r>
            <w:r>
              <w:rPr>
                <w:rFonts w:hint="eastAsia" w:ascii="宋体" w:hAnsi="宋体" w:cs="宋体"/>
                <w:color w:val="auto"/>
                <w:szCs w:val="21"/>
                <w:highlight w:val="none"/>
                <w:lang w:bidi="zh-CN"/>
              </w:rPr>
              <w:t>依次抽取，</w:t>
            </w:r>
            <w:r>
              <w:rPr>
                <w:rFonts w:hint="eastAsia" w:ascii="宋体" w:hAnsi="宋体" w:cs="宋体"/>
                <w:color w:val="auto"/>
                <w:szCs w:val="21"/>
                <w:highlight w:val="none"/>
                <w:lang w:val="zh-CN" w:bidi="zh-CN"/>
              </w:rPr>
              <w:t>第1次抽取出的球号对应</w:t>
            </w:r>
            <w:r>
              <w:rPr>
                <w:rFonts w:hint="eastAsia" w:ascii="宋体" w:hAnsi="宋体" w:cs="宋体"/>
                <w:color w:val="auto"/>
                <w:szCs w:val="21"/>
                <w:highlight w:val="none"/>
                <w:lang w:bidi="zh-CN"/>
              </w:rPr>
              <w:t>的投标人的项目负责人第一个参加陈述答辩，其余依次类推</w:t>
            </w:r>
            <w:r>
              <w:rPr>
                <w:rFonts w:hint="eastAsia" w:ascii="宋体" w:hAnsi="宋体" w:cs="宋体"/>
                <w:color w:val="auto"/>
                <w:szCs w:val="21"/>
                <w:highlight w:val="none"/>
                <w:lang w:val="zh-CN" w:bidi="zh-CN"/>
              </w:rPr>
              <w:t>；</w:t>
            </w:r>
          </w:p>
          <w:p w14:paraId="1FE9183E">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（3）在抽取过程中，如出现由于工作失误或设备故障影响抽取结果的，抽取结果无效，应当重新抽取。所有抽球过程实行全程录音录像监控。</w:t>
            </w:r>
          </w:p>
          <w:p w14:paraId="55B01C74">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bidi="zh-CN"/>
              </w:rPr>
              <w:t>1.2</w:t>
            </w:r>
            <w:r>
              <w:rPr>
                <w:rFonts w:hint="eastAsia" w:ascii="宋体" w:hAnsi="宋体" w:cs="宋体"/>
                <w:color w:val="auto"/>
                <w:szCs w:val="21"/>
                <w:highlight w:val="none"/>
                <w:lang w:val="zh-CN" w:bidi="zh-CN"/>
              </w:rPr>
              <w:t>招标代理工作人员根据</w:t>
            </w:r>
            <w:r>
              <w:rPr>
                <w:rFonts w:hint="eastAsia" w:ascii="宋体" w:hAnsi="宋体" w:cs="宋体"/>
                <w:color w:val="auto"/>
                <w:szCs w:val="21"/>
                <w:highlight w:val="none"/>
                <w:lang w:bidi="zh-CN"/>
              </w:rPr>
              <w:t>随机产生的陈述答辩</w:t>
            </w:r>
            <w:r>
              <w:rPr>
                <w:rFonts w:hint="eastAsia" w:ascii="宋体" w:hAnsi="宋体" w:cs="宋体"/>
                <w:color w:val="auto"/>
                <w:szCs w:val="21"/>
                <w:highlight w:val="none"/>
                <w:lang w:val="zh-CN" w:bidi="zh-CN"/>
              </w:rPr>
              <w:t>顺序号</w:t>
            </w:r>
            <w:r>
              <w:rPr>
                <w:rFonts w:hint="eastAsia" w:ascii="宋体" w:hAnsi="宋体" w:cs="宋体"/>
                <w:color w:val="auto"/>
                <w:szCs w:val="21"/>
                <w:highlight w:val="none"/>
                <w:lang w:bidi="zh-CN"/>
              </w:rPr>
              <w:t>依次</w:t>
            </w:r>
            <w:r>
              <w:rPr>
                <w:rFonts w:hint="eastAsia" w:ascii="宋体" w:hAnsi="宋体" w:cs="宋体"/>
                <w:color w:val="auto"/>
                <w:szCs w:val="21"/>
                <w:highlight w:val="none"/>
                <w:lang w:val="zh-CN" w:bidi="zh-CN"/>
              </w:rPr>
              <w:t>引导</w:t>
            </w:r>
            <w:r>
              <w:rPr>
                <w:rFonts w:hint="eastAsia" w:ascii="宋体" w:hAnsi="宋体" w:cs="宋体"/>
                <w:color w:val="auto"/>
                <w:szCs w:val="21"/>
                <w:highlight w:val="none"/>
                <w:lang w:bidi="zh-CN"/>
              </w:rPr>
              <w:t>陈述</w:t>
            </w:r>
            <w:r>
              <w:rPr>
                <w:rFonts w:hint="eastAsia" w:ascii="宋体" w:hAnsi="宋体" w:cs="宋体"/>
                <w:color w:val="auto"/>
                <w:szCs w:val="21"/>
                <w:highlight w:val="none"/>
                <w:lang w:val="zh-CN" w:bidi="zh-CN"/>
              </w:rPr>
              <w:t>答辩人员进入答辩室。</w:t>
            </w:r>
          </w:p>
          <w:p w14:paraId="1EBC6DC1">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w:t>
            </w:r>
            <w:r>
              <w:rPr>
                <w:rFonts w:hint="eastAsia" w:ascii="宋体" w:hAnsi="宋体" w:cs="宋体"/>
                <w:color w:val="auto"/>
                <w:szCs w:val="21"/>
                <w:highlight w:val="none"/>
                <w:lang w:val="zh-CN" w:bidi="zh-CN"/>
              </w:rPr>
              <w:t>其余流程</w:t>
            </w:r>
          </w:p>
          <w:p w14:paraId="44359C1A">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2.1</w:t>
            </w:r>
            <w:r>
              <w:rPr>
                <w:rFonts w:hint="eastAsia" w:cs="宋体"/>
                <w:color w:val="auto"/>
                <w:szCs w:val="21"/>
                <w:highlight w:val="none"/>
                <w:lang w:bidi="zh-CN"/>
              </w:rPr>
              <w:t>工作人员应宣读陈述答辩纪律。陈述</w:t>
            </w:r>
            <w:r>
              <w:rPr>
                <w:rFonts w:hint="eastAsia" w:ascii="宋体" w:hAnsi="宋体" w:cs="宋体"/>
                <w:color w:val="auto"/>
                <w:szCs w:val="21"/>
                <w:highlight w:val="none"/>
                <w:lang w:val="zh-CN" w:bidi="zh-CN"/>
              </w:rPr>
              <w:t>答辩人员签到并经身份核验后，应根据工作人员的安排，寄存个人物品中所有电子</w:t>
            </w:r>
            <w:r>
              <w:rPr>
                <w:rFonts w:hint="eastAsia" w:cs="宋体"/>
                <w:color w:val="auto"/>
                <w:szCs w:val="21"/>
                <w:highlight w:val="none"/>
                <w:lang w:bidi="zh-CN"/>
              </w:rPr>
              <w:t>设备、纸质材料及其他可能影响陈述答辩的物品，</w:t>
            </w:r>
            <w:r>
              <w:rPr>
                <w:rFonts w:hint="eastAsia" w:ascii="宋体" w:hAnsi="宋体" w:cs="宋体"/>
                <w:color w:val="auto"/>
                <w:szCs w:val="21"/>
                <w:highlight w:val="none"/>
                <w:lang w:val="zh-CN" w:bidi="zh-CN"/>
              </w:rPr>
              <w:t>且不能随意到处走动。</w:t>
            </w:r>
          </w:p>
          <w:p w14:paraId="4B063894">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2.2候辩期间如需用餐，由工作人员统一订餐，用餐地点为候辩室。</w:t>
            </w:r>
          </w:p>
          <w:p w14:paraId="4091B4AE">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3陈述</w:t>
            </w:r>
            <w:r>
              <w:rPr>
                <w:rFonts w:hint="eastAsia" w:ascii="宋体" w:hAnsi="宋体" w:cs="宋体"/>
                <w:color w:val="auto"/>
                <w:szCs w:val="21"/>
                <w:highlight w:val="none"/>
                <w:lang w:val="zh-CN" w:bidi="zh-CN"/>
              </w:rPr>
              <w:t>答辩人员候辩期间如需使用卫生间，</w:t>
            </w:r>
            <w:r>
              <w:rPr>
                <w:rFonts w:hint="eastAsia" w:cs="宋体"/>
                <w:color w:val="auto"/>
                <w:szCs w:val="21"/>
                <w:highlight w:val="none"/>
                <w:lang w:bidi="zh-CN"/>
              </w:rPr>
              <w:t>应</w:t>
            </w:r>
            <w:r>
              <w:rPr>
                <w:rFonts w:hint="eastAsia" w:ascii="宋体" w:hAnsi="宋体" w:cs="宋体"/>
                <w:color w:val="auto"/>
                <w:szCs w:val="21"/>
                <w:highlight w:val="none"/>
                <w:lang w:val="zh-CN" w:bidi="zh-CN"/>
              </w:rPr>
              <w:t>由工作人员陪同，</w:t>
            </w:r>
            <w:r>
              <w:rPr>
                <w:rFonts w:hint="eastAsia" w:cs="宋体"/>
                <w:color w:val="auto"/>
                <w:szCs w:val="21"/>
                <w:highlight w:val="none"/>
                <w:lang w:bidi="zh-CN"/>
              </w:rPr>
              <w:t>不得</w:t>
            </w:r>
            <w:r>
              <w:rPr>
                <w:rFonts w:hint="eastAsia" w:ascii="宋体" w:hAnsi="宋体" w:cs="宋体"/>
                <w:color w:val="auto"/>
                <w:szCs w:val="21"/>
                <w:highlight w:val="none"/>
                <w:lang w:val="zh-CN" w:bidi="zh-CN"/>
              </w:rPr>
              <w:t>接触其他人员。</w:t>
            </w:r>
          </w:p>
          <w:p w14:paraId="69939958">
            <w:pPr>
              <w:autoSpaceDE/>
              <w:autoSpaceDN/>
              <w:adjustRightInd w:val="0"/>
              <w:snapToGrid w:val="0"/>
              <w:spacing w:before="32" w:beforeLines="10" w:afterLines="0" w:line="25" w:lineRule="atLeast"/>
              <w:ind w:firstLine="420" w:firstLineChars="200"/>
              <w:jc w:val="left"/>
              <w:rPr>
                <w:color w:val="auto"/>
                <w:szCs w:val="21"/>
                <w:highlight w:val="none"/>
                <w:lang w:val="zh-CN"/>
              </w:rPr>
            </w:pPr>
            <w:r>
              <w:rPr>
                <w:rFonts w:hint="eastAsia" w:ascii="宋体" w:hAnsi="宋体" w:cs="宋体"/>
                <w:color w:val="auto"/>
                <w:szCs w:val="21"/>
                <w:highlight w:val="none"/>
                <w:lang w:val="zh-CN" w:bidi="zh-CN"/>
              </w:rPr>
              <w:t>2.</w:t>
            </w:r>
            <w:r>
              <w:rPr>
                <w:rFonts w:hint="eastAsia" w:cs="宋体"/>
                <w:color w:val="auto"/>
                <w:szCs w:val="21"/>
                <w:highlight w:val="none"/>
                <w:lang w:bidi="zh-CN"/>
              </w:rPr>
              <w:t>4陈述</w:t>
            </w:r>
            <w:r>
              <w:rPr>
                <w:rFonts w:hint="eastAsia" w:ascii="宋体" w:hAnsi="宋体" w:cs="宋体"/>
                <w:color w:val="auto"/>
                <w:szCs w:val="21"/>
                <w:highlight w:val="none"/>
                <w:lang w:val="zh-CN" w:bidi="zh-CN"/>
              </w:rPr>
              <w:t>答辩结束后，</w:t>
            </w:r>
            <w:r>
              <w:rPr>
                <w:rFonts w:hint="eastAsia" w:cs="宋体"/>
                <w:color w:val="auto"/>
                <w:szCs w:val="21"/>
                <w:highlight w:val="none"/>
                <w:lang w:bidi="zh-CN"/>
              </w:rPr>
              <w:t>陈述</w:t>
            </w:r>
            <w:r>
              <w:rPr>
                <w:rFonts w:hint="eastAsia" w:ascii="宋体" w:hAnsi="宋体" w:cs="宋体"/>
                <w:color w:val="auto"/>
                <w:szCs w:val="21"/>
                <w:highlight w:val="none"/>
                <w:lang w:val="zh-CN" w:bidi="zh-CN"/>
              </w:rPr>
              <w:t>答辩人员不再进入候辩室，应领取个人物品后在工作人员监督下迅速离开市公共资源交易中心，不得以任何形式接触</w:t>
            </w:r>
            <w:r>
              <w:rPr>
                <w:rFonts w:hint="eastAsia" w:cs="宋体"/>
                <w:color w:val="auto"/>
                <w:szCs w:val="21"/>
                <w:highlight w:val="none"/>
                <w:lang w:bidi="zh-CN"/>
              </w:rPr>
              <w:t>其余</w:t>
            </w:r>
            <w:r>
              <w:rPr>
                <w:rFonts w:hint="eastAsia" w:ascii="宋体" w:hAnsi="宋体" w:cs="宋体"/>
                <w:color w:val="auto"/>
                <w:szCs w:val="21"/>
                <w:highlight w:val="none"/>
                <w:lang w:val="zh-CN" w:bidi="zh-CN"/>
              </w:rPr>
              <w:t>答辩人员。</w:t>
            </w:r>
          </w:p>
          <w:p w14:paraId="2CCC8941">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14:paraId="03203E33">
            <w:pPr>
              <w:autoSpaceDE/>
              <w:autoSpaceDN/>
              <w:adjustRightInd w:val="0"/>
              <w:snapToGrid w:val="0"/>
              <w:spacing w:before="32" w:beforeLines="10" w:afterLines="0" w:line="25" w:lineRule="atLeast"/>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附件：</w:t>
            </w:r>
          </w:p>
          <w:p w14:paraId="22D50041">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14:paraId="55EE58CB">
            <w:pPr>
              <w:autoSpaceDE/>
              <w:autoSpaceDN/>
              <w:adjustRightInd w:val="0"/>
              <w:snapToGrid w:val="0"/>
              <w:spacing w:before="32" w:beforeLines="10" w:afterLines="0" w:line="25" w:lineRule="atLeast"/>
              <w:jc w:val="center"/>
              <w:rPr>
                <w:rFonts w:ascii="宋体" w:hAnsi="宋体" w:cs="宋体"/>
                <w:color w:val="auto"/>
                <w:szCs w:val="21"/>
                <w:highlight w:val="none"/>
                <w:lang w:val="zh-CN" w:bidi="zh-CN"/>
              </w:rPr>
            </w:pPr>
            <w:r>
              <w:rPr>
                <w:rFonts w:hint="eastAsia" w:cs="宋体"/>
                <w:color w:val="auto"/>
                <w:szCs w:val="21"/>
                <w:highlight w:val="none"/>
                <w:lang w:bidi="zh-CN"/>
              </w:rPr>
              <w:t>陈述</w:t>
            </w:r>
            <w:r>
              <w:rPr>
                <w:rFonts w:hint="eastAsia" w:ascii="宋体" w:hAnsi="宋体" w:cs="宋体"/>
                <w:color w:val="auto"/>
                <w:szCs w:val="21"/>
                <w:highlight w:val="none"/>
                <w:lang w:val="zh-CN" w:bidi="zh-CN"/>
              </w:rPr>
              <w:t>答辩授权委托书</w:t>
            </w:r>
          </w:p>
          <w:p w14:paraId="5ADC1CA7">
            <w:pPr>
              <w:autoSpaceDE/>
              <w:autoSpaceDN/>
              <w:adjustRightInd w:val="0"/>
              <w:snapToGrid w:val="0"/>
              <w:spacing w:before="32" w:beforeLines="10" w:afterLines="0" w:line="25" w:lineRule="atLeast"/>
              <w:jc w:val="left"/>
              <w:rPr>
                <w:rFonts w:ascii="宋体" w:hAnsi="宋体" w:cs="宋体"/>
                <w:color w:val="auto"/>
                <w:szCs w:val="21"/>
                <w:highlight w:val="none"/>
                <w:lang w:val="zh-CN" w:bidi="zh-CN"/>
              </w:rPr>
            </w:pPr>
            <w:r>
              <w:rPr>
                <w:rFonts w:hint="eastAsia" w:cs="宋体"/>
                <w:color w:val="auto"/>
                <w:szCs w:val="21"/>
                <w:highlight w:val="none"/>
                <w:u w:val="single"/>
                <w:lang w:bidi="zh-CN"/>
              </w:rPr>
              <w:t xml:space="preserve">                  </w:t>
            </w:r>
            <w:r>
              <w:rPr>
                <w:rFonts w:hint="eastAsia" w:cs="宋体"/>
                <w:color w:val="auto"/>
                <w:szCs w:val="21"/>
                <w:highlight w:val="none"/>
                <w:lang w:bidi="zh-CN"/>
              </w:rPr>
              <w:t>（招标人名称）</w:t>
            </w:r>
            <w:r>
              <w:rPr>
                <w:rFonts w:hint="eastAsia" w:ascii="宋体" w:hAnsi="宋体" w:cs="宋体"/>
                <w:color w:val="auto"/>
                <w:szCs w:val="21"/>
                <w:highlight w:val="none"/>
                <w:lang w:val="zh-CN" w:bidi="zh-CN"/>
              </w:rPr>
              <w:t>：</w:t>
            </w:r>
          </w:p>
          <w:p w14:paraId="11F16EE2">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我公司现授权</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（姓名）参加</w:t>
            </w:r>
            <w:r>
              <w:rPr>
                <w:rFonts w:hint="eastAsia" w:cs="宋体"/>
                <w:color w:val="auto"/>
                <w:szCs w:val="21"/>
                <w:highlight w:val="none"/>
                <w:u w:val="single"/>
                <w:lang w:bidi="zh-CN"/>
              </w:rPr>
              <w:t xml:space="preserve">             </w:t>
            </w:r>
            <w:r>
              <w:rPr>
                <w:rFonts w:hint="eastAsia" w:cs="宋体"/>
                <w:color w:val="auto"/>
                <w:szCs w:val="21"/>
                <w:highlight w:val="none"/>
                <w:lang w:val="zh-CN" w:bidi="zh-CN"/>
              </w:rPr>
              <w:t>（</w:t>
            </w:r>
            <w:r>
              <w:rPr>
                <w:rFonts w:hint="eastAsia" w:cs="宋体"/>
                <w:color w:val="auto"/>
                <w:szCs w:val="21"/>
                <w:highlight w:val="none"/>
                <w:lang w:bidi="zh-CN"/>
              </w:rPr>
              <w:t>招标项目名称</w:t>
            </w:r>
            <w:r>
              <w:rPr>
                <w:rFonts w:hint="eastAsia" w:cs="宋体"/>
                <w:color w:val="auto"/>
                <w:szCs w:val="21"/>
                <w:highlight w:val="none"/>
                <w:lang w:val="zh-CN" w:bidi="zh-CN"/>
              </w:rPr>
              <w:t>）</w:t>
            </w:r>
            <w:r>
              <w:rPr>
                <w:rFonts w:hint="eastAsia" w:cs="宋体"/>
                <w:color w:val="auto"/>
                <w:szCs w:val="21"/>
                <w:highlight w:val="none"/>
                <w:lang w:bidi="zh-CN"/>
              </w:rPr>
              <w:t>的项目负责人陈述</w:t>
            </w:r>
            <w:r>
              <w:rPr>
                <w:rFonts w:hint="eastAsia" w:ascii="宋体" w:hAnsi="宋体" w:cs="宋体"/>
                <w:color w:val="auto"/>
                <w:szCs w:val="21"/>
                <w:highlight w:val="none"/>
                <w:lang w:val="zh-CN" w:bidi="zh-CN"/>
              </w:rPr>
              <w:t>答辩，前述人员为投标文件中确定的项目负责人。</w:t>
            </w:r>
          </w:p>
          <w:p w14:paraId="4AD171F4">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附：身份证复印件（正反两面）</w:t>
            </w:r>
          </w:p>
          <w:p w14:paraId="4CE14DD8">
            <w:pPr>
              <w:autoSpaceDE/>
              <w:autoSpaceDN/>
              <w:adjustRightInd w:val="0"/>
              <w:snapToGrid w:val="0"/>
              <w:spacing w:before="32" w:beforeLines="10" w:afterLines="0" w:line="25" w:lineRule="atLeast"/>
              <w:ind w:firstLine="420" w:firstLineChars="200"/>
              <w:jc w:val="left"/>
              <w:rPr>
                <w:rFonts w:ascii="宋体" w:hAnsi="宋体" w:cs="宋体"/>
                <w:color w:val="auto"/>
                <w:szCs w:val="21"/>
                <w:highlight w:val="none"/>
                <w:lang w:val="zh-CN" w:bidi="zh-CN"/>
              </w:rPr>
            </w:pPr>
          </w:p>
          <w:p w14:paraId="0A204454">
            <w:pPr>
              <w:autoSpaceDE/>
              <w:autoSpaceDN/>
              <w:adjustRightInd w:val="0"/>
              <w:snapToGrid w:val="0"/>
              <w:spacing w:before="32" w:beforeLines="10" w:afterLines="0" w:line="25" w:lineRule="atLeast"/>
              <w:ind w:firstLine="2940" w:firstLineChars="1400"/>
              <w:jc w:val="left"/>
              <w:rPr>
                <w:rFonts w:ascii="宋体" w:hAnsi="宋体" w:cs="宋体"/>
                <w:color w:val="auto"/>
                <w:szCs w:val="21"/>
                <w:highlight w:val="none"/>
                <w:lang w:val="zh-CN" w:bidi="zh-CN"/>
              </w:rPr>
            </w:pPr>
            <w:r>
              <w:rPr>
                <w:rFonts w:hint="eastAsia" w:cs="宋体"/>
                <w:color w:val="auto"/>
                <w:szCs w:val="21"/>
                <w:highlight w:val="none"/>
                <w:lang w:bidi="zh-CN"/>
              </w:rPr>
              <w:t>投标人</w:t>
            </w:r>
            <w:r>
              <w:rPr>
                <w:rFonts w:hint="eastAsia" w:ascii="宋体" w:hAnsi="宋体" w:cs="宋体"/>
                <w:color w:val="auto"/>
                <w:szCs w:val="21"/>
                <w:highlight w:val="none"/>
                <w:lang w:val="zh-CN" w:bidi="zh-CN"/>
              </w:rPr>
              <w:t>：</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（盖单位公章）</w:t>
            </w:r>
          </w:p>
          <w:p w14:paraId="67207011">
            <w:pPr>
              <w:adjustRightInd w:val="0"/>
              <w:snapToGrid w:val="0"/>
              <w:spacing w:before="32" w:beforeLines="10" w:afterLines="0" w:line="25" w:lineRule="atLeast"/>
              <w:jc w:val="right"/>
              <w:rPr>
                <w:rFonts w:ascii="宋体" w:hAnsi="宋体"/>
                <w:color w:val="auto"/>
                <w:szCs w:val="21"/>
                <w:highlight w:val="none"/>
                <w:lang w:val="zh-CN" w:bidi="zh-CN"/>
              </w:rPr>
            </w:pPr>
            <w:r>
              <w:rPr>
                <w:rFonts w:hint="eastAsia" w:cs="宋体"/>
                <w:color w:val="auto"/>
                <w:szCs w:val="21"/>
                <w:highlight w:val="none"/>
                <w:u w:val="single"/>
                <w:lang w:bidi="zh-CN"/>
              </w:rPr>
              <w:t xml:space="preserve">     </w:t>
            </w:r>
            <w:r>
              <w:rPr>
                <w:rFonts w:hint="eastAsia" w:ascii="宋体" w:hAnsi="宋体" w:cs="宋体"/>
                <w:color w:val="auto"/>
                <w:szCs w:val="21"/>
                <w:highlight w:val="none"/>
                <w:lang w:val="zh-CN" w:bidi="zh-CN"/>
              </w:rPr>
              <w:t>年</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月</w:t>
            </w:r>
            <w:r>
              <w:rPr>
                <w:rFonts w:hint="eastAsia" w:ascii="宋体" w:hAnsi="宋体" w:cs="宋体"/>
                <w:color w:val="auto"/>
                <w:szCs w:val="21"/>
                <w:highlight w:val="none"/>
                <w:u w:val="single"/>
                <w:lang w:val="zh-CN" w:bidi="zh-CN"/>
              </w:rPr>
              <w:t xml:space="preserve">    </w:t>
            </w:r>
            <w:r>
              <w:rPr>
                <w:rFonts w:hint="eastAsia" w:ascii="宋体" w:hAnsi="宋体" w:cs="宋体"/>
                <w:color w:val="auto"/>
                <w:szCs w:val="21"/>
                <w:highlight w:val="none"/>
                <w:lang w:val="zh-CN" w:bidi="zh-CN"/>
              </w:rPr>
              <w:t>日</w:t>
            </w:r>
          </w:p>
        </w:tc>
      </w:tr>
      <w:tr w14:paraId="4B37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44613970">
            <w:pPr>
              <w:autoSpaceDE/>
              <w:autoSpaceDN/>
              <w:adjustRightInd w:val="0"/>
              <w:snapToGrid w:val="0"/>
              <w:spacing w:before="32" w:beforeLines="10" w:afterLines="0" w:line="25" w:lineRule="atLeast"/>
              <w:jc w:val="center"/>
              <w:rPr>
                <w:rFonts w:hint="default" w:ascii="宋体" w:hAnsi="宋体" w:eastAsia="宋体" w:cs="宋体"/>
                <w:b/>
                <w:bCs/>
                <w:i/>
                <w:iCs/>
                <w:color w:val="auto"/>
                <w:kern w:val="0"/>
                <w:szCs w:val="21"/>
                <w:highlight w:val="none"/>
                <w:lang w:val="en-US" w:eastAsia="zh-CN"/>
              </w:rPr>
            </w:pPr>
            <w:r>
              <w:rPr>
                <w:rFonts w:hint="eastAsia" w:ascii="宋体" w:hAnsi="宋体" w:cs="宋体"/>
                <w:color w:val="auto"/>
                <w:kern w:val="0"/>
                <w:szCs w:val="21"/>
                <w:highlight w:val="none"/>
                <w:lang w:val="en-US" w:eastAsia="zh-CN"/>
              </w:rPr>
              <w:t>7.5</w:t>
            </w:r>
          </w:p>
        </w:tc>
        <w:tc>
          <w:tcPr>
            <w:tcW w:w="1814" w:type="dxa"/>
            <w:gridSpan w:val="2"/>
            <w:tcBorders>
              <w:left w:val="single" w:color="auto" w:sz="4" w:space="0"/>
              <w:right w:val="single" w:color="auto" w:sz="4" w:space="0"/>
            </w:tcBorders>
            <w:vAlign w:val="center"/>
          </w:tcPr>
          <w:p w14:paraId="37353967">
            <w:pPr>
              <w:autoSpaceDE/>
              <w:autoSpaceDN/>
              <w:adjustRightInd w:val="0"/>
              <w:snapToGrid w:val="0"/>
              <w:spacing w:before="32" w:beforeLines="10" w:afterLines="0" w:line="25" w:lineRule="atLeast"/>
              <w:jc w:val="center"/>
              <w:rPr>
                <w:rFonts w:hint="default" w:ascii="宋体" w:hAnsi="宋体" w:eastAsia="宋体"/>
                <w:b/>
                <w:bCs/>
                <w:i/>
                <w:iCs/>
                <w:color w:val="auto"/>
                <w:kern w:val="0"/>
                <w:szCs w:val="21"/>
                <w:highlight w:val="none"/>
                <w:lang w:val="en-US" w:eastAsia="zh-CN"/>
              </w:rPr>
            </w:pPr>
            <w:r>
              <w:rPr>
                <w:rFonts w:hint="eastAsia" w:ascii="宋体" w:hAnsi="宋体"/>
                <w:color w:val="auto"/>
                <w:kern w:val="0"/>
                <w:szCs w:val="21"/>
                <w:highlight w:val="none"/>
              </w:rPr>
              <w:t>中标公示媒体</w:t>
            </w:r>
          </w:p>
        </w:tc>
        <w:tc>
          <w:tcPr>
            <w:tcW w:w="6323" w:type="dxa"/>
            <w:gridSpan w:val="4"/>
            <w:tcBorders>
              <w:left w:val="single" w:color="auto" w:sz="4" w:space="0"/>
              <w:right w:val="single" w:color="auto" w:sz="12" w:space="0"/>
            </w:tcBorders>
            <w:vAlign w:val="center"/>
          </w:tcPr>
          <w:p w14:paraId="724FAC88">
            <w:pPr>
              <w:autoSpaceDE/>
              <w:autoSpaceDN/>
              <w:adjustRightInd w:val="0"/>
              <w:snapToGrid w:val="0"/>
              <w:spacing w:before="32" w:beforeLines="10" w:afterLines="0" w:line="25" w:lineRule="atLeast"/>
              <w:jc w:val="left"/>
              <w:rPr>
                <w:rFonts w:ascii="宋体" w:hAnsi="宋体"/>
                <w:color w:val="auto"/>
                <w:kern w:val="0"/>
                <w:szCs w:val="21"/>
                <w:highlight w:val="none"/>
              </w:rPr>
            </w:pPr>
            <w:r>
              <w:rPr>
                <w:rFonts w:hint="eastAsia" w:ascii="宋体" w:hAnsi="宋体"/>
                <w:color w:val="auto"/>
                <w:kern w:val="0"/>
                <w:szCs w:val="21"/>
                <w:highlight w:val="none"/>
              </w:rPr>
              <w:t>公示方式：网站公示</w:t>
            </w:r>
          </w:p>
          <w:p w14:paraId="1459F004">
            <w:pPr>
              <w:autoSpaceDE/>
              <w:autoSpaceDN/>
              <w:adjustRightInd w:val="0"/>
              <w:snapToGrid w:val="0"/>
              <w:spacing w:before="32" w:beforeLines="10" w:afterLines="0" w:line="25" w:lineRule="atLeast"/>
              <w:jc w:val="left"/>
              <w:rPr>
                <w:rFonts w:ascii="宋体" w:hAnsi="宋体"/>
                <w:b/>
                <w:bCs/>
                <w:i/>
                <w:iCs/>
                <w:color w:val="auto"/>
                <w:szCs w:val="21"/>
                <w:highlight w:val="none"/>
              </w:rPr>
            </w:pPr>
            <w:r>
              <w:rPr>
                <w:rFonts w:hint="eastAsia" w:ascii="宋体" w:hAnsi="宋体"/>
                <w:color w:val="auto"/>
                <w:kern w:val="0"/>
                <w:szCs w:val="21"/>
                <w:highlight w:val="none"/>
              </w:rPr>
              <w:t>公示网站：</w:t>
            </w:r>
            <w:r>
              <w:rPr>
                <w:rFonts w:hint="eastAsia" w:ascii="宋体" w:hAnsi="宋体" w:cs="宋体"/>
                <w:color w:val="auto"/>
                <w:szCs w:val="21"/>
                <w:highlight w:val="none"/>
              </w:rPr>
              <w:t>福建省公共资源交易电子公共服务平台（网址：</w:t>
            </w:r>
            <w:r>
              <w:rPr>
                <w:rFonts w:ascii="宋体" w:hAnsi="宋体"/>
                <w:color w:val="auto"/>
                <w:szCs w:val="21"/>
                <w:highlight w:val="none"/>
              </w:rPr>
              <w:t xml:space="preserve">ggzyfw.fj.gov.cn </w:t>
            </w:r>
            <w:r>
              <w:rPr>
                <w:color w:val="auto"/>
                <w:highlight w:val="none"/>
              </w:rPr>
              <w:fldChar w:fldCharType="begin"/>
            </w:r>
            <w:r>
              <w:rPr>
                <w:color w:val="auto"/>
                <w:highlight w:val="none"/>
              </w:rPr>
              <w:instrText xml:space="preserve"> HYPERLINK "）、电子招标投标交易平台" </w:instrText>
            </w:r>
            <w:r>
              <w:rPr>
                <w:color w:val="auto"/>
                <w:highlight w:val="none"/>
              </w:rPr>
              <w:fldChar w:fldCharType="separate"/>
            </w:r>
            <w:r>
              <w:rPr>
                <w:rStyle w:val="46"/>
                <w:rFonts w:hint="eastAsia" w:ascii="宋体" w:hAnsi="宋体" w:cs="宋体"/>
                <w:color w:val="auto"/>
                <w:szCs w:val="21"/>
                <w:highlight w:val="none"/>
              </w:rPr>
              <w:t>）、电子招标投标交易平台</w:t>
            </w:r>
            <w:r>
              <w:rPr>
                <w:rStyle w:val="46"/>
                <w:rFonts w:hint="eastAsia" w:ascii="宋体" w:hAnsi="宋体" w:cs="宋体"/>
                <w:color w:val="auto"/>
                <w:szCs w:val="21"/>
                <w:highlight w:val="none"/>
              </w:rPr>
              <w:fldChar w:fldCharType="end"/>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409D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06" w:hRule="atLeast"/>
          <w:jc w:val="center"/>
        </w:trPr>
        <w:tc>
          <w:tcPr>
            <w:tcW w:w="1324" w:type="dxa"/>
            <w:gridSpan w:val="2"/>
            <w:tcBorders>
              <w:left w:val="single" w:color="auto" w:sz="12" w:space="0"/>
              <w:right w:val="single" w:color="auto" w:sz="4" w:space="0"/>
            </w:tcBorders>
            <w:vAlign w:val="center"/>
          </w:tcPr>
          <w:p w14:paraId="71CD6144">
            <w:pPr>
              <w:autoSpaceDE/>
              <w:autoSpaceDN/>
              <w:adjustRightInd w:val="0"/>
              <w:snapToGrid w:val="0"/>
              <w:spacing w:before="32" w:beforeLines="10" w:afterLines="0" w:line="25" w:lineRule="atLeas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7.6.1</w:t>
            </w:r>
          </w:p>
        </w:tc>
        <w:tc>
          <w:tcPr>
            <w:tcW w:w="1814" w:type="dxa"/>
            <w:gridSpan w:val="2"/>
            <w:tcBorders>
              <w:left w:val="single" w:color="auto" w:sz="4" w:space="0"/>
              <w:right w:val="single" w:color="auto" w:sz="4" w:space="0"/>
            </w:tcBorders>
            <w:vAlign w:val="center"/>
          </w:tcPr>
          <w:p w14:paraId="636909B9">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履约担保（不超过中标合同金额的10%）</w:t>
            </w:r>
          </w:p>
        </w:tc>
        <w:tc>
          <w:tcPr>
            <w:tcW w:w="6323" w:type="dxa"/>
            <w:gridSpan w:val="4"/>
            <w:tcBorders>
              <w:left w:val="single" w:color="auto" w:sz="4" w:space="0"/>
              <w:right w:val="single" w:color="auto" w:sz="12" w:space="0"/>
            </w:tcBorders>
            <w:vAlign w:val="center"/>
          </w:tcPr>
          <w:p w14:paraId="3C8B1A8D">
            <w:pPr>
              <w:spacing w:line="360" w:lineRule="exact"/>
              <w:ind w:left="14" w:leftChars="0" w:hanging="14" w:hangingChars="7"/>
              <w:rPr>
                <w:rFonts w:ascii="宋体" w:hAnsi="宋体"/>
                <w:color w:val="auto"/>
                <w:szCs w:val="21"/>
                <w:highlight w:val="none"/>
                <w:lang w:val="en"/>
              </w:rPr>
            </w:pPr>
            <w:r>
              <w:rPr>
                <w:rFonts w:hint="eastAsia" w:ascii="宋体" w:hAnsi="宋体"/>
                <w:bCs/>
                <w:color w:val="auto"/>
                <w:szCs w:val="21"/>
                <w:highlight w:val="none"/>
              </w:rPr>
              <w:t>□</w:t>
            </w:r>
            <w:r>
              <w:rPr>
                <w:rFonts w:hint="eastAsia" w:ascii="宋体" w:hAnsi="宋体"/>
                <w:color w:val="auto"/>
                <w:szCs w:val="21"/>
                <w:highlight w:val="none"/>
                <w:lang w:val="en"/>
              </w:rPr>
              <w:t>不需要提供</w:t>
            </w:r>
          </w:p>
          <w:p w14:paraId="40B6E7FC">
            <w:pPr>
              <w:spacing w:line="360" w:lineRule="exact"/>
              <w:ind w:left="14" w:leftChars="0" w:hanging="14" w:hangingChars="7"/>
              <w:rPr>
                <w:rFonts w:hint="eastAsia" w:ascii="宋体" w:hAnsi="宋体"/>
                <w:color w:val="auto"/>
                <w:szCs w:val="21"/>
                <w:highlight w:val="none"/>
              </w:rPr>
            </w:pPr>
            <w:r>
              <w:rPr>
                <w:rFonts w:hint="eastAsia" w:ascii="宋体" w:hAnsi="宋体"/>
                <w:bCs/>
                <w:color w:val="auto"/>
                <w:szCs w:val="21"/>
                <w:highlight w:val="none"/>
              </w:rPr>
              <w:t>□</w:t>
            </w:r>
            <w:r>
              <w:rPr>
                <w:rFonts w:hint="eastAsia" w:ascii="宋体" w:hAnsi="宋体"/>
                <w:color w:val="auto"/>
                <w:szCs w:val="21"/>
                <w:highlight w:val="none"/>
              </w:rPr>
              <w:t>需提供</w:t>
            </w:r>
          </w:p>
          <w:p w14:paraId="337C01BB">
            <w:pPr>
              <w:numPr>
                <w:ilvl w:val="0"/>
                <w:numId w:val="5"/>
              </w:numPr>
              <w:spacing w:line="320" w:lineRule="exact"/>
              <w:ind w:left="14" w:leftChars="0" w:hanging="14" w:hangingChars="7"/>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保证金提交的方式</w:t>
            </w:r>
            <w:r>
              <w:rPr>
                <w:rFonts w:hint="eastAsia" w:ascii="宋体" w:hAnsi="宋体"/>
                <w:color w:val="auto"/>
                <w:szCs w:val="21"/>
                <w:highlight w:val="none"/>
              </w:rPr>
              <w:t>（可按以下任一方式提交）</w:t>
            </w:r>
          </w:p>
          <w:p w14:paraId="4DEFCCB1">
            <w:pPr>
              <w:spacing w:line="320" w:lineRule="exact"/>
              <w:ind w:left="216" w:leftChars="103" w:firstLine="201" w:firstLineChars="96"/>
              <w:rPr>
                <w:rFonts w:ascii="宋体" w:hAnsi="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olor w:val="auto"/>
                <w:szCs w:val="21"/>
                <w:highlight w:val="none"/>
              </w:rPr>
              <w:t>保函形式</w:t>
            </w:r>
          </w:p>
          <w:p w14:paraId="7F7F2CD0">
            <w:pPr>
              <w:spacing w:line="320" w:lineRule="exact"/>
              <w:ind w:left="216" w:leftChars="103" w:firstLine="201" w:firstLineChars="96"/>
              <w:rPr>
                <w:rFonts w:ascii="宋体" w:hAnsi="宋体"/>
                <w:bCs/>
                <w:color w:val="auto"/>
                <w:sz w:val="21"/>
                <w:szCs w:val="21"/>
                <w:highlight w:val="none"/>
                <w:u w:val="single"/>
              </w:rPr>
            </w:pPr>
            <w:r>
              <w:rPr>
                <w:rFonts w:hint="eastAsia" w:ascii="宋体" w:hAnsi="宋体"/>
                <w:color w:val="auto"/>
                <w:szCs w:val="21"/>
                <w:highlight w:val="none"/>
              </w:rPr>
              <w:t>□</w:t>
            </w:r>
            <w:r>
              <w:rPr>
                <w:rFonts w:hint="eastAsia" w:ascii="宋体" w:hAnsi="宋体"/>
                <w:bCs/>
                <w:color w:val="auto"/>
                <w:sz w:val="21"/>
                <w:szCs w:val="21"/>
                <w:highlight w:val="none"/>
              </w:rPr>
              <w:t>银行：</w:t>
            </w:r>
            <w:r>
              <w:rPr>
                <w:rFonts w:hint="eastAsia" w:ascii="宋体" w:hAnsi="宋体"/>
                <w:bCs/>
                <w:color w:val="auto"/>
                <w:sz w:val="21"/>
                <w:szCs w:val="21"/>
                <w:highlight w:val="none"/>
                <w:u w:val="single"/>
              </w:rPr>
              <w:t xml:space="preserve">                                               </w:t>
            </w:r>
          </w:p>
          <w:p w14:paraId="2F9FDD80">
            <w:pPr>
              <w:autoSpaceDE w:val="0"/>
              <w:autoSpaceDN w:val="0"/>
              <w:spacing w:line="320" w:lineRule="exact"/>
              <w:ind w:left="216" w:leftChars="103" w:firstLine="201" w:firstLineChars="96"/>
              <w:rPr>
                <w:rFonts w:ascii="宋体" w:hAnsi="宋体"/>
                <w:bCs/>
                <w:color w:val="auto"/>
                <w:sz w:val="21"/>
                <w:szCs w:val="21"/>
                <w:highlight w:val="none"/>
                <w:u w:val="single"/>
              </w:rPr>
            </w:pPr>
            <w:r>
              <w:rPr>
                <w:rFonts w:hint="eastAsia" w:ascii="宋体" w:hAnsi="宋体"/>
                <w:color w:val="auto"/>
                <w:szCs w:val="21"/>
                <w:highlight w:val="none"/>
              </w:rPr>
              <w:t>□</w:t>
            </w:r>
            <w:r>
              <w:rPr>
                <w:rFonts w:hint="eastAsia" w:ascii="宋体" w:hAnsi="宋体"/>
                <w:bCs/>
                <w:color w:val="auto"/>
                <w:sz w:val="21"/>
                <w:szCs w:val="21"/>
                <w:highlight w:val="none"/>
              </w:rPr>
              <w:t>其他金融机构：</w:t>
            </w:r>
            <w:r>
              <w:rPr>
                <w:rFonts w:hint="eastAsia" w:ascii="宋体" w:hAnsi="宋体"/>
                <w:bCs/>
                <w:color w:val="auto"/>
                <w:sz w:val="21"/>
                <w:szCs w:val="21"/>
                <w:highlight w:val="none"/>
                <w:u w:val="single"/>
              </w:rPr>
              <w:t xml:space="preserve">                 </w:t>
            </w:r>
          </w:p>
          <w:p w14:paraId="501DDB13">
            <w:pPr>
              <w:spacing w:line="320" w:lineRule="exact"/>
              <w:ind w:left="17" w:leftChars="8" w:firstLine="401" w:firstLineChars="191"/>
              <w:rPr>
                <w:rFonts w:hint="eastAsia" w:ascii="宋体" w:hAnsi="宋体"/>
                <w:color w:val="auto"/>
                <w:sz w:val="21"/>
                <w:szCs w:val="21"/>
                <w:highlight w:val="none"/>
              </w:rPr>
            </w:pPr>
            <w:r>
              <w:rPr>
                <w:rFonts w:hint="eastAsia" w:ascii="宋体" w:hAnsi="宋体" w:eastAsia="宋体" w:cs="Times New Roman"/>
                <w:color w:val="auto"/>
                <w:sz w:val="21"/>
                <w:szCs w:val="21"/>
                <w:highlight w:val="none"/>
              </w:rPr>
              <w:t>②</w:t>
            </w:r>
            <w:r>
              <w:rPr>
                <w:rFonts w:hint="eastAsia" w:ascii="宋体" w:hAnsi="宋体" w:eastAsia="宋体"/>
                <w:color w:val="auto"/>
                <w:sz w:val="21"/>
                <w:szCs w:val="21"/>
                <w:highlight w:val="none"/>
              </w:rPr>
              <w:t>现金形式</w:t>
            </w:r>
            <w:r>
              <w:rPr>
                <w:rFonts w:hint="eastAsia" w:ascii="宋体" w:hAnsi="宋体"/>
                <w:color w:val="auto"/>
                <w:sz w:val="21"/>
                <w:szCs w:val="21"/>
                <w:highlight w:val="none"/>
              </w:rPr>
              <w:t>：</w:t>
            </w:r>
            <w:r>
              <w:rPr>
                <w:rFonts w:hint="eastAsia" w:ascii="宋体" w:hAnsi="宋体" w:cs="Times New Roman"/>
                <w:color w:val="auto"/>
                <w:sz w:val="21"/>
                <w:szCs w:val="21"/>
                <w:highlight w:val="none"/>
                <w:u w:val="single"/>
              </w:rPr>
              <w:t>应从投标人基本账户</w:t>
            </w:r>
            <w:r>
              <w:rPr>
                <w:rFonts w:hint="eastAsia" w:ascii="宋体" w:hAnsi="宋体" w:cs="Times New Roman"/>
                <w:bCs w:val="0"/>
                <w:color w:val="auto"/>
                <w:sz w:val="21"/>
                <w:szCs w:val="21"/>
                <w:highlight w:val="none"/>
                <w:u w:val="single"/>
              </w:rPr>
              <w:t>以</w:t>
            </w:r>
            <w:r>
              <w:rPr>
                <w:rFonts w:hint="eastAsia" w:ascii="宋体" w:hAnsi="宋体" w:cs="Times New Roman"/>
                <w:color w:val="auto"/>
                <w:sz w:val="21"/>
                <w:szCs w:val="21"/>
                <w:highlight w:val="none"/>
                <w:u w:val="single"/>
              </w:rPr>
              <w:t>电汇或银行转账方式提交(以款项到达时间为准)，并应在电汇或银行转账单上注明为本招标项目的履约保证金。</w:t>
            </w:r>
          </w:p>
          <w:p w14:paraId="630FFC97">
            <w:pPr>
              <w:keepNext w:val="0"/>
              <w:keepLines w:val="0"/>
              <w:pageBreakBefore w:val="0"/>
              <w:widowControl w:val="0"/>
              <w:numPr>
                <w:ilvl w:val="0"/>
                <w:numId w:val="5"/>
              </w:numPr>
              <w:kinsoku/>
              <w:wordWrap/>
              <w:overflowPunct/>
              <w:topLinePunct w:val="0"/>
              <w:autoSpaceDE/>
              <w:autoSpaceDN/>
              <w:bidi w:val="0"/>
              <w:spacing w:after="0" w:line="320" w:lineRule="exact"/>
              <w:ind w:left="14" w:leftChars="0" w:hanging="14" w:hangingChars="7"/>
              <w:rPr>
                <w:rFonts w:hint="eastAsia" w:cs="宋体"/>
                <w:color w:val="auto"/>
                <w:sz w:val="21"/>
                <w:szCs w:val="21"/>
                <w:highlight w:val="none"/>
              </w:rPr>
            </w:pPr>
            <w:r>
              <w:rPr>
                <w:rFonts w:hint="eastAsia" w:ascii="宋体" w:hAnsi="宋体"/>
                <w:color w:val="auto"/>
                <w:sz w:val="21"/>
                <w:szCs w:val="21"/>
                <w:highlight w:val="none"/>
              </w:rPr>
              <w:t>履约担保的金额</w:t>
            </w:r>
            <w:r>
              <w:rPr>
                <w:rFonts w:hint="eastAsia" w:cs="宋体"/>
                <w:color w:val="auto"/>
                <w:sz w:val="21"/>
                <w:szCs w:val="21"/>
                <w:highlight w:val="none"/>
              </w:rPr>
              <w:t>为中标合同价的</w:t>
            </w:r>
            <w:r>
              <w:rPr>
                <w:rFonts w:hint="eastAsia" w:cs="宋体"/>
                <w:color w:val="auto"/>
                <w:sz w:val="21"/>
                <w:szCs w:val="21"/>
                <w:highlight w:val="none"/>
                <w:u w:val="single"/>
              </w:rPr>
              <w:t xml:space="preserve">      </w:t>
            </w:r>
            <w:r>
              <w:rPr>
                <w:rFonts w:hint="eastAsia" w:cs="宋体"/>
                <w:color w:val="auto"/>
                <w:sz w:val="21"/>
                <w:szCs w:val="21"/>
                <w:highlight w:val="none"/>
              </w:rPr>
              <w:t>％。</w:t>
            </w:r>
          </w:p>
          <w:p w14:paraId="37B39EC6">
            <w:pPr>
              <w:pStyle w:val="38"/>
              <w:keepNext w:val="0"/>
              <w:keepLines w:val="0"/>
              <w:pageBreakBefore w:val="0"/>
              <w:widowControl w:val="0"/>
              <w:kinsoku/>
              <w:wordWrap/>
              <w:overflowPunct/>
              <w:topLinePunct w:val="0"/>
              <w:autoSpaceDE/>
              <w:autoSpaceDN/>
              <w:bidi w:val="0"/>
              <w:spacing w:after="0" w:line="300" w:lineRule="auto"/>
              <w:ind w:left="208" w:leftChars="99" w:firstLine="195" w:firstLineChars="93"/>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val="en-US" w:eastAsia="zh-CN"/>
              </w:rPr>
              <w:t>本招标项目</w:t>
            </w:r>
            <w:r>
              <w:rPr>
                <w:rFonts w:hint="eastAsia" w:ascii="宋体" w:hAnsi="宋体" w:cs="宋体"/>
                <w:color w:val="auto"/>
                <w:sz w:val="21"/>
                <w:szCs w:val="21"/>
                <w:highlight w:val="none"/>
                <w:u w:val="single"/>
                <w:lang w:val="en-US" w:eastAsia="zh-CN"/>
              </w:rPr>
              <w:t xml:space="preserve"> □不接受  □接受 </w:t>
            </w:r>
            <w:r>
              <w:rPr>
                <w:rFonts w:hint="eastAsia" w:ascii="宋体" w:hAnsi="宋体" w:cs="宋体"/>
                <w:color w:val="auto"/>
                <w:sz w:val="21"/>
                <w:szCs w:val="21"/>
                <w:highlight w:val="none"/>
                <w:u w:val="none"/>
                <w:lang w:val="en-US" w:eastAsia="zh-CN"/>
              </w:rPr>
              <w:t>降低</w:t>
            </w:r>
            <w:r>
              <w:rPr>
                <w:rFonts w:hint="eastAsia" w:ascii="宋体" w:hAnsi="宋体" w:cs="宋体"/>
                <w:color w:val="auto"/>
                <w:kern w:val="0"/>
                <w:sz w:val="21"/>
                <w:szCs w:val="21"/>
                <w:highlight w:val="none"/>
              </w:rPr>
              <w:t>履约担保</w:t>
            </w:r>
            <w:r>
              <w:rPr>
                <w:rFonts w:hint="eastAsia" w:ascii="宋体" w:hAnsi="宋体" w:cs="宋体"/>
                <w:color w:val="auto"/>
                <w:kern w:val="0"/>
                <w:sz w:val="21"/>
                <w:szCs w:val="21"/>
                <w:highlight w:val="none"/>
                <w:lang w:val="en-US" w:eastAsia="zh-CN"/>
              </w:rPr>
              <w:t>金缴交比例：</w:t>
            </w:r>
          </w:p>
          <w:p w14:paraId="34E656AF">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①</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kern w:val="2"/>
                <w:sz w:val="21"/>
                <w:szCs w:val="21"/>
                <w:highlight w:val="none"/>
              </w:rPr>
              <w:t>合同签订时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0"/>
                <w:sz w:val="21"/>
                <w:szCs w:val="21"/>
                <w:highlight w:val="none"/>
                <w:u w:val="none"/>
                <w:lang w:val="en-US" w:eastAsia="zh-CN"/>
              </w:rPr>
              <w:t>最近三</w:t>
            </w:r>
            <w:r>
              <w:rPr>
                <w:rFonts w:hint="eastAsia" w:ascii="宋体" w:hAnsi="宋体" w:cs="宋体"/>
                <w:color w:val="auto"/>
                <w:kern w:val="0"/>
                <w:sz w:val="21"/>
                <w:szCs w:val="21"/>
                <w:highlight w:val="none"/>
                <w:u w:val="none"/>
                <w:lang w:val="en-US" w:eastAsia="zh-CN"/>
              </w:rPr>
              <w:t>个年度</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的，缴交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为招标文件要求的25%；</w:t>
            </w:r>
          </w:p>
          <w:p w14:paraId="732529B7">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eastAsia" w:ascii="宋体" w:hAnsi="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最近期</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kern w:val="2"/>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为招标文件要求的50%</w:t>
            </w:r>
            <w:r>
              <w:rPr>
                <w:rFonts w:hint="eastAsia" w:ascii="宋体" w:hAnsi="宋体" w:cs="宋体"/>
                <w:color w:val="auto"/>
                <w:kern w:val="2"/>
                <w:sz w:val="21"/>
                <w:szCs w:val="21"/>
                <w:highlight w:val="none"/>
              </w:rPr>
              <w:t>；</w:t>
            </w:r>
          </w:p>
          <w:p w14:paraId="76A940EC">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baseline"/>
              <w:rPr>
                <w:rFonts w:hint="default" w:ascii="宋体" w:hAnsi="宋体" w:cs="宋体"/>
                <w:color w:val="auto"/>
                <w:kern w:val="2"/>
                <w:sz w:val="21"/>
                <w:szCs w:val="21"/>
                <w:highlight w:val="none"/>
                <w:lang w:val="en-US"/>
              </w:rPr>
            </w:pPr>
            <w:r>
              <w:rPr>
                <w:rFonts w:hint="eastAsia" w:ascii="宋体" w:hAnsi="宋体" w:eastAsia="宋体" w:cs="宋体"/>
                <w:color w:val="auto"/>
                <w:sz w:val="21"/>
                <w:szCs w:val="21"/>
                <w:highlight w:val="none"/>
              </w:rPr>
              <w:t>③</w:t>
            </w:r>
            <w:r>
              <w:rPr>
                <w:rFonts w:hint="eastAsia" w:ascii="宋体" w:hAnsi="宋体" w:cs="宋体"/>
                <w:color w:val="auto"/>
                <w:kern w:val="2"/>
                <w:sz w:val="21"/>
                <w:szCs w:val="21"/>
                <w:highlight w:val="none"/>
              </w:rPr>
              <w:t>中标人合同签订时</w:t>
            </w:r>
            <w:r>
              <w:rPr>
                <w:rFonts w:hint="eastAsia" w:ascii="宋体" w:hAnsi="宋体" w:cs="宋体"/>
                <w:color w:val="auto"/>
                <w:kern w:val="2"/>
                <w:sz w:val="21"/>
                <w:szCs w:val="21"/>
                <w:highlight w:val="none"/>
                <w:lang w:eastAsia="zh-CN"/>
              </w:rPr>
              <w:t>，</w:t>
            </w:r>
            <w:r>
              <w:rPr>
                <w:rFonts w:hint="eastAsia" w:cs="宋体"/>
                <w:color w:val="auto"/>
                <w:kern w:val="2"/>
                <w:sz w:val="21"/>
                <w:szCs w:val="21"/>
                <w:highlight w:val="none"/>
                <w:lang w:val="en-US" w:eastAsia="zh-CN"/>
              </w:rPr>
              <w:t>最近期</w:t>
            </w:r>
            <w:r>
              <w:rPr>
                <w:rFonts w:hint="eastAsia" w:ascii="Times New Roman" w:hAnsi="Times New Roman" w:cs="宋体"/>
                <w:color w:val="auto"/>
                <w:sz w:val="21"/>
                <w:szCs w:val="21"/>
                <w:highlight w:val="none"/>
              </w:rPr>
              <w:t>福建省交通建设市场信用考核评价结果均为A级别</w:t>
            </w:r>
            <w:r>
              <w:rPr>
                <w:rFonts w:hint="eastAsia" w:ascii="Times New Roman" w:hAnsi="Times New Roman" w:cs="宋体"/>
                <w:color w:val="auto"/>
                <w:sz w:val="21"/>
                <w:szCs w:val="21"/>
                <w:highlight w:val="none"/>
                <w:lang w:val="en-US" w:eastAsia="zh-CN"/>
              </w:rPr>
              <w:t>的</w:t>
            </w:r>
            <w:r>
              <w:rPr>
                <w:rFonts w:hint="eastAsia" w:ascii="宋体" w:hAnsi="宋体" w:cs="宋体"/>
                <w:color w:val="auto"/>
                <w:kern w:val="2"/>
                <w:sz w:val="21"/>
                <w:szCs w:val="21"/>
                <w:highlight w:val="none"/>
                <w:lang w:eastAsia="zh-CN"/>
              </w:rPr>
              <w:t>，</w:t>
            </w:r>
            <w:r>
              <w:rPr>
                <w:rFonts w:hint="eastAsia" w:ascii="宋体" w:hAnsi="宋体" w:cs="宋体"/>
                <w:color w:val="auto"/>
                <w:sz w:val="21"/>
                <w:szCs w:val="21"/>
                <w:highlight w:val="none"/>
                <w:lang w:val="en-US" w:eastAsia="zh-CN"/>
              </w:rPr>
              <w:t>缴交</w:t>
            </w:r>
            <w:r>
              <w:rPr>
                <w:rFonts w:hint="eastAsia" w:ascii="宋体" w:hAnsi="宋体" w:cs="宋体"/>
                <w:color w:val="auto"/>
                <w:kern w:val="0"/>
                <w:szCs w:val="21"/>
                <w:highlight w:val="none"/>
              </w:rPr>
              <w:t>履约担保</w:t>
            </w:r>
            <w:r>
              <w:rPr>
                <w:rFonts w:hint="eastAsia" w:ascii="宋体" w:hAnsi="宋体" w:cs="宋体"/>
                <w:color w:val="auto"/>
                <w:kern w:val="0"/>
                <w:szCs w:val="21"/>
                <w:highlight w:val="none"/>
                <w:lang w:val="en-US" w:eastAsia="zh-CN"/>
              </w:rPr>
              <w:t>金比例</w:t>
            </w:r>
            <w:r>
              <w:rPr>
                <w:rFonts w:hint="eastAsia" w:ascii="宋体" w:hAnsi="宋体" w:cs="宋体"/>
                <w:color w:val="auto"/>
                <w:sz w:val="21"/>
                <w:szCs w:val="21"/>
                <w:highlight w:val="none"/>
                <w:lang w:val="en-US" w:eastAsia="zh-CN"/>
              </w:rPr>
              <w:t>为招标文件要求的75%。</w:t>
            </w:r>
          </w:p>
          <w:p w14:paraId="649732A0">
            <w:pPr>
              <w:pStyle w:val="49"/>
              <w:keepNext w:val="0"/>
              <w:keepLines w:val="0"/>
              <w:pageBreakBefore w:val="0"/>
              <w:widowControl w:val="0"/>
              <w:numPr>
                <w:ilvl w:val="0"/>
                <w:numId w:val="0"/>
              </w:numPr>
              <w:kinsoku/>
              <w:wordWrap/>
              <w:overflowPunct/>
              <w:topLinePunct w:val="0"/>
              <w:autoSpaceDE/>
              <w:autoSpaceDN/>
              <w:bidi w:val="0"/>
              <w:spacing w:line="30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4DBA974A">
            <w:pPr>
              <w:pStyle w:val="38"/>
              <w:keepNext w:val="0"/>
              <w:keepLines w:val="0"/>
              <w:pageBreakBefore w:val="0"/>
              <w:widowControl w:val="0"/>
              <w:kinsoku/>
              <w:wordWrap/>
              <w:overflowPunct/>
              <w:topLinePunct w:val="0"/>
              <w:autoSpaceDE/>
              <w:autoSpaceDN/>
              <w:bidi w:val="0"/>
              <w:spacing w:after="0" w:line="300" w:lineRule="auto"/>
              <w:ind w:left="8" w:leftChars="0" w:firstLine="394" w:firstLineChars="188"/>
              <w:rPr>
                <w:rFonts w:hint="eastAsia" w:ascii="宋体" w:hAnsi="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投标人享受降低履约担保金缴交比例的，若出现履约违约情形，应当无条件按照招标人要求限时足额补缴招标文件要求的履约担保金并依法承担违约责任。</w:t>
            </w:r>
          </w:p>
          <w:p w14:paraId="41EA1B49">
            <w:pPr>
              <w:numPr>
                <w:ilvl w:val="0"/>
                <w:numId w:val="5"/>
              </w:numPr>
              <w:autoSpaceDE/>
              <w:autoSpaceDN/>
              <w:adjustRightInd/>
              <w:snapToGrid/>
              <w:spacing w:before="0" w:beforeLines="-2147483648" w:afterLines="-2147483648" w:line="320" w:lineRule="exact"/>
              <w:ind w:left="14" w:leftChars="0" w:hanging="14" w:hangingChars="7"/>
              <w:rPr>
                <w:rFonts w:hint="eastAsia" w:ascii="宋体" w:hAnsi="宋体"/>
                <w:color w:val="auto"/>
                <w:szCs w:val="21"/>
                <w:highlight w:val="none"/>
              </w:rPr>
            </w:pPr>
            <w:r>
              <w:rPr>
                <w:rFonts w:hint="eastAsia" w:ascii="宋体" w:hAnsi="宋体"/>
                <w:color w:val="auto"/>
                <w:szCs w:val="21"/>
                <w:highlight w:val="none"/>
              </w:rPr>
              <w:t>中标人应在收到中标通知书后30天内，在签订合同协议书之前提交。</w:t>
            </w:r>
          </w:p>
          <w:p w14:paraId="64424A9A">
            <w:pPr>
              <w:autoSpaceDE/>
              <w:autoSpaceDN/>
              <w:adjustRightInd w:val="0"/>
              <w:snapToGrid w:val="0"/>
              <w:spacing w:before="32" w:beforeLines="10" w:afterLines="0" w:line="25" w:lineRule="atLeast"/>
              <w:rPr>
                <w:color w:val="auto"/>
                <w:szCs w:val="21"/>
                <w:highlight w:val="none"/>
              </w:rPr>
            </w:pPr>
          </w:p>
        </w:tc>
      </w:tr>
      <w:tr w14:paraId="471A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02" w:hRule="atLeast"/>
          <w:jc w:val="center"/>
        </w:trPr>
        <w:tc>
          <w:tcPr>
            <w:tcW w:w="1324" w:type="dxa"/>
            <w:gridSpan w:val="2"/>
            <w:tcBorders>
              <w:left w:val="single" w:color="auto" w:sz="12" w:space="0"/>
              <w:right w:val="single" w:color="auto" w:sz="4" w:space="0"/>
            </w:tcBorders>
            <w:vAlign w:val="center"/>
          </w:tcPr>
          <w:p w14:paraId="54826C86">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.2</w:t>
            </w:r>
          </w:p>
        </w:tc>
        <w:tc>
          <w:tcPr>
            <w:tcW w:w="1814" w:type="dxa"/>
            <w:gridSpan w:val="2"/>
            <w:tcBorders>
              <w:left w:val="single" w:color="auto" w:sz="4" w:space="0"/>
              <w:right w:val="single" w:color="auto" w:sz="4" w:space="0"/>
            </w:tcBorders>
            <w:vAlign w:val="center"/>
          </w:tcPr>
          <w:p w14:paraId="766C0ED2">
            <w:pPr>
              <w:autoSpaceDE/>
              <w:autoSpaceDN/>
              <w:adjustRightInd w:val="0"/>
              <w:snapToGrid w:val="0"/>
              <w:spacing w:before="32" w:beforeLines="10" w:afterLines="0" w:line="25" w:lineRule="atLeast"/>
              <w:jc w:val="left"/>
              <w:rPr>
                <w:rFonts w:ascii="宋体" w:hAnsi="宋体"/>
                <w:color w:val="auto"/>
                <w:szCs w:val="21"/>
                <w:highlight w:val="none"/>
              </w:rPr>
            </w:pPr>
            <w:r>
              <w:rPr>
                <w:rFonts w:hint="eastAsia" w:ascii="宋体" w:hAnsi="宋体"/>
                <w:color w:val="auto"/>
                <w:szCs w:val="21"/>
                <w:highlight w:val="none"/>
              </w:rPr>
              <w:t>未按要求提交履约担保的处理</w:t>
            </w:r>
          </w:p>
        </w:tc>
        <w:tc>
          <w:tcPr>
            <w:tcW w:w="6323" w:type="dxa"/>
            <w:gridSpan w:val="4"/>
            <w:tcBorders>
              <w:left w:val="single" w:color="auto" w:sz="4" w:space="0"/>
              <w:right w:val="single" w:color="auto" w:sz="12" w:space="0"/>
            </w:tcBorders>
            <w:vAlign w:val="center"/>
          </w:tcPr>
          <w:p w14:paraId="1E386CE3">
            <w:pPr>
              <w:autoSpaceDE/>
              <w:autoSpaceDN/>
              <w:adjustRightInd w:val="0"/>
              <w:snapToGrid w:val="0"/>
              <w:spacing w:before="32" w:beforeLines="10" w:afterLines="0" w:line="25" w:lineRule="atLeast"/>
              <w:rPr>
                <w:rFonts w:ascii="宋体" w:hAnsi="宋体"/>
                <w:color w:val="auto"/>
                <w:szCs w:val="21"/>
                <w:highlight w:val="none"/>
              </w:rPr>
            </w:pPr>
            <w:r>
              <w:rPr>
                <w:rFonts w:hint="eastAsia" w:ascii="宋体" w:hAnsi="宋体"/>
                <w:color w:val="auto"/>
                <w:szCs w:val="21"/>
                <w:highlight w:val="none"/>
              </w:rPr>
              <w:t>中标人不能按本章第7.</w:t>
            </w:r>
            <w:r>
              <w:rPr>
                <w:rFonts w:hint="eastAsia" w:ascii="宋体" w:hAnsi="宋体"/>
                <w:color w:val="auto"/>
                <w:szCs w:val="21"/>
                <w:highlight w:val="none"/>
                <w:lang w:val="en-US" w:eastAsia="zh-CN"/>
              </w:rPr>
              <w:t>6</w:t>
            </w:r>
            <w:r>
              <w:rPr>
                <w:rFonts w:hint="eastAsia" w:ascii="宋体" w:hAnsi="宋体"/>
                <w:color w:val="auto"/>
                <w:szCs w:val="21"/>
                <w:highlight w:val="none"/>
              </w:rPr>
              <w:t>.1款要求提交履约担保的，视为放弃中标，其投标保证金不予退还，给招标人造成的损失超过投标保证金数额的，中标人还应当对超过部分予以赔偿。</w:t>
            </w:r>
          </w:p>
        </w:tc>
      </w:tr>
      <w:tr w14:paraId="725A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44" w:hRule="atLeast"/>
          <w:jc w:val="center"/>
        </w:trPr>
        <w:tc>
          <w:tcPr>
            <w:tcW w:w="1324" w:type="dxa"/>
            <w:gridSpan w:val="2"/>
            <w:tcBorders>
              <w:left w:val="single" w:color="auto" w:sz="12" w:space="0"/>
              <w:right w:val="single" w:color="auto" w:sz="4" w:space="0"/>
            </w:tcBorders>
            <w:vAlign w:val="center"/>
          </w:tcPr>
          <w:p w14:paraId="7ABFF631">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.3</w:t>
            </w:r>
          </w:p>
        </w:tc>
        <w:tc>
          <w:tcPr>
            <w:tcW w:w="1814" w:type="dxa"/>
            <w:gridSpan w:val="2"/>
            <w:tcBorders>
              <w:left w:val="single" w:color="auto" w:sz="4" w:space="0"/>
              <w:right w:val="single" w:color="auto" w:sz="4" w:space="0"/>
            </w:tcBorders>
            <w:vAlign w:val="center"/>
          </w:tcPr>
          <w:p w14:paraId="19E61FD1">
            <w:pPr>
              <w:autoSpaceDE/>
              <w:autoSpaceDN/>
              <w:adjustRightInd w:val="0"/>
              <w:snapToGrid w:val="0"/>
              <w:spacing w:before="32" w:beforeLines="10" w:afterLines="0" w:line="25" w:lineRule="atLeas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323" w:type="dxa"/>
            <w:gridSpan w:val="4"/>
            <w:tcBorders>
              <w:left w:val="single" w:color="auto" w:sz="4" w:space="0"/>
              <w:right w:val="single" w:color="auto" w:sz="12" w:space="0"/>
            </w:tcBorders>
            <w:vAlign w:val="center"/>
          </w:tcPr>
          <w:p w14:paraId="4EE4D800">
            <w:pPr>
              <w:autoSpaceDE/>
              <w:autoSpaceDN/>
              <w:adjustRightInd w:val="0"/>
              <w:snapToGrid w:val="0"/>
              <w:spacing w:before="32" w:beforeLines="10" w:afterLines="0" w:line="25" w:lineRule="atLeast"/>
              <w:rPr>
                <w:color w:val="auto"/>
                <w:szCs w:val="21"/>
                <w:highlight w:val="none"/>
              </w:rPr>
            </w:pPr>
            <w:r>
              <w:rPr>
                <w:rFonts w:hint="eastAsia"/>
                <w:color w:val="auto"/>
                <w:szCs w:val="21"/>
                <w:highlight w:val="none"/>
              </w:rPr>
              <w:t>在签订合同的同时，应签订相应的廉政协议和安全生产协议</w:t>
            </w:r>
          </w:p>
        </w:tc>
      </w:tr>
      <w:tr w14:paraId="222E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7" w:hRule="atLeast"/>
          <w:jc w:val="center"/>
        </w:trPr>
        <w:tc>
          <w:tcPr>
            <w:tcW w:w="1324" w:type="dxa"/>
            <w:gridSpan w:val="2"/>
            <w:tcBorders>
              <w:left w:val="single" w:color="auto" w:sz="12" w:space="0"/>
              <w:right w:val="single" w:color="auto" w:sz="4" w:space="0"/>
            </w:tcBorders>
            <w:vAlign w:val="center"/>
          </w:tcPr>
          <w:p w14:paraId="4D7D968F">
            <w:pPr>
              <w:autoSpaceDE/>
              <w:autoSpaceDN/>
              <w:adjustRightInd w:val="0"/>
              <w:snapToGrid w:val="0"/>
              <w:spacing w:before="32" w:beforeLines="10" w:afterLines="0" w:line="25" w:lineRule="atLeas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9.5</w:t>
            </w:r>
          </w:p>
        </w:tc>
        <w:tc>
          <w:tcPr>
            <w:tcW w:w="1814" w:type="dxa"/>
            <w:gridSpan w:val="2"/>
            <w:tcBorders>
              <w:left w:val="single" w:color="auto" w:sz="4" w:space="0"/>
              <w:right w:val="single" w:color="auto" w:sz="4" w:space="0"/>
            </w:tcBorders>
            <w:vAlign w:val="center"/>
          </w:tcPr>
          <w:p w14:paraId="2A613F25">
            <w:pPr>
              <w:autoSpaceDE/>
              <w:autoSpaceDN/>
              <w:adjustRightInd w:val="0"/>
              <w:snapToGrid w:val="0"/>
              <w:spacing w:before="32" w:beforeLines="10" w:afterLines="0" w:line="25" w:lineRule="atLeast"/>
              <w:jc w:val="center"/>
              <w:rPr>
                <w:rFonts w:ascii="宋体" w:hAnsi="宋体"/>
                <w:b/>
                <w:bCs/>
                <w:color w:val="auto"/>
                <w:kern w:val="0"/>
                <w:szCs w:val="21"/>
                <w:highlight w:val="none"/>
              </w:rPr>
            </w:pPr>
            <w:r>
              <w:rPr>
                <w:rFonts w:ascii="宋体" w:hAnsi="宋体"/>
                <w:b/>
                <w:bCs/>
                <w:color w:val="auto"/>
                <w:szCs w:val="21"/>
                <w:highlight w:val="none"/>
              </w:rPr>
              <w:t>行政监督部门</w:t>
            </w:r>
          </w:p>
        </w:tc>
        <w:tc>
          <w:tcPr>
            <w:tcW w:w="6323" w:type="dxa"/>
            <w:gridSpan w:val="4"/>
            <w:tcBorders>
              <w:left w:val="single" w:color="auto" w:sz="4" w:space="0"/>
              <w:right w:val="single" w:color="auto" w:sz="12" w:space="0"/>
            </w:tcBorders>
            <w:vAlign w:val="center"/>
          </w:tcPr>
          <w:p w14:paraId="012ADAB7">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1）单位名称：</w:t>
            </w:r>
            <w:r>
              <w:rPr>
                <w:rFonts w:hint="eastAsia" w:ascii="宋体" w:hAnsi="宋体" w:cs="黑体"/>
                <w:bCs w:val="0"/>
                <w:color w:val="auto"/>
                <w:sz w:val="24"/>
                <w:highlight w:val="none"/>
                <w:u w:val="single"/>
              </w:rPr>
              <w:t>_________________________</w:t>
            </w:r>
          </w:p>
          <w:p w14:paraId="72406215">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地   址：</w:t>
            </w:r>
            <w:r>
              <w:rPr>
                <w:rFonts w:hint="eastAsia" w:ascii="宋体" w:hAnsi="宋体" w:cs="黑体"/>
                <w:bCs w:val="0"/>
                <w:color w:val="auto"/>
                <w:sz w:val="24"/>
                <w:highlight w:val="none"/>
                <w:u w:val="single"/>
              </w:rPr>
              <w:t>_________________________</w:t>
            </w:r>
            <w:r>
              <w:rPr>
                <w:rFonts w:hint="eastAsia" w:ascii="宋体" w:hAnsi="宋体"/>
                <w:b w:val="0"/>
                <w:bCs w:val="0"/>
                <w:color w:val="auto"/>
                <w:szCs w:val="21"/>
                <w:highlight w:val="none"/>
                <w:u w:val="single"/>
              </w:rPr>
              <w:t xml:space="preserve"> </w:t>
            </w:r>
          </w:p>
          <w:p w14:paraId="45D2BAA9">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电   话：</w:t>
            </w:r>
            <w:r>
              <w:rPr>
                <w:rFonts w:hint="eastAsia" w:ascii="宋体" w:hAnsi="宋体" w:cs="黑体"/>
                <w:bCs w:val="0"/>
                <w:color w:val="auto"/>
                <w:sz w:val="24"/>
                <w:highlight w:val="none"/>
                <w:u w:val="single"/>
              </w:rPr>
              <w:t>_________________________</w:t>
            </w:r>
          </w:p>
          <w:p w14:paraId="3CCB42BC">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传   真：</w:t>
            </w:r>
            <w:r>
              <w:rPr>
                <w:rFonts w:hint="eastAsia" w:ascii="宋体" w:hAnsi="宋体" w:cs="黑体"/>
                <w:bCs w:val="0"/>
                <w:color w:val="auto"/>
                <w:sz w:val="24"/>
                <w:highlight w:val="none"/>
                <w:u w:val="single"/>
              </w:rPr>
              <w:t>_________________________</w:t>
            </w:r>
          </w:p>
          <w:p w14:paraId="6176D1EF">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邮   编：</w:t>
            </w:r>
            <w:r>
              <w:rPr>
                <w:rFonts w:hint="eastAsia" w:ascii="宋体" w:hAnsi="宋体" w:cs="黑体"/>
                <w:bCs w:val="0"/>
                <w:color w:val="auto"/>
                <w:sz w:val="24"/>
                <w:highlight w:val="none"/>
                <w:u w:val="single"/>
              </w:rPr>
              <w:t>_________________________</w:t>
            </w:r>
          </w:p>
          <w:p w14:paraId="6488C620">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rPr>
            </w:pPr>
            <w:r>
              <w:rPr>
                <w:rFonts w:hint="eastAsia" w:ascii="宋体" w:hAnsi="宋体"/>
                <w:b w:val="0"/>
                <w:bCs w:val="0"/>
                <w:color w:val="auto"/>
                <w:szCs w:val="21"/>
                <w:highlight w:val="none"/>
              </w:rPr>
              <w:t>2）单位名称：</w:t>
            </w:r>
            <w:r>
              <w:rPr>
                <w:rFonts w:hint="eastAsia" w:ascii="宋体" w:hAnsi="宋体"/>
                <w:b w:val="0"/>
                <w:bCs w:val="0"/>
                <w:color w:val="auto"/>
                <w:szCs w:val="21"/>
                <w:highlight w:val="none"/>
                <w:u w:val="single"/>
              </w:rPr>
              <w:t xml:space="preserve">                      </w:t>
            </w:r>
            <w:r>
              <w:rPr>
                <w:rFonts w:hint="eastAsia" w:ascii="宋体" w:hAnsi="宋体"/>
                <w:b w:val="0"/>
                <w:bCs w:val="0"/>
                <w:color w:val="auto"/>
                <w:szCs w:val="21"/>
                <w:highlight w:val="none"/>
              </w:rPr>
              <w:t xml:space="preserve">     </w:t>
            </w:r>
          </w:p>
          <w:p w14:paraId="654206C4">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地   址：</w:t>
            </w:r>
            <w:r>
              <w:rPr>
                <w:rFonts w:hint="eastAsia" w:ascii="宋体" w:hAnsi="宋体" w:cs="黑体"/>
                <w:bCs w:val="0"/>
                <w:color w:val="auto"/>
                <w:sz w:val="24"/>
                <w:highlight w:val="none"/>
                <w:u w:val="single"/>
              </w:rPr>
              <w:t>_________________________</w:t>
            </w:r>
          </w:p>
          <w:p w14:paraId="01BDFCB4">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电   话：</w:t>
            </w:r>
            <w:r>
              <w:rPr>
                <w:rFonts w:hint="eastAsia" w:ascii="宋体" w:hAnsi="宋体" w:cs="黑体"/>
                <w:bCs w:val="0"/>
                <w:color w:val="auto"/>
                <w:sz w:val="24"/>
                <w:highlight w:val="none"/>
                <w:u w:val="single"/>
              </w:rPr>
              <w:t>_________________________</w:t>
            </w:r>
          </w:p>
          <w:p w14:paraId="13292BEC">
            <w:pPr>
              <w:pStyle w:val="12"/>
              <w:wordWrap w:val="0"/>
              <w:autoSpaceDE/>
              <w:autoSpaceDN/>
              <w:snapToGrid w:val="0"/>
              <w:spacing w:before="0" w:beforeLines="0" w:line="360" w:lineRule="auto"/>
              <w:ind w:firstLine="420" w:firstLineChars="200"/>
              <w:jc w:val="left"/>
              <w:rPr>
                <w:rFonts w:ascii="宋体" w:hAnsi="宋体"/>
                <w:b w:val="0"/>
                <w:bCs w:val="0"/>
                <w:color w:val="auto"/>
                <w:szCs w:val="21"/>
                <w:highlight w:val="none"/>
                <w:u w:val="single"/>
              </w:rPr>
            </w:pPr>
            <w:r>
              <w:rPr>
                <w:rFonts w:hint="eastAsia" w:ascii="宋体" w:hAnsi="宋体"/>
                <w:b w:val="0"/>
                <w:bCs w:val="0"/>
                <w:color w:val="auto"/>
                <w:szCs w:val="21"/>
                <w:highlight w:val="none"/>
              </w:rPr>
              <w:t>传   真：</w:t>
            </w:r>
            <w:r>
              <w:rPr>
                <w:rFonts w:hint="eastAsia" w:ascii="宋体" w:hAnsi="宋体" w:cs="黑体"/>
                <w:bCs w:val="0"/>
                <w:color w:val="auto"/>
                <w:sz w:val="24"/>
                <w:highlight w:val="none"/>
                <w:u w:val="single"/>
              </w:rPr>
              <w:t>_________________________</w:t>
            </w:r>
          </w:p>
          <w:p w14:paraId="15866922">
            <w:pPr>
              <w:pStyle w:val="12"/>
              <w:wordWrap w:val="0"/>
              <w:autoSpaceDE/>
              <w:autoSpaceDN/>
              <w:snapToGrid w:val="0"/>
              <w:spacing w:before="0" w:beforeLines="0" w:line="360" w:lineRule="auto"/>
              <w:ind w:firstLine="420" w:firstLineChars="200"/>
              <w:jc w:val="left"/>
              <w:rPr>
                <w:rFonts w:hint="eastAsia" w:ascii="宋体" w:hAnsi="宋体" w:cs="黑体"/>
                <w:bCs w:val="0"/>
                <w:color w:val="auto"/>
                <w:sz w:val="24"/>
                <w:highlight w:val="none"/>
                <w:u w:val="single"/>
              </w:rPr>
            </w:pPr>
            <w:r>
              <w:rPr>
                <w:rFonts w:hint="eastAsia" w:ascii="宋体" w:hAnsi="宋体"/>
                <w:b w:val="0"/>
                <w:bCs w:val="0"/>
                <w:color w:val="auto"/>
                <w:szCs w:val="21"/>
                <w:highlight w:val="none"/>
              </w:rPr>
              <w:t>邮   编：</w:t>
            </w:r>
            <w:r>
              <w:rPr>
                <w:rFonts w:hint="eastAsia" w:ascii="宋体" w:hAnsi="宋体" w:cs="黑体"/>
                <w:bCs w:val="0"/>
                <w:color w:val="auto"/>
                <w:sz w:val="24"/>
                <w:highlight w:val="none"/>
                <w:u w:val="single"/>
              </w:rPr>
              <w:t>_________________________</w:t>
            </w:r>
          </w:p>
          <w:p w14:paraId="6A00C05E">
            <w:pPr>
              <w:pStyle w:val="12"/>
              <w:wordWrap w:val="0"/>
              <w:spacing w:before="120" w:beforeLines="50" w:line="300" w:lineRule="auto"/>
              <w:ind w:firstLine="420" w:firstLineChars="200"/>
              <w:jc w:val="left"/>
              <w:rPr>
                <w:rFonts w:hint="eastAsia" w:hAnsi="宋体" w:cs="宋体"/>
                <w:color w:val="auto"/>
                <w:sz w:val="21"/>
                <w:szCs w:val="21"/>
                <w:highlight w:val="none"/>
                <w:shd w:val="clear" w:color="auto" w:fill="auto"/>
              </w:rPr>
            </w:pPr>
            <w:r>
              <w:rPr>
                <w:rFonts w:hint="eastAsia" w:hAnsi="宋体" w:cs="宋体"/>
                <w:color w:val="auto"/>
                <w:sz w:val="21"/>
                <w:szCs w:val="21"/>
                <w:highlight w:val="none"/>
                <w:shd w:val="clear" w:color="auto" w:fill="auto"/>
              </w:rPr>
              <w:t>投标人或者其他利害关系人认为招标投标活动不符合法律行政法规规定的，可以自知道或应当知道之日起10日内向有关行政监督部门投诉。依照有关行政法规提出异议的，异议答复期间不计算在内。投诉人的投诉应符合《工程建设项目招标投标活动投诉处理办法》（国家发改委等七部委2004年第11号令，根据2013年3月11日国家发展和改革委员会、工业和信息化部、财政部等令第23号修订）的规定，否则不予受理。对恶意虚假投诉的，将报请省交通运输厅按有关规定进行处理。</w:t>
            </w:r>
          </w:p>
          <w:p w14:paraId="6BED4AF6">
            <w:pPr>
              <w:pStyle w:val="12"/>
              <w:wordWrap w:val="0"/>
              <w:spacing w:before="120" w:beforeLines="50" w:line="300" w:lineRule="auto"/>
              <w:ind w:firstLine="420" w:firstLineChars="200"/>
              <w:jc w:val="left"/>
              <w:rPr>
                <w:rFonts w:hint="eastAsia" w:ascii="宋体" w:hAnsi="宋体" w:eastAsia="宋体" w:cs="黑体"/>
                <w:bCs/>
                <w:color w:val="auto"/>
                <w:sz w:val="24"/>
                <w:highlight w:val="none"/>
                <w:u w:val="single"/>
                <w:lang w:eastAsia="zh-CN"/>
              </w:rPr>
            </w:pPr>
            <w:r>
              <w:rPr>
                <w:rFonts w:hint="eastAsia" w:hAnsi="宋体" w:cs="宋体"/>
                <w:color w:val="auto"/>
                <w:sz w:val="21"/>
                <w:szCs w:val="21"/>
                <w:highlight w:val="none"/>
                <w:shd w:val="clear" w:color="auto" w:fill="auto"/>
              </w:rPr>
              <w:t>根据福建省交通运输厅《关于规范公路水运工程招投标线上投诉有关事项的通知》（闽交建函〔2020〕72号）规定，投诉以在线上投诉处理为原则，线下投诉处理为例外，投诉人应当在法定时限内通过在线监管平台如实填写投诉信息，应当有明确的请求和必要的证明材料。福建省公共资源交易电子行政监督平台：</w:t>
            </w:r>
            <w:r>
              <w:rPr>
                <w:rFonts w:hint="eastAsia" w:ascii="宋体" w:hAnsi="宋体"/>
                <w:color w:val="auto"/>
                <w:highlight w:val="none"/>
              </w:rPr>
              <w:t>https://ggzyjd.fujian.gov.cn/</w:t>
            </w:r>
            <w:r>
              <w:rPr>
                <w:rFonts w:hint="eastAsia" w:hAnsi="宋体" w:cs="宋体"/>
                <w:color w:val="auto"/>
                <w:sz w:val="21"/>
                <w:szCs w:val="21"/>
                <w:highlight w:val="none"/>
                <w:shd w:val="clear" w:color="auto" w:fill="auto"/>
                <w:lang w:eastAsia="zh-CN"/>
              </w:rPr>
              <w:t>。</w:t>
            </w:r>
          </w:p>
        </w:tc>
      </w:tr>
      <w:tr w14:paraId="63CB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10" w:hRule="atLeast"/>
          <w:jc w:val="center"/>
        </w:trPr>
        <w:tc>
          <w:tcPr>
            <w:tcW w:w="1324" w:type="dxa"/>
            <w:gridSpan w:val="2"/>
            <w:tcBorders>
              <w:left w:val="single" w:color="auto" w:sz="12" w:space="0"/>
              <w:right w:val="single" w:color="auto" w:sz="4" w:space="0"/>
            </w:tcBorders>
            <w:vAlign w:val="center"/>
          </w:tcPr>
          <w:p w14:paraId="0F345CFD">
            <w:pPr>
              <w:autoSpaceDE/>
              <w:autoSpaceDN/>
              <w:adjustRightInd w:val="0"/>
              <w:snapToGrid w:val="0"/>
              <w:spacing w:before="32" w:beforeLines="10" w:afterLines="0" w:line="25"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814" w:type="dxa"/>
            <w:gridSpan w:val="2"/>
            <w:tcBorders>
              <w:left w:val="single" w:color="auto" w:sz="4" w:space="0"/>
              <w:right w:val="single" w:color="auto" w:sz="4" w:space="0"/>
            </w:tcBorders>
            <w:vAlign w:val="center"/>
          </w:tcPr>
          <w:p w14:paraId="2EC760DD">
            <w:pPr>
              <w:adjustRightInd w:val="0"/>
              <w:snapToGrid w:val="0"/>
              <w:spacing w:before="32" w:beforeLines="10" w:afterLines="0" w:line="25" w:lineRule="atLeast"/>
              <w:jc w:val="center"/>
              <w:rPr>
                <w:rFonts w:ascii="宋体" w:hAnsi="宋体"/>
                <w:color w:val="auto"/>
                <w:szCs w:val="21"/>
                <w:highlight w:val="none"/>
              </w:rPr>
            </w:pPr>
            <w:r>
              <w:rPr>
                <w:rFonts w:hint="eastAsia" w:ascii="宋体" w:hAnsi="宋体"/>
                <w:b/>
                <w:bCs/>
                <w:color w:val="auto"/>
                <w:highlight w:val="none"/>
              </w:rPr>
              <w:t>需要补充的其他内容</w:t>
            </w:r>
          </w:p>
        </w:tc>
        <w:tc>
          <w:tcPr>
            <w:tcW w:w="6323" w:type="dxa"/>
            <w:gridSpan w:val="4"/>
            <w:tcBorders>
              <w:left w:val="single" w:color="auto" w:sz="4" w:space="0"/>
              <w:right w:val="single" w:color="auto" w:sz="12" w:space="0"/>
            </w:tcBorders>
            <w:vAlign w:val="center"/>
          </w:tcPr>
          <w:p w14:paraId="7180EACF">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bCs/>
                <w:color w:val="auto"/>
                <w:szCs w:val="21"/>
                <w:highlight w:val="none"/>
              </w:rPr>
              <w:t>10.</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s="宋体"/>
                <w:color w:val="auto"/>
                <w:szCs w:val="21"/>
                <w:highlight w:val="none"/>
              </w:rPr>
              <w:t>投标人厦门市建筑施工企业信用综合评价结果</w:t>
            </w:r>
          </w:p>
          <w:p w14:paraId="06731588">
            <w:pPr>
              <w:pStyle w:val="8"/>
              <w:numPr>
                <w:ilvl w:val="2"/>
                <w:numId w:val="0"/>
              </w:numPr>
              <w:tabs>
                <w:tab w:val="left" w:pos="397"/>
                <w:tab w:val="left" w:pos="624"/>
              </w:tabs>
              <w:adjustRightInd w:val="0"/>
              <w:spacing w:before="32" w:beforeLines="10" w:afterLines="0" w:line="25" w:lineRule="atLeast"/>
              <w:ind w:firstLine="510"/>
              <w:jc w:val="left"/>
              <w:textAlignment w:val="baseline"/>
              <w:rPr>
                <w:rFonts w:hAnsi="宋体" w:cs="宋体"/>
                <w:color w:val="auto"/>
                <w:kern w:val="0"/>
                <w:sz w:val="21"/>
                <w:szCs w:val="21"/>
                <w:highlight w:val="none"/>
              </w:rPr>
            </w:pPr>
            <w:r>
              <w:rPr>
                <w:rFonts w:hint="eastAsia" w:hAnsi="宋体" w:cs="宋体"/>
                <w:color w:val="auto"/>
                <w:kern w:val="0"/>
                <w:sz w:val="21"/>
                <w:szCs w:val="21"/>
                <w:highlight w:val="none"/>
              </w:rPr>
              <w:t>投标人厦门市建筑施工企业信用综合评价结果</w:t>
            </w:r>
            <w:r>
              <w:rPr>
                <w:rFonts w:hint="eastAsia" w:cs="宋体"/>
                <w:color w:val="auto"/>
                <w:kern w:val="0"/>
                <w:sz w:val="21"/>
                <w:szCs w:val="21"/>
                <w:highlight w:val="none"/>
              </w:rPr>
              <w:t>包括信用等级和综合得分：</w:t>
            </w:r>
          </w:p>
          <w:p w14:paraId="70193229">
            <w:pPr>
              <w:pStyle w:val="8"/>
              <w:numPr>
                <w:ilvl w:val="2"/>
                <w:numId w:val="0"/>
              </w:numPr>
              <w:tabs>
                <w:tab w:val="left" w:pos="397"/>
                <w:tab w:val="left" w:pos="624"/>
              </w:tabs>
              <w:adjustRightInd w:val="0"/>
              <w:spacing w:before="32" w:beforeLines="10" w:afterLines="0" w:line="25" w:lineRule="atLeast"/>
              <w:ind w:firstLine="420" w:firstLineChars="200"/>
              <w:jc w:val="left"/>
              <w:textAlignment w:val="baseline"/>
              <w:rPr>
                <w:rFonts w:hAnsi="宋体" w:cs="宋体"/>
                <w:color w:val="auto"/>
                <w:kern w:val="0"/>
                <w:sz w:val="21"/>
                <w:szCs w:val="21"/>
                <w:highlight w:val="none"/>
              </w:rPr>
            </w:pPr>
            <w:r>
              <w:rPr>
                <w:rFonts w:hint="eastAsia" w:hAnsi="宋体" w:cs="宋体"/>
                <w:color w:val="auto"/>
                <w:kern w:val="0"/>
                <w:sz w:val="21"/>
                <w:szCs w:val="21"/>
                <w:highlight w:val="none"/>
              </w:rPr>
              <w:t>（1）厦门市建筑施工企业信用综合评价结果应当按照联合体中信用综合评价等级最低的企业确定联合体的信用综合评价等级（对于联合体为母公司与在厦控股子公司或关联公司情形另有规定的，从其规定）</w:t>
            </w:r>
            <w:r>
              <w:rPr>
                <w:rFonts w:hint="eastAsia" w:cs="宋体"/>
                <w:color w:val="auto"/>
                <w:sz w:val="21"/>
                <w:szCs w:val="21"/>
                <w:highlight w:val="none"/>
              </w:rPr>
              <w:t>。</w:t>
            </w:r>
          </w:p>
          <w:p w14:paraId="73BF758D">
            <w:pPr>
              <w:widowControl/>
              <w:tabs>
                <w:tab w:val="left" w:pos="900"/>
                <w:tab w:val="left" w:pos="1100"/>
              </w:tabs>
              <w:adjustRightInd w:val="0"/>
              <w:snapToGrid w:val="0"/>
              <w:spacing w:before="32" w:beforeLines="10" w:afterLines="0" w:line="25" w:lineRule="atLeast"/>
              <w:ind w:firstLine="436" w:firstLineChars="208"/>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（2）每季度次月的1日（含本日）后开标的招标项目，投标人厦门市建筑施工企业信用综合评价结果应为上季度的</w:t>
            </w:r>
            <w:r>
              <w:rPr>
                <w:rFonts w:hint="eastAsia" w:cs="宋体"/>
                <w:color w:val="auto"/>
                <w:kern w:val="0"/>
                <w:szCs w:val="21"/>
                <w:highlight w:val="none"/>
              </w:rPr>
              <w:t>评价结果</w:t>
            </w:r>
            <w:r>
              <w:rPr>
                <w:rFonts w:hint="eastAsia" w:ascii="宋体" w:hAnsi="宋体" w:cs="宋体"/>
                <w:color w:val="auto"/>
                <w:kern w:val="0"/>
                <w:szCs w:val="21"/>
                <w:highlight w:val="none"/>
              </w:rPr>
              <w:t>。而在每季度次月的1日前开标的，则为投标人在上季度前一个季度的</w:t>
            </w:r>
            <w:r>
              <w:rPr>
                <w:rFonts w:hint="eastAsia" w:cs="宋体"/>
                <w:color w:val="auto"/>
                <w:kern w:val="0"/>
                <w:szCs w:val="21"/>
                <w:highlight w:val="none"/>
              </w:rPr>
              <w:t>评价结果</w:t>
            </w:r>
            <w:r>
              <w:rPr>
                <w:rFonts w:hint="eastAsia" w:ascii="宋体" w:hAnsi="宋体" w:cs="宋体"/>
                <w:color w:val="auto"/>
                <w:kern w:val="0"/>
                <w:szCs w:val="21"/>
                <w:highlight w:val="none"/>
              </w:rPr>
              <w:t>。</w:t>
            </w:r>
          </w:p>
          <w:p w14:paraId="0271985A">
            <w:pPr>
              <w:widowControl/>
              <w:tabs>
                <w:tab w:val="left" w:pos="900"/>
                <w:tab w:val="left" w:pos="1100"/>
              </w:tabs>
              <w:adjustRightInd w:val="0"/>
              <w:snapToGrid w:val="0"/>
              <w:spacing w:before="32" w:beforeLines="10" w:afterLines="0" w:line="25" w:lineRule="atLeast"/>
              <w:ind w:firstLine="420" w:firstLineChars="20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（3）厦门市建筑施工企业信用综合评价结果以招标项目截标时在厦门市住房和建设局官方网站已发布的数据为准。项目截标后不论何种原因变更的信用评价信息，不在变更前已截标的招投标项目中使用。</w:t>
            </w:r>
          </w:p>
          <w:p w14:paraId="580EEB97">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cs="宋体"/>
                <w:color w:val="auto"/>
                <w:kern w:val="0"/>
                <w:szCs w:val="21"/>
                <w:highlight w:val="none"/>
              </w:rPr>
              <w:t>（4）由于投标人名称变更，造成厦门市住房和建设局官方网站公布的与变更后的投标人名称不一致的，投标人应当在资格文件中附上名称变更证明材料扫描件。未按规定提交的，可以按不利于投标人的情形认定。</w:t>
            </w:r>
          </w:p>
          <w:p w14:paraId="5ED1272B">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b w:val="0"/>
                <w:bCs w:val="0"/>
                <w:color w:val="auto"/>
                <w:szCs w:val="21"/>
                <w:highlight w:val="none"/>
                <w:shd w:val="clear" w:color="auto" w:fill="auto"/>
              </w:rPr>
            </w:pPr>
            <w:r>
              <w:rPr>
                <w:rFonts w:hint="eastAsia" w:ascii="宋体" w:hAnsi="宋体"/>
                <w:color w:val="auto"/>
                <w:highlight w:val="none"/>
              </w:rPr>
              <w:t>10.</w:t>
            </w:r>
            <w:r>
              <w:rPr>
                <w:rFonts w:hint="eastAsia" w:ascii="宋体" w:hAnsi="宋体"/>
                <w:color w:val="auto"/>
                <w:highlight w:val="none"/>
                <w:lang w:val="en-US" w:eastAsia="zh-CN"/>
              </w:rPr>
              <w:t>4</w:t>
            </w:r>
            <w:r>
              <w:rPr>
                <w:rFonts w:hint="eastAsia" w:ascii="宋体" w:hAnsi="宋体"/>
                <w:color w:val="auto"/>
                <w:highlight w:val="none"/>
              </w:rPr>
              <w:t xml:space="preserve"> </w:t>
            </w:r>
            <w:r>
              <w:rPr>
                <w:rFonts w:hint="eastAsia" w:ascii="宋体" w:hAnsi="宋体" w:cs="宋体"/>
                <w:b w:val="0"/>
                <w:bCs w:val="0"/>
                <w:color w:val="auto"/>
                <w:szCs w:val="21"/>
                <w:highlight w:val="none"/>
                <w:shd w:val="clear" w:color="auto" w:fill="auto"/>
                <w:lang w:val="en-US" w:eastAsia="zh-CN"/>
              </w:rPr>
              <w:t>投标人</w:t>
            </w:r>
            <w:r>
              <w:rPr>
                <w:rFonts w:hint="eastAsia" w:ascii="宋体" w:hAnsi="宋体" w:cs="宋体"/>
                <w:b w:val="0"/>
                <w:bCs w:val="0"/>
                <w:color w:val="auto"/>
                <w:szCs w:val="21"/>
                <w:highlight w:val="none"/>
                <w:shd w:val="clear" w:color="auto" w:fill="auto"/>
              </w:rPr>
              <w:t>福建省交通建设市场信用考核评价结果</w:t>
            </w:r>
          </w:p>
          <w:p w14:paraId="623ED05F">
            <w:pPr>
              <w:numPr>
                <w:ilvl w:val="-1"/>
                <w:numId w:val="0"/>
              </w:numPr>
              <w:wordWrap/>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rPr>
              <w:t>福建省交通建设市场信用考核评价结果以在“信用交通·福建”（http://220.160.53.3:30050/gzwz/）网站的公示结果为准</w:t>
            </w:r>
            <w:r>
              <w:rPr>
                <w:rFonts w:hint="eastAsia" w:ascii="宋体" w:hAnsi="宋体" w:cs="宋体"/>
                <w:color w:val="auto"/>
                <w:szCs w:val="21"/>
                <w:highlight w:val="none"/>
                <w:shd w:val="clear" w:color="auto" w:fill="auto"/>
                <w:lang w:val="en-US" w:eastAsia="zh-CN"/>
              </w:rPr>
              <w:t>。</w:t>
            </w:r>
          </w:p>
          <w:p w14:paraId="38B7B898">
            <w:pPr>
              <w:numPr>
                <w:ilvl w:val="-1"/>
                <w:numId w:val="0"/>
              </w:numPr>
              <w:wordWrap w:val="0"/>
              <w:spacing w:before="120" w:beforeLines="50" w:line="300" w:lineRule="auto"/>
              <w:ind w:firstLine="420" w:firstLineChars="200"/>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1</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本招标项目使用福建省交通运输厅最新公布的（</w:t>
            </w:r>
            <w:r>
              <w:rPr>
                <w:rFonts w:hint="eastAsia" w:ascii="宋体" w:hAnsi="宋体" w:cs="宋体"/>
                <w:color w:val="auto"/>
                <w:szCs w:val="21"/>
                <w:highlight w:val="none"/>
                <w:shd w:val="clear" w:color="auto" w:fill="auto"/>
                <w:lang w:val="en-US" w:eastAsia="zh-CN"/>
              </w:rPr>
              <w:t>水运工程</w:t>
            </w:r>
            <w:r>
              <w:rPr>
                <w:rFonts w:hint="eastAsia" w:ascii="宋体" w:hAnsi="宋体" w:cs="宋体"/>
                <w:color w:val="auto"/>
                <w:szCs w:val="21"/>
                <w:highlight w:val="none"/>
                <w:shd w:val="clear" w:color="auto" w:fill="auto"/>
              </w:rPr>
              <w:t>）施工从业单位及主要从业人员信用考核结果。</w:t>
            </w:r>
          </w:p>
          <w:p w14:paraId="4A4F7AF2">
            <w:pPr>
              <w:adjustRightInd w:val="0"/>
              <w:snapToGrid w:val="0"/>
              <w:spacing w:before="32" w:beforeLines="10" w:afterLines="0" w:line="25" w:lineRule="atLeast"/>
              <w:ind w:firstLine="420" w:firstLineChars="200"/>
              <w:jc w:val="left"/>
              <w:textAlignment w:val="center"/>
              <w:rPr>
                <w:rFonts w:hint="eastAsia" w:ascii="宋体" w:hAnsi="宋体" w:cs="宋体"/>
                <w:color w:val="auto"/>
                <w:szCs w:val="21"/>
                <w:highlight w:val="none"/>
                <w:shd w:val="clear" w:color="auto" w:fill="auto"/>
              </w:rPr>
            </w:pP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福建省交通建设市场信用考核评价结果以招标项目截标时在“信用交通·福建”（http://220.160.53.3:30050/gzwz/）网站</w:t>
            </w:r>
            <w:r>
              <w:rPr>
                <w:rFonts w:hint="eastAsia" w:ascii="宋体" w:hAnsi="宋体" w:cs="宋体"/>
                <w:color w:val="auto"/>
                <w:szCs w:val="21"/>
                <w:highlight w:val="none"/>
                <w:shd w:val="clear" w:color="auto" w:fill="auto"/>
                <w:lang w:val="en-US" w:eastAsia="zh-CN"/>
              </w:rPr>
              <w:t>发布的最新日期</w:t>
            </w:r>
            <w:r>
              <w:rPr>
                <w:rFonts w:hint="eastAsia" w:ascii="宋体" w:hAnsi="宋体" w:cs="宋体"/>
                <w:color w:val="auto"/>
                <w:szCs w:val="21"/>
                <w:highlight w:val="none"/>
                <w:shd w:val="clear" w:color="auto" w:fill="auto"/>
              </w:rPr>
              <w:t>的数据为准。项目截标后不论何种原因变更的信用评价信息，不在变更前已截标的招投标项目中使用。</w:t>
            </w:r>
          </w:p>
          <w:p w14:paraId="52BA1B84">
            <w:pPr>
              <w:adjustRightInd w:val="0"/>
              <w:snapToGrid w:val="0"/>
              <w:spacing w:before="32" w:beforeLines="10" w:afterLines="0" w:line="25" w:lineRule="atLeast"/>
              <w:ind w:firstLine="420" w:firstLineChars="200"/>
              <w:jc w:val="left"/>
              <w:textAlignment w:val="center"/>
              <w:rPr>
                <w:rFonts w:ascii="宋体" w:hAnsi="宋体"/>
                <w:color w:val="auto"/>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.5</w:t>
            </w:r>
            <w:r>
              <w:rPr>
                <w:rFonts w:hint="eastAsia" w:ascii="宋体" w:hAnsi="宋体"/>
                <w:color w:val="auto"/>
                <w:szCs w:val="21"/>
                <w:highlight w:val="none"/>
              </w:rPr>
              <w:t>其他要求：</w:t>
            </w:r>
          </w:p>
          <w:p w14:paraId="67034B8A">
            <w:pPr>
              <w:adjustRightInd w:val="0"/>
              <w:snapToGrid w:val="0"/>
              <w:spacing w:before="32" w:beforeLines="10" w:afterLines="0" w:line="25" w:lineRule="atLeast"/>
              <w:ind w:firstLine="420" w:firstLineChars="200"/>
              <w:jc w:val="left"/>
              <w:textAlignment w:val="center"/>
              <w:rPr>
                <w:rFonts w:ascii="宋体" w:hAnsi="宋体"/>
                <w:bCs/>
                <w:color w:val="auto"/>
                <w:szCs w:val="21"/>
                <w:highlight w:val="none"/>
              </w:rPr>
            </w:pPr>
            <w:r>
              <w:rPr>
                <w:rFonts w:hint="eastAsia" w:ascii="宋体" w:hAnsi="宋体"/>
                <w:color w:val="auto"/>
                <w:szCs w:val="21"/>
                <w:highlight w:val="none"/>
              </w:rPr>
              <w:t>……</w:t>
            </w:r>
          </w:p>
        </w:tc>
      </w:tr>
    </w:tbl>
    <w:p w14:paraId="3272BAF8">
      <w:pPr>
        <w:rPr>
          <w:rStyle w:val="65"/>
          <w:rFonts w:ascii="宋体" w:hAnsi="宋体"/>
          <w:color w:val="auto"/>
          <w:sz w:val="24"/>
          <w:szCs w:val="24"/>
          <w:highlight w:val="none"/>
        </w:rPr>
      </w:pPr>
    </w:p>
    <w:p w14:paraId="28E887A4">
      <w:pPr>
        <w:rPr>
          <w:rStyle w:val="65"/>
          <w:rFonts w:ascii="宋体" w:hAnsi="宋体"/>
          <w:color w:val="auto"/>
          <w:sz w:val="24"/>
          <w:szCs w:val="24"/>
          <w:highlight w:val="none"/>
        </w:rPr>
      </w:pPr>
      <w:r>
        <w:rPr>
          <w:rStyle w:val="65"/>
          <w:rFonts w:ascii="宋体" w:hAnsi="宋体"/>
          <w:color w:val="auto"/>
          <w:sz w:val="24"/>
          <w:szCs w:val="24"/>
          <w:highlight w:val="none"/>
        </w:rPr>
        <w:br w:type="page"/>
      </w:r>
      <w:r>
        <w:rPr>
          <w:rStyle w:val="65"/>
          <w:rFonts w:hint="eastAsia" w:ascii="宋体" w:hAnsi="宋体"/>
          <w:color w:val="auto"/>
          <w:sz w:val="24"/>
          <w:szCs w:val="24"/>
          <w:highlight w:val="none"/>
        </w:rPr>
        <w:t>附件</w:t>
      </w:r>
    </w:p>
    <w:p w14:paraId="52625CF6">
      <w:pPr>
        <w:pStyle w:val="4"/>
        <w:jc w:val="center"/>
        <w:rPr>
          <w:rFonts w:ascii="宋体" w:hAnsi="宋体"/>
          <w:color w:val="auto"/>
          <w:highlight w:val="none"/>
        </w:rPr>
      </w:pPr>
      <w:bookmarkStart w:id="60" w:name="_Toc382997648"/>
      <w:bookmarkStart w:id="61" w:name="_Toc19612"/>
      <w:bookmarkStart w:id="62" w:name="_Toc490832272"/>
      <w:bookmarkStart w:id="63" w:name="_Toc463798992"/>
      <w:r>
        <w:rPr>
          <w:rFonts w:hint="eastAsia" w:ascii="宋体" w:hAnsi="宋体"/>
          <w:color w:val="auto"/>
          <w:highlight w:val="none"/>
        </w:rPr>
        <w:t>附件1 资格审查条件(资质最低条件)</w:t>
      </w:r>
      <w:bookmarkEnd w:id="60"/>
      <w:bookmarkEnd w:id="61"/>
      <w:bookmarkEnd w:id="62"/>
      <w:bookmarkEnd w:id="63"/>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7"/>
      </w:tblGrid>
      <w:tr w14:paraId="1B2929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8897" w:type="dxa"/>
            <w:vAlign w:val="center"/>
          </w:tcPr>
          <w:p w14:paraId="45DE2B96">
            <w:pPr>
              <w:jc w:val="center"/>
              <w:rPr>
                <w:rFonts w:ascii="宋体" w:hAnsi="宋体"/>
                <w:bCs/>
                <w:color w:val="auto"/>
                <w:szCs w:val="21"/>
                <w:highlight w:val="none"/>
              </w:rPr>
            </w:pPr>
            <w:r>
              <w:rPr>
                <w:rFonts w:hint="eastAsia" w:ascii="宋体" w:hAnsi="宋体"/>
                <w:b/>
                <w:color w:val="auto"/>
                <w:szCs w:val="21"/>
                <w:highlight w:val="none"/>
              </w:rPr>
              <w:t>企业资质最低要求</w:t>
            </w:r>
          </w:p>
        </w:tc>
      </w:tr>
      <w:tr w14:paraId="40A433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897" w:type="dxa"/>
            <w:vAlign w:val="center"/>
          </w:tcPr>
          <w:p w14:paraId="6375D26B">
            <w:pPr>
              <w:spacing w:line="400" w:lineRule="exact"/>
              <w:rPr>
                <w:rFonts w:ascii="宋体" w:hAnsi="宋体"/>
                <w:color w:val="auto"/>
                <w:szCs w:val="21"/>
                <w:highlight w:val="none"/>
              </w:rPr>
            </w:pPr>
            <w:r>
              <w:rPr>
                <w:rFonts w:hint="eastAsia" w:ascii="宋体" w:hAnsi="宋体"/>
                <w:color w:val="auto"/>
                <w:szCs w:val="21"/>
                <w:highlight w:val="none"/>
              </w:rPr>
              <w:t>1、具有</w:t>
            </w:r>
            <w:r>
              <w:rPr>
                <w:rFonts w:hint="eastAsia" w:ascii="宋体" w:hAnsi="宋体"/>
                <w:color w:val="auto"/>
                <w:szCs w:val="21"/>
                <w:highlight w:val="none"/>
                <w:u w:val="single"/>
              </w:rPr>
              <w:t xml:space="preserve">       </w:t>
            </w:r>
            <w:r>
              <w:rPr>
                <w:rFonts w:hint="eastAsia" w:ascii="宋体" w:hAnsi="宋体"/>
                <w:color w:val="auto"/>
                <w:szCs w:val="21"/>
                <w:highlight w:val="none"/>
              </w:rPr>
              <w:t>资质等级证书；</w:t>
            </w:r>
          </w:p>
          <w:p w14:paraId="07EA2A56">
            <w:pPr>
              <w:spacing w:line="400" w:lineRule="exact"/>
              <w:rPr>
                <w:rFonts w:ascii="宋体" w:hAnsi="宋体"/>
                <w:color w:val="auto"/>
                <w:szCs w:val="21"/>
                <w:highlight w:val="none"/>
              </w:rPr>
            </w:pPr>
            <w:r>
              <w:rPr>
                <w:rFonts w:hint="eastAsia" w:ascii="宋体" w:hAnsi="宋体"/>
                <w:color w:val="auto"/>
                <w:szCs w:val="21"/>
                <w:highlight w:val="none"/>
              </w:rPr>
              <w:t>2、具备独立的法人资格、有效的营业执照、有效的安全生产许可证。</w:t>
            </w:r>
          </w:p>
          <w:p w14:paraId="30894E50">
            <w:pPr>
              <w:spacing w:line="400" w:lineRule="exact"/>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联合体投标要求：详见投标须知前附表第1.4.2款</w:t>
            </w:r>
            <w:r>
              <w:rPr>
                <w:rFonts w:hint="eastAsia" w:ascii="宋体" w:hAnsi="宋体"/>
                <w:color w:val="auto"/>
                <w:szCs w:val="21"/>
                <w:highlight w:val="none"/>
              </w:rPr>
              <w:t>。</w:t>
            </w:r>
          </w:p>
          <w:p w14:paraId="4C31D776">
            <w:pPr>
              <w:pStyle w:val="38"/>
              <w:ind w:left="0" w:leftChars="0" w:firstLine="0" w:firstLineChars="0"/>
              <w:rPr>
                <w:color w:val="auto"/>
                <w:highlight w:val="none"/>
              </w:rPr>
            </w:pPr>
            <w:r>
              <w:rPr>
                <w:rFonts w:ascii="宋体" w:hAnsi="宋体"/>
                <w:color w:val="auto"/>
                <w:szCs w:val="21"/>
                <w:highlight w:val="none"/>
                <w:lang w:val="en"/>
              </w:rPr>
              <w:t>.....</w:t>
            </w:r>
          </w:p>
        </w:tc>
      </w:tr>
    </w:tbl>
    <w:p w14:paraId="5E3A95AD">
      <w:pPr>
        <w:rPr>
          <w:rFonts w:ascii="宋体" w:hAnsi="宋体"/>
          <w:b/>
          <w:bCs/>
          <w:color w:val="auto"/>
          <w:sz w:val="24"/>
          <w:highlight w:val="none"/>
        </w:rPr>
      </w:pPr>
      <w:r>
        <w:rPr>
          <w:rFonts w:hint="eastAsia" w:ascii="宋体" w:hAnsi="宋体"/>
          <w:snapToGrid w:val="0"/>
          <w:color w:val="auto"/>
          <w:kern w:val="0"/>
          <w:highlight w:val="none"/>
        </w:rPr>
        <w:t>注：</w:t>
      </w:r>
      <w:r>
        <w:rPr>
          <w:rFonts w:hint="eastAsia" w:ascii="宋体" w:hAnsi="宋体" w:cs="宋体"/>
          <w:color w:val="auto"/>
          <w:szCs w:val="18"/>
          <w:highlight w:val="none"/>
        </w:rPr>
        <w:t>具体资质要求由招标人在满足国家相关法律法规前提下，根据招标项目具体特点和实际情况确定，不得设定与项目等级不相应、过高的资质要求。企业资质等级的选择以住建部最新发布的资质等级划分标准为准。</w:t>
      </w:r>
    </w:p>
    <w:p w14:paraId="01655050">
      <w:pPr>
        <w:pStyle w:val="4"/>
        <w:jc w:val="center"/>
        <w:rPr>
          <w:color w:val="auto"/>
          <w:highlight w:val="none"/>
        </w:rPr>
      </w:pPr>
      <w:bookmarkStart w:id="64" w:name="_Toc490832273"/>
      <w:bookmarkStart w:id="65" w:name="_Toc463798993"/>
      <w:r>
        <w:rPr>
          <w:rFonts w:hint="eastAsia" w:ascii="宋体" w:hAnsi="宋体"/>
          <w:color w:val="auto"/>
          <w:highlight w:val="none"/>
        </w:rPr>
        <w:t>附件2 资格审查条件(财务最低要求)</w:t>
      </w:r>
      <w:bookmarkEnd w:id="64"/>
      <w:bookmarkEnd w:id="65"/>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Layout w:type="fixed"/>
        <w:tblCellMar>
          <w:top w:w="0" w:type="dxa"/>
          <w:left w:w="108" w:type="dxa"/>
          <w:bottom w:w="0" w:type="dxa"/>
          <w:right w:w="108" w:type="dxa"/>
        </w:tblCellMar>
      </w:tblPr>
      <w:tblGrid>
        <w:gridCol w:w="8755"/>
      </w:tblGrid>
      <w:tr w14:paraId="0F54E4FF">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trHeight w:val="369" w:hRule="atLeast"/>
          <w:jc w:val="center"/>
        </w:trPr>
        <w:tc>
          <w:tcPr>
            <w:tcW w:w="8755" w:type="dxa"/>
            <w:tcBorders>
              <w:bottom w:val="single" w:color="auto" w:sz="4" w:space="0"/>
            </w:tcBorders>
            <w:vAlign w:val="center"/>
          </w:tcPr>
          <w:p w14:paraId="3F17F875">
            <w:pPr>
              <w:jc w:val="center"/>
              <w:rPr>
                <w:rFonts w:ascii="宋体" w:hAnsi="宋体"/>
                <w:color w:val="auto"/>
                <w:szCs w:val="21"/>
                <w:highlight w:val="none"/>
              </w:rPr>
            </w:pPr>
            <w:r>
              <w:rPr>
                <w:rFonts w:hint="eastAsia" w:ascii="宋体" w:hAnsi="宋体"/>
                <w:b/>
                <w:color w:val="auto"/>
                <w:sz w:val="24"/>
                <w:highlight w:val="none"/>
              </w:rPr>
              <w:t>财务最低要求</w:t>
            </w:r>
          </w:p>
        </w:tc>
      </w:tr>
      <w:tr w14:paraId="42152657">
        <w:tblPrEx>
          <w:tblBorders>
            <w:top w:val="single" w:color="auto" w:sz="12" w:space="0"/>
            <w:left w:val="single" w:color="auto" w:sz="12" w:space="0"/>
            <w:bottom w:val="single" w:color="auto" w:sz="12" w:space="0"/>
            <w:right w:val="single" w:color="auto" w:sz="12" w:space="0"/>
            <w:insideH w:val="none" w:color="auto" w:sz="0" w:space="0"/>
            <w:insideV w:val="single" w:color="auto" w:sz="12" w:space="0"/>
          </w:tblBorders>
          <w:tblCellMar>
            <w:top w:w="0" w:type="dxa"/>
            <w:left w:w="108" w:type="dxa"/>
            <w:bottom w:w="0" w:type="dxa"/>
            <w:right w:w="108" w:type="dxa"/>
          </w:tblCellMar>
        </w:tblPrEx>
        <w:trPr>
          <w:jc w:val="center"/>
        </w:trPr>
        <w:tc>
          <w:tcPr>
            <w:tcW w:w="8755" w:type="dxa"/>
            <w:tcBorders>
              <w:top w:val="single" w:color="auto" w:sz="4" w:space="0"/>
            </w:tcBorders>
          </w:tcPr>
          <w:p w14:paraId="2069E062">
            <w:pPr>
              <w:spacing w:line="440" w:lineRule="exact"/>
              <w:jc w:val="center"/>
              <w:rPr>
                <w:rFonts w:ascii="宋体" w:hAnsi="宋体"/>
                <w:color w:val="auto"/>
                <w:szCs w:val="21"/>
                <w:highlight w:val="none"/>
              </w:rPr>
            </w:pPr>
            <w:r>
              <w:rPr>
                <w:rFonts w:hint="eastAsia" w:ascii="宋体" w:hAnsi="宋体"/>
                <w:color w:val="auto"/>
                <w:szCs w:val="21"/>
                <w:highlight w:val="none"/>
              </w:rPr>
              <w:t>不需要</w:t>
            </w:r>
          </w:p>
        </w:tc>
      </w:tr>
    </w:tbl>
    <w:p w14:paraId="732A4E9C">
      <w:pPr>
        <w:pStyle w:val="4"/>
        <w:jc w:val="center"/>
        <w:rPr>
          <w:rFonts w:ascii="宋体" w:hAnsi="宋体"/>
          <w:b w:val="0"/>
          <w:bCs w:val="0"/>
          <w:color w:val="auto"/>
          <w:sz w:val="24"/>
          <w:highlight w:val="none"/>
        </w:rPr>
      </w:pPr>
      <w:bookmarkStart w:id="66" w:name="_Toc26283"/>
      <w:bookmarkStart w:id="67" w:name="_Toc382997649"/>
      <w:bookmarkStart w:id="68" w:name="_Toc463798994"/>
    </w:p>
    <w:p w14:paraId="2227BCA8">
      <w:pPr>
        <w:pStyle w:val="4"/>
        <w:jc w:val="center"/>
        <w:rPr>
          <w:color w:val="auto"/>
          <w:highlight w:val="none"/>
        </w:rPr>
      </w:pPr>
      <w:bookmarkStart w:id="69" w:name="_Toc490832274"/>
      <w:r>
        <w:rPr>
          <w:rFonts w:hint="eastAsia" w:ascii="宋体" w:hAnsi="宋体"/>
          <w:color w:val="auto"/>
          <w:highlight w:val="none"/>
        </w:rPr>
        <w:t>附件3资格审查条件(业绩最低要求)</w:t>
      </w:r>
      <w:bookmarkEnd w:id="66"/>
      <w:bookmarkEnd w:id="67"/>
      <w:bookmarkEnd w:id="68"/>
      <w:bookmarkEnd w:id="69"/>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14:paraId="20934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755" w:type="dxa"/>
            <w:vAlign w:val="center"/>
          </w:tcPr>
          <w:p w14:paraId="6845D0A2">
            <w:pPr>
              <w:jc w:val="center"/>
              <w:rPr>
                <w:rFonts w:ascii="宋体" w:hAnsi="宋体"/>
                <w:bCs/>
                <w:color w:val="auto"/>
                <w:szCs w:val="21"/>
                <w:highlight w:val="none"/>
              </w:rPr>
            </w:pPr>
            <w:r>
              <w:rPr>
                <w:rFonts w:hint="eastAsia" w:ascii="宋体" w:hAnsi="宋体"/>
                <w:b/>
                <w:color w:val="auto"/>
                <w:sz w:val="24"/>
                <w:highlight w:val="none"/>
              </w:rPr>
              <w:t>业绩最低要求</w:t>
            </w:r>
          </w:p>
        </w:tc>
      </w:tr>
      <w:tr w14:paraId="35BA8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8755" w:type="dxa"/>
          </w:tcPr>
          <w:p w14:paraId="64AB89BA">
            <w:pPr>
              <w:spacing w:line="300" w:lineRule="exact"/>
              <w:ind w:firstLine="480" w:firstLineChars="200"/>
              <w:rPr>
                <w:rFonts w:ascii="宋体" w:hAnsi="宋体"/>
                <w:color w:val="auto"/>
                <w:sz w:val="20"/>
                <w:szCs w:val="20"/>
                <w:highlight w:val="none"/>
                <w:u w:val="single"/>
              </w:rPr>
            </w:pPr>
            <w:r>
              <w:rPr>
                <w:rFonts w:hint="eastAsia" w:ascii="宋体" w:hAnsi="宋体"/>
                <w:color w:val="auto"/>
                <w:sz w:val="24"/>
                <w:highlight w:val="none"/>
              </w:rPr>
              <w:t xml:space="preserve">  </w:t>
            </w:r>
            <w:r>
              <w:rPr>
                <w:rFonts w:hint="eastAsia" w:ascii="宋体" w:hAnsi="宋体" w:cs="宋体"/>
                <w:color w:val="auto"/>
                <w:highlight w:val="none"/>
              </w:rPr>
              <w:t xml:space="preserve"> </w:t>
            </w:r>
          </w:p>
        </w:tc>
      </w:tr>
    </w:tbl>
    <w:p w14:paraId="20553732">
      <w:pPr>
        <w:ind w:firstLine="420" w:firstLineChars="200"/>
        <w:rPr>
          <w:rFonts w:ascii="宋体" w:hAnsi="宋体" w:cs="宋体"/>
          <w:color w:val="auto"/>
          <w:szCs w:val="21"/>
          <w:highlight w:val="none"/>
        </w:rPr>
      </w:pPr>
      <w:bookmarkStart w:id="70" w:name="_Toc463798995"/>
      <w:bookmarkStart w:id="71" w:name="_Toc382997650"/>
      <w:bookmarkStart w:id="72" w:name="_Toc490832275"/>
      <w:r>
        <w:rPr>
          <w:rFonts w:hint="eastAsia" w:ascii="宋体" w:hAnsi="宋体" w:cs="宋体"/>
          <w:color w:val="auto"/>
          <w:szCs w:val="21"/>
          <w:highlight w:val="none"/>
        </w:rPr>
        <w:t>注：1.招标人可根据项目本身要求合理设定企业近5年或10年项目业绩，项目业绩最多设置1项。招标人设定项目业绩时，原则应与批复的建设规模等级相适应(含批复文件中明确的结构预留等级)，且设定的最大建设规模等级不得超过沿海10万吨级（内河500吨级），</w:t>
      </w:r>
      <w:r>
        <w:rPr>
          <w:rFonts w:hint="eastAsia" w:ascii="宋体" w:hAnsi="宋体"/>
          <w:bCs/>
          <w:color w:val="auto"/>
          <w:szCs w:val="21"/>
          <w:highlight w:val="none"/>
        </w:rPr>
        <w:t>其中码头工程业绩不得设置货种、结构形式要求，航道工程施工业绩应为单独立项的航道工程（分标段航道工程业绩视为单独立项的航道工程业绩）</w:t>
      </w:r>
      <w:r>
        <w:rPr>
          <w:rFonts w:hint="eastAsia" w:ascii="宋体" w:hAnsi="宋体" w:cs="宋体"/>
          <w:color w:val="auto"/>
          <w:szCs w:val="21"/>
          <w:highlight w:val="none"/>
        </w:rPr>
        <w:t>。招标人不得设置人员业绩。</w:t>
      </w:r>
    </w:p>
    <w:p w14:paraId="46D16782">
      <w:pPr>
        <w:wordWrap w:val="0"/>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color w:val="auto"/>
          <w:highlight w:val="none"/>
        </w:rPr>
        <w:t>业绩证明材料：</w:t>
      </w:r>
      <w:r>
        <w:rPr>
          <w:rFonts w:hint="eastAsia" w:ascii="宋体" w:hAnsi="宋体"/>
          <w:color w:val="auto"/>
          <w:szCs w:val="21"/>
          <w:highlight w:val="none"/>
        </w:rPr>
        <w:t>在交通运输部“全国水运建设市场信用信息管理系统”（https://wtis.mot.gov.cn/credit/index.html）中查询到的企业“业绩信息”相关项目网页截图扫描件，或在“福建省交通公路水运建设与运输市场信用信息管理系统（信用交通·福建）”（http://220.160.53.3:30050/gzwz/）中查询到的网页截图（并注明查询路径）；并提供</w:t>
      </w:r>
      <w:r>
        <w:rPr>
          <w:rFonts w:hint="eastAsia" w:ascii="汉仪书宋二S" w:hAnsi="汉仪书宋二S" w:eastAsia="汉仪书宋二S" w:cs="汉仪书宋二S"/>
          <w:color w:val="auto"/>
          <w:szCs w:val="21"/>
          <w:highlight w:val="none"/>
        </w:rPr>
        <w:t>①</w:t>
      </w:r>
      <w:r>
        <w:rPr>
          <w:rFonts w:hint="eastAsia" w:ascii="宋体" w:hAnsi="宋体" w:cs="宋体"/>
          <w:bCs/>
          <w:color w:val="auto"/>
          <w:szCs w:val="21"/>
          <w:highlight w:val="none"/>
        </w:rPr>
        <w:t>合同文件扫描件，</w:t>
      </w:r>
      <w:r>
        <w:rPr>
          <w:rFonts w:hint="eastAsia" w:ascii="汉仪书宋二S" w:hAnsi="汉仪书宋二S" w:eastAsia="汉仪书宋二S" w:cs="汉仪书宋二S"/>
          <w:color w:val="auto"/>
          <w:szCs w:val="21"/>
          <w:highlight w:val="none"/>
        </w:rPr>
        <w:t>②</w:t>
      </w:r>
      <w:r>
        <w:rPr>
          <w:rFonts w:hint="eastAsia" w:ascii="宋体" w:hAnsi="宋体" w:cs="宋体"/>
          <w:bCs/>
          <w:color w:val="auto"/>
          <w:szCs w:val="21"/>
          <w:highlight w:val="none"/>
        </w:rPr>
        <w:t>交(竣)工验收证书或交工验收表或竣工验收现场核查报告</w:t>
      </w:r>
      <w:r>
        <w:rPr>
          <w:rFonts w:hint="eastAsia" w:ascii="宋体" w:hAnsi="宋体" w:cs="宋体"/>
          <w:bCs/>
          <w:color w:val="auto"/>
          <w:szCs w:val="21"/>
          <w:highlight w:val="none"/>
          <w:lang w:val="en-US" w:eastAsia="zh-CN"/>
        </w:rPr>
        <w:t>扫描件，③工程交工</w:t>
      </w:r>
      <w:r>
        <w:rPr>
          <w:rFonts w:hint="eastAsia" w:ascii="宋体" w:hAnsi="宋体" w:cs="宋体"/>
          <w:bCs/>
          <w:color w:val="auto"/>
          <w:szCs w:val="21"/>
          <w:highlight w:val="none"/>
        </w:rPr>
        <w:t>质量</w:t>
      </w:r>
      <w:r>
        <w:rPr>
          <w:rFonts w:hint="eastAsia" w:ascii="宋体" w:hAnsi="宋体" w:cs="宋体"/>
          <w:bCs/>
          <w:color w:val="auto"/>
          <w:szCs w:val="21"/>
          <w:highlight w:val="none"/>
          <w:lang w:val="en-US" w:eastAsia="zh-CN"/>
        </w:rPr>
        <w:t>核验意见或工程</w:t>
      </w:r>
      <w:r>
        <w:rPr>
          <w:rFonts w:hint="eastAsia" w:ascii="宋体" w:hAnsi="宋体" w:cs="宋体"/>
          <w:bCs/>
          <w:color w:val="auto"/>
          <w:szCs w:val="21"/>
          <w:highlight w:val="none"/>
        </w:rPr>
        <w:t>鉴定</w:t>
      </w:r>
      <w:r>
        <w:rPr>
          <w:rFonts w:hint="eastAsia" w:ascii="宋体" w:hAnsi="宋体" w:cs="宋体"/>
          <w:bCs/>
          <w:color w:val="auto"/>
          <w:szCs w:val="21"/>
          <w:highlight w:val="none"/>
          <w:lang w:val="en-US" w:eastAsia="zh-CN"/>
        </w:rPr>
        <w:t>报告</w:t>
      </w:r>
      <w:r>
        <w:rPr>
          <w:rFonts w:hint="eastAsia" w:ascii="宋体" w:hAnsi="宋体" w:cs="宋体"/>
          <w:bCs/>
          <w:color w:val="auto"/>
          <w:szCs w:val="21"/>
          <w:highlight w:val="none"/>
        </w:rPr>
        <w:t>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航道工程还需提供单独立项的</w:t>
      </w:r>
      <w:r>
        <w:rPr>
          <w:rFonts w:hint="eastAsia" w:ascii="宋体" w:hAnsi="宋体" w:cs="宋体"/>
          <w:bCs/>
          <w:color w:val="auto"/>
          <w:szCs w:val="21"/>
          <w:highlight w:val="none"/>
          <w:lang w:val="en-US" w:eastAsia="zh-CN"/>
        </w:rPr>
        <w:t>工可</w:t>
      </w:r>
      <w:r>
        <w:rPr>
          <w:rFonts w:hint="eastAsia" w:ascii="宋体" w:hAnsi="宋体" w:cs="宋体"/>
          <w:bCs/>
          <w:color w:val="auto"/>
          <w:szCs w:val="21"/>
          <w:highlight w:val="none"/>
        </w:rPr>
        <w:t>批复文件扫描件。</w:t>
      </w:r>
    </w:p>
    <w:p w14:paraId="5BBB7D7D">
      <w:pPr>
        <w:wordWrap w:val="0"/>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3.若</w:t>
      </w:r>
      <w:r>
        <w:rPr>
          <w:rFonts w:ascii="宋体" w:hAnsi="宋体"/>
          <w:bCs/>
          <w:color w:val="auto"/>
          <w:szCs w:val="21"/>
          <w:highlight w:val="none"/>
        </w:rPr>
        <w:t>近年来，投标人法人机构发生合法变更或重组或法人名称变更时，应提供相关部门的合法批件或其他相关证明材料来证明其所附业绩的继承性。投标人提供的业绩必须是</w:t>
      </w:r>
      <w:r>
        <w:rPr>
          <w:rFonts w:hint="eastAsia" w:ascii="宋体" w:hAnsi="宋体"/>
          <w:bCs/>
          <w:color w:val="auto"/>
          <w:szCs w:val="21"/>
          <w:highlight w:val="none"/>
        </w:rPr>
        <w:t>独立投标人或联合体牵头人的自身业绩。</w:t>
      </w:r>
    </w:p>
    <w:p w14:paraId="16E35754">
      <w:pPr>
        <w:pStyle w:val="4"/>
        <w:jc w:val="center"/>
        <w:rPr>
          <w:rFonts w:ascii="宋体" w:hAnsi="宋体"/>
          <w:color w:val="auto"/>
          <w:highlight w:val="none"/>
        </w:rPr>
      </w:pPr>
    </w:p>
    <w:p w14:paraId="4B263CFD">
      <w:pPr>
        <w:pStyle w:val="4"/>
        <w:jc w:val="center"/>
        <w:rPr>
          <w:color w:val="auto"/>
          <w:highlight w:val="none"/>
        </w:rPr>
      </w:pPr>
      <w:r>
        <w:rPr>
          <w:rFonts w:hint="eastAsia" w:ascii="宋体" w:hAnsi="宋体"/>
          <w:color w:val="auto"/>
          <w:highlight w:val="none"/>
        </w:rPr>
        <w:t>附件4 资格审查条件(信誉最低要求)</w:t>
      </w:r>
      <w:bookmarkEnd w:id="70"/>
      <w:bookmarkEnd w:id="71"/>
      <w:bookmarkEnd w:id="72"/>
    </w:p>
    <w:tbl>
      <w:tblPr>
        <w:tblStyle w:val="3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97"/>
      </w:tblGrid>
      <w:tr w14:paraId="775FD4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897" w:type="dxa"/>
            <w:tcBorders>
              <w:bottom w:val="single" w:color="auto" w:sz="4" w:space="0"/>
            </w:tcBorders>
            <w:vAlign w:val="center"/>
          </w:tcPr>
          <w:p w14:paraId="6FBB398A">
            <w:pPr>
              <w:jc w:val="center"/>
              <w:rPr>
                <w:rFonts w:ascii="宋体" w:hAnsi="宋体"/>
                <w:color w:val="auto"/>
                <w:highlight w:val="none"/>
              </w:rPr>
            </w:pPr>
            <w:r>
              <w:rPr>
                <w:rFonts w:hint="eastAsia" w:ascii="宋体" w:hAnsi="宋体"/>
                <w:b/>
                <w:color w:val="auto"/>
                <w:sz w:val="24"/>
                <w:highlight w:val="none"/>
              </w:rPr>
              <w:t>信誉最低要求</w:t>
            </w:r>
          </w:p>
        </w:tc>
      </w:tr>
      <w:tr w14:paraId="0C2B963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8897" w:type="dxa"/>
            <w:tcBorders>
              <w:top w:val="single" w:color="auto" w:sz="4" w:space="0"/>
            </w:tcBorders>
          </w:tcPr>
          <w:p w14:paraId="056A647E">
            <w:pPr>
              <w:pStyle w:val="38"/>
              <w:ind w:firstLine="523"/>
              <w:rPr>
                <w:rFonts w:ascii="宋体" w:hAnsi="宋体"/>
                <w:color w:val="auto"/>
                <w:szCs w:val="21"/>
                <w:highlight w:val="none"/>
              </w:rPr>
            </w:pPr>
          </w:p>
          <w:p w14:paraId="1E76A20F">
            <w:pPr>
              <w:pStyle w:val="38"/>
              <w:ind w:firstLine="523"/>
              <w:rPr>
                <w:rFonts w:ascii="宋体" w:hAnsi="宋体"/>
                <w:color w:val="auto"/>
                <w:szCs w:val="21"/>
                <w:highlight w:val="none"/>
              </w:rPr>
            </w:pPr>
          </w:p>
          <w:p w14:paraId="2B0B6003">
            <w:pPr>
              <w:pStyle w:val="38"/>
              <w:ind w:left="0" w:leftChars="0" w:firstLine="520" w:firstLineChars="217"/>
              <w:rPr>
                <w:rFonts w:ascii="宋体" w:hAnsi="宋体"/>
                <w:color w:val="auto"/>
                <w:szCs w:val="21"/>
                <w:highlight w:val="none"/>
              </w:rPr>
            </w:pPr>
          </w:p>
        </w:tc>
      </w:tr>
    </w:tbl>
    <w:p w14:paraId="4335F7AA">
      <w:pPr>
        <w:rPr>
          <w:rFonts w:hint="eastAsia" w:ascii="宋体" w:hAnsi="宋体"/>
          <w:bCs/>
          <w:color w:val="auto"/>
          <w:szCs w:val="21"/>
          <w:highlight w:val="none"/>
        </w:rPr>
      </w:pPr>
      <w:bookmarkStart w:id="73" w:name="_Toc382997652"/>
      <w:bookmarkStart w:id="74" w:name="_Toc463798996"/>
      <w:bookmarkStart w:id="75" w:name="_Toc26701"/>
      <w:r>
        <w:rPr>
          <w:rFonts w:hint="eastAsia" w:ascii="宋体" w:hAnsi="宋体"/>
          <w:bCs/>
          <w:color w:val="auto"/>
          <w:szCs w:val="21"/>
          <w:highlight w:val="none"/>
        </w:rPr>
        <w:t>注：</w:t>
      </w:r>
    </w:p>
    <w:p w14:paraId="69357CF3">
      <w:pPr>
        <w:numPr>
          <w:ilvl w:val="0"/>
          <w:numId w:val="6"/>
        </w:numPr>
        <w:rPr>
          <w:rFonts w:hint="eastAsia" w:ascii="宋体" w:hAnsi="宋体"/>
          <w:bCs/>
          <w:color w:val="auto"/>
          <w:szCs w:val="21"/>
          <w:highlight w:val="none"/>
        </w:rPr>
      </w:pPr>
      <w:r>
        <w:rPr>
          <w:rFonts w:hint="eastAsia" w:ascii="宋体" w:hAnsi="宋体"/>
          <w:bCs/>
          <w:color w:val="auto"/>
          <w:szCs w:val="21"/>
          <w:highlight w:val="none"/>
        </w:rPr>
        <w:t>在福建省交通运输厅最新发布的信用考核定级为AA、A级且在有效期限内的单位，资格审查阶段，当其他条件满足时，其履约信誉可免于审查，直接通过资格审查。</w:t>
      </w:r>
    </w:p>
    <w:p w14:paraId="17096A58">
      <w:pPr>
        <w:numPr>
          <w:ilvl w:val="0"/>
          <w:numId w:val="6"/>
        </w:numPr>
        <w:rPr>
          <w:rFonts w:hint="eastAsia" w:ascii="宋体" w:hAnsi="宋体"/>
          <w:bCs/>
          <w:color w:val="auto"/>
          <w:szCs w:val="21"/>
          <w:highlight w:val="none"/>
        </w:rPr>
      </w:pPr>
      <w:r>
        <w:rPr>
          <w:rFonts w:hint="eastAsia" w:ascii="宋体" w:hAnsi="宋体"/>
          <w:bCs/>
          <w:color w:val="auto"/>
          <w:szCs w:val="21"/>
          <w:highlight w:val="none"/>
        </w:rPr>
        <w:t>具体信誉要求由招标人在满足国家相关法律法规前提下，根据招标项目具体特点和实际情况确定，但不得与“投标人须知”第 1.4.4 项规定的内容重复。</w:t>
      </w:r>
    </w:p>
    <w:p w14:paraId="42642FFA">
      <w:pPr>
        <w:pStyle w:val="38"/>
        <w:ind w:firstLine="523"/>
        <w:rPr>
          <w:color w:val="auto"/>
          <w:highlight w:val="none"/>
        </w:rPr>
      </w:pPr>
    </w:p>
    <w:p w14:paraId="4E2AC56F">
      <w:pPr>
        <w:pStyle w:val="4"/>
        <w:jc w:val="center"/>
        <w:rPr>
          <w:color w:val="auto"/>
          <w:highlight w:val="none"/>
        </w:rPr>
      </w:pPr>
      <w:bookmarkStart w:id="76" w:name="_Toc490832276"/>
      <w:r>
        <w:rPr>
          <w:rFonts w:hint="eastAsia" w:ascii="宋体" w:hAnsi="宋体"/>
          <w:color w:val="auto"/>
          <w:highlight w:val="none"/>
        </w:rPr>
        <w:t>附件5 资格审查条件(主要人员最低要求)</w:t>
      </w:r>
      <w:bookmarkEnd w:id="73"/>
      <w:bookmarkEnd w:id="74"/>
      <w:bookmarkEnd w:id="75"/>
      <w:bookmarkEnd w:id="76"/>
    </w:p>
    <w:tbl>
      <w:tblPr>
        <w:tblStyle w:val="3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314"/>
        <w:gridCol w:w="1090"/>
        <w:gridCol w:w="6605"/>
      </w:tblGrid>
      <w:tr w14:paraId="7A44C9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314" w:type="dxa"/>
            <w:tcBorders>
              <w:top w:val="single" w:color="auto" w:sz="12" w:space="0"/>
              <w:bottom w:val="single" w:color="auto" w:sz="4" w:space="0"/>
              <w:right w:val="single" w:color="auto" w:sz="4" w:space="0"/>
            </w:tcBorders>
            <w:vAlign w:val="center"/>
          </w:tcPr>
          <w:p w14:paraId="374D1CA5">
            <w:pPr>
              <w:jc w:val="center"/>
              <w:rPr>
                <w:rFonts w:ascii="宋体" w:hAnsi="宋体"/>
                <w:b/>
                <w:color w:val="auto"/>
                <w:szCs w:val="21"/>
                <w:highlight w:val="none"/>
              </w:rPr>
            </w:pPr>
            <w:r>
              <w:rPr>
                <w:rFonts w:hint="eastAsia" w:ascii="宋体" w:hAnsi="宋体"/>
                <w:b/>
                <w:color w:val="auto"/>
                <w:szCs w:val="21"/>
                <w:highlight w:val="none"/>
              </w:rPr>
              <w:t>人员</w:t>
            </w:r>
          </w:p>
        </w:tc>
        <w:tc>
          <w:tcPr>
            <w:tcW w:w="1090" w:type="dxa"/>
            <w:tcBorders>
              <w:top w:val="single" w:color="auto" w:sz="12" w:space="0"/>
              <w:left w:val="single" w:color="auto" w:sz="4" w:space="0"/>
              <w:bottom w:val="single" w:color="auto" w:sz="4" w:space="0"/>
              <w:right w:val="single" w:color="auto" w:sz="4" w:space="0"/>
            </w:tcBorders>
            <w:vAlign w:val="center"/>
          </w:tcPr>
          <w:p w14:paraId="36828438">
            <w:pPr>
              <w:jc w:val="center"/>
              <w:rPr>
                <w:rFonts w:ascii="宋体" w:hAnsi="宋体"/>
                <w:b/>
                <w:color w:val="auto"/>
                <w:szCs w:val="21"/>
                <w:highlight w:val="none"/>
              </w:rPr>
            </w:pPr>
            <w:r>
              <w:rPr>
                <w:rFonts w:hint="eastAsia" w:ascii="宋体" w:hAnsi="宋体"/>
                <w:b/>
                <w:color w:val="auto"/>
                <w:szCs w:val="21"/>
                <w:highlight w:val="none"/>
              </w:rPr>
              <w:t>数量</w:t>
            </w:r>
          </w:p>
        </w:tc>
        <w:tc>
          <w:tcPr>
            <w:tcW w:w="6605" w:type="dxa"/>
            <w:tcBorders>
              <w:top w:val="single" w:color="auto" w:sz="12" w:space="0"/>
              <w:left w:val="single" w:color="auto" w:sz="4" w:space="0"/>
              <w:bottom w:val="single" w:color="auto" w:sz="4" w:space="0"/>
            </w:tcBorders>
            <w:vAlign w:val="center"/>
          </w:tcPr>
          <w:p w14:paraId="7B6E231C">
            <w:pPr>
              <w:jc w:val="center"/>
              <w:rPr>
                <w:rFonts w:ascii="宋体" w:hAnsi="宋体"/>
                <w:b/>
                <w:color w:val="auto"/>
                <w:szCs w:val="21"/>
                <w:highlight w:val="none"/>
              </w:rPr>
            </w:pPr>
            <w:r>
              <w:rPr>
                <w:rFonts w:hint="eastAsia" w:ascii="宋体" w:hAnsi="宋体"/>
                <w:b/>
                <w:color w:val="auto"/>
                <w:szCs w:val="21"/>
                <w:highlight w:val="none"/>
              </w:rPr>
              <w:t>主要人员最低要求</w:t>
            </w:r>
          </w:p>
        </w:tc>
      </w:tr>
      <w:tr w14:paraId="1902AB6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314" w:type="dxa"/>
            <w:tcBorders>
              <w:top w:val="single" w:color="auto" w:sz="4" w:space="0"/>
              <w:bottom w:val="single" w:color="auto" w:sz="4" w:space="0"/>
              <w:right w:val="single" w:color="auto" w:sz="4" w:space="0"/>
            </w:tcBorders>
            <w:vAlign w:val="center"/>
          </w:tcPr>
          <w:p w14:paraId="047E0249">
            <w:pPr>
              <w:spacing w:line="440" w:lineRule="exact"/>
              <w:jc w:val="center"/>
              <w:rPr>
                <w:rFonts w:ascii="宋体" w:hAnsi="宋体"/>
                <w:b/>
                <w:color w:val="auto"/>
                <w:szCs w:val="21"/>
                <w:highlight w:val="none"/>
              </w:rPr>
            </w:pPr>
            <w:r>
              <w:rPr>
                <w:rFonts w:hint="eastAsia" w:ascii="宋体" w:hAnsi="宋体"/>
                <w:b/>
                <w:color w:val="auto"/>
                <w:szCs w:val="21"/>
                <w:highlight w:val="none"/>
              </w:rPr>
              <w:t>项目经理</w:t>
            </w:r>
          </w:p>
        </w:tc>
        <w:tc>
          <w:tcPr>
            <w:tcW w:w="1090" w:type="dxa"/>
            <w:tcBorders>
              <w:top w:val="single" w:color="auto" w:sz="4" w:space="0"/>
              <w:left w:val="single" w:color="auto" w:sz="4" w:space="0"/>
              <w:bottom w:val="single" w:color="auto" w:sz="4" w:space="0"/>
              <w:right w:val="single" w:color="auto" w:sz="4" w:space="0"/>
            </w:tcBorders>
            <w:vAlign w:val="center"/>
          </w:tcPr>
          <w:p w14:paraId="1B91FD28">
            <w:pPr>
              <w:spacing w:line="400" w:lineRule="exact"/>
              <w:jc w:val="center"/>
              <w:rPr>
                <w:rFonts w:ascii="宋体" w:hAnsi="宋体"/>
                <w:b/>
                <w:color w:val="auto"/>
                <w:szCs w:val="21"/>
                <w:highlight w:val="none"/>
              </w:rPr>
            </w:pPr>
            <w:r>
              <w:rPr>
                <w:rFonts w:hint="eastAsia" w:ascii="宋体" w:hAnsi="宋体"/>
                <w:color w:val="auto"/>
                <w:szCs w:val="21"/>
                <w:highlight w:val="none"/>
              </w:rPr>
              <w:t>1</w:t>
            </w:r>
          </w:p>
        </w:tc>
        <w:tc>
          <w:tcPr>
            <w:tcW w:w="6605" w:type="dxa"/>
            <w:tcBorders>
              <w:top w:val="single" w:color="auto" w:sz="4" w:space="0"/>
              <w:left w:val="single" w:color="auto" w:sz="4" w:space="0"/>
              <w:bottom w:val="single" w:color="auto" w:sz="4" w:space="0"/>
            </w:tcBorders>
          </w:tcPr>
          <w:p w14:paraId="6925E4BB">
            <w:pPr>
              <w:spacing w:line="400" w:lineRule="exact"/>
              <w:rPr>
                <w:rFonts w:ascii="宋体" w:hAnsi="宋体"/>
                <w:b/>
                <w:color w:val="auto"/>
                <w:szCs w:val="21"/>
                <w:highlight w:val="none"/>
              </w:rPr>
            </w:pPr>
            <w:r>
              <w:rPr>
                <w:color w:val="auto"/>
                <w:szCs w:val="21"/>
                <w:highlight w:val="none"/>
              </w:rPr>
              <w:t>具有</w:t>
            </w:r>
            <w:r>
              <w:rPr>
                <w:rFonts w:hint="eastAsia"/>
                <w:color w:val="auto"/>
                <w:szCs w:val="21"/>
                <w:highlight w:val="none"/>
                <w:u w:val="single"/>
              </w:rPr>
              <w:t xml:space="preserve">               </w:t>
            </w:r>
            <w:r>
              <w:rPr>
                <w:rFonts w:hint="eastAsia"/>
                <w:color w:val="auto"/>
                <w:szCs w:val="21"/>
                <w:highlight w:val="none"/>
              </w:rPr>
              <w:t xml:space="preserve"> </w:t>
            </w:r>
            <w:r>
              <w:rPr>
                <w:color w:val="auto"/>
                <w:szCs w:val="21"/>
                <w:highlight w:val="none"/>
              </w:rPr>
              <w:t>注册建造师执业资格</w:t>
            </w:r>
            <w:r>
              <w:rPr>
                <w:rFonts w:hint="eastAsia"/>
                <w:color w:val="auto"/>
                <w:szCs w:val="21"/>
                <w:highlight w:val="none"/>
              </w:rPr>
              <w:t>，具备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技术职称，并持有合格有效的</w:t>
            </w:r>
            <w:r>
              <w:rPr>
                <w:color w:val="auto"/>
                <w:szCs w:val="21"/>
                <w:highlight w:val="none"/>
              </w:rPr>
              <w:t>安全生产考核合格证书B证</w:t>
            </w:r>
            <w:r>
              <w:rPr>
                <w:rFonts w:hint="eastAsia"/>
                <w:color w:val="auto"/>
                <w:szCs w:val="21"/>
                <w:highlight w:val="none"/>
              </w:rPr>
              <w:t>。</w:t>
            </w:r>
          </w:p>
        </w:tc>
      </w:tr>
      <w:tr w14:paraId="121C26F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314" w:type="dxa"/>
            <w:tcBorders>
              <w:top w:val="single" w:color="auto" w:sz="4" w:space="0"/>
              <w:bottom w:val="single" w:color="auto" w:sz="12" w:space="0"/>
              <w:right w:val="single" w:color="auto" w:sz="4" w:space="0"/>
            </w:tcBorders>
          </w:tcPr>
          <w:p w14:paraId="1E4C6121">
            <w:pPr>
              <w:spacing w:line="440" w:lineRule="exact"/>
              <w:rPr>
                <w:rFonts w:ascii="宋体" w:hAnsi="宋体"/>
                <w:b/>
                <w:color w:val="auto"/>
                <w:sz w:val="20"/>
                <w:szCs w:val="20"/>
                <w:highlight w:val="none"/>
              </w:rPr>
            </w:pPr>
            <w:r>
              <w:rPr>
                <w:rFonts w:hint="eastAsia" w:ascii="宋体" w:hAnsi="宋体"/>
                <w:b/>
                <w:color w:val="auto"/>
                <w:szCs w:val="21"/>
                <w:highlight w:val="none"/>
              </w:rPr>
              <w:t>技术负责人</w:t>
            </w:r>
          </w:p>
        </w:tc>
        <w:tc>
          <w:tcPr>
            <w:tcW w:w="1090" w:type="dxa"/>
            <w:tcBorders>
              <w:top w:val="single" w:color="auto" w:sz="4" w:space="0"/>
              <w:left w:val="single" w:color="auto" w:sz="4" w:space="0"/>
              <w:bottom w:val="single" w:color="auto" w:sz="12" w:space="0"/>
            </w:tcBorders>
            <w:vAlign w:val="center"/>
          </w:tcPr>
          <w:p w14:paraId="2F49B5AC">
            <w:pPr>
              <w:spacing w:line="440" w:lineRule="exact"/>
              <w:jc w:val="center"/>
              <w:rPr>
                <w:rFonts w:ascii="宋体" w:hAnsi="宋体"/>
                <w:b/>
                <w:color w:val="auto"/>
                <w:sz w:val="20"/>
                <w:szCs w:val="20"/>
                <w:highlight w:val="none"/>
              </w:rPr>
            </w:pPr>
            <w:r>
              <w:rPr>
                <w:rFonts w:hint="eastAsia"/>
                <w:color w:val="auto"/>
                <w:szCs w:val="21"/>
                <w:highlight w:val="none"/>
              </w:rPr>
              <w:t>1</w:t>
            </w:r>
          </w:p>
        </w:tc>
        <w:tc>
          <w:tcPr>
            <w:tcW w:w="6605" w:type="dxa"/>
            <w:tcBorders>
              <w:top w:val="single" w:color="auto" w:sz="4" w:space="0"/>
              <w:left w:val="single" w:color="auto" w:sz="4" w:space="0"/>
              <w:bottom w:val="single" w:color="auto" w:sz="12" w:space="0"/>
            </w:tcBorders>
          </w:tcPr>
          <w:p w14:paraId="361903AC">
            <w:pPr>
              <w:spacing w:line="440" w:lineRule="exact"/>
              <w:rPr>
                <w:rFonts w:ascii="宋体" w:hAnsi="宋体"/>
                <w:b/>
                <w:color w:val="auto"/>
                <w:sz w:val="20"/>
                <w:szCs w:val="20"/>
                <w:highlight w:val="none"/>
              </w:rPr>
            </w:pPr>
            <w:r>
              <w:rPr>
                <w:rFonts w:hint="eastAsia"/>
                <w:color w:val="auto"/>
                <w:szCs w:val="21"/>
                <w:highlight w:val="none"/>
              </w:rPr>
              <w:t>资格要求：具备</w:t>
            </w:r>
            <w:r>
              <w:rPr>
                <w:rFonts w:ascii="宋体" w:hAnsi="宋体" w:cs="宋体"/>
                <w:color w:val="auto"/>
                <w:szCs w:val="21"/>
                <w:highlight w:val="none"/>
              </w:rPr>
              <w:t>港口与航道工程</w:t>
            </w:r>
            <w:r>
              <w:rPr>
                <w:rFonts w:hint="eastAsia" w:ascii="宋体" w:hAnsi="宋体" w:cs="宋体"/>
                <w:color w:val="auto"/>
                <w:szCs w:val="21"/>
                <w:highlight w:val="none"/>
              </w:rPr>
              <w:t>专业</w:t>
            </w:r>
            <w:r>
              <w:rPr>
                <w:rFonts w:hint="eastAsia"/>
                <w:color w:val="auto"/>
                <w:szCs w:val="21"/>
                <w:highlight w:val="none"/>
                <w:u w:val="single"/>
              </w:rPr>
              <w:t xml:space="preserve">         </w:t>
            </w:r>
            <w:r>
              <w:rPr>
                <w:rFonts w:hint="eastAsia"/>
                <w:color w:val="auto"/>
                <w:szCs w:val="21"/>
                <w:highlight w:val="none"/>
              </w:rPr>
              <w:t>技术职称。</w:t>
            </w:r>
          </w:p>
        </w:tc>
      </w:tr>
    </w:tbl>
    <w:p w14:paraId="342F796D">
      <w:pPr>
        <w:rPr>
          <w:color w:val="auto"/>
          <w:highlight w:val="none"/>
        </w:rPr>
      </w:pPr>
      <w:bookmarkStart w:id="77" w:name="_Toc382997653"/>
      <w:bookmarkStart w:id="78" w:name="_Toc21292"/>
    </w:p>
    <w:p w14:paraId="21C7A55A">
      <w:pPr>
        <w:rPr>
          <w:color w:val="auto"/>
          <w:highlight w:val="none"/>
        </w:rPr>
      </w:pPr>
    </w:p>
    <w:p w14:paraId="3498B234">
      <w:pPr>
        <w:pStyle w:val="4"/>
        <w:jc w:val="center"/>
        <w:rPr>
          <w:color w:val="auto"/>
          <w:highlight w:val="none"/>
        </w:rPr>
      </w:pPr>
      <w:bookmarkStart w:id="79" w:name="_Toc490832277"/>
      <w:bookmarkStart w:id="80" w:name="_Toc463798997"/>
      <w:r>
        <w:rPr>
          <w:rFonts w:hint="eastAsia"/>
          <w:color w:val="auto"/>
          <w:highlight w:val="none"/>
        </w:rPr>
        <w:t>附件6 资格审查条件(其他最低要求)</w:t>
      </w:r>
      <w:bookmarkEnd w:id="77"/>
      <w:bookmarkEnd w:id="78"/>
      <w:bookmarkEnd w:id="79"/>
      <w:bookmarkEnd w:id="80"/>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20"/>
      </w:tblGrid>
      <w:tr w14:paraId="6978F4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8920" w:type="dxa"/>
          </w:tcPr>
          <w:p w14:paraId="07CF5DAD">
            <w:pPr>
              <w:spacing w:line="440" w:lineRule="exact"/>
              <w:ind w:firstLine="205" w:firstLineChars="98"/>
              <w:jc w:val="left"/>
              <w:rPr>
                <w:rFonts w:ascii="宋体" w:hAnsi="宋体"/>
                <w:color w:val="auto"/>
                <w:szCs w:val="21"/>
                <w:highlight w:val="none"/>
              </w:rPr>
            </w:pPr>
            <w:r>
              <w:rPr>
                <w:rFonts w:hint="eastAsia" w:ascii="宋体" w:hAnsi="宋体"/>
                <w:color w:val="auto"/>
                <w:szCs w:val="21"/>
                <w:highlight w:val="none"/>
              </w:rPr>
              <w:t>1、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14:paraId="02819471">
            <w:pPr>
              <w:spacing w:line="440" w:lineRule="exact"/>
              <w:ind w:firstLine="205" w:firstLineChars="98"/>
              <w:jc w:val="left"/>
              <w:rPr>
                <w:rFonts w:ascii="宋体" w:hAnsi="宋体"/>
                <w:color w:val="auto"/>
                <w:szCs w:val="21"/>
                <w:highlight w:val="none"/>
              </w:rPr>
            </w:pPr>
          </w:p>
        </w:tc>
      </w:tr>
    </w:tbl>
    <w:p w14:paraId="4D366F0A">
      <w:pPr>
        <w:rPr>
          <w:rFonts w:ascii="宋体" w:hAnsi="宋体"/>
          <w:bCs/>
          <w:color w:val="auto"/>
          <w:szCs w:val="21"/>
          <w:highlight w:val="none"/>
        </w:rPr>
      </w:pPr>
      <w:r>
        <w:rPr>
          <w:rFonts w:hint="eastAsia" w:ascii="宋体" w:hAnsi="宋体"/>
          <w:bCs/>
          <w:color w:val="auto"/>
          <w:szCs w:val="21"/>
          <w:highlight w:val="none"/>
        </w:rPr>
        <w:t>注：常用施工机械、试验仪器、设备等，不作为资格审查条件。</w:t>
      </w:r>
    </w:p>
    <w:p w14:paraId="5165FF1A">
      <w:pPr>
        <w:rPr>
          <w:rFonts w:ascii="宋体" w:hAnsi="宋体"/>
          <w:b/>
          <w:color w:val="auto"/>
          <w:szCs w:val="21"/>
          <w:highlight w:val="none"/>
        </w:rPr>
      </w:pPr>
    </w:p>
    <w:p w14:paraId="2C47DFC8">
      <w:pPr>
        <w:pStyle w:val="4"/>
        <w:jc w:val="center"/>
        <w:rPr>
          <w:color w:val="auto"/>
          <w:highlight w:val="none"/>
        </w:rPr>
      </w:pPr>
      <w:bookmarkStart w:id="81" w:name="_Toc490832278"/>
      <w:r>
        <w:rPr>
          <w:rFonts w:hint="eastAsia"/>
          <w:color w:val="auto"/>
          <w:highlight w:val="none"/>
        </w:rPr>
        <w:t>附件7 其他主要管理人员和技术人员最低要求</w:t>
      </w:r>
      <w:bookmarkEnd w:id="81"/>
    </w:p>
    <w:p w14:paraId="2B3A1202">
      <w:pPr>
        <w:spacing w:before="156" w:beforeLines="50" w:after="156" w:afterLines="50" w:line="280" w:lineRule="exact"/>
        <w:jc w:val="center"/>
        <w:rPr>
          <w:b/>
          <w:color w:val="auto"/>
          <w:szCs w:val="21"/>
          <w:highlight w:val="none"/>
          <w:u w:val="single"/>
        </w:rPr>
      </w:pPr>
      <w:r>
        <w:rPr>
          <w:rFonts w:hint="eastAsia" w:ascii="宋体" w:hAnsi="宋体"/>
          <w:b/>
          <w:color w:val="auto"/>
          <w:szCs w:val="21"/>
          <w:highlight w:val="none"/>
          <w:u w:val="single"/>
        </w:rPr>
        <w:t>（本附件投标人投标时不须提交）</w:t>
      </w:r>
    </w:p>
    <w:tbl>
      <w:tblPr>
        <w:tblStyle w:val="3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41"/>
        <w:gridCol w:w="3249"/>
        <w:gridCol w:w="2788"/>
      </w:tblGrid>
      <w:tr w14:paraId="336D8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2742D558">
            <w:pPr>
              <w:spacing w:line="440" w:lineRule="exact"/>
              <w:jc w:val="center"/>
              <w:rPr>
                <w:b/>
                <w:color w:val="auto"/>
                <w:szCs w:val="21"/>
                <w:highlight w:val="none"/>
              </w:rPr>
            </w:pPr>
            <w:r>
              <w:rPr>
                <w:rFonts w:hint="eastAsia"/>
                <w:b/>
                <w:color w:val="auto"/>
                <w:szCs w:val="21"/>
                <w:highlight w:val="none"/>
              </w:rPr>
              <w:t>其它主要管理人员和技术人员</w:t>
            </w:r>
          </w:p>
        </w:tc>
        <w:tc>
          <w:tcPr>
            <w:tcW w:w="3249" w:type="dxa"/>
          </w:tcPr>
          <w:p w14:paraId="33D50D59">
            <w:pPr>
              <w:spacing w:line="440" w:lineRule="exact"/>
              <w:jc w:val="center"/>
              <w:rPr>
                <w:b/>
                <w:color w:val="auto"/>
                <w:szCs w:val="21"/>
                <w:highlight w:val="none"/>
              </w:rPr>
            </w:pPr>
            <w:r>
              <w:rPr>
                <w:rFonts w:hint="eastAsia"/>
                <w:b/>
                <w:color w:val="auto"/>
                <w:szCs w:val="21"/>
                <w:highlight w:val="none"/>
              </w:rPr>
              <w:t>数量</w:t>
            </w:r>
          </w:p>
        </w:tc>
        <w:tc>
          <w:tcPr>
            <w:tcW w:w="2788" w:type="dxa"/>
          </w:tcPr>
          <w:p w14:paraId="160D5546">
            <w:pPr>
              <w:spacing w:line="440" w:lineRule="exact"/>
              <w:jc w:val="center"/>
              <w:rPr>
                <w:b/>
                <w:color w:val="auto"/>
                <w:szCs w:val="21"/>
                <w:highlight w:val="none"/>
              </w:rPr>
            </w:pPr>
            <w:r>
              <w:rPr>
                <w:rFonts w:hint="eastAsia"/>
                <w:b/>
                <w:color w:val="auto"/>
                <w:szCs w:val="21"/>
                <w:highlight w:val="none"/>
              </w:rPr>
              <w:t>资格要求</w:t>
            </w:r>
          </w:p>
        </w:tc>
      </w:tr>
      <w:tr w14:paraId="43977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067F5683">
            <w:pPr>
              <w:spacing w:line="440" w:lineRule="exact"/>
              <w:rPr>
                <w:color w:val="auto"/>
                <w:sz w:val="18"/>
                <w:szCs w:val="18"/>
                <w:highlight w:val="none"/>
              </w:rPr>
            </w:pPr>
          </w:p>
        </w:tc>
        <w:tc>
          <w:tcPr>
            <w:tcW w:w="3249" w:type="dxa"/>
          </w:tcPr>
          <w:p w14:paraId="62B7BDFD">
            <w:pPr>
              <w:spacing w:line="440" w:lineRule="exact"/>
              <w:rPr>
                <w:color w:val="auto"/>
                <w:sz w:val="18"/>
                <w:szCs w:val="18"/>
                <w:highlight w:val="none"/>
              </w:rPr>
            </w:pPr>
          </w:p>
        </w:tc>
        <w:tc>
          <w:tcPr>
            <w:tcW w:w="2788" w:type="dxa"/>
          </w:tcPr>
          <w:p w14:paraId="32652DA6">
            <w:pPr>
              <w:spacing w:line="440" w:lineRule="exact"/>
              <w:rPr>
                <w:color w:val="auto"/>
                <w:sz w:val="18"/>
                <w:szCs w:val="18"/>
                <w:highlight w:val="none"/>
              </w:rPr>
            </w:pPr>
          </w:p>
        </w:tc>
      </w:tr>
      <w:tr w14:paraId="2FA1E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5CB382D7">
            <w:pPr>
              <w:spacing w:line="440" w:lineRule="exact"/>
              <w:rPr>
                <w:color w:val="auto"/>
                <w:sz w:val="18"/>
                <w:szCs w:val="18"/>
                <w:highlight w:val="none"/>
              </w:rPr>
            </w:pPr>
          </w:p>
        </w:tc>
        <w:tc>
          <w:tcPr>
            <w:tcW w:w="3249" w:type="dxa"/>
          </w:tcPr>
          <w:p w14:paraId="0A837B75">
            <w:pPr>
              <w:spacing w:line="440" w:lineRule="exact"/>
              <w:rPr>
                <w:color w:val="auto"/>
                <w:sz w:val="18"/>
                <w:szCs w:val="18"/>
                <w:highlight w:val="none"/>
              </w:rPr>
            </w:pPr>
          </w:p>
        </w:tc>
        <w:tc>
          <w:tcPr>
            <w:tcW w:w="2788" w:type="dxa"/>
          </w:tcPr>
          <w:p w14:paraId="5A9C0510">
            <w:pPr>
              <w:spacing w:line="440" w:lineRule="exact"/>
              <w:rPr>
                <w:color w:val="auto"/>
                <w:sz w:val="18"/>
                <w:szCs w:val="18"/>
                <w:highlight w:val="none"/>
              </w:rPr>
            </w:pPr>
          </w:p>
        </w:tc>
      </w:tr>
      <w:tr w14:paraId="3CC7E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189C817E">
            <w:pPr>
              <w:spacing w:line="440" w:lineRule="exact"/>
              <w:rPr>
                <w:color w:val="auto"/>
                <w:sz w:val="18"/>
                <w:szCs w:val="18"/>
                <w:highlight w:val="none"/>
              </w:rPr>
            </w:pPr>
          </w:p>
        </w:tc>
        <w:tc>
          <w:tcPr>
            <w:tcW w:w="3249" w:type="dxa"/>
          </w:tcPr>
          <w:p w14:paraId="2588663E">
            <w:pPr>
              <w:spacing w:line="440" w:lineRule="exact"/>
              <w:rPr>
                <w:color w:val="auto"/>
                <w:sz w:val="18"/>
                <w:szCs w:val="18"/>
                <w:highlight w:val="none"/>
              </w:rPr>
            </w:pPr>
          </w:p>
        </w:tc>
        <w:tc>
          <w:tcPr>
            <w:tcW w:w="2788" w:type="dxa"/>
          </w:tcPr>
          <w:p w14:paraId="012A7F55">
            <w:pPr>
              <w:spacing w:line="440" w:lineRule="exact"/>
              <w:rPr>
                <w:color w:val="auto"/>
                <w:sz w:val="18"/>
                <w:szCs w:val="18"/>
                <w:highlight w:val="none"/>
              </w:rPr>
            </w:pPr>
          </w:p>
        </w:tc>
      </w:tr>
      <w:tr w14:paraId="75EF8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0910161F">
            <w:pPr>
              <w:spacing w:line="440" w:lineRule="exact"/>
              <w:rPr>
                <w:color w:val="auto"/>
                <w:sz w:val="18"/>
                <w:szCs w:val="18"/>
                <w:highlight w:val="none"/>
              </w:rPr>
            </w:pPr>
          </w:p>
        </w:tc>
        <w:tc>
          <w:tcPr>
            <w:tcW w:w="3249" w:type="dxa"/>
          </w:tcPr>
          <w:p w14:paraId="2A2A4FA4">
            <w:pPr>
              <w:spacing w:line="440" w:lineRule="exact"/>
              <w:rPr>
                <w:color w:val="auto"/>
                <w:sz w:val="18"/>
                <w:szCs w:val="18"/>
                <w:highlight w:val="none"/>
              </w:rPr>
            </w:pPr>
          </w:p>
        </w:tc>
        <w:tc>
          <w:tcPr>
            <w:tcW w:w="2788" w:type="dxa"/>
          </w:tcPr>
          <w:p w14:paraId="5ADF2A0F">
            <w:pPr>
              <w:spacing w:line="440" w:lineRule="exact"/>
              <w:rPr>
                <w:color w:val="auto"/>
                <w:sz w:val="18"/>
                <w:szCs w:val="18"/>
                <w:highlight w:val="none"/>
              </w:rPr>
            </w:pPr>
          </w:p>
        </w:tc>
      </w:tr>
      <w:tr w14:paraId="3CE8C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465C4DC1">
            <w:pPr>
              <w:spacing w:line="440" w:lineRule="exact"/>
              <w:rPr>
                <w:color w:val="auto"/>
                <w:sz w:val="18"/>
                <w:szCs w:val="18"/>
                <w:highlight w:val="none"/>
              </w:rPr>
            </w:pPr>
          </w:p>
        </w:tc>
        <w:tc>
          <w:tcPr>
            <w:tcW w:w="3249" w:type="dxa"/>
          </w:tcPr>
          <w:p w14:paraId="2A635D8E">
            <w:pPr>
              <w:spacing w:line="440" w:lineRule="exact"/>
              <w:rPr>
                <w:color w:val="auto"/>
                <w:sz w:val="18"/>
                <w:szCs w:val="18"/>
                <w:highlight w:val="none"/>
              </w:rPr>
            </w:pPr>
          </w:p>
        </w:tc>
        <w:tc>
          <w:tcPr>
            <w:tcW w:w="2788" w:type="dxa"/>
          </w:tcPr>
          <w:p w14:paraId="10DBA53E">
            <w:pPr>
              <w:spacing w:line="440" w:lineRule="exact"/>
              <w:rPr>
                <w:color w:val="auto"/>
                <w:sz w:val="18"/>
                <w:szCs w:val="18"/>
                <w:highlight w:val="none"/>
              </w:rPr>
            </w:pPr>
          </w:p>
        </w:tc>
      </w:tr>
      <w:tr w14:paraId="081AA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4017219D">
            <w:pPr>
              <w:spacing w:line="440" w:lineRule="exact"/>
              <w:rPr>
                <w:color w:val="auto"/>
                <w:sz w:val="18"/>
                <w:szCs w:val="18"/>
                <w:highlight w:val="none"/>
              </w:rPr>
            </w:pPr>
          </w:p>
        </w:tc>
        <w:tc>
          <w:tcPr>
            <w:tcW w:w="3249" w:type="dxa"/>
          </w:tcPr>
          <w:p w14:paraId="46641470">
            <w:pPr>
              <w:spacing w:line="440" w:lineRule="exact"/>
              <w:rPr>
                <w:color w:val="auto"/>
                <w:sz w:val="18"/>
                <w:szCs w:val="18"/>
                <w:highlight w:val="none"/>
              </w:rPr>
            </w:pPr>
          </w:p>
        </w:tc>
        <w:tc>
          <w:tcPr>
            <w:tcW w:w="2788" w:type="dxa"/>
          </w:tcPr>
          <w:p w14:paraId="1A7D6B9D">
            <w:pPr>
              <w:spacing w:line="440" w:lineRule="exact"/>
              <w:rPr>
                <w:color w:val="auto"/>
                <w:sz w:val="18"/>
                <w:szCs w:val="18"/>
                <w:highlight w:val="none"/>
              </w:rPr>
            </w:pPr>
          </w:p>
        </w:tc>
      </w:tr>
      <w:tr w14:paraId="0E6A5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2912DECF">
            <w:pPr>
              <w:spacing w:line="440" w:lineRule="exact"/>
              <w:rPr>
                <w:color w:val="auto"/>
                <w:sz w:val="18"/>
                <w:szCs w:val="18"/>
                <w:highlight w:val="none"/>
              </w:rPr>
            </w:pPr>
          </w:p>
        </w:tc>
        <w:tc>
          <w:tcPr>
            <w:tcW w:w="3249" w:type="dxa"/>
          </w:tcPr>
          <w:p w14:paraId="37A987A7">
            <w:pPr>
              <w:spacing w:line="440" w:lineRule="exact"/>
              <w:rPr>
                <w:color w:val="auto"/>
                <w:sz w:val="18"/>
                <w:szCs w:val="18"/>
                <w:highlight w:val="none"/>
              </w:rPr>
            </w:pPr>
          </w:p>
        </w:tc>
        <w:tc>
          <w:tcPr>
            <w:tcW w:w="2788" w:type="dxa"/>
          </w:tcPr>
          <w:p w14:paraId="717B27C2">
            <w:pPr>
              <w:spacing w:line="440" w:lineRule="exact"/>
              <w:rPr>
                <w:color w:val="auto"/>
                <w:sz w:val="18"/>
                <w:szCs w:val="18"/>
                <w:highlight w:val="none"/>
              </w:rPr>
            </w:pPr>
          </w:p>
        </w:tc>
      </w:tr>
      <w:tr w14:paraId="49084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07895F6C">
            <w:pPr>
              <w:spacing w:line="440" w:lineRule="exact"/>
              <w:rPr>
                <w:color w:val="auto"/>
                <w:sz w:val="18"/>
                <w:szCs w:val="18"/>
                <w:highlight w:val="none"/>
              </w:rPr>
            </w:pPr>
          </w:p>
        </w:tc>
        <w:tc>
          <w:tcPr>
            <w:tcW w:w="3249" w:type="dxa"/>
          </w:tcPr>
          <w:p w14:paraId="711A733B">
            <w:pPr>
              <w:spacing w:line="440" w:lineRule="exact"/>
              <w:rPr>
                <w:color w:val="auto"/>
                <w:sz w:val="18"/>
                <w:szCs w:val="18"/>
                <w:highlight w:val="none"/>
              </w:rPr>
            </w:pPr>
          </w:p>
        </w:tc>
        <w:tc>
          <w:tcPr>
            <w:tcW w:w="2788" w:type="dxa"/>
          </w:tcPr>
          <w:p w14:paraId="7F5D942E">
            <w:pPr>
              <w:spacing w:line="440" w:lineRule="exact"/>
              <w:rPr>
                <w:color w:val="auto"/>
                <w:sz w:val="18"/>
                <w:szCs w:val="18"/>
                <w:highlight w:val="none"/>
              </w:rPr>
            </w:pPr>
          </w:p>
        </w:tc>
      </w:tr>
      <w:tr w14:paraId="04B17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1" w:type="dxa"/>
          </w:tcPr>
          <w:p w14:paraId="24A0918D">
            <w:pPr>
              <w:spacing w:line="440" w:lineRule="exact"/>
              <w:rPr>
                <w:color w:val="auto"/>
                <w:sz w:val="18"/>
                <w:szCs w:val="18"/>
                <w:highlight w:val="none"/>
              </w:rPr>
            </w:pPr>
          </w:p>
        </w:tc>
        <w:tc>
          <w:tcPr>
            <w:tcW w:w="3249" w:type="dxa"/>
          </w:tcPr>
          <w:p w14:paraId="2FA5CDA0">
            <w:pPr>
              <w:spacing w:line="440" w:lineRule="exact"/>
              <w:rPr>
                <w:color w:val="auto"/>
                <w:sz w:val="18"/>
                <w:szCs w:val="18"/>
                <w:highlight w:val="none"/>
              </w:rPr>
            </w:pPr>
          </w:p>
        </w:tc>
        <w:tc>
          <w:tcPr>
            <w:tcW w:w="2788" w:type="dxa"/>
          </w:tcPr>
          <w:p w14:paraId="1904B39D">
            <w:pPr>
              <w:spacing w:line="440" w:lineRule="exact"/>
              <w:rPr>
                <w:color w:val="auto"/>
                <w:sz w:val="18"/>
                <w:szCs w:val="18"/>
                <w:highlight w:val="none"/>
              </w:rPr>
            </w:pPr>
          </w:p>
        </w:tc>
      </w:tr>
    </w:tbl>
    <w:p w14:paraId="717242E2">
      <w:pPr>
        <w:spacing w:line="360" w:lineRule="auto"/>
        <w:ind w:firstLine="420"/>
        <w:rPr>
          <w:color w:val="auto"/>
          <w:szCs w:val="21"/>
          <w:highlight w:val="none"/>
        </w:rPr>
      </w:pPr>
      <w:r>
        <w:rPr>
          <w:rFonts w:hint="eastAsia"/>
          <w:color w:val="auto"/>
          <w:szCs w:val="21"/>
          <w:highlight w:val="none"/>
        </w:rPr>
        <w:t>注：</w:t>
      </w:r>
      <w:r>
        <w:rPr>
          <w:color w:val="auto"/>
          <w:szCs w:val="21"/>
          <w:highlight w:val="none"/>
        </w:rPr>
        <w:t>1</w:t>
      </w:r>
      <w:r>
        <w:rPr>
          <w:rFonts w:hint="eastAsia"/>
          <w:color w:val="auto"/>
          <w:szCs w:val="21"/>
          <w:highlight w:val="none"/>
        </w:rPr>
        <w:t>、其它主要人员指工程部负责人、质检部负责人、预算员、测量员、专职安全员、专职环保管理员等，招标人应根据工程实际在本表中列明有关人员、数量及资格要求，本表不作为资格审查条件，投标人无需提供上述人员名单和详细资料，也无需在投标文件中提交本表格；但投标人必须承诺中标后应按本表最低要求的数量和资格投入人员。</w:t>
      </w:r>
    </w:p>
    <w:p w14:paraId="161A5548">
      <w:pPr>
        <w:spacing w:line="360" w:lineRule="auto"/>
        <w:ind w:firstLine="420" w:firstLineChars="200"/>
        <w:rPr>
          <w:color w:val="auto"/>
          <w:szCs w:val="21"/>
          <w:highlight w:val="none"/>
        </w:rPr>
      </w:pPr>
      <w:r>
        <w:rPr>
          <w:rFonts w:hint="eastAsia" w:ascii="宋体" w:hAnsi="宋体"/>
          <w:color w:val="auto"/>
          <w:szCs w:val="21"/>
          <w:highlight w:val="none"/>
        </w:rPr>
        <w:t>2、</w:t>
      </w:r>
      <w:r>
        <w:rPr>
          <w:rFonts w:hint="eastAsia"/>
          <w:color w:val="auto"/>
          <w:szCs w:val="21"/>
          <w:highlight w:val="none"/>
        </w:rPr>
        <w:t>招标人将在合同签订前要求中标人按照本表的最低要求填报派驻本标段的其他主要管理人员和技术人员，在经招标人审批后作为派驻本标段的项目管理机构主要人员。若确需更换，应重新报招标人审批。</w:t>
      </w:r>
    </w:p>
    <w:p w14:paraId="171271AF">
      <w:pPr>
        <w:spacing w:line="360" w:lineRule="auto"/>
        <w:ind w:firstLine="420" w:firstLineChars="200"/>
        <w:rPr>
          <w:color w:val="auto"/>
          <w:szCs w:val="21"/>
          <w:highlight w:val="none"/>
        </w:rPr>
      </w:pPr>
      <w:r>
        <w:rPr>
          <w:color w:val="auto"/>
          <w:szCs w:val="21"/>
          <w:highlight w:val="none"/>
        </w:rPr>
        <w:t>3</w:t>
      </w:r>
      <w:r>
        <w:rPr>
          <w:rFonts w:hint="eastAsia" w:ascii="宋体" w:hAnsi="宋体"/>
          <w:color w:val="auto"/>
          <w:szCs w:val="21"/>
          <w:highlight w:val="none"/>
        </w:rPr>
        <w:t>、</w:t>
      </w:r>
      <w:r>
        <w:rPr>
          <w:rFonts w:hint="eastAsia"/>
          <w:color w:val="auto"/>
          <w:szCs w:val="21"/>
          <w:highlight w:val="none"/>
        </w:rPr>
        <w:t>专职安全员须有安全生产培训考核合格证书（C证）。</w:t>
      </w:r>
    </w:p>
    <w:p w14:paraId="56EE63D7">
      <w:pPr>
        <w:rPr>
          <w:rFonts w:ascii="宋体" w:hAnsi="宋体"/>
          <w:b/>
          <w:color w:val="auto"/>
          <w:szCs w:val="21"/>
          <w:highlight w:val="none"/>
        </w:rPr>
      </w:pPr>
      <w:r>
        <w:rPr>
          <w:rFonts w:ascii="宋体" w:hAnsi="宋体"/>
          <w:b/>
          <w:color w:val="auto"/>
          <w:szCs w:val="21"/>
          <w:highlight w:val="none"/>
        </w:rPr>
        <w:br w:type="page"/>
      </w:r>
    </w:p>
    <w:p w14:paraId="74C442EC">
      <w:pPr>
        <w:pStyle w:val="4"/>
        <w:jc w:val="center"/>
        <w:rPr>
          <w:rFonts w:ascii="宋体" w:hAnsi="宋体"/>
          <w:color w:val="auto"/>
          <w:szCs w:val="21"/>
          <w:highlight w:val="none"/>
        </w:rPr>
      </w:pPr>
      <w:bookmarkStart w:id="82" w:name="_Toc490832279"/>
      <w:bookmarkStart w:id="83" w:name="_Toc31722"/>
      <w:bookmarkStart w:id="84" w:name="_Toc463798999"/>
      <w:bookmarkStart w:id="85" w:name="_Toc382997654"/>
      <w:bookmarkStart w:id="86" w:name="_Toc26028"/>
      <w:r>
        <w:rPr>
          <w:rFonts w:hint="eastAsia" w:ascii="宋体" w:hAnsi="宋体"/>
          <w:color w:val="auto"/>
          <w:sz w:val="36"/>
          <w:szCs w:val="21"/>
          <w:highlight w:val="none"/>
        </w:rPr>
        <w:t>投标人须知正文</w:t>
      </w:r>
      <w:bookmarkEnd w:id="82"/>
      <w:bookmarkEnd w:id="83"/>
      <w:bookmarkEnd w:id="84"/>
    </w:p>
    <w:p w14:paraId="0424EACC">
      <w:pPr>
        <w:pStyle w:val="4"/>
        <w:spacing w:before="0" w:after="0" w:line="360" w:lineRule="auto"/>
        <w:rPr>
          <w:rFonts w:ascii="宋体" w:hAnsi="宋体"/>
          <w:color w:val="auto"/>
          <w:szCs w:val="21"/>
          <w:highlight w:val="none"/>
        </w:rPr>
      </w:pPr>
      <w:bookmarkStart w:id="87" w:name="_Toc419824996"/>
      <w:bookmarkStart w:id="88" w:name="_Toc383006458"/>
      <w:bookmarkStart w:id="89" w:name="_Toc463799000"/>
      <w:bookmarkStart w:id="90" w:name="_Toc419825345"/>
      <w:bookmarkStart w:id="91" w:name="_Toc383512679"/>
      <w:bookmarkStart w:id="92" w:name="_Toc32413"/>
      <w:bookmarkStart w:id="93" w:name="_Toc419729345"/>
      <w:bookmarkStart w:id="94" w:name="_Toc383012985"/>
      <w:bookmarkStart w:id="95" w:name="_Toc490832280"/>
      <w:bookmarkStart w:id="96" w:name="_Toc382997932"/>
      <w:bookmarkStart w:id="97" w:name="_Toc419724278"/>
      <w:r>
        <w:rPr>
          <w:rFonts w:hint="eastAsia" w:ascii="宋体" w:hAnsi="宋体"/>
          <w:color w:val="auto"/>
          <w:szCs w:val="21"/>
          <w:highlight w:val="none"/>
        </w:rPr>
        <w:t>1.总则</w:t>
      </w:r>
      <w:bookmarkEnd w:id="85"/>
      <w:bookmarkEnd w:id="86"/>
      <w:bookmarkEnd w:id="87"/>
      <w:bookmarkEnd w:id="88"/>
      <w:bookmarkEnd w:id="89"/>
      <w:bookmarkEnd w:id="90"/>
      <w:bookmarkEnd w:id="91"/>
      <w:bookmarkEnd w:id="92"/>
      <w:bookmarkEnd w:id="93"/>
      <w:bookmarkEnd w:id="94"/>
      <w:bookmarkEnd w:id="95"/>
      <w:bookmarkEnd w:id="96"/>
      <w:bookmarkEnd w:id="97"/>
    </w:p>
    <w:p w14:paraId="489FBC94">
      <w:pPr>
        <w:pStyle w:val="4"/>
        <w:spacing w:before="0" w:after="0" w:line="360" w:lineRule="auto"/>
        <w:rPr>
          <w:rFonts w:ascii="宋体" w:hAnsi="宋体"/>
          <w:color w:val="auto"/>
          <w:sz w:val="24"/>
          <w:szCs w:val="21"/>
          <w:highlight w:val="none"/>
        </w:rPr>
      </w:pPr>
      <w:bookmarkStart w:id="98" w:name="_Toc2561"/>
      <w:bookmarkStart w:id="99" w:name="_Toc490832281"/>
      <w:bookmarkStart w:id="100" w:name="_Toc383012986"/>
      <w:bookmarkStart w:id="101" w:name="_Toc419824997"/>
      <w:bookmarkStart w:id="102" w:name="_Toc383512680"/>
      <w:bookmarkStart w:id="103" w:name="_Toc488483464"/>
      <w:bookmarkStart w:id="104" w:name="_Toc383006459"/>
      <w:bookmarkStart w:id="105" w:name="_Toc488483592"/>
      <w:bookmarkStart w:id="106" w:name="_Toc419825346"/>
      <w:bookmarkStart w:id="107" w:name="_Toc486685889"/>
      <w:bookmarkStart w:id="108" w:name="_Toc382997655"/>
      <w:bookmarkStart w:id="109" w:name="_Toc3457"/>
      <w:bookmarkStart w:id="110" w:name="_Toc419729346"/>
      <w:bookmarkStart w:id="111" w:name="_Toc382997933"/>
      <w:bookmarkStart w:id="112" w:name="_Toc419724279"/>
      <w:bookmarkStart w:id="113" w:name="_Toc463799001"/>
      <w:bookmarkStart w:id="114" w:name="_Toc488492823"/>
      <w:bookmarkStart w:id="115" w:name="_Toc487653170"/>
      <w:r>
        <w:rPr>
          <w:rFonts w:hint="eastAsia" w:ascii="宋体" w:hAnsi="宋体"/>
          <w:color w:val="auto"/>
          <w:sz w:val="24"/>
          <w:szCs w:val="21"/>
          <w:highlight w:val="none"/>
        </w:rPr>
        <w:t>1.1 项目概况</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16964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根据《中华人民共和国招标投标法》、《中华人民共和国招标投标法实施条例》等有关法律、法规和规章的规定，本招标项目已具备招标条件，现对本标段施工进行招标。</w:t>
      </w:r>
    </w:p>
    <w:p w14:paraId="7037B63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  本招标项目招标人：</w:t>
      </w:r>
      <w:r>
        <w:rPr>
          <w:rFonts w:hint="eastAsia" w:ascii="宋体" w:hAnsi="宋体"/>
          <w:color w:val="auto"/>
          <w:szCs w:val="21"/>
          <w:highlight w:val="none"/>
          <w:u w:val="single"/>
        </w:rPr>
        <w:t xml:space="preserve">见投标人须知前附表。 </w:t>
      </w:r>
      <w:r>
        <w:rPr>
          <w:rFonts w:ascii="宋体" w:hAnsi="宋体"/>
          <w:color w:val="auto"/>
          <w:szCs w:val="21"/>
          <w:highlight w:val="none"/>
          <w:u w:val="single"/>
        </w:rPr>
        <w:t xml:space="preserve">                       </w:t>
      </w:r>
    </w:p>
    <w:p w14:paraId="08EC7A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  本招标项目招标代理机构：</w:t>
      </w:r>
      <w:r>
        <w:rPr>
          <w:rFonts w:hint="eastAsia" w:ascii="宋体" w:hAnsi="宋体"/>
          <w:color w:val="auto"/>
          <w:szCs w:val="21"/>
          <w:highlight w:val="none"/>
          <w:u w:val="single"/>
        </w:rPr>
        <w:t>见投标人须知前附表。</w:t>
      </w:r>
    </w:p>
    <w:p w14:paraId="147875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  本招标项目名称：</w:t>
      </w:r>
      <w:r>
        <w:rPr>
          <w:rFonts w:hint="eastAsia" w:ascii="宋体" w:hAnsi="宋体"/>
          <w:color w:val="auto"/>
          <w:szCs w:val="21"/>
          <w:highlight w:val="none"/>
          <w:u w:val="single"/>
        </w:rPr>
        <w:t>见投标人须知前附表。</w:t>
      </w:r>
    </w:p>
    <w:p w14:paraId="77022A3F">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1.1.5  本招标项目建设地点：</w:t>
      </w:r>
      <w:r>
        <w:rPr>
          <w:rFonts w:hint="eastAsia" w:ascii="宋体" w:hAnsi="宋体"/>
          <w:color w:val="auto"/>
          <w:szCs w:val="21"/>
          <w:highlight w:val="none"/>
          <w:u w:val="single"/>
        </w:rPr>
        <w:t>见投标人须知前附表。</w:t>
      </w:r>
    </w:p>
    <w:p w14:paraId="2690B6C4">
      <w:pPr>
        <w:pStyle w:val="4"/>
        <w:spacing w:before="0" w:after="0" w:line="360" w:lineRule="auto"/>
        <w:rPr>
          <w:rFonts w:ascii="宋体" w:hAnsi="宋体"/>
          <w:color w:val="auto"/>
          <w:sz w:val="28"/>
          <w:szCs w:val="28"/>
          <w:highlight w:val="none"/>
        </w:rPr>
      </w:pPr>
      <w:bookmarkStart w:id="116" w:name="_Toc490832282"/>
      <w:bookmarkStart w:id="117" w:name="_Toc486685890"/>
      <w:bookmarkStart w:id="118" w:name="_Toc488492824"/>
      <w:bookmarkStart w:id="119" w:name="_Toc419825347"/>
      <w:bookmarkStart w:id="120" w:name="_Toc419729347"/>
      <w:bookmarkStart w:id="121" w:name="_Toc234382591"/>
      <w:bookmarkStart w:id="122" w:name="_Toc8206"/>
      <w:bookmarkStart w:id="123" w:name="_Toc488483593"/>
      <w:bookmarkStart w:id="124" w:name="_Toc463799002"/>
      <w:bookmarkStart w:id="125" w:name="_Toc487653171"/>
      <w:bookmarkStart w:id="126" w:name="_Toc383012987"/>
      <w:bookmarkStart w:id="127" w:name="_Toc382997934"/>
      <w:bookmarkStart w:id="128" w:name="_Toc383006460"/>
      <w:bookmarkStart w:id="129" w:name="_Toc419724280"/>
      <w:bookmarkStart w:id="130" w:name="_Toc382997656"/>
      <w:bookmarkStart w:id="131" w:name="_Toc11764"/>
      <w:bookmarkStart w:id="132" w:name="_Toc488483465"/>
      <w:bookmarkStart w:id="133" w:name="_Toc383512681"/>
      <w:bookmarkStart w:id="134" w:name="_Toc419824998"/>
      <w:r>
        <w:rPr>
          <w:rFonts w:ascii="宋体" w:hAnsi="宋体"/>
          <w:color w:val="auto"/>
          <w:sz w:val="28"/>
          <w:szCs w:val="28"/>
          <w:highlight w:val="none"/>
        </w:rPr>
        <w:t>1.2 资金来源和落实情况</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C91C42D">
      <w:pPr>
        <w:spacing w:line="360" w:lineRule="auto"/>
        <w:ind w:firstLine="420" w:firstLineChars="200"/>
        <w:rPr>
          <w:rFonts w:ascii="宋体" w:hAnsi="宋体"/>
          <w:color w:val="auto"/>
          <w:szCs w:val="21"/>
          <w:highlight w:val="none"/>
        </w:rPr>
      </w:pPr>
      <w:bookmarkStart w:id="135" w:name="_Toc382997657"/>
      <w:bookmarkStart w:id="136" w:name="_Toc383006461"/>
      <w:bookmarkStart w:id="137" w:name="_Toc383512682"/>
      <w:bookmarkStart w:id="138" w:name="_Toc382997935"/>
      <w:bookmarkStart w:id="139" w:name="_Toc383012988"/>
      <w:bookmarkStart w:id="140" w:name="_Toc419724281"/>
      <w:bookmarkStart w:id="141" w:name="_Toc234382592"/>
      <w:bookmarkStart w:id="142" w:name="_Toc8949"/>
      <w:r>
        <w:rPr>
          <w:rFonts w:hint="eastAsia" w:ascii="宋体" w:hAnsi="宋体"/>
          <w:color w:val="auto"/>
          <w:szCs w:val="21"/>
          <w:highlight w:val="none"/>
        </w:rPr>
        <w:t>1.2.1  本招标项目的资金来源：</w:t>
      </w:r>
      <w:r>
        <w:rPr>
          <w:rFonts w:hint="eastAsia" w:ascii="宋体" w:hAnsi="宋体"/>
          <w:color w:val="auto"/>
          <w:szCs w:val="21"/>
          <w:highlight w:val="none"/>
          <w:u w:val="single"/>
        </w:rPr>
        <w:t>见投标人须知前附表。</w:t>
      </w:r>
    </w:p>
    <w:p w14:paraId="0119DC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本招标项目的出资比例：</w:t>
      </w:r>
      <w:r>
        <w:rPr>
          <w:rFonts w:hint="eastAsia" w:ascii="宋体" w:hAnsi="宋体"/>
          <w:color w:val="auto"/>
          <w:szCs w:val="21"/>
          <w:highlight w:val="none"/>
          <w:u w:val="single"/>
        </w:rPr>
        <w:t>见投标人须知前附表。</w:t>
      </w:r>
    </w:p>
    <w:p w14:paraId="5C27BA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本招标项目的资金落实情况：</w:t>
      </w:r>
      <w:r>
        <w:rPr>
          <w:rFonts w:hint="eastAsia" w:ascii="宋体" w:hAnsi="宋体"/>
          <w:color w:val="auto"/>
          <w:szCs w:val="21"/>
          <w:highlight w:val="none"/>
          <w:u w:val="single"/>
        </w:rPr>
        <w:t>见投标人须知前附表。</w:t>
      </w:r>
    </w:p>
    <w:p w14:paraId="5A625FB1">
      <w:pPr>
        <w:pStyle w:val="4"/>
        <w:spacing w:before="0" w:after="0" w:line="360" w:lineRule="auto"/>
        <w:rPr>
          <w:rFonts w:ascii="宋体" w:hAnsi="宋体"/>
          <w:color w:val="auto"/>
          <w:sz w:val="28"/>
          <w:szCs w:val="28"/>
          <w:highlight w:val="none"/>
        </w:rPr>
      </w:pPr>
      <w:bookmarkStart w:id="143" w:name="_Toc419824999"/>
      <w:bookmarkStart w:id="144" w:name="_Toc488483594"/>
      <w:bookmarkStart w:id="145" w:name="_Toc486685891"/>
      <w:bookmarkStart w:id="146" w:name="_Toc490832283"/>
      <w:bookmarkStart w:id="147" w:name="_Toc488483466"/>
      <w:bookmarkStart w:id="148" w:name="_Toc463799003"/>
      <w:bookmarkStart w:id="149" w:name="_Toc419825348"/>
      <w:bookmarkStart w:id="150" w:name="_Toc7466"/>
      <w:bookmarkStart w:id="151" w:name="_Toc488492825"/>
      <w:bookmarkStart w:id="152" w:name="_Toc487653172"/>
      <w:bookmarkStart w:id="153" w:name="_Toc419729348"/>
      <w:r>
        <w:rPr>
          <w:rFonts w:ascii="宋体" w:hAnsi="宋体"/>
          <w:color w:val="auto"/>
          <w:sz w:val="28"/>
          <w:szCs w:val="28"/>
          <w:highlight w:val="none"/>
        </w:rPr>
        <w:t xml:space="preserve">1.3 </w:t>
      </w:r>
      <w:bookmarkEnd w:id="135"/>
      <w:bookmarkEnd w:id="136"/>
      <w:bookmarkEnd w:id="137"/>
      <w:bookmarkEnd w:id="138"/>
      <w:bookmarkEnd w:id="139"/>
      <w:bookmarkEnd w:id="140"/>
      <w:bookmarkEnd w:id="141"/>
      <w:bookmarkEnd w:id="142"/>
      <w:r>
        <w:rPr>
          <w:rFonts w:hint="eastAsia" w:ascii="宋体" w:hAnsi="宋体"/>
          <w:color w:val="auto"/>
          <w:sz w:val="28"/>
          <w:szCs w:val="28"/>
          <w:highlight w:val="none"/>
        </w:rPr>
        <w:t>招标范围、计划工期和质量要求</w:t>
      </w:r>
      <w:bookmarkEnd w:id="143"/>
      <w:bookmarkEnd w:id="144"/>
      <w:bookmarkEnd w:id="145"/>
      <w:bookmarkEnd w:id="146"/>
      <w:bookmarkEnd w:id="147"/>
      <w:bookmarkEnd w:id="148"/>
      <w:bookmarkEnd w:id="149"/>
      <w:bookmarkEnd w:id="150"/>
      <w:bookmarkEnd w:id="151"/>
      <w:bookmarkEnd w:id="152"/>
      <w:bookmarkEnd w:id="153"/>
    </w:p>
    <w:p w14:paraId="27C5B8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  本次招标范围：</w:t>
      </w:r>
      <w:r>
        <w:rPr>
          <w:rFonts w:hint="eastAsia" w:ascii="宋体" w:hAnsi="宋体"/>
          <w:color w:val="auto"/>
          <w:szCs w:val="21"/>
          <w:highlight w:val="none"/>
          <w:u w:val="single"/>
        </w:rPr>
        <w:t>见投标人须知前附表。</w:t>
      </w:r>
    </w:p>
    <w:p w14:paraId="181CDA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  本标段的计划工期：</w:t>
      </w:r>
      <w:r>
        <w:rPr>
          <w:rFonts w:hint="eastAsia" w:ascii="宋体" w:hAnsi="宋体"/>
          <w:color w:val="auto"/>
          <w:szCs w:val="21"/>
          <w:highlight w:val="none"/>
          <w:u w:val="single"/>
        </w:rPr>
        <w:t>见投标人须知前附表。</w:t>
      </w:r>
    </w:p>
    <w:p w14:paraId="502A3B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  本标段的质量要求：满足施工图设计和规范要求，达到合格标准。</w:t>
      </w:r>
    </w:p>
    <w:p w14:paraId="7D30D412">
      <w:pPr>
        <w:pStyle w:val="4"/>
        <w:spacing w:before="0" w:after="0" w:line="360" w:lineRule="auto"/>
        <w:rPr>
          <w:rFonts w:ascii="宋体" w:hAnsi="宋体"/>
          <w:color w:val="auto"/>
          <w:sz w:val="28"/>
          <w:szCs w:val="28"/>
          <w:highlight w:val="none"/>
        </w:rPr>
      </w:pPr>
      <w:bookmarkStart w:id="154" w:name="_Toc9811"/>
      <w:bookmarkStart w:id="155" w:name="_Toc488483467"/>
      <w:bookmarkStart w:id="156" w:name="_Toc488492826"/>
      <w:bookmarkStart w:id="157" w:name="_Toc382997658"/>
      <w:bookmarkStart w:id="158" w:name="_Toc234382594"/>
      <w:bookmarkStart w:id="159" w:name="_Toc383512683"/>
      <w:bookmarkStart w:id="160" w:name="_Toc28730"/>
      <w:bookmarkStart w:id="161" w:name="_Toc419825349"/>
      <w:bookmarkStart w:id="162" w:name="_Toc383006462"/>
      <w:bookmarkStart w:id="163" w:name="_Toc419724282"/>
      <w:bookmarkStart w:id="164" w:name="_Toc487653173"/>
      <w:bookmarkStart w:id="165" w:name="_Toc490832284"/>
      <w:bookmarkStart w:id="166" w:name="_Toc486685892"/>
      <w:bookmarkStart w:id="167" w:name="_Toc419825000"/>
      <w:bookmarkStart w:id="168" w:name="_Toc382997936"/>
      <w:bookmarkStart w:id="169" w:name="_Toc383012989"/>
      <w:bookmarkStart w:id="170" w:name="_Toc463799004"/>
      <w:bookmarkStart w:id="171" w:name="_Toc419729349"/>
      <w:bookmarkStart w:id="172" w:name="_Toc488483595"/>
      <w:r>
        <w:rPr>
          <w:rFonts w:ascii="宋体" w:hAnsi="宋体"/>
          <w:color w:val="auto"/>
          <w:sz w:val="28"/>
          <w:szCs w:val="28"/>
          <w:highlight w:val="none"/>
        </w:rPr>
        <w:t>1.4 投标人资格要求</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A2805A4">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1.4.1  投标人应具备承担本标段施工的资质条件、能力和信誉。</w:t>
      </w:r>
    </w:p>
    <w:p w14:paraId="22B32F42">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（1）资质最低条件：见投标人须知前附表。</w:t>
      </w:r>
    </w:p>
    <w:p w14:paraId="112D1D63">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（2）财务最低要求：见投标人须知前附表。</w:t>
      </w:r>
    </w:p>
    <w:p w14:paraId="18532DBE">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（3）业绩最低要求：见投标人须知前附表。</w:t>
      </w:r>
    </w:p>
    <w:p w14:paraId="1B86ACCB">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（4）信誉最低要求：见投标人须知前附表。</w:t>
      </w:r>
    </w:p>
    <w:p w14:paraId="166931A0">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（5）主要人员最低要求：见投标人须知前附表。</w:t>
      </w:r>
    </w:p>
    <w:p w14:paraId="4D2177C2">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（6）其他最低要求：见投标人须知前附表。</w:t>
      </w:r>
    </w:p>
    <w:p w14:paraId="01E6A364">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1.4.2  投标人须知前附表规定接受联合体投标的，除应符合本章第1.4.1 项的要求外，还应遵守以下规定：</w:t>
      </w:r>
    </w:p>
    <w:p w14:paraId="49504D0F">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（1）联合体各方应按招标文件提供的格式签订联合体协议书，明确联合体牵头人和各方权利义务；</w:t>
      </w:r>
    </w:p>
    <w:p w14:paraId="3BADF8F3">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（2）由同一专业的单位组成的联合体，按照资质等级较低的单位确定资质等级；</w:t>
      </w:r>
    </w:p>
    <w:p w14:paraId="17E78E51">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14:paraId="47BF1C45">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2E4819F">
      <w:pPr>
        <w:spacing w:line="320" w:lineRule="exact"/>
        <w:ind w:firstLine="420" w:firstLineChars="200"/>
        <w:rPr>
          <w:rFonts w:ascii="宋体" w:hAnsi="宋体"/>
          <w:color w:val="auto"/>
          <w:szCs w:val="21"/>
          <w:highlight w:val="none"/>
        </w:rPr>
      </w:pPr>
      <w:r>
        <w:rPr>
          <w:rFonts w:hint="eastAsia" w:ascii="宋体" w:hAnsi="宋体"/>
          <w:color w:val="auto"/>
          <w:szCs w:val="21"/>
          <w:highlight w:val="none"/>
        </w:rPr>
        <w:t>（5）尽管委任了联合体牵头人，但联合体各成员在投标、 签订合同与履行合同过程中，仍负有连带的和各自的法律责任。</w:t>
      </w:r>
    </w:p>
    <w:p w14:paraId="4DCAABFB">
      <w:pPr>
        <w:wordWrap w:val="0"/>
        <w:spacing w:line="320" w:lineRule="exact"/>
        <w:ind w:firstLine="420" w:firstLineChars="200"/>
        <w:rPr>
          <w:color w:val="auto"/>
          <w:szCs w:val="21"/>
          <w:highlight w:val="none"/>
        </w:rPr>
      </w:pPr>
      <w:r>
        <w:rPr>
          <w:rFonts w:hint="eastAsia"/>
          <w:color w:val="auto"/>
          <w:szCs w:val="21"/>
          <w:highlight w:val="none"/>
        </w:rPr>
        <w:t xml:space="preserve">1.4.3 </w:t>
      </w:r>
      <w:r>
        <w:rPr>
          <w:color w:val="auto"/>
          <w:szCs w:val="21"/>
          <w:highlight w:val="none"/>
        </w:rPr>
        <w:t>投标人（包括联合体各成员）不得与本标段相关单位存在下列关联关系：</w:t>
      </w:r>
    </w:p>
    <w:p w14:paraId="6E0C612E">
      <w:pPr>
        <w:wordWrap w:val="0"/>
        <w:spacing w:line="320" w:lineRule="exact"/>
        <w:ind w:firstLine="420" w:firstLineChars="200"/>
        <w:rPr>
          <w:color w:val="auto"/>
          <w:szCs w:val="21"/>
          <w:highlight w:val="none"/>
        </w:rPr>
      </w:pPr>
      <w:r>
        <w:rPr>
          <w:color w:val="auto"/>
          <w:szCs w:val="21"/>
          <w:highlight w:val="none"/>
        </w:rPr>
        <w:t xml:space="preserve">（1）为招标人不具有独立法人资格的附属机构（单位）； </w:t>
      </w:r>
    </w:p>
    <w:p w14:paraId="27C80A20">
      <w:pPr>
        <w:wordWrap w:val="0"/>
        <w:spacing w:line="320" w:lineRule="exact"/>
        <w:ind w:firstLine="420" w:firstLineChars="200"/>
        <w:rPr>
          <w:color w:val="auto"/>
          <w:szCs w:val="21"/>
          <w:highlight w:val="none"/>
        </w:rPr>
      </w:pPr>
      <w:r>
        <w:rPr>
          <w:color w:val="auto"/>
          <w:szCs w:val="21"/>
          <w:highlight w:val="none"/>
        </w:rPr>
        <w:t>（2）与招标人存在利害关系且可能影响招标公正性；</w:t>
      </w:r>
    </w:p>
    <w:p w14:paraId="030CEA11">
      <w:pPr>
        <w:wordWrap w:val="0"/>
        <w:spacing w:line="320" w:lineRule="exact"/>
        <w:ind w:firstLine="420" w:firstLineChars="200"/>
        <w:rPr>
          <w:color w:val="auto"/>
          <w:szCs w:val="21"/>
          <w:highlight w:val="none"/>
        </w:rPr>
      </w:pPr>
      <w:r>
        <w:rPr>
          <w:color w:val="auto"/>
          <w:szCs w:val="21"/>
          <w:highlight w:val="none"/>
        </w:rPr>
        <w:t>（3）与本标段的其他投标人同为一个单位负责人；</w:t>
      </w:r>
    </w:p>
    <w:p w14:paraId="5F42904A">
      <w:pPr>
        <w:wordWrap w:val="0"/>
        <w:spacing w:line="320" w:lineRule="exact"/>
        <w:ind w:firstLine="420" w:firstLineChars="200"/>
        <w:rPr>
          <w:color w:val="auto"/>
          <w:szCs w:val="21"/>
          <w:highlight w:val="none"/>
        </w:rPr>
      </w:pPr>
      <w:r>
        <w:rPr>
          <w:color w:val="auto"/>
          <w:szCs w:val="21"/>
          <w:highlight w:val="none"/>
        </w:rPr>
        <w:t>（4）与本标段的其他投标人存在控股、管理关系；</w:t>
      </w:r>
    </w:p>
    <w:p w14:paraId="7E2A5169">
      <w:pPr>
        <w:wordWrap w:val="0"/>
        <w:spacing w:line="320" w:lineRule="exact"/>
        <w:ind w:firstLine="420" w:firstLineChars="200"/>
        <w:rPr>
          <w:color w:val="auto"/>
          <w:szCs w:val="21"/>
          <w:highlight w:val="none"/>
        </w:rPr>
      </w:pPr>
      <w:r>
        <w:rPr>
          <w:color w:val="auto"/>
          <w:szCs w:val="21"/>
          <w:highlight w:val="none"/>
        </w:rPr>
        <w:t>（5）为本标段前期准备提供设计或咨询服务的法人或其任何附属机构（单位）；</w:t>
      </w:r>
    </w:p>
    <w:p w14:paraId="65B8E982">
      <w:pPr>
        <w:wordWrap w:val="0"/>
        <w:spacing w:line="320" w:lineRule="exact"/>
        <w:ind w:firstLine="420" w:firstLineChars="200"/>
        <w:rPr>
          <w:color w:val="auto"/>
          <w:szCs w:val="21"/>
          <w:highlight w:val="none"/>
        </w:rPr>
      </w:pPr>
      <w:r>
        <w:rPr>
          <w:color w:val="auto"/>
          <w:szCs w:val="21"/>
          <w:highlight w:val="none"/>
        </w:rPr>
        <w:t>（6）为本标段的监理人；</w:t>
      </w:r>
    </w:p>
    <w:p w14:paraId="4D80AF58">
      <w:pPr>
        <w:wordWrap w:val="0"/>
        <w:spacing w:line="320" w:lineRule="exact"/>
        <w:ind w:firstLine="420" w:firstLineChars="200"/>
        <w:rPr>
          <w:color w:val="auto"/>
          <w:szCs w:val="21"/>
          <w:highlight w:val="none"/>
        </w:rPr>
      </w:pPr>
      <w:r>
        <w:rPr>
          <w:color w:val="auto"/>
          <w:szCs w:val="21"/>
          <w:highlight w:val="none"/>
        </w:rPr>
        <w:t>（7）为本标段的代建人；</w:t>
      </w:r>
    </w:p>
    <w:p w14:paraId="21438343">
      <w:pPr>
        <w:wordWrap w:val="0"/>
        <w:spacing w:line="320" w:lineRule="exact"/>
        <w:ind w:firstLine="420" w:firstLineChars="200"/>
        <w:rPr>
          <w:color w:val="auto"/>
          <w:szCs w:val="21"/>
          <w:highlight w:val="none"/>
        </w:rPr>
      </w:pPr>
      <w:r>
        <w:rPr>
          <w:color w:val="auto"/>
          <w:szCs w:val="21"/>
          <w:highlight w:val="none"/>
        </w:rPr>
        <w:t>（8）为本标段的招标代理机构；</w:t>
      </w:r>
    </w:p>
    <w:p w14:paraId="0FCD0247">
      <w:pPr>
        <w:wordWrap w:val="0"/>
        <w:spacing w:line="320" w:lineRule="exact"/>
        <w:ind w:firstLine="420" w:firstLineChars="200"/>
        <w:rPr>
          <w:color w:val="auto"/>
          <w:szCs w:val="21"/>
          <w:highlight w:val="none"/>
        </w:rPr>
      </w:pPr>
      <w:r>
        <w:rPr>
          <w:color w:val="auto"/>
          <w:szCs w:val="21"/>
          <w:highlight w:val="none"/>
        </w:rPr>
        <w:t>（9）与本标段的监理人或代建人或招标代理机构</w:t>
      </w:r>
      <w:r>
        <w:rPr>
          <w:rFonts w:hint="eastAsia"/>
          <w:color w:val="auto"/>
          <w:szCs w:val="21"/>
          <w:highlight w:val="none"/>
        </w:rPr>
        <w:t>或发布本公告的交易系统开发单位</w:t>
      </w:r>
      <w:r>
        <w:rPr>
          <w:color w:val="auto"/>
          <w:szCs w:val="21"/>
          <w:highlight w:val="none"/>
        </w:rPr>
        <w:t>同为一个法定代表人；</w:t>
      </w:r>
    </w:p>
    <w:p w14:paraId="46975CE3">
      <w:pPr>
        <w:wordWrap w:val="0"/>
        <w:spacing w:line="320" w:lineRule="exact"/>
        <w:ind w:firstLine="420" w:firstLineChars="200"/>
        <w:rPr>
          <w:color w:val="auto"/>
          <w:szCs w:val="21"/>
          <w:highlight w:val="none"/>
        </w:rPr>
      </w:pPr>
      <w:r>
        <w:rPr>
          <w:color w:val="auto"/>
          <w:szCs w:val="21"/>
          <w:highlight w:val="none"/>
        </w:rPr>
        <w:t>（10）与本标段的监理人或代建人或招标代理机构</w:t>
      </w:r>
      <w:r>
        <w:rPr>
          <w:rFonts w:hint="eastAsia"/>
          <w:color w:val="auto"/>
          <w:szCs w:val="21"/>
          <w:highlight w:val="none"/>
        </w:rPr>
        <w:t>或发布本公告的交易系统开发单位</w:t>
      </w:r>
      <w:r>
        <w:rPr>
          <w:color w:val="auto"/>
          <w:szCs w:val="21"/>
          <w:highlight w:val="none"/>
        </w:rPr>
        <w:t>存在控股或参股关系；</w:t>
      </w:r>
    </w:p>
    <w:p w14:paraId="1D44454D">
      <w:pPr>
        <w:wordWrap w:val="0"/>
        <w:spacing w:line="320" w:lineRule="exact"/>
        <w:ind w:firstLine="420" w:firstLineChars="200"/>
        <w:rPr>
          <w:color w:val="auto"/>
          <w:szCs w:val="21"/>
          <w:highlight w:val="none"/>
        </w:rPr>
      </w:pPr>
      <w:r>
        <w:rPr>
          <w:color w:val="auto"/>
          <w:szCs w:val="21"/>
          <w:highlight w:val="none"/>
        </w:rPr>
        <w:t>（11）法律法规或投标人须知前附表规定的其他情形。</w:t>
      </w:r>
    </w:p>
    <w:p w14:paraId="1580A7C6">
      <w:pPr>
        <w:wordWrap w:val="0"/>
        <w:spacing w:line="320" w:lineRule="exact"/>
        <w:ind w:firstLine="420" w:firstLineChars="200"/>
        <w:rPr>
          <w:color w:val="auto"/>
          <w:szCs w:val="21"/>
          <w:highlight w:val="none"/>
        </w:rPr>
      </w:pPr>
      <w:r>
        <w:rPr>
          <w:rFonts w:hint="eastAsia"/>
          <w:color w:val="auto"/>
          <w:szCs w:val="21"/>
          <w:highlight w:val="none"/>
        </w:rPr>
        <w:t xml:space="preserve">1.4.4  </w:t>
      </w:r>
      <w:r>
        <w:rPr>
          <w:color w:val="auto"/>
          <w:szCs w:val="21"/>
          <w:highlight w:val="none"/>
        </w:rPr>
        <w:t>投标人（包括联合体各成员）不得存在下列不良状况或不良信用记录：</w:t>
      </w:r>
    </w:p>
    <w:p w14:paraId="71BEFB06">
      <w:pPr>
        <w:wordWrap w:val="0"/>
        <w:spacing w:line="320" w:lineRule="exact"/>
        <w:ind w:firstLine="420" w:firstLineChars="200"/>
        <w:rPr>
          <w:color w:val="auto"/>
          <w:szCs w:val="21"/>
          <w:highlight w:val="none"/>
        </w:rPr>
      </w:pPr>
      <w:r>
        <w:rPr>
          <w:color w:val="auto"/>
          <w:szCs w:val="21"/>
          <w:highlight w:val="none"/>
        </w:rPr>
        <w:t>（1）</w:t>
      </w:r>
      <w:r>
        <w:rPr>
          <w:rFonts w:hint="eastAsia"/>
          <w:color w:val="auto"/>
          <w:szCs w:val="21"/>
          <w:highlight w:val="none"/>
        </w:rPr>
        <w:t>被交通运输部或福建省交通运输厅取消招标项目所在地的投标资格且处于有效期内</w:t>
      </w:r>
      <w:r>
        <w:rPr>
          <w:color w:val="auto"/>
          <w:szCs w:val="21"/>
          <w:highlight w:val="none"/>
        </w:rPr>
        <w:t>；</w:t>
      </w:r>
    </w:p>
    <w:p w14:paraId="52E9FDEB">
      <w:pPr>
        <w:wordWrap w:val="0"/>
        <w:spacing w:line="320" w:lineRule="exact"/>
        <w:ind w:firstLine="420" w:firstLineChars="200"/>
        <w:rPr>
          <w:color w:val="auto"/>
          <w:szCs w:val="21"/>
          <w:highlight w:val="none"/>
        </w:rPr>
      </w:pPr>
      <w:r>
        <w:rPr>
          <w:color w:val="auto"/>
          <w:szCs w:val="21"/>
          <w:highlight w:val="none"/>
        </w:rPr>
        <w:t>（2）被责令停业，暂扣或吊销执照，或吊销资质证书；</w:t>
      </w:r>
    </w:p>
    <w:p w14:paraId="6EC15A62">
      <w:pPr>
        <w:wordWrap w:val="0"/>
        <w:spacing w:line="320" w:lineRule="exact"/>
        <w:ind w:firstLine="420" w:firstLineChars="200"/>
        <w:rPr>
          <w:color w:val="auto"/>
          <w:szCs w:val="21"/>
          <w:highlight w:val="none"/>
        </w:rPr>
      </w:pPr>
      <w:r>
        <w:rPr>
          <w:color w:val="auto"/>
          <w:szCs w:val="21"/>
          <w:highlight w:val="none"/>
        </w:rPr>
        <w:t>（3）进入清算程序，或被宣告破产，或其他丧失履约能力的情形；</w:t>
      </w:r>
    </w:p>
    <w:p w14:paraId="69D1D4F6">
      <w:pPr>
        <w:wordWrap w:val="0"/>
        <w:spacing w:line="320" w:lineRule="exact"/>
        <w:ind w:firstLine="420" w:firstLineChars="200"/>
        <w:rPr>
          <w:color w:val="auto"/>
          <w:szCs w:val="21"/>
          <w:highlight w:val="none"/>
        </w:rPr>
      </w:pPr>
      <w:r>
        <w:rPr>
          <w:color w:val="auto"/>
          <w:szCs w:val="21"/>
          <w:highlight w:val="none"/>
        </w:rPr>
        <w:t>（4）在国家企业信用信息公示系统（http://www.gsxt.gov.cn/）中被列入严重违法失信企业名单；</w:t>
      </w:r>
    </w:p>
    <w:p w14:paraId="53E0CA93">
      <w:pPr>
        <w:wordWrap w:val="0"/>
        <w:spacing w:line="320" w:lineRule="exact"/>
        <w:ind w:firstLine="420" w:firstLineChars="200"/>
        <w:rPr>
          <w:color w:val="auto"/>
          <w:szCs w:val="21"/>
          <w:highlight w:val="none"/>
        </w:rPr>
      </w:pPr>
      <w:r>
        <w:rPr>
          <w:color w:val="auto"/>
          <w:szCs w:val="21"/>
          <w:highlight w:val="none"/>
        </w:rPr>
        <w:t>（5）在</w:t>
      </w:r>
      <w:r>
        <w:rPr>
          <w:rFonts w:hint="eastAsia"/>
          <w:color w:val="auto"/>
          <w:szCs w:val="21"/>
          <w:highlight w:val="none"/>
        </w:rPr>
        <w:t>“</w:t>
      </w:r>
      <w:r>
        <w:rPr>
          <w:color w:val="auto"/>
          <w:szCs w:val="21"/>
          <w:highlight w:val="none"/>
        </w:rPr>
        <w:t>信用中国</w:t>
      </w:r>
      <w:r>
        <w:rPr>
          <w:rFonts w:hint="eastAsia"/>
          <w:color w:val="auto"/>
          <w:szCs w:val="21"/>
          <w:highlight w:val="none"/>
        </w:rPr>
        <w:t>”</w:t>
      </w:r>
      <w:r>
        <w:rPr>
          <w:color w:val="auto"/>
          <w:szCs w:val="21"/>
          <w:highlight w:val="none"/>
        </w:rPr>
        <w:t>网站（http://www.creditchina.gov.cn/）</w:t>
      </w:r>
      <w:r>
        <w:rPr>
          <w:rFonts w:hint="eastAsia"/>
          <w:color w:val="auto"/>
          <w:szCs w:val="21"/>
          <w:highlight w:val="none"/>
        </w:rPr>
        <w:t>或“中国执行信息公开网”网站（http://zxgk.court.gov.cn/shixin/）</w:t>
      </w:r>
      <w:r>
        <w:rPr>
          <w:color w:val="auto"/>
          <w:szCs w:val="21"/>
          <w:highlight w:val="none"/>
        </w:rPr>
        <w:t>中被列入失信被执行人名单；</w:t>
      </w:r>
    </w:p>
    <w:p w14:paraId="6AFECFC4">
      <w:pPr>
        <w:wordWrap w:val="0"/>
        <w:spacing w:line="320" w:lineRule="exact"/>
        <w:ind w:firstLine="420" w:firstLineChars="200"/>
        <w:rPr>
          <w:color w:val="auto"/>
          <w:szCs w:val="21"/>
          <w:highlight w:val="none"/>
        </w:rPr>
      </w:pPr>
      <w:r>
        <w:rPr>
          <w:color w:val="auto"/>
          <w:szCs w:val="21"/>
          <w:highlight w:val="none"/>
        </w:rPr>
        <w:t>（6）投标人或其法定代表人、拟委任的项目经理在近三年内有行贿犯罪行为的</w:t>
      </w:r>
      <w:r>
        <w:rPr>
          <w:rFonts w:hint="eastAsia"/>
          <w:color w:val="auto"/>
          <w:szCs w:val="21"/>
          <w:highlight w:val="none"/>
        </w:rPr>
        <w:t>（行为犯罪行为的认定以投标人提交的“无</w:t>
      </w:r>
      <w:r>
        <w:rPr>
          <w:rFonts w:hint="eastAsia"/>
          <w:color w:val="auto"/>
          <w:szCs w:val="21"/>
          <w:highlight w:val="none"/>
          <w:lang w:val="en-US" w:eastAsia="zh-CN"/>
        </w:rPr>
        <w:t>行</w:t>
      </w:r>
      <w:r>
        <w:rPr>
          <w:rFonts w:hint="eastAsia"/>
          <w:color w:val="auto"/>
          <w:szCs w:val="21"/>
          <w:highlight w:val="none"/>
        </w:rPr>
        <w:t>贿犯罪记录承诺书”为准）</w:t>
      </w:r>
      <w:r>
        <w:rPr>
          <w:color w:val="auto"/>
          <w:szCs w:val="21"/>
          <w:highlight w:val="none"/>
        </w:rPr>
        <w:t>；</w:t>
      </w:r>
    </w:p>
    <w:p w14:paraId="12DDF155">
      <w:pPr>
        <w:wordWrap w:val="0"/>
        <w:spacing w:line="320" w:lineRule="exact"/>
        <w:ind w:firstLine="420" w:firstLineChars="200"/>
        <w:rPr>
          <w:color w:val="auto"/>
          <w:szCs w:val="21"/>
          <w:highlight w:val="none"/>
        </w:rPr>
      </w:pPr>
      <w:r>
        <w:rPr>
          <w:color w:val="auto"/>
          <w:szCs w:val="21"/>
          <w:highlight w:val="none"/>
        </w:rPr>
        <w:t>（7）法律法规或投标人须知前附表规定的其他情形。</w:t>
      </w:r>
    </w:p>
    <w:p w14:paraId="5320BBBE">
      <w:pPr>
        <w:spacing w:line="360" w:lineRule="auto"/>
        <w:ind w:firstLine="420" w:firstLineChars="200"/>
        <w:rPr>
          <w:rFonts w:ascii="宋体" w:hAnsi="宋体"/>
          <w:color w:val="auto"/>
          <w:szCs w:val="21"/>
          <w:highlight w:val="none"/>
        </w:rPr>
      </w:pPr>
    </w:p>
    <w:p w14:paraId="7056C532">
      <w:pPr>
        <w:pStyle w:val="4"/>
        <w:spacing w:before="0" w:after="0" w:line="360" w:lineRule="auto"/>
        <w:rPr>
          <w:rFonts w:ascii="宋体" w:hAnsi="宋体"/>
          <w:color w:val="auto"/>
          <w:sz w:val="28"/>
          <w:szCs w:val="28"/>
          <w:highlight w:val="none"/>
        </w:rPr>
      </w:pPr>
      <w:bookmarkStart w:id="173" w:name="_Toc383012990"/>
      <w:bookmarkStart w:id="174" w:name="_Toc1226"/>
      <w:bookmarkStart w:id="175" w:name="_Toc487653174"/>
      <w:bookmarkStart w:id="176" w:name="_Toc419825001"/>
      <w:bookmarkStart w:id="177" w:name="_Toc383006463"/>
      <w:bookmarkStart w:id="178" w:name="_Toc419825350"/>
      <w:bookmarkStart w:id="179" w:name="_Toc234382595"/>
      <w:bookmarkStart w:id="180" w:name="_Toc488483596"/>
      <w:bookmarkStart w:id="181" w:name="_Toc419724283"/>
      <w:bookmarkStart w:id="182" w:name="_Toc382997937"/>
      <w:bookmarkStart w:id="183" w:name="_Toc382997659"/>
      <w:bookmarkStart w:id="184" w:name="_Toc490832285"/>
      <w:bookmarkStart w:id="185" w:name="_Toc463799005"/>
      <w:bookmarkStart w:id="186" w:name="_Toc488492827"/>
      <w:bookmarkStart w:id="187" w:name="_Toc419729350"/>
      <w:bookmarkStart w:id="188" w:name="_Toc383512684"/>
      <w:bookmarkStart w:id="189" w:name="_Toc486685893"/>
      <w:bookmarkStart w:id="190" w:name="_Toc16208"/>
      <w:bookmarkStart w:id="191" w:name="_Toc488483468"/>
      <w:r>
        <w:rPr>
          <w:rFonts w:ascii="宋体" w:hAnsi="宋体"/>
          <w:color w:val="auto"/>
          <w:sz w:val="28"/>
          <w:szCs w:val="28"/>
          <w:highlight w:val="none"/>
        </w:rPr>
        <w:t xml:space="preserve">1.5 </w:t>
      </w:r>
      <w:r>
        <w:rPr>
          <w:rFonts w:hint="eastAsia" w:ascii="宋体" w:hAnsi="宋体"/>
          <w:color w:val="auto"/>
          <w:sz w:val="28"/>
          <w:szCs w:val="28"/>
          <w:highlight w:val="none"/>
        </w:rPr>
        <w:t>投标人</w:t>
      </w:r>
      <w:r>
        <w:rPr>
          <w:rFonts w:ascii="宋体" w:hAnsi="宋体"/>
          <w:color w:val="auto"/>
          <w:sz w:val="28"/>
          <w:szCs w:val="28"/>
          <w:highlight w:val="none"/>
        </w:rPr>
        <w:t>费用</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ascii="宋体" w:hAnsi="宋体"/>
          <w:color w:val="auto"/>
          <w:sz w:val="28"/>
          <w:szCs w:val="28"/>
          <w:highlight w:val="none"/>
        </w:rPr>
        <w:t xml:space="preserve"> </w:t>
      </w:r>
    </w:p>
    <w:p w14:paraId="6B3C4ED0">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投标人准备和参加投标活动发生的费用自理。</w:t>
      </w:r>
    </w:p>
    <w:p w14:paraId="02BCF11A">
      <w:pPr>
        <w:pStyle w:val="4"/>
        <w:spacing w:before="0" w:after="0" w:line="360" w:lineRule="auto"/>
        <w:rPr>
          <w:rFonts w:ascii="宋体" w:hAnsi="宋体"/>
          <w:color w:val="auto"/>
          <w:sz w:val="28"/>
          <w:szCs w:val="28"/>
          <w:highlight w:val="none"/>
        </w:rPr>
      </w:pPr>
      <w:bookmarkStart w:id="192" w:name="_Toc17130"/>
      <w:bookmarkStart w:id="193" w:name="_Toc419729351"/>
      <w:bookmarkStart w:id="194" w:name="_Toc382997938"/>
      <w:bookmarkStart w:id="195" w:name="_Toc486685894"/>
      <w:bookmarkStart w:id="196" w:name="_Toc383006464"/>
      <w:bookmarkStart w:id="197" w:name="_Toc488492828"/>
      <w:bookmarkStart w:id="198" w:name="_Toc383512685"/>
      <w:bookmarkStart w:id="199" w:name="_Toc488483597"/>
      <w:bookmarkStart w:id="200" w:name="_Toc487653175"/>
      <w:bookmarkStart w:id="201" w:name="_Toc382997660"/>
      <w:bookmarkStart w:id="202" w:name="_Toc488483469"/>
      <w:bookmarkStart w:id="203" w:name="_Toc16550"/>
      <w:bookmarkStart w:id="204" w:name="_Toc463799006"/>
      <w:bookmarkStart w:id="205" w:name="_Toc490832286"/>
      <w:bookmarkStart w:id="206" w:name="_Toc383012991"/>
      <w:bookmarkStart w:id="207" w:name="_Toc234382596"/>
      <w:bookmarkStart w:id="208" w:name="_Toc419825351"/>
      <w:bookmarkStart w:id="209" w:name="_Toc419825002"/>
      <w:bookmarkStart w:id="210" w:name="_Toc419724284"/>
      <w:r>
        <w:rPr>
          <w:rFonts w:ascii="宋体" w:hAnsi="宋体"/>
          <w:color w:val="auto"/>
          <w:sz w:val="28"/>
          <w:szCs w:val="28"/>
          <w:highlight w:val="none"/>
        </w:rPr>
        <w:t>1.6 保密</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279F30C">
      <w:pPr>
        <w:spacing w:line="360" w:lineRule="auto"/>
        <w:ind w:firstLine="420" w:firstLineChars="200"/>
        <w:rPr>
          <w:rFonts w:ascii="宋体" w:hAnsi="宋体"/>
          <w:color w:val="auto"/>
          <w:szCs w:val="21"/>
          <w:highlight w:val="none"/>
        </w:rPr>
      </w:pPr>
      <w:r>
        <w:rPr>
          <w:rFonts w:ascii="宋体" w:hAnsi="宋体"/>
          <w:color w:val="auto"/>
          <w:szCs w:val="21"/>
          <w:highlight w:val="none"/>
        </w:rPr>
        <w:t>参与招标投标活动的各方应对招标文件和投标文件中的商业和技术等秘密保密</w:t>
      </w:r>
      <w:r>
        <w:rPr>
          <w:rFonts w:hint="eastAsia" w:ascii="宋体" w:hAnsi="宋体"/>
          <w:color w:val="auto"/>
          <w:szCs w:val="21"/>
          <w:highlight w:val="none"/>
        </w:rPr>
        <w:t>,</w:t>
      </w:r>
      <w:r>
        <w:rPr>
          <w:rFonts w:ascii="宋体" w:hAnsi="宋体"/>
          <w:color w:val="auto"/>
          <w:szCs w:val="21"/>
          <w:highlight w:val="none"/>
        </w:rPr>
        <w:t>违者应对由此造成的后果承担法律责任。</w:t>
      </w:r>
    </w:p>
    <w:p w14:paraId="46D94E32">
      <w:pPr>
        <w:pStyle w:val="4"/>
        <w:spacing w:before="0" w:after="0" w:line="360" w:lineRule="auto"/>
        <w:rPr>
          <w:rFonts w:ascii="宋体" w:hAnsi="宋体"/>
          <w:color w:val="auto"/>
          <w:sz w:val="28"/>
          <w:szCs w:val="28"/>
          <w:highlight w:val="none"/>
        </w:rPr>
      </w:pPr>
      <w:bookmarkStart w:id="211" w:name="_Toc488483470"/>
      <w:bookmarkStart w:id="212" w:name="_Toc382997661"/>
      <w:bookmarkStart w:id="213" w:name="_Toc419729352"/>
      <w:bookmarkStart w:id="214" w:name="_Toc488483598"/>
      <w:bookmarkStart w:id="215" w:name="_Toc234382597"/>
      <w:bookmarkStart w:id="216" w:name="_Toc382997939"/>
      <w:bookmarkStart w:id="217" w:name="_Toc463799007"/>
      <w:bookmarkStart w:id="218" w:name="_Toc18554"/>
      <w:bookmarkStart w:id="219" w:name="_Toc5243"/>
      <w:bookmarkStart w:id="220" w:name="_Toc486685895"/>
      <w:bookmarkStart w:id="221" w:name="_Toc490832287"/>
      <w:bookmarkStart w:id="222" w:name="_Toc419825003"/>
      <w:bookmarkStart w:id="223" w:name="_Toc383006465"/>
      <w:bookmarkStart w:id="224" w:name="_Toc383512686"/>
      <w:bookmarkStart w:id="225" w:name="_Toc488492829"/>
      <w:bookmarkStart w:id="226" w:name="_Toc419724285"/>
      <w:bookmarkStart w:id="227" w:name="_Toc383012992"/>
      <w:bookmarkStart w:id="228" w:name="_Toc487653176"/>
      <w:bookmarkStart w:id="229" w:name="_Toc419825352"/>
      <w:r>
        <w:rPr>
          <w:rFonts w:ascii="宋体" w:hAnsi="宋体"/>
          <w:color w:val="auto"/>
          <w:sz w:val="28"/>
          <w:szCs w:val="28"/>
          <w:highlight w:val="none"/>
        </w:rPr>
        <w:t>1.7 语言文字</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7CCCFAC2">
      <w:pPr>
        <w:spacing w:line="360" w:lineRule="auto"/>
        <w:ind w:firstLine="420" w:firstLineChars="200"/>
        <w:rPr>
          <w:rFonts w:ascii="宋体" w:hAnsi="宋体"/>
          <w:color w:val="auto"/>
          <w:szCs w:val="21"/>
          <w:highlight w:val="none"/>
        </w:rPr>
      </w:pPr>
      <w:r>
        <w:rPr>
          <w:rFonts w:ascii="宋体" w:hAnsi="宋体"/>
          <w:color w:val="auto"/>
          <w:szCs w:val="21"/>
          <w:highlight w:val="none"/>
        </w:rPr>
        <w:t>除专用术语外</w:t>
      </w:r>
      <w:r>
        <w:rPr>
          <w:rFonts w:hint="eastAsia" w:ascii="宋体" w:hAnsi="宋体"/>
          <w:color w:val="auto"/>
          <w:szCs w:val="21"/>
          <w:highlight w:val="none"/>
        </w:rPr>
        <w:t>,</w:t>
      </w:r>
      <w:r>
        <w:rPr>
          <w:rFonts w:ascii="宋体" w:hAnsi="宋体"/>
          <w:color w:val="auto"/>
          <w:szCs w:val="21"/>
          <w:highlight w:val="none"/>
        </w:rPr>
        <w:t>与招标投标有关的语言均使用中文。必要时专用术语应附有中文注释。</w:t>
      </w:r>
    </w:p>
    <w:p w14:paraId="3F2AF2D2">
      <w:pPr>
        <w:pStyle w:val="4"/>
        <w:spacing w:before="0" w:after="0" w:line="360" w:lineRule="auto"/>
        <w:rPr>
          <w:rFonts w:ascii="宋体" w:hAnsi="宋体"/>
          <w:color w:val="auto"/>
          <w:sz w:val="28"/>
          <w:szCs w:val="28"/>
          <w:highlight w:val="none"/>
        </w:rPr>
      </w:pPr>
      <w:bookmarkStart w:id="230" w:name="_Toc419825353"/>
      <w:bookmarkStart w:id="231" w:name="_Toc234382598"/>
      <w:bookmarkStart w:id="232" w:name="_Toc6954"/>
      <w:bookmarkStart w:id="233" w:name="_Toc490832288"/>
      <w:bookmarkStart w:id="234" w:name="_Toc488483599"/>
      <w:bookmarkStart w:id="235" w:name="_Toc488483471"/>
      <w:bookmarkStart w:id="236" w:name="_Toc383012993"/>
      <w:bookmarkStart w:id="237" w:name="_Toc419825004"/>
      <w:bookmarkStart w:id="238" w:name="_Toc488492830"/>
      <w:bookmarkStart w:id="239" w:name="_Toc382997662"/>
      <w:bookmarkStart w:id="240" w:name="_Toc383512687"/>
      <w:bookmarkStart w:id="241" w:name="_Toc487653177"/>
      <w:bookmarkStart w:id="242" w:name="_Toc383006466"/>
      <w:bookmarkStart w:id="243" w:name="_Toc419729353"/>
      <w:bookmarkStart w:id="244" w:name="_Toc7654"/>
      <w:bookmarkStart w:id="245" w:name="_Toc486685896"/>
      <w:bookmarkStart w:id="246" w:name="_Toc419724286"/>
      <w:bookmarkStart w:id="247" w:name="_Toc382997940"/>
      <w:bookmarkStart w:id="248" w:name="_Toc463799008"/>
      <w:r>
        <w:rPr>
          <w:rFonts w:ascii="宋体" w:hAnsi="宋体"/>
          <w:color w:val="auto"/>
          <w:sz w:val="28"/>
          <w:szCs w:val="28"/>
          <w:highlight w:val="none"/>
        </w:rPr>
        <w:t>1.8 计量单位</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7981D02">
      <w:pPr>
        <w:spacing w:line="360" w:lineRule="auto"/>
        <w:ind w:firstLine="420" w:firstLineChars="200"/>
        <w:rPr>
          <w:rFonts w:ascii="宋体" w:hAnsi="宋体"/>
          <w:color w:val="auto"/>
          <w:szCs w:val="21"/>
          <w:highlight w:val="none"/>
        </w:rPr>
      </w:pPr>
      <w:r>
        <w:rPr>
          <w:rFonts w:ascii="宋体" w:hAnsi="宋体"/>
          <w:color w:val="auto"/>
          <w:szCs w:val="21"/>
          <w:highlight w:val="none"/>
        </w:rPr>
        <w:t>所有计量均采用中华人民共和国法定计量单位。</w:t>
      </w:r>
    </w:p>
    <w:p w14:paraId="266C7C15">
      <w:pPr>
        <w:pStyle w:val="4"/>
        <w:spacing w:before="0" w:after="0" w:line="360" w:lineRule="auto"/>
        <w:rPr>
          <w:rFonts w:ascii="宋体" w:hAnsi="宋体"/>
          <w:color w:val="auto"/>
          <w:sz w:val="28"/>
          <w:szCs w:val="28"/>
          <w:highlight w:val="none"/>
        </w:rPr>
      </w:pPr>
      <w:bookmarkStart w:id="249" w:name="_Toc419825354"/>
      <w:bookmarkStart w:id="250" w:name="_Toc30532"/>
      <w:bookmarkStart w:id="251" w:name="_Toc488483472"/>
      <w:bookmarkStart w:id="252" w:name="_Toc486685897"/>
      <w:bookmarkStart w:id="253" w:name="_Toc419729354"/>
      <w:bookmarkStart w:id="254" w:name="_Toc383006467"/>
      <w:bookmarkStart w:id="255" w:name="_Toc463799009"/>
      <w:bookmarkStart w:id="256" w:name="_Toc488492831"/>
      <w:bookmarkStart w:id="257" w:name="_Toc487653178"/>
      <w:bookmarkStart w:id="258" w:name="_Toc234382599"/>
      <w:bookmarkStart w:id="259" w:name="_Toc490832289"/>
      <w:bookmarkStart w:id="260" w:name="_Toc419724287"/>
      <w:bookmarkStart w:id="261" w:name="_Toc383512688"/>
      <w:bookmarkStart w:id="262" w:name="_Toc383012994"/>
      <w:bookmarkStart w:id="263" w:name="_Toc382997941"/>
      <w:bookmarkStart w:id="264" w:name="_Toc382997663"/>
      <w:bookmarkStart w:id="265" w:name="_Toc26045"/>
      <w:bookmarkStart w:id="266" w:name="_Toc419825005"/>
      <w:bookmarkStart w:id="267" w:name="_Toc488483600"/>
      <w:r>
        <w:rPr>
          <w:rFonts w:ascii="宋体" w:hAnsi="宋体"/>
          <w:color w:val="auto"/>
          <w:sz w:val="28"/>
          <w:szCs w:val="28"/>
          <w:highlight w:val="none"/>
        </w:rPr>
        <w:t>1.9 踏勘现场</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36976E1">
      <w:pPr>
        <w:wordWrap w:val="0"/>
        <w:spacing w:line="360" w:lineRule="exact"/>
        <w:ind w:firstLine="420" w:firstLineChars="200"/>
        <w:rPr>
          <w:color w:val="auto"/>
          <w:szCs w:val="21"/>
          <w:highlight w:val="none"/>
        </w:rPr>
      </w:pPr>
      <w:r>
        <w:rPr>
          <w:color w:val="auto"/>
          <w:szCs w:val="21"/>
          <w:highlight w:val="none"/>
        </w:rPr>
        <w:t>1.9.1</w:t>
      </w:r>
      <w:r>
        <w:rPr>
          <w:rFonts w:hint="eastAsia"/>
          <w:color w:val="auto"/>
          <w:szCs w:val="21"/>
          <w:highlight w:val="none"/>
        </w:rPr>
        <w:t xml:space="preserve"> 本次招标</w:t>
      </w:r>
      <w:r>
        <w:rPr>
          <w:rFonts w:hint="eastAsia"/>
          <w:color w:val="auto"/>
          <w:szCs w:val="21"/>
          <w:highlight w:val="none"/>
          <w:u w:val="single"/>
        </w:rPr>
        <w:t>不组织</w:t>
      </w:r>
      <w:r>
        <w:rPr>
          <w:rFonts w:hint="eastAsia"/>
          <w:color w:val="auto"/>
          <w:szCs w:val="21"/>
          <w:highlight w:val="none"/>
        </w:rPr>
        <w:t>踏勘现场。</w:t>
      </w:r>
      <w:r>
        <w:rPr>
          <w:color w:val="auto"/>
          <w:szCs w:val="21"/>
          <w:highlight w:val="none"/>
        </w:rPr>
        <w:t xml:space="preserve"> </w:t>
      </w:r>
    </w:p>
    <w:p w14:paraId="7957F949">
      <w:pPr>
        <w:wordWrap w:val="0"/>
        <w:spacing w:line="360" w:lineRule="exact"/>
        <w:ind w:firstLine="420" w:firstLineChars="200"/>
        <w:rPr>
          <w:color w:val="auto"/>
          <w:szCs w:val="21"/>
          <w:highlight w:val="none"/>
        </w:rPr>
      </w:pPr>
      <w:r>
        <w:rPr>
          <w:color w:val="auto"/>
          <w:szCs w:val="21"/>
          <w:highlight w:val="none"/>
        </w:rPr>
        <w:t xml:space="preserve">1.9.2 </w:t>
      </w:r>
      <w:r>
        <w:rPr>
          <w:rFonts w:hint="eastAsia"/>
          <w:color w:val="auto"/>
          <w:szCs w:val="21"/>
          <w:highlight w:val="none"/>
        </w:rPr>
        <w:t>投标人可自行踏勘现场，所发生的费用自理。</w:t>
      </w:r>
    </w:p>
    <w:p w14:paraId="7016C20B">
      <w:pPr>
        <w:wordWrap w:val="0"/>
        <w:spacing w:line="360" w:lineRule="exact"/>
        <w:ind w:firstLine="420" w:firstLineChars="200"/>
        <w:rPr>
          <w:color w:val="auto"/>
          <w:szCs w:val="21"/>
          <w:highlight w:val="none"/>
        </w:rPr>
      </w:pPr>
      <w:r>
        <w:rPr>
          <w:color w:val="auto"/>
          <w:szCs w:val="21"/>
          <w:highlight w:val="none"/>
        </w:rPr>
        <w:t>1.9.3</w:t>
      </w:r>
      <w:r>
        <w:rPr>
          <w:rFonts w:hint="eastAsia"/>
          <w:color w:val="auto"/>
          <w:szCs w:val="21"/>
          <w:highlight w:val="none"/>
        </w:rPr>
        <w:t>投标人自行负责在踏勘现场中所发生的人员伤亡和财产损失。</w:t>
      </w:r>
    </w:p>
    <w:p w14:paraId="1D930C13">
      <w:pPr>
        <w:pStyle w:val="4"/>
        <w:spacing w:before="0" w:after="0" w:line="360" w:lineRule="auto"/>
        <w:rPr>
          <w:rFonts w:ascii="宋体" w:hAnsi="宋体"/>
          <w:color w:val="auto"/>
          <w:sz w:val="28"/>
          <w:szCs w:val="28"/>
          <w:highlight w:val="none"/>
        </w:rPr>
      </w:pPr>
      <w:bookmarkStart w:id="268" w:name="_Toc488492832"/>
      <w:bookmarkStart w:id="269" w:name="_Toc488483601"/>
      <w:bookmarkStart w:id="270" w:name="_Toc490832290"/>
      <w:bookmarkStart w:id="271" w:name="_Toc419825006"/>
      <w:bookmarkStart w:id="272" w:name="_Toc383012995"/>
      <w:bookmarkStart w:id="273" w:name="_Toc234382600"/>
      <w:bookmarkStart w:id="274" w:name="_Toc383006468"/>
      <w:bookmarkStart w:id="275" w:name="_Toc488483473"/>
      <w:bookmarkStart w:id="276" w:name="_Toc382997664"/>
      <w:bookmarkStart w:id="277" w:name="_Toc382997942"/>
      <w:bookmarkStart w:id="278" w:name="_Toc487653179"/>
      <w:bookmarkStart w:id="279" w:name="_Toc419729355"/>
      <w:bookmarkStart w:id="280" w:name="_Toc419825355"/>
      <w:bookmarkStart w:id="281" w:name="_Toc28277"/>
      <w:bookmarkStart w:id="282" w:name="_Toc463799010"/>
      <w:bookmarkStart w:id="283" w:name="_Toc419724288"/>
      <w:bookmarkStart w:id="284" w:name="_Toc486685898"/>
      <w:bookmarkStart w:id="285" w:name="_Toc1684"/>
      <w:bookmarkStart w:id="286" w:name="_Toc383512689"/>
      <w:r>
        <w:rPr>
          <w:rFonts w:ascii="宋体" w:hAnsi="宋体"/>
          <w:color w:val="auto"/>
          <w:sz w:val="28"/>
          <w:szCs w:val="28"/>
          <w:highlight w:val="none"/>
        </w:rPr>
        <w:t>1.10 投标预备会</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102769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投标人不组织召开投标预备会。</w:t>
      </w:r>
    </w:p>
    <w:p w14:paraId="1AB9A6F9">
      <w:pPr>
        <w:pStyle w:val="4"/>
        <w:spacing w:before="0" w:after="0" w:line="360" w:lineRule="auto"/>
        <w:rPr>
          <w:rFonts w:ascii="宋体" w:hAnsi="宋体"/>
          <w:color w:val="auto"/>
          <w:sz w:val="28"/>
          <w:szCs w:val="28"/>
          <w:highlight w:val="none"/>
        </w:rPr>
      </w:pPr>
      <w:bookmarkStart w:id="287" w:name="_Toc419729356"/>
      <w:bookmarkStart w:id="288" w:name="_Toc488492833"/>
      <w:bookmarkStart w:id="289" w:name="_Toc382997665"/>
      <w:bookmarkStart w:id="290" w:name="_Toc383512690"/>
      <w:bookmarkStart w:id="291" w:name="_Toc463799011"/>
      <w:bookmarkStart w:id="292" w:name="_Toc382997943"/>
      <w:bookmarkStart w:id="293" w:name="_Toc488483602"/>
      <w:bookmarkStart w:id="294" w:name="_Toc2286"/>
      <w:bookmarkStart w:id="295" w:name="_Toc490832291"/>
      <w:bookmarkStart w:id="296" w:name="_Toc486685899"/>
      <w:bookmarkStart w:id="297" w:name="_Toc419724289"/>
      <w:bookmarkStart w:id="298" w:name="_Toc4761"/>
      <w:bookmarkStart w:id="299" w:name="_Toc383006469"/>
      <w:bookmarkStart w:id="300" w:name="_Toc419825007"/>
      <w:bookmarkStart w:id="301" w:name="_Toc488483474"/>
      <w:bookmarkStart w:id="302" w:name="_Toc487653180"/>
      <w:bookmarkStart w:id="303" w:name="_Toc383012996"/>
      <w:bookmarkStart w:id="304" w:name="_Toc419825356"/>
      <w:r>
        <w:rPr>
          <w:rFonts w:hint="eastAsia" w:ascii="宋体" w:hAnsi="宋体"/>
          <w:color w:val="auto"/>
          <w:sz w:val="28"/>
          <w:szCs w:val="28"/>
          <w:highlight w:val="none"/>
        </w:rPr>
        <w:t>1.11 分包</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E6C07E0">
      <w:pPr>
        <w:spacing w:line="360" w:lineRule="auto"/>
        <w:ind w:firstLine="420" w:firstLineChars="200"/>
        <w:rPr>
          <w:rFonts w:ascii="宋体" w:hAnsi="宋体"/>
          <w:color w:val="auto"/>
          <w:szCs w:val="21"/>
          <w:highlight w:val="none"/>
        </w:rPr>
      </w:pPr>
      <w:bookmarkStart w:id="305" w:name="_Toc419724290"/>
      <w:bookmarkStart w:id="306" w:name="_Toc382997666"/>
      <w:bookmarkStart w:id="307" w:name="_Toc234382602"/>
      <w:bookmarkStart w:id="308" w:name="_Toc382997944"/>
      <w:bookmarkStart w:id="309" w:name="_Toc383006470"/>
      <w:bookmarkStart w:id="310" w:name="_Toc17525"/>
      <w:bookmarkStart w:id="311" w:name="_Toc383512691"/>
      <w:bookmarkStart w:id="312" w:name="_Toc383012997"/>
      <w:r>
        <w:rPr>
          <w:rFonts w:hint="eastAsia" w:ascii="宋体" w:hAnsi="宋体"/>
          <w:color w:val="auto"/>
          <w:szCs w:val="21"/>
          <w:highlight w:val="none"/>
        </w:rPr>
        <w:t>投标人拟在中标后将中标项目的部分非主体、非关键性工作进行分包的，应符合投标人须知前附表规定的分包内容、分包金额和接受分包的第三人资质要求等限制性条件。中标人不得向他人转让中标项目，接受分包的人不得再次分包。中标人应当就分包项目向招标人负责，接受分包的人就分包项目承担连带责任。</w:t>
      </w:r>
    </w:p>
    <w:p w14:paraId="6AC560A5">
      <w:pPr>
        <w:pStyle w:val="4"/>
        <w:spacing w:before="0" w:after="0" w:line="360" w:lineRule="auto"/>
        <w:rPr>
          <w:rFonts w:ascii="宋体" w:hAnsi="宋体"/>
          <w:color w:val="auto"/>
          <w:sz w:val="28"/>
          <w:szCs w:val="28"/>
          <w:highlight w:val="none"/>
        </w:rPr>
      </w:pPr>
      <w:bookmarkStart w:id="313" w:name="_Toc419825008"/>
      <w:bookmarkStart w:id="314" w:name="_Toc419825357"/>
      <w:bookmarkStart w:id="315" w:name="_Toc463799012"/>
      <w:bookmarkStart w:id="316" w:name="_Toc419729357"/>
      <w:bookmarkStart w:id="317" w:name="_Toc488483475"/>
      <w:bookmarkStart w:id="318" w:name="_Toc488492834"/>
      <w:bookmarkStart w:id="319" w:name="_Toc10608"/>
      <w:bookmarkStart w:id="320" w:name="_Toc488483603"/>
      <w:bookmarkStart w:id="321" w:name="_Toc487653181"/>
      <w:bookmarkStart w:id="322" w:name="_Toc490832292"/>
      <w:bookmarkStart w:id="323" w:name="_Toc486685900"/>
      <w:r>
        <w:rPr>
          <w:rFonts w:ascii="宋体" w:hAnsi="宋体"/>
          <w:color w:val="auto"/>
          <w:sz w:val="28"/>
          <w:szCs w:val="28"/>
          <w:highlight w:val="none"/>
        </w:rPr>
        <w:t>1.12 偏</w:t>
      </w:r>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olor w:val="auto"/>
          <w:sz w:val="28"/>
          <w:szCs w:val="28"/>
          <w:highlight w:val="none"/>
        </w:rPr>
        <w:t>离</w:t>
      </w:r>
      <w:bookmarkEnd w:id="317"/>
      <w:bookmarkEnd w:id="318"/>
      <w:bookmarkEnd w:id="319"/>
      <w:bookmarkEnd w:id="320"/>
      <w:bookmarkEnd w:id="321"/>
      <w:bookmarkEnd w:id="322"/>
      <w:bookmarkEnd w:id="323"/>
    </w:p>
    <w:p w14:paraId="2F943B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资格审查文件存在下列情形之一，按重大偏差处理，存在的其他问题和不明确之处，按细微偏差处理，应通过澄清的方式进行核实：</w:t>
      </w:r>
    </w:p>
    <w:p w14:paraId="36118D05">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投标文件未按招标文件要求盖章并由法定代表人或其书面授权的代理人签字的；</w:t>
      </w:r>
    </w:p>
    <w:p w14:paraId="6613E54F">
      <w:pPr>
        <w:numPr>
          <w:ilvl w:val="0"/>
          <w:numId w:val="7"/>
        </w:numPr>
        <w:spacing w:line="360" w:lineRule="auto"/>
        <w:ind w:firstLine="420" w:firstLineChars="200"/>
        <w:rPr>
          <w:rFonts w:ascii="宋体" w:hAnsi="宋体"/>
          <w:color w:val="auto"/>
          <w:szCs w:val="21"/>
          <w:highlight w:val="none"/>
        </w:rPr>
      </w:pPr>
      <w:r>
        <w:rPr>
          <w:rFonts w:ascii="宋体" w:hAnsi="宋体"/>
          <w:color w:val="auto"/>
          <w:szCs w:val="21"/>
          <w:highlight w:val="none"/>
        </w:rPr>
        <w:t>投标联合体没有提交共同投标</w:t>
      </w:r>
      <w:r>
        <w:rPr>
          <w:rFonts w:hint="eastAsia" w:ascii="宋体" w:hAnsi="宋体"/>
          <w:color w:val="auto"/>
          <w:szCs w:val="21"/>
          <w:highlight w:val="none"/>
        </w:rPr>
        <w:t>的联合体</w:t>
      </w:r>
      <w:r>
        <w:rPr>
          <w:rFonts w:ascii="宋体" w:hAnsi="宋体"/>
          <w:color w:val="auto"/>
          <w:szCs w:val="21"/>
          <w:highlight w:val="none"/>
        </w:rPr>
        <w:t>协议</w:t>
      </w:r>
      <w:r>
        <w:rPr>
          <w:rFonts w:hint="eastAsia" w:ascii="宋体" w:hAnsi="宋体"/>
          <w:color w:val="auto"/>
          <w:szCs w:val="21"/>
          <w:highlight w:val="none"/>
        </w:rPr>
        <w:t>；</w:t>
      </w:r>
    </w:p>
    <w:p w14:paraId="733ABC3F">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未按招标文件要求提交保证金的；</w:t>
      </w:r>
    </w:p>
    <w:p w14:paraId="0FDCA34C">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投标函未按照招标文件规定的格式填写，内容不全或者关键字迹模糊无法辨认的；</w:t>
      </w:r>
    </w:p>
    <w:p w14:paraId="5AD9EB37">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投标人不符合国家或者招标文件规定的资格条件的；</w:t>
      </w:r>
    </w:p>
    <w:p w14:paraId="1A84CC6E">
      <w:pPr>
        <w:numPr>
          <w:ilvl w:val="0"/>
          <w:numId w:val="7"/>
        </w:num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投标人名称或者组织结构与资格预审时不一致且未提供有效证明的；</w:t>
      </w:r>
    </w:p>
    <w:p w14:paraId="6F115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投标报价</w:t>
      </w:r>
      <w:r>
        <w:rPr>
          <w:rFonts w:hint="eastAsia" w:ascii="宋体" w:hAnsi="宋体"/>
          <w:color w:val="auto"/>
          <w:szCs w:val="21"/>
          <w:highlight w:val="none"/>
        </w:rPr>
        <w:t>明显低于成本或者</w:t>
      </w:r>
      <w:r>
        <w:rPr>
          <w:rFonts w:ascii="宋体" w:hAnsi="宋体"/>
          <w:color w:val="auto"/>
          <w:szCs w:val="21"/>
          <w:highlight w:val="none"/>
        </w:rPr>
        <w:t>高于招标文件设定的最高投标限价</w:t>
      </w:r>
      <w:r>
        <w:rPr>
          <w:rFonts w:hint="eastAsia" w:ascii="宋体" w:hAnsi="宋体"/>
          <w:color w:val="auto"/>
          <w:szCs w:val="21"/>
          <w:highlight w:val="none"/>
        </w:rPr>
        <w:t>的；</w:t>
      </w:r>
    </w:p>
    <w:p w14:paraId="4C707C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同一投标人提交两个以上不同的投标文件或投标报价</w:t>
      </w:r>
      <w:r>
        <w:rPr>
          <w:rFonts w:hint="eastAsia" w:ascii="宋体" w:hAnsi="宋体"/>
          <w:color w:val="auto"/>
          <w:szCs w:val="21"/>
          <w:highlight w:val="none"/>
        </w:rPr>
        <w:t>，且未申明哪一个为最终报价的，</w:t>
      </w:r>
      <w:r>
        <w:rPr>
          <w:rFonts w:ascii="宋体" w:hAnsi="宋体"/>
          <w:color w:val="auto"/>
          <w:szCs w:val="21"/>
          <w:highlight w:val="none"/>
        </w:rPr>
        <w:t>但招标文件要求提交备选投标的除外</w:t>
      </w:r>
      <w:r>
        <w:rPr>
          <w:rFonts w:hint="eastAsia" w:ascii="宋体" w:hAnsi="宋体"/>
          <w:color w:val="auto"/>
          <w:szCs w:val="21"/>
          <w:highlight w:val="none"/>
        </w:rPr>
        <w:t>；</w:t>
      </w:r>
    </w:p>
    <w:p w14:paraId="6480957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9</w:t>
      </w:r>
      <w:r>
        <w:rPr>
          <w:rFonts w:ascii="宋体" w:hAnsi="宋体"/>
          <w:color w:val="auto"/>
          <w:szCs w:val="21"/>
          <w:highlight w:val="none"/>
        </w:rPr>
        <w:t>）投标人有串通投标、</w:t>
      </w:r>
      <w:r>
        <w:rPr>
          <w:rFonts w:hint="eastAsia" w:ascii="宋体" w:hAnsi="宋体"/>
          <w:color w:val="auto"/>
          <w:szCs w:val="21"/>
          <w:highlight w:val="none"/>
        </w:rPr>
        <w:t>以他人名义或者存在其他</w:t>
      </w:r>
      <w:r>
        <w:rPr>
          <w:rFonts w:ascii="宋体" w:hAnsi="宋体"/>
          <w:color w:val="auto"/>
          <w:szCs w:val="21"/>
          <w:highlight w:val="none"/>
        </w:rPr>
        <w:t>弄虚作假、行贿等违法行为</w:t>
      </w:r>
      <w:r>
        <w:rPr>
          <w:rFonts w:hint="eastAsia" w:ascii="宋体" w:hAnsi="宋体"/>
          <w:color w:val="auto"/>
          <w:szCs w:val="21"/>
          <w:highlight w:val="none"/>
        </w:rPr>
        <w:t>的；</w:t>
      </w:r>
    </w:p>
    <w:p w14:paraId="4E56531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（10）无正当理由不按评标委员会的要求对投标文件进行澄清或者说明的；</w:t>
      </w:r>
    </w:p>
    <w:p w14:paraId="4B6C37E1">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11</w:t>
      </w:r>
      <w:r>
        <w:rPr>
          <w:rFonts w:ascii="宋体" w:hAnsi="宋体"/>
          <w:color w:val="auto"/>
          <w:szCs w:val="21"/>
          <w:highlight w:val="none"/>
        </w:rPr>
        <w:t>）投标文件没有对招标文件的实质性要求和条件作出响应；</w:t>
      </w:r>
    </w:p>
    <w:p w14:paraId="45F943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（12）投标人存在下列情形之一：</w:t>
      </w:r>
    </w:p>
    <w:p w14:paraId="3E434F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a.为招标人不具有独立法人资格的附属机构（单位）； </w:t>
      </w:r>
    </w:p>
    <w:p w14:paraId="1B704F1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b.为本标段前期准备提供设计或咨询服务的，但设计施工总承包的除外； </w:t>
      </w:r>
    </w:p>
    <w:p w14:paraId="428715E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c.为本标段的监理人或试验检测单位；</w:t>
      </w:r>
    </w:p>
    <w:p w14:paraId="58C3A1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d.为本标段的代建人；</w:t>
      </w:r>
    </w:p>
    <w:p w14:paraId="32ED74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e.为本标段提供招标代理服务的；</w:t>
      </w:r>
    </w:p>
    <w:p w14:paraId="1863619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f.与本标段的监理人或试验检测单位或代建人或招标代理机构同为一个法定代表人的；</w:t>
      </w:r>
    </w:p>
    <w:p w14:paraId="29875E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g.与本标段的监理人或试验检测单位或代建人或招标代理机构相互控股或参股的；</w:t>
      </w:r>
    </w:p>
    <w:p w14:paraId="0CDFA5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h.与本标段的监理人或试验检测单位或代建人或招标代理机构相互任职或工作的；</w:t>
      </w:r>
    </w:p>
    <w:p w14:paraId="4124A4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i被责令停业</w:t>
      </w:r>
      <w:r>
        <w:rPr>
          <w:rFonts w:hint="eastAsia" w:ascii="宋体" w:hAnsi="宋体"/>
          <w:color w:val="auto"/>
          <w:sz w:val="24"/>
          <w:highlight w:val="none"/>
        </w:rPr>
        <w:t>，</w:t>
      </w:r>
      <w:r>
        <w:rPr>
          <w:rFonts w:hint="eastAsia" w:ascii="宋体" w:hAnsi="宋体"/>
          <w:color w:val="auto"/>
          <w:szCs w:val="21"/>
          <w:highlight w:val="none"/>
        </w:rPr>
        <w:t>暂扣或者吊销许可证、暂扣</w:t>
      </w:r>
      <w:r>
        <w:rPr>
          <w:rFonts w:hint="eastAsia" w:ascii="宋体" w:hAnsi="宋体"/>
          <w:color w:val="auto"/>
          <w:szCs w:val="21"/>
          <w:highlight w:val="none"/>
          <w:lang w:val="en-US" w:eastAsia="zh-CN"/>
        </w:rPr>
        <w:t>或</w:t>
      </w:r>
      <w:r>
        <w:rPr>
          <w:rFonts w:hint="eastAsia" w:ascii="宋体" w:hAnsi="宋体"/>
          <w:color w:val="auto"/>
          <w:szCs w:val="21"/>
          <w:highlight w:val="none"/>
        </w:rPr>
        <w:t xml:space="preserve">吊销执照的； </w:t>
      </w:r>
    </w:p>
    <w:p w14:paraId="5FD3AB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j.被暂停或取消投标资格的； </w:t>
      </w:r>
    </w:p>
    <w:p w14:paraId="360784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k.财产被接管或冻结，进入清算程序，或宣告破产，或其他丧失履约能力的；</w:t>
      </w:r>
    </w:p>
    <w:p w14:paraId="32B49E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l.涉及诉讼、仲裁的案件，经评标委员会认定会对承担本项目造成重大影响；</w:t>
      </w:r>
    </w:p>
    <w:p w14:paraId="5CA2DC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m.被交通运输部或福建省交通运输厅取消项目所在地的投标资格或禁止进入该区域水运建设市场且处于有效期内；</w:t>
      </w:r>
    </w:p>
    <w:p w14:paraId="5BC215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n.为投资参股本项目的法人单位；</w:t>
      </w:r>
    </w:p>
    <w:p w14:paraId="7DFDA4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o.单位负责人为同一人或者存在控股、管理关系的不同单位，不得参加同一标段投标或者未划分标段的同一招标项目投标；与招标人存在利害关系可能影响招标公正性的法人、其他组织或者个人，不得参加投标；违反本条规定的，其相关投标均无效；</w:t>
      </w:r>
    </w:p>
    <w:p w14:paraId="3F95EC12">
      <w:pPr>
        <w:pStyle w:val="4"/>
        <w:spacing w:before="0" w:after="0" w:line="360" w:lineRule="auto"/>
        <w:rPr>
          <w:rFonts w:ascii="宋体" w:hAnsi="宋体"/>
          <w:color w:val="auto"/>
          <w:highlight w:val="none"/>
        </w:rPr>
      </w:pPr>
      <w:bookmarkStart w:id="324" w:name="_Toc25017"/>
      <w:bookmarkStart w:id="325" w:name="_Toc3751"/>
      <w:bookmarkStart w:id="326" w:name="_Toc234382603"/>
      <w:bookmarkStart w:id="327" w:name="_Toc463799013"/>
      <w:bookmarkStart w:id="328" w:name="_Toc419825358"/>
      <w:bookmarkStart w:id="329" w:name="_Toc490832293"/>
      <w:bookmarkStart w:id="330" w:name="_Toc419825009"/>
      <w:bookmarkStart w:id="331" w:name="_Toc383012998"/>
      <w:bookmarkStart w:id="332" w:name="_Toc382997945"/>
      <w:bookmarkStart w:id="333" w:name="_Toc383512692"/>
      <w:bookmarkStart w:id="334" w:name="_Toc382997667"/>
      <w:bookmarkStart w:id="335" w:name="_Toc419729358"/>
      <w:bookmarkStart w:id="336" w:name="_Toc383006471"/>
      <w:bookmarkStart w:id="337" w:name="_Toc419724291"/>
      <w:r>
        <w:rPr>
          <w:rFonts w:hint="eastAsia" w:ascii="宋体" w:hAnsi="宋体"/>
          <w:color w:val="auto"/>
          <w:highlight w:val="none"/>
        </w:rPr>
        <w:t>2. 招标文件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1DFC9DF">
      <w:pPr>
        <w:pStyle w:val="4"/>
        <w:spacing w:before="0" w:after="0" w:line="360" w:lineRule="auto"/>
        <w:rPr>
          <w:rFonts w:ascii="宋体" w:hAnsi="宋体"/>
          <w:color w:val="auto"/>
          <w:sz w:val="28"/>
          <w:szCs w:val="28"/>
          <w:highlight w:val="none"/>
        </w:rPr>
      </w:pPr>
      <w:bookmarkStart w:id="338" w:name="_Toc234382604"/>
      <w:bookmarkStart w:id="339" w:name="_Toc4728"/>
      <w:bookmarkStart w:id="340" w:name="_Toc486685902"/>
      <w:bookmarkStart w:id="341" w:name="_Toc383012999"/>
      <w:bookmarkStart w:id="342" w:name="_Toc382997668"/>
      <w:bookmarkStart w:id="343" w:name="_Toc490832294"/>
      <w:bookmarkStart w:id="344" w:name="_Toc383512693"/>
      <w:bookmarkStart w:id="345" w:name="_Toc419729359"/>
      <w:bookmarkStart w:id="346" w:name="_Toc487653183"/>
      <w:bookmarkStart w:id="347" w:name="_Toc463799014"/>
      <w:bookmarkStart w:id="348" w:name="_Toc488492836"/>
      <w:bookmarkStart w:id="349" w:name="_Toc2132"/>
      <w:bookmarkStart w:id="350" w:name="_Toc419825359"/>
      <w:bookmarkStart w:id="351" w:name="_Toc488483605"/>
      <w:bookmarkStart w:id="352" w:name="_Toc419825010"/>
      <w:bookmarkStart w:id="353" w:name="_Toc383006472"/>
      <w:bookmarkStart w:id="354" w:name="_Toc419724292"/>
      <w:bookmarkStart w:id="355" w:name="_Toc382997946"/>
      <w:bookmarkStart w:id="356" w:name="_Toc488483477"/>
      <w:r>
        <w:rPr>
          <w:rFonts w:ascii="宋体" w:hAnsi="宋体"/>
          <w:color w:val="auto"/>
          <w:sz w:val="28"/>
          <w:szCs w:val="28"/>
          <w:highlight w:val="none"/>
        </w:rPr>
        <w:t>2.1 招标文件的</w:t>
      </w:r>
      <w:bookmarkEnd w:id="338"/>
      <w:r>
        <w:rPr>
          <w:rFonts w:hint="eastAsia" w:ascii="宋体" w:hAnsi="宋体"/>
          <w:color w:val="auto"/>
          <w:sz w:val="28"/>
          <w:szCs w:val="28"/>
          <w:highlight w:val="none"/>
        </w:rPr>
        <w:t>构成</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6BC7EA72">
      <w:pPr>
        <w:spacing w:line="360" w:lineRule="auto"/>
        <w:ind w:firstLine="420" w:firstLineChars="200"/>
        <w:rPr>
          <w:rFonts w:ascii="宋体" w:hAnsi="宋体"/>
          <w:color w:val="auto"/>
          <w:szCs w:val="21"/>
          <w:highlight w:val="none"/>
        </w:rPr>
      </w:pPr>
      <w:r>
        <w:rPr>
          <w:rFonts w:ascii="宋体" w:hAnsi="宋体"/>
          <w:color w:val="auto"/>
          <w:szCs w:val="21"/>
          <w:highlight w:val="none"/>
        </w:rPr>
        <w:t>本招标文件包括：</w:t>
      </w:r>
    </w:p>
    <w:p w14:paraId="2F0A39D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招标公告；</w:t>
      </w:r>
    </w:p>
    <w:p w14:paraId="786E99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投标人须知；</w:t>
      </w:r>
    </w:p>
    <w:p w14:paraId="0DF1F9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评标办法；</w:t>
      </w:r>
    </w:p>
    <w:p w14:paraId="4E0FC4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定标</w:t>
      </w:r>
      <w:r>
        <w:rPr>
          <w:rFonts w:hint="eastAsia" w:ascii="宋体" w:hAnsi="宋体"/>
          <w:color w:val="auto"/>
          <w:szCs w:val="21"/>
          <w:highlight w:val="none"/>
        </w:rPr>
        <w:t>方案；</w:t>
      </w:r>
    </w:p>
    <w:p w14:paraId="2871AA3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合同条款及格式；</w:t>
      </w:r>
    </w:p>
    <w:p w14:paraId="2463F2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(6工程量清单；</w:t>
      </w:r>
    </w:p>
    <w:p w14:paraId="04921E6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(7)图纸；</w:t>
      </w:r>
    </w:p>
    <w:p w14:paraId="4296D1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(8)技术标准和要求</w:t>
      </w:r>
      <w:r>
        <w:rPr>
          <w:rFonts w:ascii="宋体" w:hAnsi="宋体"/>
          <w:color w:val="auto"/>
          <w:szCs w:val="21"/>
          <w:highlight w:val="none"/>
        </w:rPr>
        <w:t>；</w:t>
      </w:r>
    </w:p>
    <w:p w14:paraId="25BF18A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(9)投标文件格式</w:t>
      </w:r>
      <w:r>
        <w:rPr>
          <w:rFonts w:ascii="宋体" w:hAnsi="宋体"/>
          <w:color w:val="auto"/>
          <w:szCs w:val="21"/>
          <w:highlight w:val="none"/>
        </w:rPr>
        <w:t>；</w:t>
      </w:r>
    </w:p>
    <w:p w14:paraId="3D20931B">
      <w:pPr>
        <w:spacing w:line="360" w:lineRule="auto"/>
        <w:ind w:firstLine="420" w:firstLineChars="200"/>
        <w:rPr>
          <w:rFonts w:ascii="宋体" w:hAnsi="宋体"/>
          <w:color w:val="auto"/>
          <w:szCs w:val="21"/>
          <w:highlight w:val="none"/>
        </w:rPr>
      </w:pPr>
      <w:r>
        <w:rPr>
          <w:rFonts w:ascii="宋体" w:hAnsi="宋体"/>
          <w:color w:val="auto"/>
          <w:szCs w:val="21"/>
          <w:highlight w:val="none"/>
        </w:rPr>
        <w:t>根据本章第2.2</w:t>
      </w:r>
      <w:r>
        <w:rPr>
          <w:rFonts w:hint="eastAsia" w:ascii="宋体" w:hAnsi="宋体"/>
          <w:color w:val="auto"/>
          <w:szCs w:val="21"/>
          <w:highlight w:val="none"/>
        </w:rPr>
        <w:t>款</w:t>
      </w:r>
      <w:r>
        <w:rPr>
          <w:rFonts w:ascii="宋体" w:hAnsi="宋体"/>
          <w:color w:val="auto"/>
          <w:szCs w:val="21"/>
          <w:highlight w:val="none"/>
        </w:rPr>
        <w:t>和第2.3</w:t>
      </w:r>
      <w:r>
        <w:rPr>
          <w:rFonts w:hint="eastAsia" w:ascii="宋体" w:hAnsi="宋体"/>
          <w:color w:val="auto"/>
          <w:szCs w:val="21"/>
          <w:highlight w:val="none"/>
        </w:rPr>
        <w:t>款</w:t>
      </w:r>
      <w:r>
        <w:rPr>
          <w:rFonts w:ascii="宋体" w:hAnsi="宋体"/>
          <w:color w:val="auto"/>
          <w:szCs w:val="21"/>
          <w:highlight w:val="none"/>
        </w:rPr>
        <w:t>对招标文件所作的澄清、修改</w:t>
      </w:r>
      <w:r>
        <w:rPr>
          <w:rFonts w:hint="eastAsia" w:ascii="宋体" w:hAnsi="宋体"/>
          <w:color w:val="auto"/>
          <w:szCs w:val="21"/>
          <w:highlight w:val="none"/>
        </w:rPr>
        <w:t>,构成招标文件的组成部分</w:t>
      </w:r>
      <w:r>
        <w:rPr>
          <w:rFonts w:ascii="宋体" w:hAnsi="宋体"/>
          <w:color w:val="auto"/>
          <w:szCs w:val="21"/>
          <w:highlight w:val="none"/>
        </w:rPr>
        <w:t>。</w:t>
      </w:r>
    </w:p>
    <w:p w14:paraId="29CC5B15">
      <w:pPr>
        <w:spacing w:line="360" w:lineRule="auto"/>
        <w:ind w:firstLine="420" w:firstLineChars="200"/>
        <w:rPr>
          <w:rFonts w:ascii="宋体" w:hAnsi="宋体"/>
          <w:color w:val="auto"/>
          <w:szCs w:val="21"/>
          <w:highlight w:val="none"/>
        </w:rPr>
      </w:pPr>
      <w:r>
        <w:rPr>
          <w:rFonts w:hint="default" w:ascii="宋体" w:hAnsi="宋体"/>
          <w:color w:val="auto"/>
          <w:szCs w:val="21"/>
          <w:highlight w:val="none"/>
        </w:rPr>
        <w:t>当招标文件、招标文件的澄清或修改等在同一内容的表述上不一致时，以最后发出的电子补疑书书面文件为准。</w:t>
      </w:r>
    </w:p>
    <w:p w14:paraId="716E1275">
      <w:pPr>
        <w:pStyle w:val="4"/>
        <w:spacing w:before="0" w:after="0" w:line="360" w:lineRule="auto"/>
        <w:rPr>
          <w:rFonts w:ascii="宋体" w:hAnsi="宋体"/>
          <w:color w:val="auto"/>
          <w:sz w:val="28"/>
          <w:szCs w:val="28"/>
          <w:highlight w:val="none"/>
        </w:rPr>
      </w:pPr>
      <w:bookmarkStart w:id="357" w:name="_Toc486685903"/>
      <w:bookmarkStart w:id="358" w:name="_Toc488483478"/>
      <w:bookmarkStart w:id="359" w:name="_Toc383512694"/>
      <w:bookmarkStart w:id="360" w:name="_Toc488492837"/>
      <w:bookmarkStart w:id="361" w:name="_Toc490832295"/>
      <w:bookmarkStart w:id="362" w:name="_Toc419724293"/>
      <w:bookmarkStart w:id="363" w:name="_Toc382997669"/>
      <w:bookmarkStart w:id="364" w:name="_Toc5252"/>
      <w:bookmarkStart w:id="365" w:name="_Toc383013000"/>
      <w:bookmarkStart w:id="366" w:name="_Toc382997947"/>
      <w:bookmarkStart w:id="367" w:name="_Toc463799015"/>
      <w:bookmarkStart w:id="368" w:name="_Toc488483606"/>
      <w:bookmarkStart w:id="369" w:name="_Toc487653184"/>
      <w:bookmarkStart w:id="370" w:name="_Toc234382605"/>
      <w:bookmarkStart w:id="371" w:name="_Toc419729360"/>
      <w:bookmarkStart w:id="372" w:name="_Toc383006473"/>
      <w:bookmarkStart w:id="373" w:name="_Toc5526"/>
      <w:bookmarkStart w:id="374" w:name="_Toc419825011"/>
      <w:bookmarkStart w:id="375" w:name="_Toc419825360"/>
      <w:r>
        <w:rPr>
          <w:rFonts w:ascii="宋体" w:hAnsi="宋体"/>
          <w:color w:val="auto"/>
          <w:sz w:val="28"/>
          <w:szCs w:val="28"/>
          <w:highlight w:val="none"/>
        </w:rPr>
        <w:t>2.2 招标文件的澄清</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06F51CA">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2.2.1 </w:t>
      </w:r>
      <w:r>
        <w:rPr>
          <w:rFonts w:hint="eastAsia" w:ascii="宋体" w:hAnsi="宋体"/>
          <w:color w:val="auto"/>
          <w:szCs w:val="21"/>
          <w:highlight w:val="none"/>
        </w:rPr>
        <w:t xml:space="preserve"> </w:t>
      </w:r>
      <w:r>
        <w:rPr>
          <w:rFonts w:ascii="宋体" w:hAnsi="宋体"/>
          <w:color w:val="auto"/>
          <w:szCs w:val="21"/>
          <w:highlight w:val="none"/>
        </w:rPr>
        <w:t>投标人应仔细阅读和检查招标文件的全部内容。如发现缺页</w:t>
      </w:r>
      <w:r>
        <w:rPr>
          <w:rFonts w:hint="eastAsia" w:ascii="宋体" w:hAnsi="宋体"/>
          <w:color w:val="auto"/>
          <w:szCs w:val="21"/>
          <w:highlight w:val="none"/>
        </w:rPr>
        <w:t>或</w:t>
      </w:r>
      <w:r>
        <w:rPr>
          <w:rFonts w:ascii="宋体" w:hAnsi="宋体"/>
          <w:color w:val="auto"/>
          <w:szCs w:val="21"/>
          <w:highlight w:val="none"/>
        </w:rPr>
        <w:t>附件不全</w:t>
      </w:r>
      <w:r>
        <w:rPr>
          <w:rFonts w:hint="eastAsia" w:ascii="宋体" w:hAnsi="宋体"/>
          <w:color w:val="auto"/>
          <w:szCs w:val="21"/>
          <w:highlight w:val="none"/>
        </w:rPr>
        <w:t>,</w:t>
      </w:r>
      <w:r>
        <w:rPr>
          <w:rFonts w:ascii="宋体" w:hAnsi="宋体"/>
          <w:color w:val="auto"/>
          <w:szCs w:val="21"/>
          <w:highlight w:val="none"/>
        </w:rPr>
        <w:t>应及时向招标人提出</w:t>
      </w:r>
      <w:r>
        <w:rPr>
          <w:rFonts w:hint="eastAsia" w:ascii="宋体" w:hAnsi="宋体"/>
          <w:color w:val="auto"/>
          <w:szCs w:val="21"/>
          <w:highlight w:val="none"/>
        </w:rPr>
        <w:t>,</w:t>
      </w:r>
      <w:r>
        <w:rPr>
          <w:rFonts w:ascii="宋体" w:hAnsi="宋体"/>
          <w:color w:val="auto"/>
          <w:szCs w:val="21"/>
          <w:highlight w:val="none"/>
        </w:rPr>
        <w:t>以便补齐。</w:t>
      </w:r>
      <w:r>
        <w:rPr>
          <w:rFonts w:hint="eastAsia" w:ascii="宋体" w:hAnsi="宋体"/>
          <w:color w:val="auto"/>
          <w:szCs w:val="21"/>
          <w:highlight w:val="none"/>
        </w:rPr>
        <w:t>如有疑问，应在</w:t>
      </w:r>
      <w:r>
        <w:rPr>
          <w:rFonts w:hint="eastAsia" w:ascii="宋体" w:hAnsi="宋体"/>
          <w:color w:val="auto"/>
          <w:szCs w:val="21"/>
          <w:highlight w:val="none"/>
          <w:u w:val="single"/>
        </w:rPr>
        <w:t>投标人须知前附表规定的时间</w:t>
      </w:r>
      <w:r>
        <w:rPr>
          <w:rFonts w:hint="eastAsia" w:ascii="宋体" w:hAnsi="宋体"/>
          <w:color w:val="auto"/>
          <w:szCs w:val="21"/>
          <w:highlight w:val="none"/>
          <w:u w:val="single"/>
          <w:lang w:val="en-US" w:eastAsia="zh-CN"/>
        </w:rPr>
        <w:t>和形式</w:t>
      </w:r>
      <w:r>
        <w:rPr>
          <w:rFonts w:hint="eastAsia" w:ascii="宋体" w:hAnsi="宋体"/>
          <w:color w:val="auto"/>
          <w:szCs w:val="21"/>
          <w:highlight w:val="none"/>
        </w:rPr>
        <w:t>提出澄清申请，要求招标人对招标文件予以澄清。</w:t>
      </w:r>
      <w:r>
        <w:rPr>
          <w:rFonts w:hint="eastAsia" w:ascii="宋体" w:hAnsi="宋体"/>
          <w:color w:val="auto"/>
          <w:highlight w:val="none"/>
        </w:rPr>
        <w:t>投标人未在招标文件规定的提出异议的时间内提出异议的，事后不能就招标文件的问题提出质疑或投诉。</w:t>
      </w:r>
    </w:p>
    <w:p w14:paraId="232C912C">
      <w:pPr>
        <w:spacing w:line="360" w:lineRule="auto"/>
        <w:ind w:firstLine="420" w:firstLineChars="200"/>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 xml:space="preserve">  招标文件的澄清将在投标人须知前附表规定的投标截止时间15天前在</w:t>
      </w:r>
      <w:r>
        <w:rPr>
          <w:rFonts w:hint="eastAsia" w:ascii="宋体" w:hAnsi="宋体"/>
          <w:color w:val="auto"/>
          <w:szCs w:val="21"/>
          <w:highlight w:val="none"/>
          <w:lang w:val="en-US" w:eastAsia="zh-CN"/>
        </w:rPr>
        <w:t>投标须知前附表规定的电子交易系统</w:t>
      </w:r>
      <w:r>
        <w:rPr>
          <w:rFonts w:hint="eastAsia" w:ascii="宋体" w:hAnsi="宋体"/>
          <w:color w:val="auto"/>
          <w:szCs w:val="21"/>
          <w:highlight w:val="none"/>
        </w:rPr>
        <w:t>上发布，但不指名澄清问题的来源。如果澄清发出的时间距投标截止时间不足15天，</w:t>
      </w:r>
      <w:r>
        <w:rPr>
          <w:rFonts w:hint="eastAsia" w:ascii="宋体" w:hAnsi="宋体"/>
          <w:color w:val="auto"/>
          <w:szCs w:val="21"/>
          <w:highlight w:val="none"/>
          <w:lang w:val="en-US" w:eastAsia="zh-CN"/>
        </w:rPr>
        <w:t>将</w:t>
      </w:r>
      <w:r>
        <w:rPr>
          <w:rFonts w:hint="eastAsia" w:ascii="宋体" w:hAnsi="宋体"/>
          <w:color w:val="auto"/>
          <w:szCs w:val="21"/>
          <w:highlight w:val="none"/>
        </w:rPr>
        <w:t>相应延长投标截止时间。</w:t>
      </w:r>
    </w:p>
    <w:p w14:paraId="77C33ED0">
      <w:pPr>
        <w:spacing w:line="360" w:lineRule="auto"/>
        <w:ind w:firstLine="420" w:firstLineChars="200"/>
        <w:rPr>
          <w:color w:val="auto"/>
          <w:highlight w:val="none"/>
        </w:rPr>
      </w:pPr>
      <w:r>
        <w:rPr>
          <w:rFonts w:ascii="宋体" w:hAnsi="宋体"/>
          <w:color w:val="auto"/>
          <w:szCs w:val="21"/>
          <w:highlight w:val="none"/>
        </w:rPr>
        <w:t xml:space="preserve">2.2.3 </w:t>
      </w:r>
      <w:r>
        <w:rPr>
          <w:rFonts w:hint="eastAsia" w:ascii="宋体" w:hAnsi="宋体"/>
          <w:color w:val="auto"/>
          <w:szCs w:val="21"/>
          <w:highlight w:val="none"/>
        </w:rPr>
        <w:t xml:space="preserve"> 投标人应经常关注</w:t>
      </w:r>
      <w:r>
        <w:rPr>
          <w:rFonts w:hint="eastAsia" w:ascii="宋体" w:hAnsi="宋体"/>
          <w:color w:val="auto"/>
          <w:szCs w:val="21"/>
          <w:highlight w:val="none"/>
          <w:lang w:val="en-US" w:eastAsia="zh-CN"/>
        </w:rPr>
        <w:t>招标</w:t>
      </w:r>
      <w:r>
        <w:rPr>
          <w:rFonts w:hint="eastAsia"/>
          <w:color w:val="auto"/>
          <w:szCs w:val="21"/>
          <w:highlight w:val="none"/>
          <w:lang w:val="en-US" w:eastAsia="zh-CN"/>
        </w:rPr>
        <w:t>文件规定的电子交易系统和发布媒介上</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所公布的有关澄清资料，否则因投标人未及时关注导致的后果由投标人自行负责。</w:t>
      </w:r>
    </w:p>
    <w:p w14:paraId="3ACD2253">
      <w:pPr>
        <w:pStyle w:val="4"/>
        <w:spacing w:before="0" w:after="0" w:line="360" w:lineRule="auto"/>
        <w:rPr>
          <w:rFonts w:ascii="宋体" w:hAnsi="宋体"/>
          <w:color w:val="auto"/>
          <w:sz w:val="28"/>
          <w:szCs w:val="28"/>
          <w:highlight w:val="none"/>
        </w:rPr>
      </w:pPr>
      <w:bookmarkStart w:id="376" w:name="_Toc486685904"/>
      <w:bookmarkStart w:id="377" w:name="_Toc419729361"/>
      <w:bookmarkStart w:id="378" w:name="_Toc488483479"/>
      <w:bookmarkStart w:id="379" w:name="_Toc463799016"/>
      <w:bookmarkStart w:id="380" w:name="_Toc9660"/>
      <w:bookmarkStart w:id="381" w:name="_Toc383512695"/>
      <w:bookmarkStart w:id="382" w:name="_Toc419825012"/>
      <w:bookmarkStart w:id="383" w:name="_Toc382997948"/>
      <w:bookmarkStart w:id="384" w:name="_Toc488492838"/>
      <w:bookmarkStart w:id="385" w:name="_Toc382997670"/>
      <w:bookmarkStart w:id="386" w:name="_Toc383006474"/>
      <w:bookmarkStart w:id="387" w:name="_Toc234382606"/>
      <w:bookmarkStart w:id="388" w:name="_Toc383013001"/>
      <w:bookmarkStart w:id="389" w:name="_Toc419825361"/>
      <w:bookmarkStart w:id="390" w:name="_Toc487653185"/>
      <w:bookmarkStart w:id="391" w:name="_Toc419724294"/>
      <w:bookmarkStart w:id="392" w:name="_Toc15969"/>
      <w:bookmarkStart w:id="393" w:name="_Toc490832296"/>
      <w:bookmarkStart w:id="394" w:name="_Toc488483607"/>
      <w:r>
        <w:rPr>
          <w:rFonts w:ascii="宋体" w:hAnsi="宋体"/>
          <w:color w:val="auto"/>
          <w:sz w:val="28"/>
          <w:szCs w:val="28"/>
          <w:highlight w:val="none"/>
        </w:rPr>
        <w:t>2.3 招标文件的修改</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918B14B">
      <w:pPr>
        <w:spacing w:line="360" w:lineRule="auto"/>
        <w:ind w:firstLine="422" w:firstLineChars="200"/>
        <w:rPr>
          <w:rFonts w:ascii="宋体" w:hAnsi="宋体"/>
          <w:color w:val="auto"/>
          <w:szCs w:val="21"/>
          <w:highlight w:val="none"/>
        </w:rPr>
      </w:pPr>
      <w:r>
        <w:rPr>
          <w:rFonts w:ascii="宋体" w:hAnsi="宋体"/>
          <w:b/>
          <w:bCs/>
          <w:color w:val="auto"/>
          <w:szCs w:val="21"/>
          <w:highlight w:val="none"/>
        </w:rPr>
        <w:t>2.3.1</w:t>
      </w:r>
      <w:r>
        <w:rPr>
          <w:rFonts w:ascii="宋体" w:hAnsi="宋体"/>
          <w:color w:val="auto"/>
          <w:szCs w:val="21"/>
          <w:highlight w:val="none"/>
        </w:rPr>
        <w:t xml:space="preserve"> </w:t>
      </w:r>
      <w:r>
        <w:rPr>
          <w:rFonts w:hint="eastAsia" w:ascii="宋体" w:hAnsi="宋体"/>
          <w:color w:val="auto"/>
          <w:szCs w:val="21"/>
          <w:highlight w:val="none"/>
        </w:rPr>
        <w:t xml:space="preserve"> 在投标截止时间15日前，招标人在投标人须知前附表规定的电子交易系统上发布修改通知。如果修改招标文件的时间距投标截止时间不足15日，且修改内容可能影响投标文件编制的，将相应延长投标截止时间。</w:t>
      </w:r>
    </w:p>
    <w:p w14:paraId="119082EC">
      <w:pPr>
        <w:spacing w:line="360" w:lineRule="auto"/>
        <w:ind w:firstLine="422" w:firstLineChars="200"/>
        <w:rPr>
          <w:rFonts w:hint="eastAsia" w:ascii="宋体" w:hAnsi="宋体"/>
          <w:color w:val="auto"/>
          <w:szCs w:val="21"/>
          <w:highlight w:val="none"/>
        </w:rPr>
      </w:pPr>
      <w:r>
        <w:rPr>
          <w:rFonts w:ascii="宋体" w:hAnsi="宋体"/>
          <w:b/>
          <w:bCs/>
          <w:color w:val="auto"/>
          <w:szCs w:val="21"/>
          <w:highlight w:val="none"/>
        </w:rPr>
        <w:t>2.3.2</w:t>
      </w:r>
      <w:r>
        <w:rPr>
          <w:rFonts w:hint="eastAsia" w:ascii="宋体" w:hAnsi="宋体"/>
          <w:color w:val="auto"/>
          <w:szCs w:val="21"/>
          <w:highlight w:val="none"/>
        </w:rPr>
        <w:t>投标人应经常关注</w:t>
      </w:r>
      <w:r>
        <w:rPr>
          <w:rFonts w:hint="eastAsia" w:ascii="宋体" w:hAnsi="宋体"/>
          <w:color w:val="auto"/>
          <w:szCs w:val="21"/>
          <w:highlight w:val="none"/>
          <w:lang w:val="en-US" w:eastAsia="zh-CN"/>
        </w:rPr>
        <w:t>发布招标公告的电子交易系统上</w:t>
      </w:r>
      <w:r>
        <w:rPr>
          <w:rFonts w:hint="eastAsia" w:ascii="宋体" w:hAnsi="宋体"/>
          <w:color w:val="auto"/>
          <w:szCs w:val="21"/>
          <w:highlight w:val="none"/>
        </w:rPr>
        <w:t>所公布的有关修改、补充资料，否则因投标人未及时关注导致的后果由投标人自行负责。</w:t>
      </w:r>
    </w:p>
    <w:p w14:paraId="2D862421">
      <w:pPr>
        <w:pStyle w:val="4"/>
        <w:wordWrap/>
        <w:spacing w:before="0" w:beforeLines="-2147483648" w:after="0" w:line="360" w:lineRule="auto"/>
        <w:outlineLvl w:val="9"/>
        <w:rPr>
          <w:rFonts w:hint="default" w:ascii="宋体" w:hAnsi="宋体" w:eastAsia="宋体"/>
          <w:color w:val="auto"/>
          <w:sz w:val="28"/>
          <w:szCs w:val="28"/>
          <w:highlight w:val="none"/>
          <w:shd w:val="clear"/>
        </w:rPr>
      </w:pPr>
      <w:bookmarkStart w:id="395" w:name="_Toc11419"/>
      <w:r>
        <w:rPr>
          <w:rFonts w:hint="default" w:ascii="宋体" w:hAnsi="宋体" w:eastAsia="宋体"/>
          <w:color w:val="auto"/>
          <w:sz w:val="28"/>
          <w:szCs w:val="28"/>
          <w:highlight w:val="none"/>
          <w:shd w:val="clear"/>
        </w:rPr>
        <w:t>2.4招标文件的异议</w:t>
      </w:r>
      <w:bookmarkEnd w:id="395"/>
    </w:p>
    <w:p w14:paraId="005D7D63">
      <w:pPr>
        <w:wordWrap/>
        <w:spacing w:before="0" w:beforeLines="-2147483648" w:line="360" w:lineRule="auto"/>
        <w:ind w:firstLine="420" w:firstLineChars="200"/>
        <w:rPr>
          <w:rFonts w:hint="eastAsia" w:ascii="宋体" w:hAnsi="宋体"/>
          <w:color w:val="auto"/>
          <w:sz w:val="21"/>
          <w:szCs w:val="21"/>
          <w:highlight w:val="none"/>
          <w:shd w:val="clear"/>
        </w:rPr>
      </w:pPr>
      <w:r>
        <w:rPr>
          <w:rFonts w:hint="eastAsia" w:ascii="宋体" w:hAnsi="宋体"/>
          <w:color w:val="auto"/>
          <w:sz w:val="21"/>
          <w:szCs w:val="21"/>
          <w:highlight w:val="none"/>
          <w:shd w:val="clear"/>
        </w:rPr>
        <w:t>投标人或其他利害关系人对招标文件有异议的，应在投标截止时间10日前以书面形式提出。招标人将在收到异议之日起3日内作出答复；作出答复前，将暂停招标投标活动。</w:t>
      </w:r>
    </w:p>
    <w:p w14:paraId="0AA50BD0">
      <w:pPr>
        <w:pStyle w:val="49"/>
        <w:rPr>
          <w:color w:val="auto"/>
          <w:highlight w:val="none"/>
        </w:rPr>
      </w:pPr>
    </w:p>
    <w:p w14:paraId="533D999F">
      <w:pPr>
        <w:pStyle w:val="4"/>
        <w:spacing w:before="0" w:after="0" w:line="360" w:lineRule="auto"/>
        <w:rPr>
          <w:rFonts w:ascii="宋体" w:hAnsi="宋体"/>
          <w:color w:val="auto"/>
          <w:highlight w:val="none"/>
        </w:rPr>
      </w:pPr>
      <w:bookmarkStart w:id="396" w:name="_Toc382997949"/>
      <w:bookmarkStart w:id="397" w:name="_Toc419825362"/>
      <w:bookmarkStart w:id="398" w:name="_Toc419729362"/>
      <w:bookmarkStart w:id="399" w:name="_Toc383013002"/>
      <w:bookmarkStart w:id="400" w:name="_Toc463799017"/>
      <w:bookmarkStart w:id="401" w:name="_Toc234382607"/>
      <w:bookmarkStart w:id="402" w:name="_Toc490832297"/>
      <w:bookmarkStart w:id="403" w:name="_Toc10801"/>
      <w:bookmarkStart w:id="404" w:name="_Toc382997671"/>
      <w:bookmarkStart w:id="405" w:name="_Toc419724295"/>
      <w:bookmarkStart w:id="406" w:name="_Toc6453"/>
      <w:bookmarkStart w:id="407" w:name="_Toc383512696"/>
      <w:bookmarkStart w:id="408" w:name="_Toc419825013"/>
      <w:bookmarkStart w:id="409" w:name="_Toc383006475"/>
      <w:r>
        <w:rPr>
          <w:rFonts w:hint="eastAsia" w:ascii="宋体" w:hAnsi="宋体"/>
          <w:color w:val="auto"/>
          <w:highlight w:val="none"/>
        </w:rPr>
        <w:t>3. 投标文件</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0C470FC">
      <w:pPr>
        <w:pStyle w:val="4"/>
        <w:spacing w:before="0" w:after="0" w:line="360" w:lineRule="auto"/>
        <w:rPr>
          <w:rFonts w:ascii="宋体" w:hAnsi="宋体"/>
          <w:color w:val="auto"/>
          <w:sz w:val="28"/>
          <w:szCs w:val="28"/>
          <w:highlight w:val="none"/>
        </w:rPr>
      </w:pPr>
      <w:bookmarkStart w:id="410" w:name="_Toc234382608"/>
      <w:bookmarkStart w:id="411" w:name="_Toc27771"/>
      <w:bookmarkStart w:id="412" w:name="_Toc419825363"/>
      <w:bookmarkStart w:id="413" w:name="_Toc383013003"/>
      <w:bookmarkStart w:id="414" w:name="_Toc419825014"/>
      <w:bookmarkStart w:id="415" w:name="_Toc419724296"/>
      <w:bookmarkStart w:id="416" w:name="_Toc486685906"/>
      <w:bookmarkStart w:id="417" w:name="_Toc383512697"/>
      <w:bookmarkStart w:id="418" w:name="_Toc382997672"/>
      <w:bookmarkStart w:id="419" w:name="_Toc419729363"/>
      <w:bookmarkStart w:id="420" w:name="_Toc487653187"/>
      <w:bookmarkStart w:id="421" w:name="_Toc490832298"/>
      <w:bookmarkStart w:id="422" w:name="_Toc488483481"/>
      <w:bookmarkStart w:id="423" w:name="_Toc488483609"/>
      <w:bookmarkStart w:id="424" w:name="_Toc383006476"/>
      <w:bookmarkStart w:id="425" w:name="_Toc382997950"/>
      <w:bookmarkStart w:id="426" w:name="_Toc488492840"/>
      <w:bookmarkStart w:id="427" w:name="_Toc16823"/>
      <w:bookmarkStart w:id="428" w:name="_Toc463799018"/>
      <w:r>
        <w:rPr>
          <w:rFonts w:ascii="宋体" w:hAnsi="宋体"/>
          <w:color w:val="auto"/>
          <w:sz w:val="28"/>
          <w:szCs w:val="28"/>
          <w:highlight w:val="none"/>
        </w:rPr>
        <w:t>3.1 投标文件的</w:t>
      </w:r>
      <w:bookmarkEnd w:id="410"/>
      <w:r>
        <w:rPr>
          <w:rFonts w:hint="eastAsia" w:ascii="宋体" w:hAnsi="宋体"/>
          <w:color w:val="auto"/>
          <w:sz w:val="28"/>
          <w:szCs w:val="28"/>
          <w:highlight w:val="none"/>
        </w:rPr>
        <w:t>构成</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AD2BB71">
      <w:pPr>
        <w:spacing w:line="360" w:lineRule="auto"/>
        <w:ind w:firstLine="422" w:firstLineChars="200"/>
        <w:rPr>
          <w:rFonts w:ascii="宋体" w:hAnsi="宋体"/>
          <w:color w:val="auto"/>
          <w:szCs w:val="21"/>
          <w:highlight w:val="none"/>
        </w:rPr>
      </w:pPr>
      <w:r>
        <w:rPr>
          <w:rFonts w:ascii="宋体" w:hAnsi="宋体"/>
          <w:b/>
          <w:bCs/>
          <w:color w:val="auto"/>
          <w:szCs w:val="21"/>
          <w:highlight w:val="none"/>
        </w:rPr>
        <w:t>3.1.1</w:t>
      </w:r>
      <w:r>
        <w:rPr>
          <w:rFonts w:ascii="宋体" w:hAnsi="宋体"/>
          <w:color w:val="auto"/>
          <w:szCs w:val="21"/>
          <w:highlight w:val="none"/>
        </w:rPr>
        <w:t xml:space="preserve"> </w:t>
      </w:r>
      <w:r>
        <w:rPr>
          <w:rFonts w:hint="eastAsia" w:ascii="宋体" w:hAnsi="宋体"/>
          <w:color w:val="auto"/>
          <w:szCs w:val="21"/>
          <w:highlight w:val="none"/>
        </w:rPr>
        <w:t xml:space="preserve"> 投标文件应包括下列内容。</w:t>
      </w:r>
    </w:p>
    <w:p w14:paraId="7E4E94F6">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14:paraId="2F177D2A">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14:paraId="62036757">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14:paraId="258F2B8B">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14:paraId="6A6BEADD">
      <w:pPr>
        <w:spacing w:line="400" w:lineRule="exact"/>
        <w:ind w:firstLine="359" w:firstLineChars="171"/>
        <w:rPr>
          <w:color w:val="auto"/>
          <w:highlight w:val="none"/>
        </w:rPr>
      </w:pPr>
      <w:r>
        <w:rPr>
          <w:rFonts w:hint="eastAsia"/>
          <w:color w:val="auto"/>
          <w:highlight w:val="none"/>
        </w:rPr>
        <w:t>（5）投标保证金；</w:t>
      </w:r>
    </w:p>
    <w:p w14:paraId="47101073">
      <w:pPr>
        <w:spacing w:line="400" w:lineRule="exact"/>
        <w:ind w:firstLine="359" w:firstLineChars="171"/>
        <w:rPr>
          <w:color w:val="auto"/>
          <w:highlight w:val="none"/>
        </w:rPr>
      </w:pPr>
      <w:r>
        <w:rPr>
          <w:rFonts w:hint="eastAsia"/>
          <w:color w:val="auto"/>
          <w:highlight w:val="none"/>
        </w:rPr>
        <w:t>（6）项目管理机构；</w:t>
      </w:r>
    </w:p>
    <w:p w14:paraId="74C4048C">
      <w:pPr>
        <w:spacing w:line="400" w:lineRule="exact"/>
        <w:ind w:firstLine="359" w:firstLineChars="171"/>
        <w:rPr>
          <w:color w:val="auto"/>
          <w:highlight w:val="none"/>
        </w:rPr>
      </w:pPr>
      <w:r>
        <w:rPr>
          <w:rFonts w:hint="eastAsia"/>
          <w:color w:val="auto"/>
          <w:highlight w:val="none"/>
        </w:rPr>
        <w:t>（7）资格审查资料；</w:t>
      </w:r>
    </w:p>
    <w:p w14:paraId="5E43323F">
      <w:pPr>
        <w:spacing w:line="400" w:lineRule="exact"/>
        <w:ind w:firstLine="359" w:firstLineChars="171"/>
        <w:rPr>
          <w:color w:val="auto"/>
          <w:highlight w:val="none"/>
        </w:rPr>
      </w:pPr>
      <w:r>
        <w:rPr>
          <w:rFonts w:hint="eastAsia"/>
          <w:color w:val="auto"/>
          <w:highlight w:val="none"/>
        </w:rPr>
        <w:t>（8）承诺函；</w:t>
      </w:r>
    </w:p>
    <w:p w14:paraId="4CE03E5B">
      <w:pPr>
        <w:spacing w:line="400" w:lineRule="exact"/>
        <w:ind w:firstLine="359" w:firstLineChars="171"/>
        <w:rPr>
          <w:color w:val="auto"/>
          <w:highlight w:val="none"/>
        </w:rPr>
      </w:pPr>
      <w:r>
        <w:rPr>
          <w:rFonts w:hint="eastAsia"/>
          <w:color w:val="auto"/>
          <w:highlight w:val="none"/>
        </w:rPr>
        <w:t>（9）已标价工程量清单；</w:t>
      </w:r>
    </w:p>
    <w:p w14:paraId="61115525">
      <w:pPr>
        <w:spacing w:line="400" w:lineRule="exact"/>
        <w:ind w:firstLine="359" w:firstLineChars="171"/>
        <w:rPr>
          <w:color w:val="auto"/>
          <w:highlight w:val="none"/>
        </w:rPr>
      </w:pPr>
      <w:r>
        <w:rPr>
          <w:rFonts w:hint="eastAsia"/>
          <w:color w:val="auto"/>
          <w:highlight w:val="none"/>
        </w:rPr>
        <w:t>（10）定标要素情况表。</w:t>
      </w:r>
    </w:p>
    <w:p w14:paraId="72185289">
      <w:pPr>
        <w:spacing w:line="400" w:lineRule="exact"/>
        <w:ind w:firstLine="359" w:firstLineChars="171"/>
        <w:rPr>
          <w:color w:val="auto"/>
          <w:highlight w:val="none"/>
        </w:rPr>
      </w:pPr>
      <w:r>
        <w:rPr>
          <w:rFonts w:hint="eastAsia"/>
          <w:color w:val="auto"/>
          <w:highlight w:val="none"/>
        </w:rPr>
        <w:t>（11）其他材料。</w:t>
      </w:r>
    </w:p>
    <w:p w14:paraId="57C5245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3.1.2 投标人代表为法定代表人本人的，投标文件不包括本章第3.1.1 (3）所指的授权委托书；投标人须知前附表规定不接受联合体投标的，或投标人没有组成联合体的，投标文件不包括本章第3.1.1 (4）目所指的联合体协议书。</w:t>
      </w:r>
    </w:p>
    <w:p w14:paraId="12E5962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shd w:val="clear"/>
        </w:rPr>
        <w:t>3.1.3投标人须知前附表未要求提交投标保证金的，投标文件不包括本章第3.1.1（</w:t>
      </w:r>
      <w:r>
        <w:rPr>
          <w:rFonts w:hint="eastAsia" w:ascii="宋体" w:hAnsi="宋体"/>
          <w:color w:val="auto"/>
          <w:szCs w:val="21"/>
          <w:highlight w:val="none"/>
          <w:shd w:val="clear"/>
          <w:lang w:eastAsia="zh-CN"/>
        </w:rPr>
        <w:t>5</w:t>
      </w:r>
      <w:r>
        <w:rPr>
          <w:rFonts w:hint="eastAsia" w:ascii="宋体" w:hAnsi="宋体"/>
          <w:color w:val="auto"/>
          <w:szCs w:val="21"/>
          <w:highlight w:val="none"/>
          <w:shd w:val="clear"/>
        </w:rPr>
        <w:t>）目所指的投标保证金。</w:t>
      </w:r>
    </w:p>
    <w:p w14:paraId="54E07FB6">
      <w:pPr>
        <w:pStyle w:val="4"/>
        <w:spacing w:before="0" w:after="0" w:line="360" w:lineRule="auto"/>
        <w:rPr>
          <w:rFonts w:ascii="宋体" w:hAnsi="宋体"/>
          <w:color w:val="auto"/>
          <w:sz w:val="28"/>
          <w:szCs w:val="28"/>
          <w:highlight w:val="none"/>
        </w:rPr>
      </w:pPr>
      <w:bookmarkStart w:id="429" w:name="_Toc488492841"/>
      <w:bookmarkStart w:id="430" w:name="_Toc383006477"/>
      <w:bookmarkStart w:id="431" w:name="_Toc419729364"/>
      <w:bookmarkStart w:id="432" w:name="_Toc419724297"/>
      <w:bookmarkStart w:id="433" w:name="_Toc383013004"/>
      <w:bookmarkStart w:id="434" w:name="_Toc3746"/>
      <w:bookmarkStart w:id="435" w:name="_Toc488483610"/>
      <w:bookmarkStart w:id="436" w:name="_Toc486685907"/>
      <w:bookmarkStart w:id="437" w:name="_Toc383512698"/>
      <w:bookmarkStart w:id="438" w:name="_Toc419825364"/>
      <w:bookmarkStart w:id="439" w:name="_Toc463799019"/>
      <w:bookmarkStart w:id="440" w:name="_Toc382997951"/>
      <w:bookmarkStart w:id="441" w:name="_Toc488483482"/>
      <w:bookmarkStart w:id="442" w:name="_Toc490832299"/>
      <w:bookmarkStart w:id="443" w:name="_Toc13150"/>
      <w:bookmarkStart w:id="444" w:name="_Toc487653188"/>
      <w:bookmarkStart w:id="445" w:name="_Toc234382609"/>
      <w:bookmarkStart w:id="446" w:name="_Toc382997673"/>
      <w:bookmarkStart w:id="447" w:name="_Toc419825015"/>
      <w:r>
        <w:rPr>
          <w:rFonts w:ascii="宋体" w:hAnsi="宋体"/>
          <w:color w:val="auto"/>
          <w:sz w:val="28"/>
          <w:szCs w:val="28"/>
          <w:highlight w:val="none"/>
        </w:rPr>
        <w:t>3.2 投标报价</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49868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3.2.1投标报价应包括国家规定的增值税金，除投标人须知前附表另有规定外，增值税税金按一般计税方法计算。投标人应按第九章“投标文件格式”的要求在投标函中进行报价并填写分项报表。</w:t>
      </w:r>
    </w:p>
    <w:p w14:paraId="0ECF7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3.2.2投标人应充分了解本项目的总体情况及影响投标报价的其他要求。计量采用中华人民共和国法定计量单位。</w:t>
      </w:r>
    </w:p>
    <w:p w14:paraId="790ECD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3.2.3投标人编制工程量清单前应对招标文件中的投标人须知、通用合同条款、专用合同条款、技术标准和要求及图纸等充分理解，所编制的工程量清单应涵盖施工图纸所包含的全部内容。</w:t>
      </w:r>
    </w:p>
    <w:p w14:paraId="5A2EC8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3.2.4投标文件已标价的工程量清单将作为实际工程计量和工程价款的支付、结算依据，施工过程中若无设计变更，工程量及工程费用均不予调整。</w:t>
      </w:r>
    </w:p>
    <w:p w14:paraId="37F282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3.2.5本工程不接受调价函，投标人在投标截止时间前修改投标函中的投标总报价，应同时修改第六章“工程量清单”中的相应报价，此修改须符合本章第4.2 款的有关要求。已标价工程量清单中原始投标报价汇总表与投标函投标总价不符的，作废标处理。</w:t>
      </w:r>
    </w:p>
    <w:p w14:paraId="4A04DF5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3.2.6本工程设有工程招标最高</w:t>
      </w:r>
      <w:r>
        <w:rPr>
          <w:rFonts w:hint="eastAsia" w:ascii="宋体" w:hAnsi="宋体"/>
          <w:color w:val="auto"/>
          <w:szCs w:val="21"/>
          <w:highlight w:val="none"/>
          <w:lang w:val="en-US" w:eastAsia="zh-CN"/>
        </w:rPr>
        <w:t>投标限价</w:t>
      </w:r>
      <w:r>
        <w:rPr>
          <w:rFonts w:hint="eastAsia" w:ascii="宋体" w:hAnsi="宋体"/>
          <w:color w:val="auto"/>
          <w:szCs w:val="21"/>
          <w:highlight w:val="none"/>
        </w:rPr>
        <w:t>，见投标人须知前附表。投标报价高于工程招标最高</w:t>
      </w:r>
      <w:r>
        <w:rPr>
          <w:rFonts w:hint="eastAsia" w:ascii="宋体" w:hAnsi="宋体"/>
          <w:color w:val="auto"/>
          <w:szCs w:val="21"/>
          <w:highlight w:val="none"/>
          <w:lang w:val="en-US" w:eastAsia="zh-CN"/>
        </w:rPr>
        <w:t>投标限价</w:t>
      </w:r>
      <w:r>
        <w:rPr>
          <w:rFonts w:hint="eastAsia" w:ascii="宋体" w:hAnsi="宋体"/>
          <w:color w:val="auto"/>
          <w:szCs w:val="21"/>
          <w:highlight w:val="none"/>
        </w:rPr>
        <w:t>的，其投标文件作废标处理。</w:t>
      </w:r>
    </w:p>
    <w:p w14:paraId="6EBA21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3.2.7投标单价、总价和工期应包含以下费用或风险，合同执行期间不作调整：</w:t>
      </w:r>
    </w:p>
    <w:p w14:paraId="6744BC6E">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14:paraId="3BC5D5E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2）工程所含材料价格应综合材料费、资源费、运输费、采购保管费、检验费等一切费用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合同条款另有规定的除外</w:t>
      </w:r>
      <w:r>
        <w:rPr>
          <w:rFonts w:hint="eastAsia" w:ascii="宋体" w:hAnsi="宋体"/>
          <w:color w:val="auto"/>
          <w:szCs w:val="21"/>
          <w:highlight w:val="none"/>
        </w:rPr>
        <w:t xml:space="preserve">。 </w:t>
      </w:r>
    </w:p>
    <w:p w14:paraId="56B3D678">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3.2.8投标报价的其他需求，见投标人须知前附表。</w:t>
      </w:r>
    </w:p>
    <w:p w14:paraId="6430465F">
      <w:pPr>
        <w:pStyle w:val="4"/>
        <w:spacing w:before="0" w:after="0" w:line="360" w:lineRule="auto"/>
        <w:rPr>
          <w:rFonts w:ascii="宋体" w:hAnsi="宋体"/>
          <w:color w:val="auto"/>
          <w:sz w:val="28"/>
          <w:szCs w:val="28"/>
          <w:highlight w:val="none"/>
        </w:rPr>
      </w:pPr>
      <w:bookmarkStart w:id="448" w:name="_Toc419825016"/>
      <w:bookmarkStart w:id="449" w:name="_Toc490832300"/>
      <w:bookmarkStart w:id="450" w:name="_Toc419724298"/>
      <w:bookmarkStart w:id="451" w:name="_Toc278"/>
      <w:bookmarkStart w:id="452" w:name="_Toc488492842"/>
      <w:bookmarkStart w:id="453" w:name="_Toc488483611"/>
      <w:bookmarkStart w:id="454" w:name="_Toc419729365"/>
      <w:bookmarkStart w:id="455" w:name="_Toc488483483"/>
      <w:bookmarkStart w:id="456" w:name="_Toc382997952"/>
      <w:bookmarkStart w:id="457" w:name="_Toc463799020"/>
      <w:bookmarkStart w:id="458" w:name="_Toc419825365"/>
      <w:bookmarkStart w:id="459" w:name="_Toc383013005"/>
      <w:bookmarkStart w:id="460" w:name="_Toc486685908"/>
      <w:bookmarkStart w:id="461" w:name="_Toc383006478"/>
      <w:bookmarkStart w:id="462" w:name="_Toc383512699"/>
      <w:bookmarkStart w:id="463" w:name="_Toc234382610"/>
      <w:bookmarkStart w:id="464" w:name="_Toc487653189"/>
      <w:bookmarkStart w:id="465" w:name="_Toc382997674"/>
      <w:bookmarkStart w:id="466" w:name="_Toc16010"/>
      <w:r>
        <w:rPr>
          <w:rFonts w:ascii="宋体" w:hAnsi="宋体"/>
          <w:color w:val="auto"/>
          <w:sz w:val="28"/>
          <w:szCs w:val="28"/>
          <w:highlight w:val="none"/>
        </w:rPr>
        <w:t>3.3 投标有效期</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0A0AFCF">
      <w:pPr>
        <w:spacing w:line="360" w:lineRule="auto"/>
        <w:ind w:firstLine="422" w:firstLineChars="200"/>
        <w:rPr>
          <w:rFonts w:ascii="宋体" w:hAnsi="宋体"/>
          <w:color w:val="auto"/>
          <w:szCs w:val="21"/>
          <w:highlight w:val="none"/>
        </w:rPr>
      </w:pPr>
      <w:r>
        <w:rPr>
          <w:rFonts w:ascii="宋体" w:hAnsi="宋体"/>
          <w:b/>
          <w:bCs/>
          <w:color w:val="auto"/>
          <w:szCs w:val="21"/>
          <w:highlight w:val="none"/>
        </w:rPr>
        <w:t>3.3.1</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在投标人须知前附表规定的投标有效期内</w:t>
      </w:r>
      <w:r>
        <w:rPr>
          <w:rFonts w:hint="eastAsia" w:ascii="宋体" w:hAnsi="宋体"/>
          <w:color w:val="auto"/>
          <w:szCs w:val="21"/>
          <w:highlight w:val="none"/>
        </w:rPr>
        <w:t>,</w:t>
      </w:r>
      <w:r>
        <w:rPr>
          <w:rFonts w:ascii="宋体" w:hAnsi="宋体"/>
          <w:color w:val="auto"/>
          <w:szCs w:val="21"/>
          <w:highlight w:val="none"/>
        </w:rPr>
        <w:t>投标人不得要求撤销或修改其投标文件。</w:t>
      </w:r>
    </w:p>
    <w:p w14:paraId="1EF359B0">
      <w:pPr>
        <w:spacing w:line="360" w:lineRule="auto"/>
        <w:ind w:firstLine="422" w:firstLineChars="200"/>
        <w:rPr>
          <w:rFonts w:ascii="宋体" w:hAnsi="宋体"/>
          <w:color w:val="auto"/>
          <w:szCs w:val="21"/>
          <w:highlight w:val="none"/>
        </w:rPr>
      </w:pPr>
      <w:r>
        <w:rPr>
          <w:rFonts w:ascii="宋体" w:hAnsi="宋体"/>
          <w:b/>
          <w:bCs/>
          <w:color w:val="auto"/>
          <w:szCs w:val="21"/>
          <w:highlight w:val="none"/>
        </w:rPr>
        <w:t xml:space="preserve">3.3.2 </w:t>
      </w:r>
      <w:r>
        <w:rPr>
          <w:rFonts w:hint="eastAsia" w:ascii="宋体" w:hAnsi="宋体"/>
          <w:color w:val="auto"/>
          <w:szCs w:val="21"/>
          <w:highlight w:val="none"/>
        </w:rPr>
        <w:t xml:space="preserve"> </w:t>
      </w:r>
      <w:r>
        <w:rPr>
          <w:rFonts w:hint="eastAsia"/>
          <w:color w:val="auto"/>
          <w:szCs w:val="21"/>
          <w:highlight w:val="none"/>
        </w:rPr>
        <w:t>出现特殊情况需要延长投标有效期的，招标人以书面形式通知所有投标人延长投标有效期，</w:t>
      </w:r>
      <w:r>
        <w:rPr>
          <w:rFonts w:hint="eastAsia" w:ascii="宋体" w:hAnsi="宋体"/>
          <w:color w:val="auto"/>
          <w:szCs w:val="21"/>
          <w:highlight w:val="none"/>
        </w:rPr>
        <w:t>但延长后投标有限期共计不超过120天</w:t>
      </w:r>
      <w:r>
        <w:rPr>
          <w:rFonts w:hint="eastAsia" w:ascii="宋体" w:hAnsi="宋体"/>
          <w:color w:val="auto"/>
          <w:highlight w:val="none"/>
        </w:rPr>
        <w:t>。</w:t>
      </w:r>
      <w:r>
        <w:rPr>
          <w:rFonts w:hint="eastAsia"/>
          <w:color w:val="auto"/>
          <w:szCs w:val="21"/>
          <w:highlight w:val="none"/>
        </w:rPr>
        <w:t>投标人同意延长的，应相应延长其投标保证金的有效期，但不得要求或被允许修改或撤销其投标文件；投标人拒绝延长的，其投标失效，但投标人有权收回其投标保证金以及投标保证金的银行同期活期存款利息</w:t>
      </w:r>
      <w:r>
        <w:rPr>
          <w:rFonts w:ascii="宋体" w:hAnsi="宋体"/>
          <w:color w:val="auto"/>
          <w:szCs w:val="21"/>
          <w:highlight w:val="none"/>
        </w:rPr>
        <w:t>。</w:t>
      </w:r>
    </w:p>
    <w:p w14:paraId="0EBECD2D">
      <w:pPr>
        <w:pStyle w:val="4"/>
        <w:spacing w:before="0" w:after="0" w:line="360" w:lineRule="auto"/>
        <w:rPr>
          <w:rFonts w:ascii="宋体" w:hAnsi="宋体"/>
          <w:color w:val="auto"/>
          <w:sz w:val="28"/>
          <w:szCs w:val="28"/>
          <w:highlight w:val="none"/>
        </w:rPr>
      </w:pPr>
      <w:bookmarkStart w:id="467" w:name="_Toc419825017"/>
      <w:bookmarkStart w:id="468" w:name="_Toc382997675"/>
      <w:bookmarkStart w:id="469" w:name="_Toc382997953"/>
      <w:bookmarkStart w:id="470" w:name="_Toc383013006"/>
      <w:bookmarkStart w:id="471" w:name="_Toc486685909"/>
      <w:bookmarkStart w:id="472" w:name="_Toc419724299"/>
      <w:bookmarkStart w:id="473" w:name="_Toc383512700"/>
      <w:bookmarkStart w:id="474" w:name="_Toc383006479"/>
      <w:bookmarkStart w:id="475" w:name="_Toc487653190"/>
      <w:bookmarkStart w:id="476" w:name="_Toc17235"/>
      <w:bookmarkStart w:id="477" w:name="_Toc488483484"/>
      <w:bookmarkStart w:id="478" w:name="_Toc234382611"/>
      <w:bookmarkStart w:id="479" w:name="_Toc488492843"/>
      <w:bookmarkStart w:id="480" w:name="_Toc14182"/>
      <w:bookmarkStart w:id="481" w:name="_Toc419825366"/>
      <w:bookmarkStart w:id="482" w:name="_Toc419729366"/>
      <w:bookmarkStart w:id="483" w:name="_Toc490832301"/>
      <w:bookmarkStart w:id="484" w:name="_Toc463799021"/>
      <w:bookmarkStart w:id="485" w:name="_Toc488483612"/>
      <w:r>
        <w:rPr>
          <w:rFonts w:ascii="宋体" w:hAnsi="宋体"/>
          <w:color w:val="auto"/>
          <w:sz w:val="28"/>
          <w:szCs w:val="28"/>
          <w:highlight w:val="none"/>
        </w:rPr>
        <w:t>3.4 投标保证金</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rFonts w:hint="eastAsia" w:ascii="宋体" w:hAnsi="宋体"/>
          <w:color w:val="auto"/>
          <w:sz w:val="28"/>
          <w:szCs w:val="28"/>
          <w:highlight w:val="none"/>
        </w:rPr>
        <w:t xml:space="preserve"> </w:t>
      </w:r>
    </w:p>
    <w:p w14:paraId="741B1485">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3.4.1</w:t>
      </w:r>
      <w:r>
        <w:rPr>
          <w:rFonts w:hint="eastAsia"/>
          <w:color w:val="auto"/>
          <w:szCs w:val="21"/>
          <w:highlight w:val="none"/>
        </w:rPr>
        <w:t>投标人在递交投标文件的同时，应按投标人须知前附表规定的金额、担保形式和第九章“投标文件格式”规定的投标保证金格式递交投标保证金，并作为其投标文件的组成部分。联合体投标的，其投标保证金由牵头人递交，并应符合投标人须知前附表的规定</w:t>
      </w:r>
      <w:r>
        <w:rPr>
          <w:rFonts w:hint="eastAsia" w:ascii="宋体" w:hAnsi="宋体"/>
          <w:color w:val="auto"/>
          <w:szCs w:val="21"/>
          <w:highlight w:val="none"/>
        </w:rPr>
        <w:t>。</w:t>
      </w:r>
    </w:p>
    <w:p w14:paraId="2DA6F2BB">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3.4.2 </w:t>
      </w:r>
      <w:r>
        <w:rPr>
          <w:rFonts w:hint="eastAsia" w:ascii="宋体" w:hAnsi="宋体"/>
          <w:color w:val="auto"/>
          <w:szCs w:val="21"/>
          <w:highlight w:val="none"/>
        </w:rPr>
        <w:t>投标人不按本章第 3.4.1 项要求提交投标保证金的，其投标文件作废标处理。</w:t>
      </w:r>
    </w:p>
    <w:p w14:paraId="1E66EE8C">
      <w:pPr>
        <w:spacing w:line="360" w:lineRule="auto"/>
        <w:ind w:firstLine="422" w:firstLineChars="200"/>
        <w:rPr>
          <w:rFonts w:ascii="宋体" w:hAnsi="宋体"/>
          <w:color w:val="auto"/>
          <w:szCs w:val="21"/>
          <w:highlight w:val="none"/>
        </w:rPr>
      </w:pPr>
      <w:r>
        <w:rPr>
          <w:rFonts w:ascii="宋体" w:hAnsi="宋体"/>
          <w:b/>
          <w:bCs/>
          <w:color w:val="auto"/>
          <w:szCs w:val="21"/>
          <w:highlight w:val="none"/>
        </w:rPr>
        <w:t>3.4.</w:t>
      </w:r>
      <w:r>
        <w:rPr>
          <w:rFonts w:hint="eastAsia" w:ascii="宋体" w:hAnsi="宋体"/>
          <w:b/>
          <w:bCs/>
          <w:color w:val="auto"/>
          <w:szCs w:val="21"/>
          <w:highlight w:val="none"/>
        </w:rPr>
        <w:t>3</w:t>
      </w:r>
      <w:r>
        <w:rPr>
          <w:rFonts w:ascii="宋体" w:hAnsi="宋体"/>
          <w:color w:val="auto"/>
          <w:szCs w:val="21"/>
          <w:highlight w:val="none"/>
        </w:rPr>
        <w:t xml:space="preserve"> </w:t>
      </w:r>
      <w:r>
        <w:rPr>
          <w:rFonts w:hint="eastAsia" w:ascii="宋体" w:hAnsi="宋体"/>
          <w:color w:val="auto"/>
          <w:szCs w:val="21"/>
          <w:highlight w:val="none"/>
        </w:rPr>
        <w:t>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利息计算原则见投标人须知前附表。</w:t>
      </w:r>
    </w:p>
    <w:p w14:paraId="508280D6">
      <w:pPr>
        <w:spacing w:line="360" w:lineRule="auto"/>
        <w:ind w:firstLine="422" w:firstLineChars="200"/>
        <w:rPr>
          <w:rFonts w:ascii="宋体" w:hAnsi="宋体"/>
          <w:color w:val="auto"/>
          <w:szCs w:val="21"/>
          <w:highlight w:val="none"/>
        </w:rPr>
      </w:pPr>
      <w:r>
        <w:rPr>
          <w:rFonts w:hint="eastAsia" w:ascii="宋体" w:hAnsi="宋体"/>
          <w:b/>
          <w:bCs/>
          <w:color w:val="auto"/>
          <w:szCs w:val="21"/>
          <w:highlight w:val="none"/>
        </w:rPr>
        <w:t>3.4.4</w:t>
      </w:r>
      <w:r>
        <w:rPr>
          <w:rFonts w:hint="eastAsia" w:ascii="宋体" w:hAnsi="宋体"/>
          <w:color w:val="auto"/>
          <w:szCs w:val="21"/>
          <w:highlight w:val="none"/>
        </w:rPr>
        <w:t xml:space="preserve"> </w:t>
      </w:r>
      <w:r>
        <w:rPr>
          <w:rFonts w:ascii="宋体" w:hAnsi="宋体"/>
          <w:color w:val="auto"/>
          <w:szCs w:val="21"/>
          <w:highlight w:val="none"/>
        </w:rPr>
        <w:t>有下列情形之一的</w:t>
      </w:r>
      <w:r>
        <w:rPr>
          <w:rFonts w:hint="eastAsia" w:ascii="宋体" w:hAnsi="宋体"/>
          <w:color w:val="auto"/>
          <w:szCs w:val="21"/>
          <w:highlight w:val="none"/>
        </w:rPr>
        <w:t>,</w:t>
      </w:r>
      <w:r>
        <w:rPr>
          <w:rFonts w:ascii="宋体" w:hAnsi="宋体"/>
          <w:color w:val="auto"/>
          <w:szCs w:val="21"/>
          <w:highlight w:val="none"/>
        </w:rPr>
        <w:t>投标保证金将不予退还：</w:t>
      </w:r>
    </w:p>
    <w:p w14:paraId="5913AA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投标人在规定的投标有效期内撤销或修改其投标文件；</w:t>
      </w:r>
    </w:p>
    <w:p w14:paraId="5D37DA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 中标人在收到中标通知书后，无正当理由不与招标人订立合同，在签订合同时向招标人提出附加条件，或不按照招标文件要求提交履约保证金；</w:t>
      </w:r>
    </w:p>
    <w:p w14:paraId="4872051F">
      <w:pPr>
        <w:spacing w:line="360" w:lineRule="auto"/>
        <w:ind w:firstLine="420" w:firstLineChars="200"/>
        <w:rPr>
          <w:rFonts w:hint="eastAsia" w:ascii="宋体" w:hAnsi="宋体"/>
          <w:color w:val="auto"/>
          <w:szCs w:val="21"/>
          <w:highlight w:val="none"/>
        </w:rPr>
      </w:pPr>
      <w:r>
        <w:rPr>
          <w:rFonts w:hint="eastAsia" w:ascii="宋体" w:hAnsi="宋体"/>
          <w:color w:val="auto"/>
          <w:sz w:val="21"/>
          <w:szCs w:val="21"/>
          <w:highlight w:val="none"/>
          <w:shd w:val="clear"/>
        </w:rPr>
        <w:t>（3）发生投标人须知前附表规定的其他可以不予退还投标保证金的情形。</w:t>
      </w:r>
    </w:p>
    <w:p w14:paraId="605BBECD">
      <w:pPr>
        <w:pStyle w:val="4"/>
        <w:spacing w:before="0" w:after="0" w:line="360" w:lineRule="auto"/>
        <w:rPr>
          <w:color w:val="auto"/>
          <w:highlight w:val="none"/>
        </w:rPr>
      </w:pPr>
      <w:bookmarkStart w:id="486" w:name="_Toc234382613"/>
      <w:bookmarkStart w:id="487" w:name="_Toc4108"/>
      <w:r>
        <w:rPr>
          <w:rFonts w:hint="eastAsia" w:ascii="宋体" w:hAnsi="宋体"/>
          <w:color w:val="auto"/>
          <w:sz w:val="28"/>
          <w:szCs w:val="28"/>
          <w:highlight w:val="none"/>
        </w:rPr>
        <w:t xml:space="preserve"> </w:t>
      </w:r>
      <w:bookmarkEnd w:id="486"/>
      <w:bookmarkEnd w:id="487"/>
      <w:bookmarkStart w:id="488" w:name="_Toc488492844"/>
      <w:bookmarkStart w:id="489" w:name="_Toc487653191"/>
      <w:bookmarkStart w:id="490" w:name="_Toc488483485"/>
      <w:bookmarkStart w:id="491" w:name="_Toc28211"/>
      <w:bookmarkStart w:id="492" w:name="_Toc488483613"/>
      <w:bookmarkStart w:id="493" w:name="_Toc490832302"/>
      <w:bookmarkStart w:id="494" w:name="_Toc486685910"/>
      <w:r>
        <w:rPr>
          <w:rFonts w:ascii="宋体" w:hAnsi="宋体"/>
          <w:color w:val="auto"/>
          <w:sz w:val="28"/>
          <w:szCs w:val="28"/>
          <w:highlight w:val="none"/>
        </w:rPr>
        <w:t>3.5 资格审查</w:t>
      </w:r>
      <w:bookmarkEnd w:id="488"/>
      <w:bookmarkEnd w:id="489"/>
      <w:bookmarkEnd w:id="490"/>
      <w:bookmarkEnd w:id="491"/>
      <w:bookmarkEnd w:id="492"/>
      <w:bookmarkEnd w:id="493"/>
      <w:bookmarkEnd w:id="494"/>
    </w:p>
    <w:p w14:paraId="27028A77">
      <w:pPr>
        <w:spacing w:line="360" w:lineRule="auto"/>
        <w:ind w:firstLine="420" w:firstLineChars="200"/>
        <w:rPr>
          <w:rFonts w:ascii="宋体" w:hAnsi="宋体"/>
          <w:color w:val="auto"/>
          <w:szCs w:val="21"/>
          <w:highlight w:val="none"/>
        </w:rPr>
      </w:pPr>
      <w:bookmarkStart w:id="495" w:name="_Toc463799023"/>
      <w:bookmarkStart w:id="496" w:name="_Toc419724301"/>
      <w:bookmarkStart w:id="497" w:name="_Toc383013008"/>
      <w:bookmarkStart w:id="498" w:name="_Toc234382615"/>
      <w:bookmarkStart w:id="499" w:name="_Toc383512702"/>
      <w:bookmarkStart w:id="500" w:name="_Toc382997677"/>
      <w:bookmarkStart w:id="501" w:name="_Toc419825019"/>
      <w:bookmarkStart w:id="502" w:name="_Toc382997955"/>
      <w:bookmarkStart w:id="503" w:name="_Toc419729368"/>
      <w:bookmarkStart w:id="504" w:name="_Toc419825368"/>
      <w:bookmarkStart w:id="505" w:name="_Toc2752"/>
      <w:bookmarkStart w:id="506" w:name="_Toc383006481"/>
      <w:r>
        <w:rPr>
          <w:rFonts w:hint="eastAsia" w:ascii="宋体" w:hAnsi="宋体"/>
          <w:color w:val="auto"/>
          <w:szCs w:val="21"/>
          <w:highlight w:val="none"/>
        </w:rPr>
        <w:t>3.5.1 “投标人基本情况表”应附投标人营业执照副本、资质证书副本和安全生产许可证（均含变更记录）等材料的扫描件。</w:t>
      </w:r>
    </w:p>
    <w:p w14:paraId="0D2FED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 “近3年财务状况表”无需提交。</w:t>
      </w:r>
    </w:p>
    <w:p w14:paraId="0067F2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 “近年完成的项目情况表”应附在交通运输部“全国水运建设市场信用信息管理系统”（https://wtis.mot.gov.cn/credit/index.html）中查询到的企业“业绩信息”相关项目网页截图扫描件，或附在“福建省交通公路水运建设与运输市场信用信息管理系统（信用交通·福建）”（http://220.160.53.3:30050/gzwz/）中查询到的网页截图（并注明查询路径）；并提供①合同文件扫描件，②交(竣)工验收证书或交工验收表</w:t>
      </w:r>
      <w:r>
        <w:rPr>
          <w:rFonts w:hint="eastAsia" w:ascii="宋体" w:hAnsi="宋体"/>
          <w:color w:val="auto"/>
          <w:szCs w:val="21"/>
          <w:highlight w:val="none"/>
          <w:lang w:val="en-US" w:eastAsia="zh-CN"/>
        </w:rPr>
        <w:t>或</w:t>
      </w:r>
      <w:r>
        <w:rPr>
          <w:rFonts w:hint="eastAsia" w:ascii="宋体" w:hAnsi="宋体"/>
          <w:color w:val="auto"/>
          <w:szCs w:val="21"/>
          <w:highlight w:val="none"/>
        </w:rPr>
        <w:t>竣工验收现场核查报告</w:t>
      </w:r>
      <w:r>
        <w:rPr>
          <w:rFonts w:hint="eastAsia" w:ascii="宋体" w:hAnsi="宋体"/>
          <w:color w:val="auto"/>
          <w:szCs w:val="21"/>
          <w:highlight w:val="none"/>
          <w:lang w:val="en-US" w:eastAsia="zh-CN"/>
        </w:rPr>
        <w:t>扫描件，③工程交工</w:t>
      </w:r>
      <w:r>
        <w:rPr>
          <w:rFonts w:hint="eastAsia" w:ascii="宋体" w:hAnsi="宋体"/>
          <w:color w:val="auto"/>
          <w:szCs w:val="21"/>
          <w:highlight w:val="none"/>
        </w:rPr>
        <w:t>质量</w:t>
      </w:r>
      <w:r>
        <w:rPr>
          <w:rFonts w:hint="eastAsia" w:ascii="宋体" w:hAnsi="宋体"/>
          <w:color w:val="auto"/>
          <w:szCs w:val="21"/>
          <w:highlight w:val="none"/>
          <w:lang w:val="en-US" w:eastAsia="zh-CN"/>
        </w:rPr>
        <w:t>核验意见或工程质量</w:t>
      </w:r>
      <w:r>
        <w:rPr>
          <w:rFonts w:hint="eastAsia" w:ascii="宋体" w:hAnsi="宋体"/>
          <w:color w:val="auto"/>
          <w:szCs w:val="21"/>
          <w:highlight w:val="none"/>
        </w:rPr>
        <w:t>鉴定</w:t>
      </w:r>
      <w:r>
        <w:rPr>
          <w:rFonts w:hint="eastAsia" w:ascii="宋体" w:hAnsi="宋体"/>
          <w:color w:val="auto"/>
          <w:szCs w:val="21"/>
          <w:highlight w:val="none"/>
          <w:lang w:val="en-US" w:eastAsia="zh-CN"/>
        </w:rPr>
        <w:t>报告</w:t>
      </w:r>
      <w:r>
        <w:rPr>
          <w:rFonts w:hint="eastAsia" w:ascii="宋体" w:hAnsi="宋体"/>
          <w:color w:val="auto"/>
          <w:szCs w:val="21"/>
          <w:highlight w:val="none"/>
        </w:rPr>
        <w:t>描件</w:t>
      </w:r>
      <w:r>
        <w:rPr>
          <w:rFonts w:hint="eastAsia" w:ascii="宋体" w:hAnsi="宋体"/>
          <w:color w:val="auto"/>
          <w:szCs w:val="21"/>
          <w:highlight w:val="none"/>
          <w:lang w:eastAsia="zh-CN"/>
        </w:rPr>
        <w:t>。</w:t>
      </w:r>
      <w:r>
        <w:rPr>
          <w:rFonts w:hint="eastAsia" w:ascii="宋体" w:hAnsi="宋体"/>
          <w:color w:val="auto"/>
          <w:szCs w:val="21"/>
          <w:highlight w:val="none"/>
        </w:rPr>
        <w:t>航道工程还需提供单独立项的</w:t>
      </w:r>
      <w:r>
        <w:rPr>
          <w:rFonts w:hint="eastAsia" w:ascii="宋体" w:hAnsi="宋体"/>
          <w:color w:val="auto"/>
          <w:szCs w:val="21"/>
          <w:highlight w:val="none"/>
          <w:lang w:val="en-US" w:eastAsia="zh-CN"/>
        </w:rPr>
        <w:t>政府部门</w:t>
      </w:r>
      <w:r>
        <w:rPr>
          <w:rFonts w:hint="eastAsia" w:ascii="宋体" w:hAnsi="宋体"/>
          <w:color w:val="auto"/>
          <w:szCs w:val="21"/>
          <w:highlight w:val="none"/>
        </w:rPr>
        <w:t>批复文件扫描件。具体年份要求见投标人须知前附表。每张表格只填写一个项目，并标明序号。</w:t>
      </w:r>
    </w:p>
    <w:p w14:paraId="435E32E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 “近3年发生的诉讼及仲裁情况”应说明相关情况，并附法院或仲裁机构作出的判决、裁决等有关法律文书扫描件，具体年份要求见投标人须知前附表。</w:t>
      </w:r>
    </w:p>
    <w:p w14:paraId="69F22D9D">
      <w:pPr>
        <w:spacing w:line="440" w:lineRule="exact"/>
        <w:ind w:firstLine="210" w:firstLineChars="100"/>
        <w:rPr>
          <w:rFonts w:hint="eastAsia" w:ascii="宋体" w:hAnsi="宋体" w:eastAsia="宋体"/>
          <w:color w:val="auto"/>
          <w:szCs w:val="21"/>
          <w:highlight w:val="none"/>
          <w:lang w:val="en-US" w:eastAsia="zh-CN"/>
        </w:rPr>
      </w:pPr>
      <w:r>
        <w:rPr>
          <w:rFonts w:hint="eastAsia" w:ascii="宋体" w:hAnsi="宋体"/>
          <w:color w:val="auto"/>
          <w:szCs w:val="21"/>
          <w:highlight w:val="none"/>
        </w:rPr>
        <w:t xml:space="preserve">  3.5.5 </w:t>
      </w:r>
      <w:r>
        <w:rPr>
          <w:rFonts w:hint="eastAsia" w:ascii="宋体" w:hAnsi="宋体"/>
          <w:color w:val="auto"/>
          <w:sz w:val="21"/>
          <w:szCs w:val="21"/>
          <w:highlight w:val="none"/>
          <w:shd w:val="clear"/>
        </w:rPr>
        <w:t>“投标人的信誉情况</w:t>
      </w:r>
      <w:r>
        <w:rPr>
          <w:rFonts w:hint="eastAsia" w:ascii="宋体" w:hAnsi="宋体"/>
          <w:color w:val="auto"/>
          <w:sz w:val="21"/>
          <w:szCs w:val="21"/>
          <w:highlight w:val="none"/>
          <w:shd w:val="clear"/>
          <w:lang w:val="en-US" w:eastAsia="zh-CN"/>
        </w:rPr>
        <w:t>表</w:t>
      </w:r>
      <w:r>
        <w:rPr>
          <w:rFonts w:hint="eastAsia" w:ascii="宋体" w:hAnsi="宋体"/>
          <w:color w:val="auto"/>
          <w:sz w:val="21"/>
          <w:szCs w:val="21"/>
          <w:highlight w:val="none"/>
          <w:shd w:val="clear"/>
        </w:rPr>
        <w:t>”</w:t>
      </w:r>
      <w:r>
        <w:rPr>
          <w:rFonts w:hint="eastAsia" w:ascii="宋体" w:hAnsi="宋体"/>
          <w:color w:val="auto"/>
          <w:sz w:val="21"/>
          <w:szCs w:val="21"/>
          <w:highlight w:val="none"/>
          <w:shd w:val="clear"/>
          <w:lang w:val="en-US" w:eastAsia="zh-CN"/>
        </w:rPr>
        <w:t>应附投标人在</w:t>
      </w:r>
      <w:r>
        <w:rPr>
          <w:rFonts w:hint="eastAsia" w:ascii="宋体" w:hAnsi="宋体"/>
          <w:color w:val="auto"/>
          <w:szCs w:val="21"/>
          <w:highlight w:val="none"/>
        </w:rPr>
        <w:t>国家企业信用信息公示系统（http://www.gsxt.gov.cn/）中</w:t>
      </w:r>
      <w:r>
        <w:rPr>
          <w:rFonts w:hint="eastAsia" w:ascii="宋体" w:hAnsi="宋体"/>
          <w:color w:val="auto"/>
          <w:szCs w:val="21"/>
          <w:highlight w:val="none"/>
          <w:lang w:val="en-US" w:eastAsia="zh-CN"/>
        </w:rPr>
        <w:t>未</w:t>
      </w:r>
      <w:r>
        <w:rPr>
          <w:rFonts w:hint="eastAsia" w:ascii="宋体" w:hAnsi="宋体"/>
          <w:color w:val="auto"/>
          <w:szCs w:val="21"/>
          <w:highlight w:val="none"/>
        </w:rPr>
        <w:t>被列入严重违法失信企业名单</w:t>
      </w:r>
      <w:r>
        <w:rPr>
          <w:rFonts w:hint="eastAsia" w:ascii="宋体" w:hAnsi="宋体"/>
          <w:color w:val="auto"/>
          <w:szCs w:val="21"/>
          <w:highlight w:val="none"/>
          <w:lang w:val="en-US" w:eastAsia="zh-CN"/>
        </w:rPr>
        <w:t>的网页截图、</w:t>
      </w:r>
      <w:r>
        <w:rPr>
          <w:rFonts w:hint="eastAsia" w:ascii="宋体" w:hAnsi="宋体"/>
          <w:color w:val="auto"/>
          <w:szCs w:val="21"/>
          <w:highlight w:val="none"/>
        </w:rPr>
        <w:t>在“信用中国”网站（http://www.creditchina.gov.cn/）</w:t>
      </w:r>
      <w:r>
        <w:rPr>
          <w:rFonts w:hint="eastAsia" w:ascii="宋体" w:hAnsi="宋体"/>
          <w:color w:val="auto"/>
          <w:szCs w:val="21"/>
          <w:highlight w:val="none"/>
          <w:lang w:val="en-US" w:eastAsia="zh-CN"/>
        </w:rPr>
        <w:t>或</w:t>
      </w:r>
      <w:r>
        <w:rPr>
          <w:rFonts w:hint="eastAsia" w:ascii="宋体" w:hAnsi="宋体"/>
          <w:color w:val="auto"/>
          <w:szCs w:val="21"/>
          <w:highlight w:val="none"/>
        </w:rPr>
        <w:t>“中国执行信息公开网”网站（http://zxgk.court.gov.cn/shixin/）中</w:t>
      </w:r>
      <w:r>
        <w:rPr>
          <w:rFonts w:hint="eastAsia" w:ascii="宋体" w:hAnsi="宋体"/>
          <w:color w:val="auto"/>
          <w:szCs w:val="21"/>
          <w:highlight w:val="none"/>
          <w:lang w:val="en-US" w:eastAsia="zh-CN"/>
        </w:rPr>
        <w:t>未</w:t>
      </w:r>
      <w:r>
        <w:rPr>
          <w:rFonts w:hint="eastAsia" w:ascii="宋体" w:hAnsi="宋体"/>
          <w:color w:val="auto"/>
          <w:szCs w:val="21"/>
          <w:highlight w:val="none"/>
        </w:rPr>
        <w:t>被列入失信被执行人名单</w:t>
      </w:r>
      <w:r>
        <w:rPr>
          <w:rFonts w:hint="eastAsia" w:ascii="宋体" w:hAnsi="宋体"/>
          <w:color w:val="auto"/>
          <w:szCs w:val="21"/>
          <w:highlight w:val="none"/>
          <w:lang w:val="en-US" w:eastAsia="zh-CN"/>
        </w:rPr>
        <w:t>的网页截图，以及投标人提交的</w:t>
      </w:r>
      <w:r>
        <w:rPr>
          <w:rFonts w:hint="eastAsia" w:ascii="宋体" w:hAnsi="宋体"/>
          <w:color w:val="auto"/>
          <w:szCs w:val="21"/>
          <w:highlight w:val="none"/>
        </w:rPr>
        <w:t>“无</w:t>
      </w:r>
      <w:r>
        <w:rPr>
          <w:rFonts w:hint="eastAsia" w:ascii="宋体" w:hAnsi="宋体"/>
          <w:color w:val="auto"/>
          <w:szCs w:val="21"/>
          <w:highlight w:val="none"/>
          <w:lang w:val="en-US" w:eastAsia="zh-CN"/>
        </w:rPr>
        <w:t>行</w:t>
      </w:r>
      <w:r>
        <w:rPr>
          <w:rFonts w:hint="eastAsia" w:ascii="宋体" w:hAnsi="宋体"/>
          <w:color w:val="auto"/>
          <w:szCs w:val="21"/>
          <w:highlight w:val="none"/>
        </w:rPr>
        <w:t>贿犯罪记录承诺书”</w:t>
      </w:r>
      <w:r>
        <w:rPr>
          <w:rFonts w:hint="eastAsia" w:ascii="宋体" w:hAnsi="宋体"/>
          <w:color w:val="auto"/>
          <w:szCs w:val="21"/>
          <w:highlight w:val="none"/>
          <w:lang w:eastAsia="zh-CN"/>
        </w:rPr>
        <w:t>。</w:t>
      </w:r>
    </w:p>
    <w:p w14:paraId="1C257D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3.5.6投标人须知前附表规定接受联合体投标的，本章第3.5.1 项及第3.5.</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项规定的表格和资料应包括联合体各方相关情况。</w:t>
      </w:r>
    </w:p>
    <w:p w14:paraId="09C39174">
      <w:pPr>
        <w:pStyle w:val="4"/>
        <w:spacing w:before="0" w:after="0" w:line="360" w:lineRule="auto"/>
        <w:rPr>
          <w:rFonts w:ascii="宋体" w:hAnsi="宋体"/>
          <w:color w:val="auto"/>
          <w:sz w:val="28"/>
          <w:szCs w:val="28"/>
          <w:highlight w:val="none"/>
        </w:rPr>
      </w:pPr>
      <w:bookmarkStart w:id="507" w:name="_Toc27078"/>
      <w:bookmarkStart w:id="508" w:name="_Toc488492845"/>
      <w:bookmarkStart w:id="509" w:name="_Toc487653192"/>
      <w:bookmarkStart w:id="510" w:name="_Toc488483486"/>
      <w:bookmarkStart w:id="511" w:name="_Toc486685911"/>
      <w:bookmarkStart w:id="512" w:name="_Toc488483614"/>
      <w:bookmarkStart w:id="513" w:name="_Toc490832303"/>
      <w:r>
        <w:rPr>
          <w:rFonts w:ascii="宋体" w:hAnsi="宋体"/>
          <w:color w:val="auto"/>
          <w:sz w:val="28"/>
          <w:szCs w:val="28"/>
          <w:highlight w:val="none"/>
        </w:rPr>
        <w:t>3.</w:t>
      </w:r>
      <w:r>
        <w:rPr>
          <w:rFonts w:hint="eastAsia" w:ascii="宋体" w:hAnsi="宋体"/>
          <w:color w:val="auto"/>
          <w:sz w:val="28"/>
          <w:szCs w:val="28"/>
          <w:highlight w:val="none"/>
        </w:rPr>
        <w:t>6</w:t>
      </w:r>
      <w:r>
        <w:rPr>
          <w:rFonts w:ascii="宋体" w:hAnsi="宋体"/>
          <w:color w:val="auto"/>
          <w:sz w:val="28"/>
          <w:szCs w:val="28"/>
          <w:highlight w:val="none"/>
        </w:rPr>
        <w:t xml:space="preserve"> </w:t>
      </w:r>
      <w:r>
        <w:rPr>
          <w:rFonts w:hint="eastAsia" w:ascii="宋体" w:hAnsi="宋体"/>
          <w:color w:val="auto"/>
          <w:sz w:val="28"/>
          <w:szCs w:val="28"/>
          <w:highlight w:val="none"/>
        </w:rPr>
        <w:t>备选投标方案</w:t>
      </w:r>
      <w:bookmarkEnd w:id="495"/>
      <w:bookmarkEnd w:id="507"/>
      <w:bookmarkEnd w:id="508"/>
      <w:bookmarkEnd w:id="509"/>
      <w:bookmarkEnd w:id="510"/>
      <w:bookmarkEnd w:id="511"/>
      <w:bookmarkEnd w:id="512"/>
      <w:bookmarkEnd w:id="513"/>
    </w:p>
    <w:p w14:paraId="083BC6DA">
      <w:pPr>
        <w:spacing w:line="360" w:lineRule="auto"/>
        <w:ind w:firstLine="420" w:firstLineChars="200"/>
        <w:rPr>
          <w:rFonts w:ascii="宋体" w:hAnsi="宋体"/>
          <w:color w:val="auto"/>
          <w:szCs w:val="21"/>
          <w:highlight w:val="none"/>
        </w:rPr>
      </w:pPr>
      <w:bookmarkStart w:id="514" w:name="_Toc463799024"/>
      <w:r>
        <w:rPr>
          <w:rFonts w:hint="eastAsia" w:ascii="宋体" w:hAnsi="宋体"/>
          <w:color w:val="auto"/>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7BB88C4">
      <w:pPr>
        <w:pStyle w:val="4"/>
        <w:spacing w:before="0" w:after="0" w:line="360" w:lineRule="auto"/>
        <w:rPr>
          <w:rFonts w:ascii="宋体" w:hAnsi="宋体"/>
          <w:color w:val="auto"/>
          <w:sz w:val="28"/>
          <w:szCs w:val="28"/>
          <w:highlight w:val="none"/>
        </w:rPr>
      </w:pPr>
      <w:bookmarkStart w:id="515" w:name="_Toc487653193"/>
      <w:bookmarkStart w:id="516" w:name="_Toc488483615"/>
      <w:bookmarkStart w:id="517" w:name="_Toc490832304"/>
      <w:bookmarkStart w:id="518" w:name="_Toc19447"/>
      <w:bookmarkStart w:id="519" w:name="_Toc486685912"/>
      <w:bookmarkStart w:id="520" w:name="_Toc488492846"/>
      <w:bookmarkStart w:id="521" w:name="_Toc488483487"/>
      <w:r>
        <w:rPr>
          <w:rFonts w:hint="eastAsia" w:ascii="宋体" w:hAnsi="宋体"/>
          <w:color w:val="auto"/>
          <w:sz w:val="28"/>
          <w:szCs w:val="28"/>
          <w:highlight w:val="none"/>
        </w:rPr>
        <w:t>3.7</w:t>
      </w:r>
      <w:r>
        <w:rPr>
          <w:rFonts w:ascii="宋体" w:hAnsi="宋体"/>
          <w:color w:val="auto"/>
          <w:sz w:val="28"/>
          <w:szCs w:val="28"/>
          <w:highlight w:val="none"/>
        </w:rPr>
        <w:t>投标文件的编制</w:t>
      </w:r>
      <w:bookmarkEnd w:id="496"/>
      <w:bookmarkEnd w:id="497"/>
      <w:bookmarkEnd w:id="498"/>
      <w:bookmarkEnd w:id="499"/>
      <w:bookmarkEnd w:id="500"/>
      <w:bookmarkEnd w:id="501"/>
      <w:bookmarkEnd w:id="502"/>
      <w:bookmarkEnd w:id="503"/>
      <w:bookmarkEnd w:id="504"/>
      <w:bookmarkEnd w:id="505"/>
      <w:bookmarkEnd w:id="506"/>
      <w:bookmarkEnd w:id="514"/>
      <w:bookmarkEnd w:id="515"/>
      <w:bookmarkEnd w:id="516"/>
      <w:bookmarkEnd w:id="517"/>
      <w:bookmarkEnd w:id="518"/>
      <w:bookmarkEnd w:id="519"/>
      <w:bookmarkEnd w:id="520"/>
      <w:bookmarkEnd w:id="521"/>
    </w:p>
    <w:p w14:paraId="2A387F77">
      <w:pPr>
        <w:spacing w:line="360" w:lineRule="auto"/>
        <w:ind w:firstLine="420" w:firstLineChars="200"/>
        <w:rPr>
          <w:rFonts w:ascii="宋体" w:hAnsi="宋体"/>
          <w:color w:val="auto"/>
          <w:szCs w:val="21"/>
          <w:highlight w:val="none"/>
        </w:rPr>
      </w:pPr>
      <w:bookmarkStart w:id="522" w:name="_Toc7288"/>
      <w:bookmarkStart w:id="523" w:name="_Toc234382616"/>
      <w:bookmarkStart w:id="524" w:name="_Toc419724302"/>
      <w:bookmarkStart w:id="525" w:name="_Toc383006482"/>
      <w:bookmarkStart w:id="526" w:name="_Toc463799025"/>
      <w:bookmarkStart w:id="527" w:name="_Toc383512703"/>
      <w:bookmarkStart w:id="528" w:name="_Toc382997678"/>
      <w:bookmarkStart w:id="529" w:name="_Toc419825020"/>
      <w:bookmarkStart w:id="530" w:name="_Toc419729369"/>
      <w:bookmarkStart w:id="531" w:name="_Toc382997956"/>
      <w:bookmarkStart w:id="532" w:name="_Toc383013009"/>
      <w:bookmarkStart w:id="533" w:name="_Toc419825369"/>
      <w:r>
        <w:rPr>
          <w:rFonts w:hint="eastAsia" w:ascii="宋体" w:hAnsi="宋体"/>
          <w:color w:val="auto"/>
          <w:szCs w:val="21"/>
          <w:highlight w:val="none"/>
        </w:rPr>
        <w:t>3.7.1</w:t>
      </w:r>
      <w:r>
        <w:rPr>
          <w:rFonts w:hint="eastAsia" w:ascii="宋体" w:hAnsi="宋体"/>
          <w:color w:val="auto"/>
          <w:highlight w:val="none"/>
        </w:rPr>
        <w:t>投标文件应使用电子交易平台提供的投标文件制作软件，</w:t>
      </w:r>
      <w:r>
        <w:rPr>
          <w:rFonts w:hint="eastAsia" w:ascii="宋体" w:hAnsi="宋体"/>
          <w:color w:val="auto"/>
          <w:szCs w:val="21"/>
          <w:highlight w:val="none"/>
        </w:rPr>
        <w:t>按第九章“投标文件格式”进行编制，如有必要，可以增加附页，作为投标文件的组成部分。其中，投标函附录在满足招标文件实质性要求的基础上，可以提出比招标文件要求更有利于招标人的承诺。</w:t>
      </w:r>
    </w:p>
    <w:p w14:paraId="7800E81F">
      <w:pPr>
        <w:spacing w:line="360" w:lineRule="auto"/>
        <w:ind w:firstLine="420" w:firstLineChars="200"/>
        <w:rPr>
          <w:rFonts w:ascii="宋体" w:hAnsi="宋体"/>
          <w:color w:val="auto"/>
          <w:highlight w:val="none"/>
        </w:rPr>
      </w:pPr>
      <w:r>
        <w:rPr>
          <w:rFonts w:hint="eastAsia" w:ascii="宋体" w:hAnsi="宋体"/>
          <w:color w:val="auto"/>
          <w:highlight w:val="none"/>
        </w:rPr>
        <w:t>电子交易平台为投标人提供在线或离线编辑和制作投标文件的功能，主要包括文件的导入、文件内容编辑、工程量清单报价（如有要求）导入、版式文件转换、电子签章、文件生成、校验以及加密等功能。</w:t>
      </w:r>
      <w:r>
        <w:rPr>
          <w:rFonts w:hint="eastAsia" w:ascii="宋体" w:hAnsi="宋体"/>
          <w:color w:val="auto"/>
          <w:szCs w:val="21"/>
          <w:highlight w:val="none"/>
        </w:rPr>
        <w:t>具体的电子投标文件</w:t>
      </w:r>
      <w:r>
        <w:rPr>
          <w:rFonts w:hint="eastAsia" w:ascii="宋体" w:hAnsi="宋体"/>
          <w:color w:val="auto"/>
          <w:highlight w:val="none"/>
        </w:rPr>
        <w:t>制作软件的使用说明</w:t>
      </w:r>
      <w:r>
        <w:rPr>
          <w:rFonts w:hint="eastAsia" w:ascii="宋体" w:hAnsi="宋体"/>
          <w:color w:val="auto"/>
          <w:szCs w:val="21"/>
          <w:highlight w:val="none"/>
        </w:rPr>
        <w:t>详见该电子交易平台上的相关说明或电话咨询电子交易平台。</w:t>
      </w:r>
    </w:p>
    <w:p w14:paraId="491D20D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3.7.2 投标文件应当对招标文件有关工期、投标有效期、质量要求、技术标准和要求、招标范围等实质性内容作出响应。</w:t>
      </w:r>
    </w:p>
    <w:p w14:paraId="12D11305">
      <w:pPr>
        <w:pStyle w:val="49"/>
        <w:rPr>
          <w:color w:val="auto"/>
          <w:highlight w:val="none"/>
        </w:rPr>
      </w:pPr>
    </w:p>
    <w:p w14:paraId="3EEA27E3">
      <w:pPr>
        <w:pStyle w:val="4"/>
        <w:spacing w:before="0" w:after="0" w:line="360" w:lineRule="auto"/>
        <w:rPr>
          <w:rFonts w:ascii="宋体" w:hAnsi="宋体"/>
          <w:color w:val="auto"/>
          <w:highlight w:val="none"/>
        </w:rPr>
      </w:pPr>
      <w:bookmarkStart w:id="534" w:name="_Toc29523"/>
      <w:bookmarkStart w:id="535" w:name="_Toc490832305"/>
      <w:r>
        <w:rPr>
          <w:rFonts w:hint="eastAsia" w:ascii="宋体" w:hAnsi="宋体"/>
          <w:color w:val="auto"/>
          <w:highlight w:val="none"/>
        </w:rPr>
        <w:t>4.</w:t>
      </w:r>
      <w:r>
        <w:rPr>
          <w:rFonts w:ascii="宋体" w:hAnsi="宋体"/>
          <w:color w:val="auto"/>
          <w:highlight w:val="none"/>
        </w:rPr>
        <w:t>投标</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274C6978">
      <w:pPr>
        <w:pStyle w:val="4"/>
        <w:spacing w:before="0" w:after="0" w:line="360" w:lineRule="auto"/>
        <w:rPr>
          <w:rFonts w:ascii="宋体" w:hAnsi="宋体"/>
          <w:color w:val="auto"/>
          <w:highlight w:val="none"/>
        </w:rPr>
      </w:pPr>
      <w:bookmarkStart w:id="536" w:name="_Toc6079"/>
      <w:bookmarkStart w:id="537" w:name="_Toc382997958"/>
      <w:bookmarkStart w:id="538" w:name="_Toc234382618"/>
      <w:bookmarkStart w:id="539" w:name="_Toc383013011"/>
      <w:bookmarkStart w:id="540" w:name="_Toc463799027"/>
      <w:bookmarkStart w:id="541" w:name="_Toc24805"/>
      <w:bookmarkStart w:id="542" w:name="_Toc488492848"/>
      <w:bookmarkStart w:id="543" w:name="_Toc419729371"/>
      <w:bookmarkStart w:id="544" w:name="_Toc488483617"/>
      <w:bookmarkStart w:id="545" w:name="_Toc419825022"/>
      <w:bookmarkStart w:id="546" w:name="_Toc486685915"/>
      <w:bookmarkStart w:id="547" w:name="_Toc383512705"/>
      <w:bookmarkStart w:id="548" w:name="_Toc382997680"/>
      <w:bookmarkStart w:id="549" w:name="_Toc490832306"/>
      <w:bookmarkStart w:id="550" w:name="_Toc419825371"/>
      <w:bookmarkStart w:id="551" w:name="_Toc383006484"/>
      <w:bookmarkStart w:id="552" w:name="_Toc419724304"/>
      <w:bookmarkStart w:id="553" w:name="_Toc487653195"/>
      <w:r>
        <w:rPr>
          <w:rFonts w:ascii="宋体" w:hAnsi="宋体"/>
          <w:color w:val="auto"/>
          <w:sz w:val="28"/>
          <w:szCs w:val="28"/>
          <w:highlight w:val="none"/>
        </w:rPr>
        <w:t>4.</w:t>
      </w:r>
      <w:r>
        <w:rPr>
          <w:rFonts w:hint="eastAsia" w:ascii="宋体" w:hAnsi="宋体"/>
          <w:color w:val="auto"/>
          <w:sz w:val="28"/>
          <w:szCs w:val="28"/>
          <w:highlight w:val="none"/>
        </w:rPr>
        <w:t>1</w:t>
      </w:r>
      <w:r>
        <w:rPr>
          <w:rFonts w:ascii="宋体" w:hAnsi="宋体"/>
          <w:color w:val="auto"/>
          <w:sz w:val="28"/>
          <w:szCs w:val="28"/>
          <w:highlight w:val="none"/>
        </w:rPr>
        <w:t xml:space="preserve"> 投标文件的</w:t>
      </w:r>
      <w:r>
        <w:rPr>
          <w:rFonts w:hint="eastAsia" w:ascii="宋体" w:hAnsi="宋体"/>
          <w:color w:val="auto"/>
          <w:sz w:val="28"/>
          <w:szCs w:val="28"/>
          <w:highlight w:val="none"/>
        </w:rPr>
        <w:t>加密与</w:t>
      </w:r>
      <w:r>
        <w:rPr>
          <w:rFonts w:ascii="宋体" w:hAnsi="宋体"/>
          <w:color w:val="auto"/>
          <w:sz w:val="28"/>
          <w:szCs w:val="28"/>
          <w:highlight w:val="none"/>
        </w:rPr>
        <w:t>递交</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6F979983">
      <w:pPr>
        <w:spacing w:line="360" w:lineRule="auto"/>
        <w:ind w:firstLine="420" w:firstLineChars="200"/>
        <w:rPr>
          <w:rFonts w:ascii="宋体" w:hAnsi="宋体"/>
          <w:color w:val="auto"/>
          <w:szCs w:val="21"/>
          <w:highlight w:val="none"/>
        </w:rPr>
      </w:pPr>
      <w:bookmarkStart w:id="554" w:name="_Toc19723"/>
      <w:bookmarkStart w:id="555" w:name="_Toc234382619"/>
      <w:r>
        <w:rPr>
          <w:rFonts w:hint="eastAsia" w:ascii="宋体" w:hAnsi="宋体"/>
          <w:color w:val="auto"/>
          <w:szCs w:val="21"/>
          <w:highlight w:val="none"/>
        </w:rPr>
        <w:t>4.1.1投标人应根据招标文件及交易平台的要求对投标文件进行电子签章并加密。投标人未按规定加密的投标文件，电子交易平台拒收并提示。</w:t>
      </w:r>
    </w:p>
    <w:p w14:paraId="1FD648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4.1.2投标人应在投标截止时间前通过电子交易平台在线递交投标文件。电子招标平台收到投标人送达的投标文件，应当即时向投标人发出确认投标成功。具体的电子投标文件递交操作流程及步骤详见该电子交易平台上的相关说明或电话咨询电子交易平台。</w:t>
      </w:r>
    </w:p>
    <w:p w14:paraId="60C6312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4.1.3除投标人须知前附表另有规定外，投标人所递交的投标文件不予退还。</w:t>
      </w:r>
    </w:p>
    <w:p w14:paraId="7872446B">
      <w:pPr>
        <w:pStyle w:val="4"/>
        <w:spacing w:before="0" w:after="0" w:line="360" w:lineRule="auto"/>
        <w:rPr>
          <w:rFonts w:ascii="宋体" w:hAnsi="宋体"/>
          <w:color w:val="auto"/>
          <w:sz w:val="28"/>
          <w:szCs w:val="28"/>
          <w:highlight w:val="none"/>
        </w:rPr>
      </w:pPr>
      <w:bookmarkStart w:id="556" w:name="_Toc383013012"/>
      <w:bookmarkStart w:id="557" w:name="_Toc419825023"/>
      <w:bookmarkStart w:id="558" w:name="_Toc419729372"/>
      <w:bookmarkStart w:id="559" w:name="_Toc488483619"/>
      <w:bookmarkStart w:id="560" w:name="_Toc487653196"/>
      <w:bookmarkStart w:id="561" w:name="_Toc383512706"/>
      <w:bookmarkStart w:id="562" w:name="_Toc490832307"/>
      <w:bookmarkStart w:id="563" w:name="_Toc2729"/>
      <w:bookmarkStart w:id="564" w:name="_Toc382997959"/>
      <w:bookmarkStart w:id="565" w:name="_Toc419724305"/>
      <w:bookmarkStart w:id="566" w:name="_Toc419825372"/>
      <w:bookmarkStart w:id="567" w:name="_Toc486685916"/>
      <w:bookmarkStart w:id="568" w:name="_Toc382997681"/>
      <w:bookmarkStart w:id="569" w:name="_Toc488492849"/>
      <w:bookmarkStart w:id="570" w:name="_Toc383006485"/>
      <w:bookmarkStart w:id="571" w:name="_Toc463799028"/>
      <w:r>
        <w:rPr>
          <w:rFonts w:ascii="宋体" w:hAnsi="宋体"/>
          <w:color w:val="auto"/>
          <w:sz w:val="28"/>
          <w:szCs w:val="28"/>
          <w:highlight w:val="none"/>
        </w:rPr>
        <w:t>4.</w:t>
      </w:r>
      <w:r>
        <w:rPr>
          <w:rFonts w:hint="eastAsia" w:ascii="宋体" w:hAnsi="宋体"/>
          <w:color w:val="auto"/>
          <w:sz w:val="28"/>
          <w:szCs w:val="28"/>
          <w:highlight w:val="none"/>
        </w:rPr>
        <w:t>2</w:t>
      </w:r>
      <w:r>
        <w:rPr>
          <w:rFonts w:ascii="宋体" w:hAnsi="宋体"/>
          <w:color w:val="auto"/>
          <w:sz w:val="28"/>
          <w:szCs w:val="28"/>
          <w:highlight w:val="none"/>
        </w:rPr>
        <w:t xml:space="preserve"> 投标文件的修改与撤回</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629D3D37">
      <w:pPr>
        <w:spacing w:line="360" w:lineRule="auto"/>
        <w:ind w:firstLine="420" w:firstLineChars="200"/>
        <w:rPr>
          <w:rFonts w:ascii="宋体" w:hAnsi="宋体"/>
          <w:color w:val="auto"/>
          <w:szCs w:val="21"/>
          <w:highlight w:val="none"/>
        </w:rPr>
      </w:pPr>
      <w:bookmarkStart w:id="572" w:name="_Toc234382620"/>
      <w:r>
        <w:rPr>
          <w:rFonts w:hint="eastAsia" w:ascii="宋体" w:hAnsi="宋体"/>
          <w:color w:val="auto"/>
          <w:szCs w:val="21"/>
          <w:highlight w:val="none"/>
        </w:rPr>
        <w:t>在本章第2.2.2 项规定的投标截止时间前，投标人可以</w:t>
      </w:r>
      <w:r>
        <w:rPr>
          <w:rFonts w:hint="eastAsia"/>
          <w:color w:val="auto"/>
          <w:szCs w:val="21"/>
          <w:highlight w:val="none"/>
        </w:rPr>
        <w:t>使用本单位CA数字证书</w:t>
      </w:r>
      <w:r>
        <w:rPr>
          <w:rFonts w:hint="eastAsia" w:ascii="宋体" w:hAnsi="宋体"/>
          <w:color w:val="auto"/>
          <w:szCs w:val="21"/>
          <w:highlight w:val="none"/>
        </w:rPr>
        <w:t>修改或撤回已递交的投标文件，</w:t>
      </w:r>
      <w:r>
        <w:rPr>
          <w:rFonts w:hint="eastAsia" w:ascii="方正大标宋简体" w:hAnsi="方正大标宋简体"/>
          <w:bCs/>
          <w:color w:val="auto"/>
          <w:szCs w:val="21"/>
          <w:highlight w:val="none"/>
        </w:rPr>
        <w:t>除投标人补充、修改或者撤回投标文件外，任何单位和个人不得解密、提取投标文件。</w:t>
      </w:r>
    </w:p>
    <w:p w14:paraId="2F03258B">
      <w:pPr>
        <w:pStyle w:val="4"/>
        <w:spacing w:before="0" w:after="0" w:line="360" w:lineRule="auto"/>
        <w:rPr>
          <w:rFonts w:ascii="宋体" w:hAnsi="宋体"/>
          <w:color w:val="auto"/>
          <w:highlight w:val="none"/>
        </w:rPr>
      </w:pPr>
      <w:bookmarkStart w:id="573" w:name="_Toc419729373"/>
      <w:bookmarkStart w:id="574" w:name="_Toc463799029"/>
      <w:bookmarkStart w:id="575" w:name="_Toc383013013"/>
      <w:bookmarkStart w:id="576" w:name="_Toc383512707"/>
      <w:bookmarkStart w:id="577" w:name="_Toc490832308"/>
      <w:bookmarkStart w:id="578" w:name="_Toc419825373"/>
      <w:bookmarkStart w:id="579" w:name="_Toc11490"/>
      <w:bookmarkStart w:id="580" w:name="_Toc419825024"/>
      <w:bookmarkStart w:id="581" w:name="_Toc419724306"/>
      <w:bookmarkStart w:id="582" w:name="_Toc17493"/>
      <w:bookmarkStart w:id="583" w:name="_Toc382997960"/>
      <w:bookmarkStart w:id="584" w:name="_Toc382997682"/>
      <w:bookmarkStart w:id="585" w:name="_Toc383006486"/>
      <w:r>
        <w:rPr>
          <w:rFonts w:hint="eastAsia" w:ascii="宋体" w:hAnsi="宋体"/>
          <w:color w:val="auto"/>
          <w:highlight w:val="none"/>
        </w:rPr>
        <w:t>5.</w:t>
      </w:r>
      <w:r>
        <w:rPr>
          <w:rFonts w:ascii="宋体" w:hAnsi="宋体"/>
          <w:color w:val="auto"/>
          <w:highlight w:val="none"/>
        </w:rPr>
        <w:t>开标</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Start w:id="586" w:name="_Toc234382621"/>
    </w:p>
    <w:bookmarkEnd w:id="586"/>
    <w:p w14:paraId="5B9EF3E9">
      <w:pPr>
        <w:pStyle w:val="4"/>
        <w:spacing w:before="0" w:after="0" w:line="360" w:lineRule="auto"/>
        <w:rPr>
          <w:rFonts w:ascii="宋体" w:hAnsi="宋体"/>
          <w:color w:val="auto"/>
          <w:sz w:val="28"/>
          <w:szCs w:val="28"/>
          <w:highlight w:val="none"/>
        </w:rPr>
      </w:pPr>
      <w:bookmarkStart w:id="587" w:name="_Toc28953"/>
      <w:bookmarkStart w:id="588" w:name="_Toc488492851"/>
      <w:bookmarkStart w:id="589" w:name="_Toc419825374"/>
      <w:bookmarkStart w:id="590" w:name="_Toc383006487"/>
      <w:bookmarkStart w:id="591" w:name="_Toc486685918"/>
      <w:bookmarkStart w:id="592" w:name="_Toc487653198"/>
      <w:bookmarkStart w:id="593" w:name="_Toc463799030"/>
      <w:bookmarkStart w:id="594" w:name="_Toc488483621"/>
      <w:bookmarkStart w:id="595" w:name="_Toc419729374"/>
      <w:bookmarkStart w:id="596" w:name="_Toc382997683"/>
      <w:bookmarkStart w:id="597" w:name="_Toc382997961"/>
      <w:bookmarkStart w:id="598" w:name="_Toc383512708"/>
      <w:bookmarkStart w:id="599" w:name="_Toc383013014"/>
      <w:bookmarkStart w:id="600" w:name="_Toc26455"/>
      <w:bookmarkStart w:id="601" w:name="_Toc419825025"/>
      <w:bookmarkStart w:id="602" w:name="_Toc490832309"/>
      <w:bookmarkStart w:id="603" w:name="_Toc419724307"/>
      <w:r>
        <w:rPr>
          <w:rFonts w:ascii="宋体" w:hAnsi="宋体"/>
          <w:color w:val="auto"/>
          <w:sz w:val="28"/>
          <w:szCs w:val="28"/>
          <w:highlight w:val="none"/>
        </w:rPr>
        <w:t xml:space="preserve">5.1 </w:t>
      </w:r>
      <w:r>
        <w:rPr>
          <w:rFonts w:hint="eastAsia" w:ascii="宋体" w:hAnsi="宋体"/>
          <w:color w:val="auto"/>
          <w:sz w:val="28"/>
          <w:szCs w:val="28"/>
          <w:highlight w:val="none"/>
        </w:rPr>
        <w:t>开标时间、地点</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1F7A4B70">
      <w:pPr>
        <w:spacing w:line="360" w:lineRule="auto"/>
        <w:ind w:firstLine="420" w:firstLineChars="200"/>
        <w:rPr>
          <w:rFonts w:ascii="宋体" w:hAnsi="宋体" w:cs="宋体"/>
          <w:snapToGrid w:val="0"/>
          <w:color w:val="auto"/>
          <w:kern w:val="0"/>
          <w:szCs w:val="21"/>
          <w:highlight w:val="none"/>
        </w:rPr>
      </w:pPr>
      <w:bookmarkStart w:id="604" w:name="_Toc234382623"/>
      <w:r>
        <w:rPr>
          <w:rFonts w:ascii="宋体" w:hAnsi="宋体" w:cs="宋体"/>
          <w:snapToGrid w:val="0"/>
          <w:color w:val="auto"/>
          <w:kern w:val="0"/>
          <w:szCs w:val="21"/>
          <w:highlight w:val="none"/>
        </w:rPr>
        <w:t>招标人</w:t>
      </w:r>
      <w:r>
        <w:rPr>
          <w:rFonts w:hint="eastAsia" w:ascii="宋体" w:hAnsi="宋体" w:cs="宋体"/>
          <w:snapToGrid w:val="0"/>
          <w:color w:val="auto"/>
          <w:kern w:val="0"/>
          <w:szCs w:val="21"/>
          <w:highlight w:val="none"/>
        </w:rPr>
        <w:t>按投标人须知前附表规定的时间（开标时间）在电子交易平台公开进行在线开标，所有投标人均应当准时在线参加开标。投标截止时间前，经建设单位研究确定后的定标方案应当加密后上传电子交易平台，未按照前述规定上传定标方案的，不得开标，招标人应该向招投标监督机构备案后重新确定开标时间。</w:t>
      </w:r>
    </w:p>
    <w:p w14:paraId="0FC4A0D7">
      <w:pPr>
        <w:pStyle w:val="4"/>
        <w:spacing w:before="0" w:after="0" w:line="360" w:lineRule="auto"/>
        <w:rPr>
          <w:rFonts w:ascii="宋体" w:hAnsi="宋体"/>
          <w:color w:val="auto"/>
          <w:sz w:val="28"/>
          <w:szCs w:val="28"/>
          <w:highlight w:val="none"/>
        </w:rPr>
      </w:pPr>
      <w:bookmarkStart w:id="605" w:name="_Toc383013015"/>
      <w:bookmarkStart w:id="606" w:name="_Toc383006488"/>
      <w:bookmarkStart w:id="607" w:name="_Toc4206"/>
      <w:bookmarkStart w:id="608" w:name="_Toc486685919"/>
      <w:bookmarkStart w:id="609" w:name="_Toc488483622"/>
      <w:bookmarkStart w:id="610" w:name="_Toc488492852"/>
      <w:bookmarkStart w:id="611" w:name="_Toc490832310"/>
      <w:bookmarkStart w:id="612" w:name="_Toc419825375"/>
      <w:bookmarkStart w:id="613" w:name="_Toc28527"/>
      <w:bookmarkStart w:id="614" w:name="_Toc419724308"/>
      <w:bookmarkStart w:id="615" w:name="_Toc383512709"/>
      <w:bookmarkStart w:id="616" w:name="_Toc419825026"/>
      <w:bookmarkStart w:id="617" w:name="_Toc463799031"/>
      <w:bookmarkStart w:id="618" w:name="_Toc382997962"/>
      <w:bookmarkStart w:id="619" w:name="_Toc419729375"/>
      <w:bookmarkStart w:id="620" w:name="_Toc382997684"/>
      <w:bookmarkStart w:id="621" w:name="_Toc487653199"/>
      <w:r>
        <w:rPr>
          <w:rFonts w:ascii="宋体" w:hAnsi="宋体"/>
          <w:color w:val="auto"/>
          <w:sz w:val="28"/>
          <w:szCs w:val="28"/>
          <w:highlight w:val="none"/>
        </w:rPr>
        <w:t>5.2 开标程序</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5D2AC116">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5.2.1招标人按投标人须知前附表规定的时间（开标时间）在电子交易平台公开进行在线开标，所有投标人均应当准时在线参加开标。投标截止时间前，经建设单位研究确定后的定标方案应当使用建设单位CA证书加密后上传电子交易平台，未按前述规定上传定标方案的，不得开标，招标人应当向招投标监督机构备案后重新确定开标时间。</w:t>
      </w:r>
    </w:p>
    <w:p w14:paraId="6BC2C9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主持人按下列程序进行开标：</w:t>
      </w:r>
    </w:p>
    <w:p w14:paraId="51E5C0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(l）宣布开标纪律；</w:t>
      </w:r>
    </w:p>
    <w:p w14:paraId="299215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方正大标宋简体" w:hAnsi="方正大标宋简体"/>
          <w:color w:val="auto"/>
          <w:highlight w:val="none"/>
        </w:rPr>
        <w:t>加密检查。</w:t>
      </w:r>
      <w:r>
        <w:rPr>
          <w:rFonts w:hint="eastAsia" w:ascii="方正大标宋简体" w:hAnsi="方正大标宋简体"/>
          <w:color w:val="auto"/>
          <w:szCs w:val="21"/>
          <w:highlight w:val="none"/>
        </w:rPr>
        <w:t>开标时间一到，电子交易平台自动公开显示递交投标文件顺序号及对应的电子投标文件加密状态。</w:t>
      </w:r>
    </w:p>
    <w:p w14:paraId="1A753D9C">
      <w:pPr>
        <w:spacing w:line="360" w:lineRule="auto"/>
        <w:ind w:firstLine="420" w:firstLineChars="200"/>
        <w:rPr>
          <w:rFonts w:ascii="宋体" w:hAnsi="宋体"/>
          <w:b/>
          <w:color w:val="auto"/>
          <w:szCs w:val="21"/>
          <w:highlight w:val="none"/>
          <w:u w:val="single"/>
        </w:rPr>
      </w:pPr>
      <w:r>
        <w:rPr>
          <w:rFonts w:hint="eastAsia" w:ascii="宋体" w:hAnsi="宋体"/>
          <w:color w:val="auto"/>
          <w:szCs w:val="21"/>
          <w:highlight w:val="none"/>
        </w:rPr>
        <w:t>(3）</w:t>
      </w:r>
      <w:r>
        <w:rPr>
          <w:rFonts w:hint="eastAsia" w:ascii="方正大标宋简体" w:hAnsi="方正大标宋简体"/>
          <w:color w:val="auto"/>
          <w:highlight w:val="none"/>
        </w:rPr>
        <w:t>电子投标文件解密，</w:t>
      </w:r>
      <w:r>
        <w:rPr>
          <w:rFonts w:hint="eastAsia" w:ascii="宋体" w:hAnsi="宋体"/>
          <w:color w:val="auto"/>
          <w:highlight w:val="none"/>
        </w:rPr>
        <w:t>投标人应在线参加开标</w:t>
      </w:r>
      <w:r>
        <w:rPr>
          <w:rFonts w:hint="eastAsia" w:ascii="方正大标宋简体" w:hAnsi="方正大标宋简体"/>
          <w:color w:val="auto"/>
          <w:highlight w:val="none"/>
        </w:rPr>
        <w:t>。开标时，</w:t>
      </w:r>
      <w:r>
        <w:rPr>
          <w:rFonts w:hint="eastAsia" w:ascii="方正大标宋简体" w:hAnsi="方正大标宋简体"/>
          <w:color w:val="auto"/>
          <w:szCs w:val="21"/>
          <w:highlight w:val="none"/>
        </w:rPr>
        <w:t>电子交易平台自动提取所有投标文件，提示投标人在线开始解密</w:t>
      </w:r>
      <w:r>
        <w:rPr>
          <w:rFonts w:hint="eastAsia" w:ascii="方正大标宋简体" w:hAnsi="方正大标宋简体"/>
          <w:color w:val="auto"/>
          <w:highlight w:val="none"/>
        </w:rPr>
        <w:t>。投标人应在</w:t>
      </w:r>
      <w:r>
        <w:rPr>
          <w:rFonts w:hint="eastAsia" w:ascii="方正大标宋简体" w:hAnsi="方正大标宋简体"/>
          <w:color w:val="auto"/>
          <w:szCs w:val="21"/>
          <w:highlight w:val="none"/>
        </w:rPr>
        <w:t>开始解密时间（</w:t>
      </w:r>
      <w:r>
        <w:rPr>
          <w:rFonts w:hint="eastAsia" w:ascii="方正大标宋简体" w:hAnsi="方正大标宋简体"/>
          <w:color w:val="auto"/>
          <w:highlight w:val="none"/>
        </w:rPr>
        <w:t>开标</w:t>
      </w:r>
      <w:r>
        <w:rPr>
          <w:rFonts w:hint="eastAsia" w:ascii="方正大标宋简体" w:hAnsi="方正大标宋简体"/>
          <w:color w:val="auto"/>
          <w:szCs w:val="21"/>
          <w:highlight w:val="none"/>
        </w:rPr>
        <w:t>时间）起1个小时内在线进行电子投标文件的解密操作</w:t>
      </w:r>
      <w:r>
        <w:rPr>
          <w:rFonts w:hint="eastAsia" w:ascii="宋体" w:hAnsi="宋体"/>
          <w:color w:val="auto"/>
          <w:szCs w:val="21"/>
          <w:highlight w:val="none"/>
        </w:rPr>
        <w:t>，未在规定时间内解密，其投标视为无效</w:t>
      </w:r>
      <w:r>
        <w:rPr>
          <w:rFonts w:hint="eastAsia" w:ascii="方正大标宋简体" w:hAnsi="方正大标宋简体"/>
          <w:color w:val="auto"/>
          <w:highlight w:val="none"/>
        </w:rPr>
        <w:t>。</w:t>
      </w:r>
    </w:p>
    <w:p w14:paraId="3CC2D8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hint="eastAsia" w:ascii="方正大标宋简体" w:hAnsi="方正大标宋简体"/>
          <w:color w:val="auto"/>
          <w:highlight w:val="none"/>
        </w:rPr>
        <w:t>解密全部完成后或解密时间截止时，电子交易平台自动确定并显示</w:t>
      </w:r>
      <w:r>
        <w:rPr>
          <w:rFonts w:hint="eastAsia" w:ascii="宋体" w:hAnsi="宋体"/>
          <w:color w:val="auto"/>
          <w:highlight w:val="none"/>
        </w:rPr>
        <w:t>投标人名称、投标报价（元）、质量目标、工期、项目经理姓名、建造师证书编号、投标保证金金额、厦门市住房和建设局建设市场信用监管系统信用评价结果、福建省交通建设市场信用考核评价结果等招标文件所确定的唱标内容</w:t>
      </w:r>
      <w:r>
        <w:rPr>
          <w:rFonts w:hint="eastAsia" w:ascii="宋体" w:hAnsi="宋体"/>
          <w:color w:val="auto"/>
          <w:szCs w:val="21"/>
          <w:highlight w:val="none"/>
        </w:rPr>
        <w:t>；</w:t>
      </w:r>
    </w:p>
    <w:p w14:paraId="50F879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(5）开标结束，</w:t>
      </w:r>
      <w:r>
        <w:rPr>
          <w:rFonts w:hint="eastAsia" w:ascii="方正大标宋简体" w:hAnsi="方正大标宋简体"/>
          <w:color w:val="auto"/>
          <w:szCs w:val="21"/>
          <w:highlight w:val="none"/>
        </w:rPr>
        <w:t>电子交易平台自动生成开标记录并向社会公众公布，但依法应当保密的除外</w:t>
      </w:r>
      <w:r>
        <w:rPr>
          <w:rFonts w:hint="eastAsia" w:ascii="宋体" w:hAnsi="宋体"/>
          <w:color w:val="auto"/>
          <w:szCs w:val="21"/>
          <w:highlight w:val="none"/>
        </w:rPr>
        <w:t>。</w:t>
      </w:r>
    </w:p>
    <w:p w14:paraId="4A27C8F7">
      <w:pPr>
        <w:widowControl/>
        <w:spacing w:line="360" w:lineRule="auto"/>
        <w:ind w:left="703"/>
        <w:jc w:val="left"/>
        <w:rPr>
          <w:rFonts w:ascii="宋体" w:hAnsi="宋体"/>
          <w:b/>
          <w:color w:val="auto"/>
          <w:sz w:val="24"/>
          <w:highlight w:val="none"/>
        </w:rPr>
      </w:pPr>
      <w:r>
        <w:rPr>
          <w:rFonts w:ascii="宋体" w:hAnsi="宋体"/>
          <w:color w:val="auto"/>
          <w:sz w:val="28"/>
          <w:szCs w:val="28"/>
          <w:highlight w:val="none"/>
        </w:rPr>
        <w:t>5.3</w:t>
      </w:r>
      <w:r>
        <w:rPr>
          <w:rFonts w:hint="eastAsia" w:ascii="宋体" w:hAnsi="宋体"/>
          <w:b/>
          <w:color w:val="auto"/>
          <w:sz w:val="24"/>
          <w:highlight w:val="none"/>
        </w:rPr>
        <w:t>解密失败的补救方案</w:t>
      </w:r>
    </w:p>
    <w:p w14:paraId="5A04F9A0">
      <w:pPr>
        <w:widowControl/>
        <w:numPr>
          <w:ilvl w:val="1"/>
          <w:numId w:val="8"/>
        </w:numPr>
        <w:spacing w:line="360" w:lineRule="auto"/>
        <w:ind w:left="0" w:firstLine="420" w:firstLineChars="200"/>
        <w:jc w:val="left"/>
        <w:rPr>
          <w:rFonts w:ascii="宋体" w:hAnsi="宋体"/>
          <w:color w:val="auto"/>
          <w:highlight w:val="none"/>
        </w:rPr>
      </w:pPr>
      <w:r>
        <w:rPr>
          <w:rFonts w:hint="eastAsia" w:ascii="宋体" w:hAnsi="宋体"/>
          <w:color w:val="auto"/>
          <w:highlight w:val="none"/>
        </w:rPr>
        <w:t>若为投标人设备故障或网络故障，则投标人自行更换设备或解决网络问题，投标文件解密失败经补救，仍不成功的，视为放弃投标,开标继续进行；</w:t>
      </w:r>
    </w:p>
    <w:p w14:paraId="0F2F45B3">
      <w:pPr>
        <w:widowControl/>
        <w:numPr>
          <w:ilvl w:val="1"/>
          <w:numId w:val="8"/>
        </w:numPr>
        <w:spacing w:line="360" w:lineRule="auto"/>
        <w:ind w:left="0" w:firstLine="420" w:firstLineChars="200"/>
        <w:jc w:val="left"/>
        <w:rPr>
          <w:rFonts w:ascii="宋体" w:hAnsi="宋体"/>
          <w:color w:val="auto"/>
          <w:szCs w:val="21"/>
          <w:highlight w:val="none"/>
        </w:rPr>
      </w:pPr>
      <w:r>
        <w:rPr>
          <w:rFonts w:hint="eastAsia" w:ascii="宋体" w:hAnsi="宋体"/>
          <w:color w:val="auto"/>
          <w:highlight w:val="none"/>
        </w:rPr>
        <w:t>若为招标人原因导致无法正常解密，则由招标人及时提出解决方案；</w:t>
      </w:r>
    </w:p>
    <w:p w14:paraId="5E4B7732">
      <w:pPr>
        <w:widowControl/>
        <w:numPr>
          <w:ilvl w:val="1"/>
          <w:numId w:val="8"/>
        </w:numPr>
        <w:spacing w:line="360" w:lineRule="auto"/>
        <w:ind w:left="0" w:firstLine="420" w:firstLineChars="200"/>
        <w:jc w:val="left"/>
        <w:rPr>
          <w:rFonts w:ascii="宋体" w:hAnsi="宋体"/>
          <w:color w:val="auto"/>
          <w:highlight w:val="none"/>
        </w:rPr>
      </w:pPr>
      <w:r>
        <w:rPr>
          <w:rFonts w:ascii="宋体" w:hAnsi="宋体"/>
          <w:color w:val="auto"/>
          <w:highlight w:val="none"/>
        </w:rPr>
        <w:t>若为交易平台原因导致无法正常解密</w:t>
      </w:r>
      <w:r>
        <w:rPr>
          <w:rFonts w:hint="eastAsia" w:ascii="宋体" w:hAnsi="宋体"/>
          <w:color w:val="auto"/>
          <w:highlight w:val="none"/>
        </w:rPr>
        <w:t>，</w:t>
      </w:r>
      <w:r>
        <w:rPr>
          <w:rFonts w:ascii="宋体" w:hAnsi="宋体"/>
          <w:color w:val="auto"/>
          <w:highlight w:val="none"/>
        </w:rPr>
        <w:t>则由交易平台及时提出解决方案</w:t>
      </w:r>
      <w:r>
        <w:rPr>
          <w:rFonts w:hint="eastAsia" w:ascii="宋体" w:hAnsi="宋体"/>
          <w:color w:val="auto"/>
          <w:highlight w:val="none"/>
        </w:rPr>
        <w:t>。</w:t>
      </w:r>
    </w:p>
    <w:p w14:paraId="1A3D2803">
      <w:pPr>
        <w:pStyle w:val="4"/>
        <w:spacing w:before="0" w:after="0" w:line="360" w:lineRule="auto"/>
        <w:rPr>
          <w:rFonts w:ascii="宋体" w:hAnsi="宋体"/>
          <w:color w:val="auto"/>
          <w:highlight w:val="none"/>
        </w:rPr>
      </w:pPr>
      <w:bookmarkStart w:id="622" w:name="_Toc419825376"/>
      <w:bookmarkStart w:id="623" w:name="_Toc463799032"/>
      <w:bookmarkStart w:id="624" w:name="_Toc383013016"/>
      <w:bookmarkStart w:id="625" w:name="_Toc8258"/>
      <w:bookmarkStart w:id="626" w:name="_Toc382997685"/>
      <w:bookmarkStart w:id="627" w:name="_Toc26860"/>
      <w:bookmarkStart w:id="628" w:name="_Toc382997963"/>
      <w:bookmarkStart w:id="629" w:name="_Toc490832311"/>
      <w:bookmarkStart w:id="630" w:name="_Toc419825027"/>
      <w:bookmarkStart w:id="631" w:name="_Toc383512710"/>
      <w:bookmarkStart w:id="632" w:name="_Toc419729376"/>
      <w:bookmarkStart w:id="633" w:name="_Toc383006489"/>
      <w:bookmarkStart w:id="634" w:name="_Toc419724309"/>
      <w:bookmarkStart w:id="635" w:name="_Toc234382625"/>
      <w:r>
        <w:rPr>
          <w:rFonts w:ascii="宋体" w:hAnsi="宋体"/>
          <w:color w:val="auto"/>
          <w:highlight w:val="none"/>
        </w:rPr>
        <w:t>6. 评标</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1FAD0343">
      <w:pPr>
        <w:pStyle w:val="4"/>
        <w:spacing w:before="0" w:after="0" w:line="360" w:lineRule="auto"/>
        <w:rPr>
          <w:rFonts w:ascii="宋体" w:hAnsi="宋体"/>
          <w:color w:val="auto"/>
          <w:sz w:val="28"/>
          <w:szCs w:val="28"/>
          <w:highlight w:val="none"/>
        </w:rPr>
      </w:pPr>
      <w:bookmarkStart w:id="636" w:name="_Toc487653201"/>
      <w:bookmarkStart w:id="637" w:name="_Toc383006490"/>
      <w:bookmarkStart w:id="638" w:name="_Toc419729377"/>
      <w:bookmarkStart w:id="639" w:name="_Toc3245"/>
      <w:bookmarkStart w:id="640" w:name="_Toc488492854"/>
      <w:bookmarkStart w:id="641" w:name="_Toc419825377"/>
      <w:bookmarkStart w:id="642" w:name="_Toc382997964"/>
      <w:bookmarkStart w:id="643" w:name="_Toc383512711"/>
      <w:bookmarkStart w:id="644" w:name="_Toc419825028"/>
      <w:bookmarkStart w:id="645" w:name="_Toc463799033"/>
      <w:bookmarkStart w:id="646" w:name="_Toc486685921"/>
      <w:bookmarkStart w:id="647" w:name="_Toc234382626"/>
      <w:bookmarkStart w:id="648" w:name="_Toc383013017"/>
      <w:bookmarkStart w:id="649" w:name="_Toc419724310"/>
      <w:bookmarkStart w:id="650" w:name="_Toc382997686"/>
      <w:bookmarkStart w:id="651" w:name="_Toc488483624"/>
      <w:bookmarkStart w:id="652" w:name="_Toc490832312"/>
      <w:bookmarkStart w:id="653" w:name="_Toc7463"/>
      <w:r>
        <w:rPr>
          <w:rFonts w:ascii="宋体" w:hAnsi="宋体"/>
          <w:color w:val="auto"/>
          <w:sz w:val="28"/>
          <w:szCs w:val="28"/>
          <w:highlight w:val="none"/>
        </w:rPr>
        <w:t>6.1 评标委员会</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74841CDB">
      <w:pPr>
        <w:spacing w:line="360" w:lineRule="auto"/>
        <w:ind w:firstLine="420" w:firstLineChars="200"/>
        <w:rPr>
          <w:rFonts w:ascii="宋体" w:hAnsi="宋体"/>
          <w:color w:val="auto"/>
          <w:szCs w:val="21"/>
          <w:highlight w:val="none"/>
        </w:rPr>
      </w:pPr>
      <w:bookmarkStart w:id="654" w:name="_Toc383013018"/>
      <w:bookmarkStart w:id="655" w:name="_Toc382997687"/>
      <w:bookmarkStart w:id="656" w:name="_Toc463799034"/>
      <w:bookmarkStart w:id="657" w:name="_Toc383006491"/>
      <w:bookmarkStart w:id="658" w:name="_Toc234382627"/>
      <w:bookmarkStart w:id="659" w:name="_Toc419825029"/>
      <w:bookmarkStart w:id="660" w:name="_Toc382997965"/>
      <w:bookmarkStart w:id="661" w:name="_Toc383512712"/>
      <w:bookmarkStart w:id="662" w:name="_Toc26540"/>
      <w:bookmarkStart w:id="663" w:name="_Toc419729378"/>
      <w:bookmarkStart w:id="664" w:name="_Toc419825378"/>
      <w:bookmarkStart w:id="665" w:name="_Toc419724311"/>
      <w:r>
        <w:rPr>
          <w:rFonts w:hint="eastAsia" w:ascii="宋体" w:hAnsi="宋体"/>
          <w:color w:val="auto"/>
          <w:szCs w:val="21"/>
          <w:highlight w:val="none"/>
        </w:rPr>
        <w:t>6.1.1 评标由招标人依法组建的评标委员会负责。评标委员会由有关技术、经济等方面的专家组成。评标委员会成员人数以及技术、经济等方面专家的确定方式见投标人须知前附表。</w:t>
      </w:r>
    </w:p>
    <w:p w14:paraId="19ED67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 评标委员会成员有下列情形之一的，应当回避：</w:t>
      </w:r>
    </w:p>
    <w:p w14:paraId="27E1B3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(1）招标人或投标人的主要负责人的近亲属；</w:t>
      </w:r>
    </w:p>
    <w:p w14:paraId="4F9CC5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6363BFD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(3）与投标人有经济利益关系，可能影响对投标公正评审的；</w:t>
      </w:r>
    </w:p>
    <w:p w14:paraId="50F33E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(4）曾因在招标、评标以及其他与招标投标有关活动中从事违法行为而受过行政处罚或刑事处罚的。</w:t>
      </w:r>
    </w:p>
    <w:p w14:paraId="34601135">
      <w:pPr>
        <w:pStyle w:val="4"/>
        <w:spacing w:before="0" w:after="0" w:line="360" w:lineRule="auto"/>
        <w:rPr>
          <w:rFonts w:ascii="宋体" w:hAnsi="宋体"/>
          <w:color w:val="auto"/>
          <w:sz w:val="28"/>
          <w:szCs w:val="28"/>
          <w:highlight w:val="none"/>
        </w:rPr>
      </w:pPr>
      <w:bookmarkStart w:id="666" w:name="_Toc486685922"/>
      <w:bookmarkStart w:id="667" w:name="_Toc488492855"/>
      <w:bookmarkStart w:id="668" w:name="_Toc490832313"/>
      <w:bookmarkStart w:id="669" w:name="_Toc488483625"/>
      <w:bookmarkStart w:id="670" w:name="_Toc487653202"/>
      <w:bookmarkStart w:id="671" w:name="_Toc30795"/>
      <w:r>
        <w:rPr>
          <w:rFonts w:ascii="宋体" w:hAnsi="宋体"/>
          <w:color w:val="auto"/>
          <w:sz w:val="28"/>
          <w:szCs w:val="28"/>
          <w:highlight w:val="none"/>
        </w:rPr>
        <w:t>6.2 评标原则</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1975216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评标活动遵循公平、公正、科学和择优的原则，按照招标文件规定的标准和方法，对投标文件进行评审和比较。</w:t>
      </w:r>
    </w:p>
    <w:p w14:paraId="6A56C0B2">
      <w:pPr>
        <w:pStyle w:val="4"/>
        <w:spacing w:before="0" w:after="0" w:line="360" w:lineRule="auto"/>
        <w:rPr>
          <w:rFonts w:ascii="宋体" w:hAnsi="宋体"/>
          <w:color w:val="auto"/>
          <w:sz w:val="28"/>
          <w:szCs w:val="28"/>
          <w:highlight w:val="none"/>
        </w:rPr>
      </w:pPr>
      <w:bookmarkStart w:id="672" w:name="_Toc419825030"/>
      <w:bookmarkStart w:id="673" w:name="_Toc463799035"/>
      <w:bookmarkStart w:id="674" w:name="_Toc382997688"/>
      <w:bookmarkStart w:id="675" w:name="_Toc23070"/>
      <w:bookmarkStart w:id="676" w:name="_Toc419724312"/>
      <w:bookmarkStart w:id="677" w:name="_Toc487653203"/>
      <w:bookmarkStart w:id="678" w:name="_Toc383512713"/>
      <w:bookmarkStart w:id="679" w:name="_Toc490832314"/>
      <w:bookmarkStart w:id="680" w:name="_Toc419729379"/>
      <w:bookmarkStart w:id="681" w:name="_Toc383013019"/>
      <w:bookmarkStart w:id="682" w:name="_Toc382997966"/>
      <w:bookmarkStart w:id="683" w:name="_Toc419825379"/>
      <w:bookmarkStart w:id="684" w:name="_Toc12697"/>
      <w:bookmarkStart w:id="685" w:name="_Toc488483626"/>
      <w:bookmarkStart w:id="686" w:name="_Toc383006492"/>
      <w:bookmarkStart w:id="687" w:name="_Toc486685923"/>
      <w:bookmarkStart w:id="688" w:name="_Toc488492856"/>
      <w:bookmarkStart w:id="689" w:name="_Toc234382628"/>
      <w:r>
        <w:rPr>
          <w:rFonts w:ascii="宋体" w:hAnsi="宋体"/>
          <w:color w:val="auto"/>
          <w:sz w:val="28"/>
          <w:szCs w:val="28"/>
          <w:highlight w:val="none"/>
        </w:rPr>
        <w:t>6.3 评标</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14:paraId="5649D7A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3F0AA1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招标人可以根据招标项目实际情况，在投标人须知前附表规定第三章“评标办法”（适用于其他项目）第 2.1.1 项第（3）目“确定入围投标人”与第（4）目“资格审查”的先后顺序。</w:t>
      </w:r>
    </w:p>
    <w:p w14:paraId="45F7C33B">
      <w:pPr>
        <w:pStyle w:val="4"/>
        <w:spacing w:before="0" w:after="0" w:line="360" w:lineRule="auto"/>
        <w:rPr>
          <w:rFonts w:ascii="宋体" w:hAnsi="宋体"/>
          <w:color w:val="auto"/>
          <w:highlight w:val="none"/>
        </w:rPr>
      </w:pPr>
      <w:bookmarkStart w:id="690" w:name="_Toc463799036"/>
      <w:bookmarkStart w:id="691" w:name="_Toc383013020"/>
      <w:bookmarkStart w:id="692" w:name="_Toc9460"/>
      <w:bookmarkStart w:id="693" w:name="_Toc4323"/>
      <w:bookmarkStart w:id="694" w:name="_Toc419825031"/>
      <w:bookmarkStart w:id="695" w:name="_Toc382997967"/>
      <w:bookmarkStart w:id="696" w:name="_Toc383006493"/>
      <w:bookmarkStart w:id="697" w:name="_Toc419729380"/>
      <w:bookmarkStart w:id="698" w:name="_Toc419724313"/>
      <w:bookmarkStart w:id="699" w:name="_Toc382997689"/>
      <w:bookmarkStart w:id="700" w:name="_Toc490832315"/>
      <w:bookmarkStart w:id="701" w:name="_Toc234382629"/>
      <w:bookmarkStart w:id="702" w:name="_Toc383512714"/>
      <w:bookmarkStart w:id="703" w:name="_Toc419825380"/>
      <w:bookmarkStart w:id="704" w:name="_Toc234382630"/>
      <w:bookmarkStart w:id="705" w:name="_Toc24028"/>
      <w:r>
        <w:rPr>
          <w:rFonts w:ascii="宋体" w:hAnsi="宋体"/>
          <w:color w:val="auto"/>
          <w:highlight w:val="none"/>
        </w:rPr>
        <w:t xml:space="preserve">7. </w:t>
      </w:r>
      <w:r>
        <w:rPr>
          <w:rFonts w:hint="eastAsia" w:ascii="宋体" w:hAnsi="宋体"/>
          <w:color w:val="auto"/>
          <w:highlight w:val="none"/>
        </w:rPr>
        <w:t>清标、定标、中标与</w:t>
      </w:r>
      <w:r>
        <w:rPr>
          <w:rFonts w:ascii="宋体" w:hAnsi="宋体"/>
          <w:color w:val="auto"/>
          <w:highlight w:val="none"/>
        </w:rPr>
        <w:t>合同授予</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p w14:paraId="25EDC104">
      <w:pPr>
        <w:pStyle w:val="4"/>
        <w:rPr>
          <w:rFonts w:hint="eastAsia" w:ascii="宋体" w:hAnsi="宋体" w:eastAsia="宋体"/>
          <w:color w:val="auto"/>
          <w:sz w:val="28"/>
          <w:szCs w:val="28"/>
          <w:highlight w:val="none"/>
          <w:lang w:val="en-US" w:eastAsia="zh-CN"/>
        </w:rPr>
      </w:pPr>
      <w:bookmarkStart w:id="706" w:name="_Toc383006494"/>
      <w:bookmarkStart w:id="707" w:name="_Toc419825032"/>
      <w:bookmarkStart w:id="708" w:name="_Toc382997968"/>
      <w:bookmarkStart w:id="709" w:name="_Toc419729381"/>
      <w:bookmarkStart w:id="710" w:name="_Toc487653205"/>
      <w:bookmarkStart w:id="711" w:name="_Toc486685925"/>
      <w:bookmarkStart w:id="712" w:name="_Toc463799037"/>
      <w:bookmarkStart w:id="713" w:name="_Toc488492858"/>
      <w:bookmarkStart w:id="714" w:name="_Toc383013021"/>
      <w:bookmarkStart w:id="715" w:name="_Toc382997690"/>
      <w:bookmarkStart w:id="716" w:name="_Toc488483628"/>
      <w:bookmarkStart w:id="717" w:name="_Toc11972"/>
      <w:bookmarkStart w:id="718" w:name="_Toc419825381"/>
      <w:bookmarkStart w:id="719" w:name="_Toc490832316"/>
      <w:bookmarkStart w:id="720" w:name="_Toc383512715"/>
      <w:bookmarkStart w:id="721" w:name="_Toc419724314"/>
      <w:r>
        <w:rPr>
          <w:rFonts w:ascii="宋体" w:hAnsi="宋体"/>
          <w:color w:val="auto"/>
          <w:sz w:val="28"/>
          <w:szCs w:val="28"/>
          <w:highlight w:val="none"/>
        </w:rPr>
        <w:t>7.1</w:t>
      </w:r>
      <w:r>
        <w:rPr>
          <w:rFonts w:hint="eastAsia" w:ascii="宋体" w:hAnsi="宋体"/>
          <w:color w:val="auto"/>
          <w:sz w:val="28"/>
          <w:szCs w:val="28"/>
          <w:highlight w:val="none"/>
        </w:rPr>
        <w:t xml:space="preserve"> 清标</w:t>
      </w:r>
      <w:r>
        <w:rPr>
          <w:rFonts w:hint="eastAsia" w:ascii="宋体" w:hAnsi="宋体"/>
          <w:color w:val="auto"/>
          <w:sz w:val="28"/>
          <w:szCs w:val="28"/>
          <w:highlight w:val="none"/>
          <w:lang w:val="en-US" w:eastAsia="zh-CN"/>
        </w:rPr>
        <w:t>小组</w:t>
      </w:r>
    </w:p>
    <w:p w14:paraId="77F5C6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清标小组按照第四章“定标方案”规定的规则组建并按照规定的方法、规则、标准和程序负责清标工作，整理汇总各定标候选人的定标子要素得分并编制清标报告。</w:t>
      </w:r>
    </w:p>
    <w:p w14:paraId="53C24D5B">
      <w:pPr>
        <w:pStyle w:val="4"/>
        <w:rPr>
          <w:rFonts w:hint="eastAsia" w:ascii="宋体" w:hAnsi="宋体"/>
          <w:color w:val="auto"/>
          <w:sz w:val="28"/>
          <w:szCs w:val="28"/>
          <w:highlight w:val="none"/>
        </w:rPr>
      </w:pPr>
      <w:r>
        <w:rPr>
          <w:rFonts w:hint="eastAsia" w:ascii="宋体" w:hAnsi="宋体"/>
          <w:color w:val="auto"/>
          <w:sz w:val="28"/>
          <w:szCs w:val="28"/>
          <w:highlight w:val="none"/>
        </w:rPr>
        <w:t>7.2</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定标委员会</w:t>
      </w:r>
    </w:p>
    <w:p w14:paraId="4C8D2DBB">
      <w:pPr>
        <w:spacing w:line="360" w:lineRule="auto"/>
        <w:ind w:firstLine="420" w:firstLineChars="200"/>
        <w:rPr>
          <w:rFonts w:hint="eastAsia" w:ascii="宋体" w:hAnsi="宋体"/>
          <w:color w:val="auto"/>
          <w:szCs w:val="21"/>
          <w:highlight w:val="none"/>
        </w:rPr>
      </w:pPr>
      <w:r>
        <w:rPr>
          <w:rFonts w:hint="eastAsia" w:cs="宋体"/>
          <w:color w:val="auto"/>
          <w:sz w:val="21"/>
          <w:szCs w:val="21"/>
          <w:highlight w:val="none"/>
        </w:rPr>
        <w:t xml:space="preserve"> </w:t>
      </w:r>
      <w:r>
        <w:rPr>
          <w:rFonts w:hint="eastAsia" w:ascii="宋体" w:hAnsi="宋体" w:eastAsia="宋体" w:cs="宋体"/>
          <w:color w:val="auto"/>
          <w:kern w:val="0"/>
          <w:sz w:val="21"/>
          <w:szCs w:val="21"/>
          <w:highlight w:val="none"/>
          <w:lang w:val="en-US" w:eastAsia="zh-CN" w:bidi="ar-SA"/>
        </w:rPr>
        <w:t>定标委员会按照第四章“定标方案”规定的规则组建并按照规定的方法、规则、标准和</w:t>
      </w:r>
      <w:r>
        <w:rPr>
          <w:rFonts w:hint="eastAsia" w:ascii="宋体" w:hAnsi="宋体" w:cs="宋体"/>
          <w:color w:val="auto"/>
          <w:kern w:val="0"/>
          <w:sz w:val="21"/>
          <w:szCs w:val="21"/>
          <w:highlight w:val="none"/>
          <w:lang w:val="en-US" w:eastAsia="zh-CN" w:bidi="ar-SA"/>
        </w:rPr>
        <w:t>程序</w:t>
      </w:r>
      <w:r>
        <w:rPr>
          <w:rFonts w:hint="eastAsia" w:ascii="宋体" w:hAnsi="宋体" w:eastAsia="宋体" w:cs="宋体"/>
          <w:color w:val="auto"/>
          <w:kern w:val="0"/>
          <w:sz w:val="21"/>
          <w:szCs w:val="21"/>
          <w:highlight w:val="none"/>
          <w:lang w:val="en-US" w:eastAsia="zh-CN" w:bidi="ar-SA"/>
        </w:rPr>
        <w:t>负责</w:t>
      </w:r>
      <w:r>
        <w:rPr>
          <w:rFonts w:hint="eastAsia" w:cs="宋体"/>
          <w:color w:val="auto"/>
          <w:kern w:val="0"/>
          <w:sz w:val="21"/>
          <w:szCs w:val="21"/>
          <w:highlight w:val="none"/>
          <w:lang w:val="en-US" w:eastAsia="zh-CN" w:bidi="ar-SA"/>
        </w:rPr>
        <w:t>陈述答辩考核</w:t>
      </w:r>
      <w:r>
        <w:rPr>
          <w:rFonts w:hint="eastAsia" w:ascii="宋体" w:hAnsi="宋体" w:eastAsia="宋体" w:cs="宋体"/>
          <w:color w:val="auto"/>
          <w:kern w:val="0"/>
          <w:sz w:val="21"/>
          <w:szCs w:val="21"/>
          <w:highlight w:val="none"/>
          <w:lang w:val="en-US" w:eastAsia="zh-CN" w:bidi="ar-SA"/>
        </w:rPr>
        <w:t>以及定标工作</w:t>
      </w:r>
      <w:r>
        <w:rPr>
          <w:rFonts w:hint="eastAsia" w:cs="宋体"/>
          <w:color w:val="auto"/>
          <w:kern w:val="0"/>
          <w:sz w:val="21"/>
          <w:szCs w:val="21"/>
          <w:highlight w:val="none"/>
          <w:lang w:val="en-US" w:eastAsia="zh-CN" w:bidi="ar-SA"/>
        </w:rPr>
        <w:t>，编制定标报告</w:t>
      </w:r>
      <w:r>
        <w:rPr>
          <w:rFonts w:hint="eastAsia" w:ascii="宋体" w:hAnsi="宋体" w:eastAsia="宋体" w:cs="宋体"/>
          <w:color w:val="auto"/>
          <w:kern w:val="0"/>
          <w:sz w:val="21"/>
          <w:szCs w:val="21"/>
          <w:highlight w:val="none"/>
          <w:lang w:val="en-US" w:eastAsia="zh-CN" w:bidi="ar-SA"/>
        </w:rPr>
        <w:t>。</w:t>
      </w:r>
    </w:p>
    <w:p w14:paraId="02161C8A">
      <w:pPr>
        <w:pStyle w:val="4"/>
        <w:widowControl/>
        <w:rPr>
          <w:rFonts w:hint="eastAsia" w:ascii="宋体" w:hAnsi="宋体" w:eastAsia="宋体" w:cs="Times New Roman"/>
          <w:color w:val="auto"/>
          <w:sz w:val="28"/>
          <w:szCs w:val="28"/>
          <w:highlight w:val="none"/>
          <w:lang w:val="en-US" w:eastAsia="zh-CN"/>
        </w:rPr>
      </w:pPr>
      <w:bookmarkStart w:id="722" w:name="_Toc12789"/>
      <w:bookmarkStart w:id="723" w:name="_Toc9062"/>
      <w:bookmarkStart w:id="724" w:name="_Toc15976"/>
      <w:bookmarkStart w:id="725" w:name="_Toc61877285"/>
      <w:bookmarkStart w:id="726" w:name="_Toc27583"/>
      <w:bookmarkStart w:id="727" w:name="_Toc15336"/>
      <w:r>
        <w:rPr>
          <w:rFonts w:hint="eastAsia" w:ascii="宋体" w:hAnsi="宋体" w:cs="Times New Roman"/>
          <w:color w:val="auto"/>
          <w:sz w:val="28"/>
          <w:szCs w:val="28"/>
          <w:highlight w:val="none"/>
        </w:rPr>
        <w:t>7.</w:t>
      </w:r>
      <w:r>
        <w:rPr>
          <w:rFonts w:hint="eastAsia" w:ascii="宋体" w:hAnsi="宋体" w:cs="Times New Roman"/>
          <w:color w:val="auto"/>
          <w:sz w:val="28"/>
          <w:szCs w:val="28"/>
          <w:highlight w:val="none"/>
          <w:lang w:val="en-US" w:eastAsia="zh-CN"/>
        </w:rPr>
        <w:t>3</w:t>
      </w:r>
      <w:r>
        <w:rPr>
          <w:rFonts w:hint="eastAsia" w:ascii="宋体" w:hAnsi="宋体" w:cs="Times New Roman"/>
          <w:color w:val="auto"/>
          <w:sz w:val="28"/>
          <w:szCs w:val="28"/>
          <w:highlight w:val="none"/>
        </w:rPr>
        <w:t xml:space="preserve"> </w:t>
      </w:r>
      <w:bookmarkEnd w:id="722"/>
      <w:bookmarkEnd w:id="723"/>
      <w:bookmarkEnd w:id="724"/>
      <w:bookmarkEnd w:id="725"/>
      <w:bookmarkEnd w:id="726"/>
      <w:r>
        <w:rPr>
          <w:rFonts w:hint="eastAsia" w:ascii="宋体" w:hAnsi="宋体" w:cs="Times New Roman"/>
          <w:color w:val="auto"/>
          <w:sz w:val="28"/>
          <w:szCs w:val="28"/>
          <w:highlight w:val="none"/>
          <w:lang w:val="en-US" w:eastAsia="zh-CN"/>
        </w:rPr>
        <w:t>定标方案</w:t>
      </w:r>
      <w:bookmarkEnd w:id="727"/>
    </w:p>
    <w:p w14:paraId="7D54258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第四章“定标方案”中使用的定标方法见投标人须知前附表。定标方案没有规定的方法、规则、标准，不作为清标或定标依据。</w:t>
      </w:r>
    </w:p>
    <w:p w14:paraId="7DBC85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定标方案明确要求项目负责人陈述答辩考核的，陈述答辩考核工作方案具体内容详见投标人须知前附表，应参加陈述答辩的投标人以及项目负责人名称、时间、地点由招标人另行通知。</w:t>
      </w:r>
    </w:p>
    <w:p w14:paraId="7FCA5BEC">
      <w:pPr>
        <w:pStyle w:val="4"/>
        <w:widowControl/>
        <w:rPr>
          <w:rFonts w:hint="eastAsia" w:ascii="宋体" w:hAnsi="宋体" w:cs="Times New Roman"/>
          <w:color w:val="auto"/>
          <w:sz w:val="28"/>
          <w:szCs w:val="28"/>
          <w:highlight w:val="none"/>
        </w:rPr>
      </w:pPr>
      <w:bookmarkStart w:id="728" w:name="_Toc29308"/>
      <w:r>
        <w:rPr>
          <w:rFonts w:hint="eastAsia" w:ascii="宋体" w:hAnsi="宋体" w:cs="Times New Roman"/>
          <w:color w:val="auto"/>
          <w:sz w:val="28"/>
          <w:szCs w:val="28"/>
          <w:highlight w:val="none"/>
          <w:lang w:val="en-US" w:eastAsia="zh-CN"/>
        </w:rPr>
        <w:t>7</w:t>
      </w:r>
      <w:r>
        <w:rPr>
          <w:rFonts w:hint="eastAsia" w:ascii="宋体" w:hAnsi="宋体" w:cs="Times New Roman"/>
          <w:color w:val="auto"/>
          <w:sz w:val="28"/>
          <w:szCs w:val="28"/>
          <w:highlight w:val="none"/>
        </w:rPr>
        <w:t>.</w:t>
      </w:r>
      <w:r>
        <w:rPr>
          <w:rFonts w:hint="eastAsia" w:ascii="宋体" w:hAnsi="宋体" w:cs="Times New Roman"/>
          <w:color w:val="auto"/>
          <w:sz w:val="28"/>
          <w:szCs w:val="28"/>
          <w:highlight w:val="none"/>
          <w:lang w:val="en-US" w:eastAsia="zh-CN"/>
        </w:rPr>
        <w:t>4</w:t>
      </w:r>
      <w:r>
        <w:rPr>
          <w:rFonts w:hint="eastAsia" w:ascii="宋体" w:hAnsi="宋体" w:cs="Times New Roman"/>
          <w:color w:val="auto"/>
          <w:sz w:val="28"/>
          <w:szCs w:val="28"/>
          <w:highlight w:val="none"/>
        </w:rPr>
        <w:t xml:space="preserve"> </w:t>
      </w:r>
      <w:r>
        <w:rPr>
          <w:rFonts w:hint="eastAsia" w:ascii="宋体" w:hAnsi="宋体" w:cs="Times New Roman"/>
          <w:color w:val="auto"/>
          <w:sz w:val="28"/>
          <w:szCs w:val="28"/>
          <w:highlight w:val="none"/>
          <w:lang w:val="en-US" w:eastAsia="zh-CN"/>
        </w:rPr>
        <w:t>中</w:t>
      </w:r>
      <w:r>
        <w:rPr>
          <w:rFonts w:hint="eastAsia" w:ascii="宋体" w:hAnsi="宋体" w:cs="Times New Roman"/>
          <w:color w:val="auto"/>
          <w:sz w:val="28"/>
          <w:szCs w:val="28"/>
          <w:highlight w:val="none"/>
        </w:rPr>
        <w:t>标候选人公示</w:t>
      </w:r>
      <w:bookmarkEnd w:id="728"/>
    </w:p>
    <w:p w14:paraId="5E17F02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招标人自完成定标之日起3日内在投标人须知前附表规定的媒介公示中标候选人，公示期不得少于3日，中标候选人公示的格式见附件。</w:t>
      </w:r>
    </w:p>
    <w:p w14:paraId="635DDF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或其他利害关系人对评标、定标结果有异议的，应在中标候选人公示期间提出。招标人在自收到异议之日起3日内作出答复；作出答复前，应暂停招标投标活动。提出异议与作出答复均应通过“电子交易平台”在“异议与答复”菜单以书面形式进行。</w:t>
      </w:r>
    </w:p>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14:paraId="77CE3AC4">
      <w:pPr>
        <w:pStyle w:val="4"/>
        <w:spacing w:before="0" w:after="0" w:line="360" w:lineRule="auto"/>
        <w:rPr>
          <w:rFonts w:ascii="宋体" w:hAnsi="宋体"/>
          <w:color w:val="auto"/>
          <w:sz w:val="28"/>
          <w:szCs w:val="28"/>
          <w:highlight w:val="none"/>
        </w:rPr>
      </w:pPr>
      <w:bookmarkStart w:id="729" w:name="_Toc8786"/>
      <w:bookmarkStart w:id="730" w:name="_Toc486685926"/>
      <w:bookmarkStart w:id="731" w:name="_Toc24733"/>
      <w:bookmarkStart w:id="732" w:name="_Toc490832317"/>
      <w:bookmarkStart w:id="733" w:name="_Toc419825382"/>
      <w:bookmarkStart w:id="734" w:name="_Toc382997691"/>
      <w:bookmarkStart w:id="735" w:name="_Toc419825033"/>
      <w:bookmarkStart w:id="736" w:name="_Toc463799038"/>
      <w:bookmarkStart w:id="737" w:name="_Toc382997969"/>
      <w:bookmarkStart w:id="738" w:name="_Toc383512716"/>
      <w:bookmarkStart w:id="739" w:name="_Toc234382631"/>
      <w:bookmarkStart w:id="740" w:name="_Toc488492859"/>
      <w:bookmarkStart w:id="741" w:name="_Toc383013022"/>
      <w:bookmarkStart w:id="742" w:name="_Toc419724315"/>
      <w:bookmarkStart w:id="743" w:name="_Toc419729382"/>
      <w:bookmarkStart w:id="744" w:name="_Toc488483629"/>
      <w:bookmarkStart w:id="745" w:name="_Toc383006495"/>
      <w:bookmarkStart w:id="746" w:name="_Toc487653206"/>
      <w:r>
        <w:rPr>
          <w:rFonts w:ascii="宋体" w:hAnsi="宋体"/>
          <w:color w:val="auto"/>
          <w:sz w:val="28"/>
          <w:szCs w:val="28"/>
          <w:highlight w:val="none"/>
        </w:rPr>
        <w:t>7.</w:t>
      </w:r>
      <w:r>
        <w:rPr>
          <w:rFonts w:hint="eastAsia" w:ascii="宋体" w:hAnsi="宋体"/>
          <w:color w:val="auto"/>
          <w:sz w:val="28"/>
          <w:szCs w:val="28"/>
          <w:highlight w:val="none"/>
          <w:lang w:val="en-US" w:eastAsia="zh-CN"/>
        </w:rPr>
        <w:t>5</w:t>
      </w:r>
      <w:r>
        <w:rPr>
          <w:rFonts w:ascii="宋体" w:hAnsi="宋体"/>
          <w:color w:val="auto"/>
          <w:sz w:val="28"/>
          <w:szCs w:val="28"/>
          <w:highlight w:val="none"/>
        </w:rPr>
        <w:t xml:space="preserve"> 中标通知</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6430417A">
      <w:pPr>
        <w:spacing w:line="360" w:lineRule="auto"/>
        <w:ind w:firstLine="420"/>
        <w:rPr>
          <w:rFonts w:ascii="宋体" w:hAnsi="宋体"/>
          <w:color w:val="auto"/>
          <w:szCs w:val="21"/>
          <w:highlight w:val="none"/>
        </w:rPr>
      </w:pPr>
      <w:r>
        <w:rPr>
          <w:rFonts w:hint="eastAsia" w:cs="宋体"/>
          <w:color w:val="auto"/>
          <w:kern w:val="1"/>
          <w:sz w:val="21"/>
          <w:szCs w:val="21"/>
          <w:highlight w:val="none"/>
        </w:rPr>
        <w:t>中标人确定后，招标人应当向中标人发出中标通知书，并将中标结果在投标人须知前附表规定的媒介公示进行公布。</w:t>
      </w:r>
      <w:r>
        <w:rPr>
          <w:rFonts w:hint="eastAsia" w:ascii="宋体" w:hAnsi="宋体" w:cs="宋体"/>
          <w:color w:val="auto"/>
          <w:kern w:val="1"/>
          <w:highlight w:val="none"/>
        </w:rPr>
        <w:t>中标结果公示格式见投标须知附件。</w:t>
      </w:r>
    </w:p>
    <w:p w14:paraId="2405377C">
      <w:pPr>
        <w:pStyle w:val="38"/>
        <w:ind w:firstLine="523"/>
        <w:rPr>
          <w:color w:val="auto"/>
          <w:highlight w:val="none"/>
        </w:rPr>
      </w:pPr>
    </w:p>
    <w:p w14:paraId="2144DEFC">
      <w:pPr>
        <w:pStyle w:val="4"/>
        <w:spacing w:before="0" w:after="0" w:line="360" w:lineRule="auto"/>
        <w:rPr>
          <w:rFonts w:ascii="宋体" w:hAnsi="宋体"/>
          <w:color w:val="auto"/>
          <w:sz w:val="28"/>
          <w:szCs w:val="28"/>
          <w:highlight w:val="none"/>
        </w:rPr>
      </w:pPr>
      <w:bookmarkStart w:id="747" w:name="_Toc383006496"/>
      <w:bookmarkStart w:id="748" w:name="_Toc17213"/>
      <w:bookmarkStart w:id="749" w:name="_Toc419724316"/>
      <w:bookmarkStart w:id="750" w:name="_Toc382997970"/>
      <w:bookmarkStart w:id="751" w:name="_Toc383512717"/>
      <w:bookmarkStart w:id="752" w:name="_Toc419825383"/>
      <w:bookmarkStart w:id="753" w:name="_Toc419825034"/>
      <w:bookmarkStart w:id="754" w:name="_Toc487653207"/>
      <w:bookmarkStart w:id="755" w:name="_Toc419729383"/>
      <w:bookmarkStart w:id="756" w:name="_Toc488492860"/>
      <w:bookmarkStart w:id="757" w:name="_Toc383013023"/>
      <w:bookmarkStart w:id="758" w:name="_Toc486685927"/>
      <w:bookmarkStart w:id="759" w:name="_Toc490832318"/>
      <w:bookmarkStart w:id="760" w:name="_Toc234382632"/>
      <w:bookmarkStart w:id="761" w:name="_Toc11364"/>
      <w:bookmarkStart w:id="762" w:name="_Toc488483630"/>
      <w:bookmarkStart w:id="763" w:name="_Toc463799039"/>
      <w:bookmarkStart w:id="764" w:name="_Toc382997692"/>
      <w:r>
        <w:rPr>
          <w:rFonts w:ascii="宋体" w:hAnsi="宋体"/>
          <w:color w:val="auto"/>
          <w:sz w:val="28"/>
          <w:szCs w:val="28"/>
          <w:highlight w:val="none"/>
        </w:rPr>
        <w:t>7.</w:t>
      </w:r>
      <w:r>
        <w:rPr>
          <w:rFonts w:hint="eastAsia" w:ascii="宋体" w:hAnsi="宋体"/>
          <w:color w:val="auto"/>
          <w:sz w:val="28"/>
          <w:szCs w:val="28"/>
          <w:highlight w:val="none"/>
          <w:lang w:val="en-US" w:eastAsia="zh-CN"/>
        </w:rPr>
        <w:t>6</w:t>
      </w:r>
      <w:r>
        <w:rPr>
          <w:rFonts w:ascii="宋体" w:hAnsi="宋体"/>
          <w:color w:val="auto"/>
          <w:sz w:val="28"/>
          <w:szCs w:val="28"/>
          <w:highlight w:val="none"/>
        </w:rPr>
        <w:t xml:space="preserve"> 履约担保</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1F859E82">
      <w:pPr>
        <w:spacing w:line="360" w:lineRule="auto"/>
        <w:ind w:firstLine="420" w:firstLineChars="200"/>
        <w:rPr>
          <w:rFonts w:ascii="宋体" w:hAnsi="宋体"/>
          <w:color w:val="auto"/>
          <w:szCs w:val="21"/>
          <w:highlight w:val="none"/>
        </w:rPr>
      </w:pPr>
      <w:bookmarkStart w:id="765" w:name="_Toc419825035"/>
      <w:bookmarkStart w:id="766" w:name="_Toc463799040"/>
      <w:bookmarkStart w:id="767" w:name="_Toc419724317"/>
      <w:bookmarkStart w:id="768" w:name="_Toc419825384"/>
      <w:bookmarkStart w:id="769" w:name="_Toc234382633"/>
      <w:bookmarkStart w:id="770" w:name="_Toc383006497"/>
      <w:bookmarkStart w:id="771" w:name="_Toc382997693"/>
      <w:bookmarkStart w:id="772" w:name="_Toc383013024"/>
      <w:bookmarkStart w:id="773" w:name="_Toc1095"/>
      <w:bookmarkStart w:id="774" w:name="_Toc419729384"/>
      <w:bookmarkStart w:id="775" w:name="_Toc383512718"/>
      <w:bookmarkStart w:id="776" w:name="_Toc382997971"/>
      <w:r>
        <w:rPr>
          <w:rFonts w:hint="eastAsia" w:ascii="宋体" w:hAnsi="宋体"/>
          <w:color w:val="auto"/>
          <w:szCs w:val="21"/>
          <w:highlight w:val="none"/>
        </w:rPr>
        <w:t>7.</w:t>
      </w:r>
      <w:r>
        <w:rPr>
          <w:rFonts w:hint="eastAsia" w:ascii="宋体" w:hAnsi="宋体"/>
          <w:color w:val="auto"/>
          <w:szCs w:val="21"/>
          <w:highlight w:val="none"/>
          <w:lang w:val="en-US" w:eastAsia="zh-CN"/>
        </w:rPr>
        <w:t>6</w:t>
      </w:r>
      <w:r>
        <w:rPr>
          <w:rFonts w:hint="eastAsia" w:ascii="宋体" w:hAnsi="宋体"/>
          <w:color w:val="auto"/>
          <w:szCs w:val="21"/>
          <w:highlight w:val="none"/>
        </w:rPr>
        <w:t>.1 在签订合同前，中标人应按投标人须知前附表规定的金额、担保形式和招标文件第五章“合同条款及格式”规定的</w:t>
      </w:r>
      <w:r>
        <w:rPr>
          <w:rStyle w:val="66"/>
          <w:rFonts w:hint="default" w:ascii="Times New Roman" w:hAnsi="Times New Roman"/>
          <w:color w:val="auto"/>
          <w:sz w:val="21"/>
          <w:szCs w:val="21"/>
          <w:highlight w:val="none"/>
        </w:rPr>
        <w:t>或事先经过招标人书面认可的</w:t>
      </w:r>
      <w:r>
        <w:rPr>
          <w:rFonts w:hint="eastAsia" w:ascii="宋体" w:hAnsi="宋体"/>
          <w:color w:val="auto"/>
          <w:szCs w:val="21"/>
          <w:highlight w:val="none"/>
        </w:rPr>
        <w:t>履约保证金格式向招标人提交履约担保。</w:t>
      </w:r>
      <w:r>
        <w:rPr>
          <w:rStyle w:val="66"/>
          <w:rFonts w:hint="default" w:ascii="Times New Roman" w:hAnsi="Times New Roman"/>
          <w:color w:val="auto"/>
          <w:sz w:val="21"/>
          <w:szCs w:val="21"/>
          <w:highlight w:val="none"/>
        </w:rPr>
        <w:t xml:space="preserve">除投标人须知前附表另有规定外，履约保证金为签约合同价的 </w:t>
      </w:r>
      <w:r>
        <w:rPr>
          <w:rStyle w:val="64"/>
          <w:color w:val="auto"/>
          <w:sz w:val="21"/>
          <w:szCs w:val="21"/>
          <w:highlight w:val="none"/>
        </w:rPr>
        <w:t>10%</w:t>
      </w:r>
      <w:r>
        <w:rPr>
          <w:rStyle w:val="66"/>
          <w:rFonts w:hint="default" w:ascii="Times New Roman" w:hAnsi="Times New Roman"/>
          <w:color w:val="auto"/>
          <w:sz w:val="21"/>
          <w:szCs w:val="21"/>
          <w:highlight w:val="none"/>
        </w:rPr>
        <w:t>。</w:t>
      </w:r>
      <w:r>
        <w:rPr>
          <w:rFonts w:hint="eastAsia" w:ascii="宋体" w:hAnsi="宋体"/>
          <w:color w:val="auto"/>
          <w:szCs w:val="21"/>
          <w:highlight w:val="none"/>
        </w:rPr>
        <w:t>联合体中标的，其履约保证金</w:t>
      </w:r>
      <w:r>
        <w:rPr>
          <w:rStyle w:val="66"/>
          <w:rFonts w:hint="default" w:ascii="Times New Roman" w:hAnsi="Times New Roman"/>
          <w:color w:val="auto"/>
          <w:sz w:val="21"/>
          <w:szCs w:val="21"/>
          <w:highlight w:val="none"/>
        </w:rPr>
        <w:t>以联合体各方或联合体中牵头人的名义提交</w:t>
      </w:r>
      <w:r>
        <w:rPr>
          <w:rFonts w:hint="eastAsia" w:ascii="宋体" w:hAnsi="宋体"/>
          <w:color w:val="auto"/>
          <w:szCs w:val="21"/>
          <w:highlight w:val="none"/>
        </w:rPr>
        <w:t>，并应符合投标人须知前附表规定的金额、担保形式和招标文件第五章“合同条款及格式”规定的履约担保格式要求。</w:t>
      </w:r>
    </w:p>
    <w:p w14:paraId="013F381D">
      <w:pPr>
        <w:wordWrap w:val="0"/>
        <w:spacing w:line="340" w:lineRule="exact"/>
        <w:ind w:firstLine="420" w:firstLineChars="200"/>
        <w:rPr>
          <w:rFonts w:ascii="宋体" w:hAnsi="宋体"/>
          <w:color w:val="auto"/>
          <w:szCs w:val="21"/>
          <w:highlight w:val="none"/>
        </w:rPr>
      </w:pPr>
      <w:r>
        <w:rPr>
          <w:rFonts w:hint="eastAsia"/>
          <w:color w:val="auto"/>
          <w:szCs w:val="21"/>
          <w:highlight w:val="none"/>
        </w:rPr>
        <w:t>采用银行保函时，出具银行保函的银行级别在投标人须知前附表中说明，所需的费用由中标人承担，中标人应保证银行保函有效。</w:t>
      </w:r>
    </w:p>
    <w:p w14:paraId="4D05E8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6</w:t>
      </w:r>
      <w:r>
        <w:rPr>
          <w:rFonts w:hint="eastAsia" w:ascii="宋体" w:hAnsi="宋体"/>
          <w:color w:val="auto"/>
          <w:szCs w:val="21"/>
          <w:highlight w:val="none"/>
        </w:rPr>
        <w:t>.2 中标人不能按本章第7.</w:t>
      </w:r>
      <w:r>
        <w:rPr>
          <w:rFonts w:hint="eastAsia" w:ascii="宋体" w:hAnsi="宋体"/>
          <w:color w:val="auto"/>
          <w:szCs w:val="21"/>
          <w:highlight w:val="none"/>
          <w:lang w:val="en-US" w:eastAsia="zh-CN"/>
        </w:rPr>
        <w:t>6</w:t>
      </w:r>
      <w:r>
        <w:rPr>
          <w:rFonts w:hint="eastAsia" w:ascii="宋体" w:hAnsi="宋体"/>
          <w:color w:val="auto"/>
          <w:szCs w:val="21"/>
          <w:highlight w:val="none"/>
        </w:rPr>
        <w:t>.1 项要求提交履约担保的，视为放弃中标，其投标保证金不予退还，给招标人造成的损失超过投标保证金数额的，中标人还应当对超过部分予以赔偿。</w:t>
      </w:r>
    </w:p>
    <w:p w14:paraId="187B1D8D">
      <w:pPr>
        <w:pStyle w:val="4"/>
        <w:spacing w:before="0" w:after="0" w:line="360" w:lineRule="auto"/>
        <w:rPr>
          <w:rFonts w:ascii="宋体" w:hAnsi="宋体"/>
          <w:color w:val="auto"/>
          <w:sz w:val="28"/>
          <w:szCs w:val="28"/>
          <w:highlight w:val="none"/>
        </w:rPr>
      </w:pPr>
      <w:bookmarkStart w:id="777" w:name="_Toc490832319"/>
      <w:bookmarkStart w:id="778" w:name="_Toc486685928"/>
      <w:bookmarkStart w:id="779" w:name="_Toc488483631"/>
      <w:bookmarkStart w:id="780" w:name="_Toc30602"/>
      <w:bookmarkStart w:id="781" w:name="_Toc488492861"/>
      <w:bookmarkStart w:id="782" w:name="_Toc487653208"/>
      <w:r>
        <w:rPr>
          <w:rFonts w:ascii="宋体" w:hAnsi="宋体"/>
          <w:color w:val="auto"/>
          <w:sz w:val="28"/>
          <w:szCs w:val="28"/>
          <w:highlight w:val="none"/>
        </w:rPr>
        <w:t>7.</w:t>
      </w:r>
      <w:r>
        <w:rPr>
          <w:rFonts w:hint="eastAsia" w:ascii="宋体" w:hAnsi="宋体"/>
          <w:color w:val="auto"/>
          <w:sz w:val="28"/>
          <w:szCs w:val="28"/>
          <w:highlight w:val="none"/>
          <w:lang w:val="en-US" w:eastAsia="zh-CN"/>
        </w:rPr>
        <w:t>7</w:t>
      </w:r>
      <w:r>
        <w:rPr>
          <w:rFonts w:ascii="宋体" w:hAnsi="宋体"/>
          <w:color w:val="auto"/>
          <w:sz w:val="28"/>
          <w:szCs w:val="28"/>
          <w:highlight w:val="none"/>
        </w:rPr>
        <w:t xml:space="preserve"> 签订合同</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14:paraId="5A74BB1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7</w:t>
      </w:r>
      <w:r>
        <w:rPr>
          <w:rFonts w:hint="eastAsia" w:ascii="宋体" w:hAnsi="宋体"/>
          <w:color w:val="auto"/>
          <w:szCs w:val="21"/>
          <w:highlight w:val="none"/>
        </w:rPr>
        <w:t>.1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45715A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7</w:t>
      </w:r>
      <w:r>
        <w:rPr>
          <w:rFonts w:hint="eastAsia" w:ascii="宋体" w:hAnsi="宋体"/>
          <w:color w:val="auto"/>
          <w:szCs w:val="21"/>
          <w:highlight w:val="none"/>
        </w:rPr>
        <w:t>.2 发出中标通知书后，招标人无正当理由拒签合同的，招标人向中标人退还投标保证金；给中标人造成损失的，还应当赔偿损失。</w:t>
      </w:r>
    </w:p>
    <w:p w14:paraId="058245A3">
      <w:pPr>
        <w:pStyle w:val="4"/>
        <w:spacing w:before="0" w:after="0" w:line="360" w:lineRule="auto"/>
        <w:rPr>
          <w:rFonts w:ascii="宋体" w:hAnsi="宋体"/>
          <w:color w:val="auto"/>
          <w:highlight w:val="none"/>
        </w:rPr>
      </w:pPr>
      <w:bookmarkStart w:id="783" w:name="_Toc21336"/>
      <w:bookmarkStart w:id="784" w:name="_Toc419724318"/>
      <w:bookmarkStart w:id="785" w:name="_Toc234382634"/>
      <w:bookmarkStart w:id="786" w:name="_Toc18870"/>
      <w:bookmarkStart w:id="787" w:name="_Toc419825036"/>
      <w:bookmarkStart w:id="788" w:name="_Toc419825385"/>
      <w:bookmarkStart w:id="789" w:name="_Toc383512719"/>
      <w:bookmarkStart w:id="790" w:name="_Toc419729385"/>
      <w:bookmarkStart w:id="791" w:name="_Toc382997972"/>
      <w:bookmarkStart w:id="792" w:name="_Toc383006498"/>
      <w:bookmarkStart w:id="793" w:name="_Toc382997694"/>
      <w:bookmarkStart w:id="794" w:name="_Toc490832320"/>
      <w:bookmarkStart w:id="795" w:name="_Toc463799041"/>
      <w:bookmarkStart w:id="796" w:name="_Toc383013025"/>
      <w:bookmarkStart w:id="797" w:name="_Toc234382635"/>
      <w:bookmarkStart w:id="798" w:name="_Toc17397"/>
      <w:r>
        <w:rPr>
          <w:rFonts w:ascii="宋体" w:hAnsi="宋体"/>
          <w:color w:val="auto"/>
          <w:highlight w:val="none"/>
        </w:rPr>
        <w:t>8. 重新招标</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108FEBEA">
      <w:pPr>
        <w:pStyle w:val="4"/>
        <w:spacing w:before="0" w:after="0" w:line="360" w:lineRule="auto"/>
        <w:rPr>
          <w:rFonts w:ascii="宋体" w:hAnsi="宋体"/>
          <w:color w:val="auto"/>
          <w:sz w:val="28"/>
          <w:szCs w:val="28"/>
          <w:highlight w:val="none"/>
        </w:rPr>
      </w:pPr>
      <w:bookmarkStart w:id="799" w:name="_Toc383006499"/>
      <w:bookmarkStart w:id="800" w:name="_Toc486685930"/>
      <w:bookmarkStart w:id="801" w:name="_Toc487653210"/>
      <w:bookmarkStart w:id="802" w:name="_Toc463799042"/>
      <w:bookmarkStart w:id="803" w:name="_Toc490832321"/>
      <w:bookmarkStart w:id="804" w:name="_Toc383512720"/>
      <w:bookmarkStart w:id="805" w:name="_Toc28190"/>
      <w:bookmarkStart w:id="806" w:name="_Toc488483633"/>
      <w:bookmarkStart w:id="807" w:name="_Toc419825037"/>
      <w:bookmarkStart w:id="808" w:name="_Toc488492863"/>
      <w:bookmarkStart w:id="809" w:name="_Toc419825386"/>
      <w:bookmarkStart w:id="810" w:name="_Toc382997973"/>
      <w:bookmarkStart w:id="811" w:name="_Toc383013026"/>
      <w:bookmarkStart w:id="812" w:name="_Toc419729386"/>
      <w:bookmarkStart w:id="813" w:name="_Toc382997695"/>
      <w:bookmarkStart w:id="814" w:name="_Toc419724319"/>
      <w:r>
        <w:rPr>
          <w:rFonts w:ascii="宋体" w:hAnsi="宋体"/>
          <w:color w:val="auto"/>
          <w:sz w:val="28"/>
          <w:szCs w:val="28"/>
          <w:highlight w:val="none"/>
        </w:rPr>
        <w:t>8.1 重新招标</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338376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有下列情形之一的,招标人将重新招标：</w:t>
      </w:r>
    </w:p>
    <w:p w14:paraId="462099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(1)投标截止时间止,投标人少于3个的；</w:t>
      </w:r>
    </w:p>
    <w:p w14:paraId="2FA9B2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(2)经评标委员会评审后否决所有投标的。</w:t>
      </w:r>
    </w:p>
    <w:p w14:paraId="331A43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(3)法律规定的其他情形。</w:t>
      </w:r>
    </w:p>
    <w:p w14:paraId="15565173">
      <w:pPr>
        <w:pStyle w:val="4"/>
        <w:spacing w:before="0" w:after="0" w:line="360" w:lineRule="auto"/>
        <w:rPr>
          <w:rFonts w:ascii="宋体" w:hAnsi="宋体"/>
          <w:color w:val="auto"/>
          <w:highlight w:val="none"/>
        </w:rPr>
      </w:pPr>
      <w:bookmarkStart w:id="815" w:name="_Toc419724321"/>
      <w:bookmarkStart w:id="816" w:name="_Toc382997975"/>
      <w:bookmarkStart w:id="817" w:name="_Toc463799044"/>
      <w:bookmarkStart w:id="818" w:name="_Toc383512722"/>
      <w:bookmarkStart w:id="819" w:name="_Toc419825388"/>
      <w:bookmarkStart w:id="820" w:name="_Toc490832323"/>
      <w:bookmarkStart w:id="821" w:name="_Toc4593"/>
      <w:bookmarkStart w:id="822" w:name="_Toc383006501"/>
      <w:bookmarkStart w:id="823" w:name="_Toc419729388"/>
      <w:bookmarkStart w:id="824" w:name="_Toc383013028"/>
      <w:bookmarkStart w:id="825" w:name="_Toc234382637"/>
      <w:bookmarkStart w:id="826" w:name="_Toc419825039"/>
      <w:bookmarkStart w:id="827" w:name="_Toc9283"/>
      <w:bookmarkStart w:id="828" w:name="_Toc382997697"/>
      <w:r>
        <w:rPr>
          <w:rFonts w:ascii="宋体" w:hAnsi="宋体"/>
          <w:color w:val="auto"/>
          <w:highlight w:val="none"/>
        </w:rPr>
        <w:t>9. 纪律和监督</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2898499C">
      <w:pPr>
        <w:pStyle w:val="4"/>
        <w:spacing w:before="0" w:after="0" w:line="360" w:lineRule="auto"/>
        <w:rPr>
          <w:rFonts w:ascii="宋体" w:hAnsi="宋体"/>
          <w:color w:val="auto"/>
          <w:sz w:val="28"/>
          <w:szCs w:val="28"/>
          <w:highlight w:val="none"/>
        </w:rPr>
      </w:pPr>
      <w:bookmarkStart w:id="829" w:name="_Toc463799045"/>
      <w:bookmarkStart w:id="830" w:name="_Toc8366"/>
      <w:bookmarkStart w:id="831" w:name="_Toc419825389"/>
      <w:bookmarkStart w:id="832" w:name="_Toc234382638"/>
      <w:bookmarkStart w:id="833" w:name="_Toc486685933"/>
      <w:bookmarkStart w:id="834" w:name="_Toc419724322"/>
      <w:bookmarkStart w:id="835" w:name="_Toc419825040"/>
      <w:bookmarkStart w:id="836" w:name="_Toc419729389"/>
      <w:bookmarkStart w:id="837" w:name="_Toc16967"/>
      <w:bookmarkStart w:id="838" w:name="_Toc383512723"/>
      <w:bookmarkStart w:id="839" w:name="_Toc383013029"/>
      <w:bookmarkStart w:id="840" w:name="_Toc382997698"/>
      <w:bookmarkStart w:id="841" w:name="_Toc382997976"/>
      <w:bookmarkStart w:id="842" w:name="_Toc488483636"/>
      <w:bookmarkStart w:id="843" w:name="_Toc383006502"/>
      <w:bookmarkStart w:id="844" w:name="_Toc487653213"/>
      <w:bookmarkStart w:id="845" w:name="_Toc490832324"/>
      <w:bookmarkStart w:id="846" w:name="_Toc488492866"/>
      <w:r>
        <w:rPr>
          <w:rFonts w:ascii="宋体" w:hAnsi="宋体"/>
          <w:color w:val="auto"/>
          <w:sz w:val="28"/>
          <w:szCs w:val="28"/>
          <w:highlight w:val="none"/>
        </w:rPr>
        <w:t>9.1 对招标人的纪律要求</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769DB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招标人不得泄漏招标投标活动中应当保密的情况和资料，不得与投标人串通损害国家利益、社会公共利益或者他人合法权益。</w:t>
      </w:r>
    </w:p>
    <w:p w14:paraId="723E7D76">
      <w:pPr>
        <w:pStyle w:val="4"/>
        <w:spacing w:before="0" w:after="0" w:line="360" w:lineRule="auto"/>
        <w:rPr>
          <w:rFonts w:ascii="宋体" w:hAnsi="宋体"/>
          <w:color w:val="auto"/>
          <w:sz w:val="28"/>
          <w:szCs w:val="28"/>
          <w:highlight w:val="none"/>
        </w:rPr>
      </w:pPr>
      <w:bookmarkStart w:id="847" w:name="_Toc490832325"/>
      <w:bookmarkStart w:id="848" w:name="_Toc488492867"/>
      <w:bookmarkStart w:id="849" w:name="_Toc419724323"/>
      <w:bookmarkStart w:id="850" w:name="_Toc463799046"/>
      <w:bookmarkStart w:id="851" w:name="_Toc488483637"/>
      <w:bookmarkStart w:id="852" w:name="_Toc383006503"/>
      <w:bookmarkStart w:id="853" w:name="_Toc383512724"/>
      <w:bookmarkStart w:id="854" w:name="_Toc234382639"/>
      <w:bookmarkStart w:id="855" w:name="_Toc19441"/>
      <w:bookmarkStart w:id="856" w:name="_Toc487653214"/>
      <w:bookmarkStart w:id="857" w:name="_Toc486685934"/>
      <w:bookmarkStart w:id="858" w:name="_Toc419729390"/>
      <w:bookmarkStart w:id="859" w:name="_Toc382997977"/>
      <w:bookmarkStart w:id="860" w:name="_Toc5301"/>
      <w:bookmarkStart w:id="861" w:name="_Toc382997699"/>
      <w:bookmarkStart w:id="862" w:name="_Toc383013030"/>
      <w:bookmarkStart w:id="863" w:name="_Toc419825041"/>
      <w:bookmarkStart w:id="864" w:name="_Toc419825390"/>
      <w:r>
        <w:rPr>
          <w:rFonts w:ascii="宋体" w:hAnsi="宋体"/>
          <w:color w:val="auto"/>
          <w:sz w:val="28"/>
          <w:szCs w:val="28"/>
          <w:highlight w:val="none"/>
        </w:rPr>
        <w:t>9.2 对投标人的纪律要求</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14:paraId="70679C35">
      <w:pPr>
        <w:spacing w:line="360" w:lineRule="auto"/>
        <w:ind w:firstLine="420" w:firstLineChars="200"/>
        <w:rPr>
          <w:rFonts w:ascii="宋体" w:hAnsi="宋体"/>
          <w:color w:val="auto"/>
          <w:szCs w:val="21"/>
          <w:highlight w:val="none"/>
        </w:rPr>
      </w:pPr>
      <w:r>
        <w:rPr>
          <w:rFonts w:ascii="宋体" w:hAnsi="宋体"/>
          <w:color w:val="auto"/>
          <w:szCs w:val="21"/>
          <w:highlight w:val="none"/>
        </w:rPr>
        <w:t>投标人不得相互串通投标或者与招标人串通投标</w:t>
      </w:r>
      <w:r>
        <w:rPr>
          <w:rFonts w:hint="eastAsia" w:ascii="宋体" w:hAnsi="宋体"/>
          <w:color w:val="auto"/>
          <w:szCs w:val="21"/>
          <w:highlight w:val="none"/>
        </w:rPr>
        <w:t>,</w:t>
      </w:r>
      <w:r>
        <w:rPr>
          <w:rFonts w:ascii="宋体" w:hAnsi="宋体"/>
          <w:color w:val="auto"/>
          <w:szCs w:val="21"/>
          <w:highlight w:val="none"/>
        </w:rPr>
        <w:t>不得向招标人或者评标委员会成员行贿谋取中标</w:t>
      </w:r>
      <w:r>
        <w:rPr>
          <w:rFonts w:hint="eastAsia" w:ascii="宋体" w:hAnsi="宋体"/>
          <w:color w:val="auto"/>
          <w:szCs w:val="21"/>
          <w:highlight w:val="none"/>
        </w:rPr>
        <w:t>,</w:t>
      </w:r>
      <w:r>
        <w:rPr>
          <w:rFonts w:ascii="宋体" w:hAnsi="宋体"/>
          <w:color w:val="auto"/>
          <w:szCs w:val="21"/>
          <w:highlight w:val="none"/>
        </w:rPr>
        <w:t>不得以他人名义投标或者以其他方式弄虚作假骗取中标；投标人不得以任何方式干扰、影响评标工作。</w:t>
      </w:r>
    </w:p>
    <w:p w14:paraId="4ECFE00C">
      <w:pPr>
        <w:pStyle w:val="4"/>
        <w:spacing w:before="0" w:after="0" w:line="360" w:lineRule="auto"/>
        <w:rPr>
          <w:rFonts w:ascii="宋体" w:hAnsi="宋体"/>
          <w:color w:val="auto"/>
          <w:sz w:val="28"/>
          <w:szCs w:val="28"/>
          <w:highlight w:val="none"/>
        </w:rPr>
      </w:pPr>
      <w:bookmarkStart w:id="865" w:name="_Toc419825042"/>
      <w:bookmarkStart w:id="866" w:name="_Toc490832326"/>
      <w:bookmarkStart w:id="867" w:name="_Toc382997978"/>
      <w:bookmarkStart w:id="868" w:name="_Toc419825391"/>
      <w:bookmarkStart w:id="869" w:name="_Toc234382640"/>
      <w:bookmarkStart w:id="870" w:name="_Toc383013031"/>
      <w:bookmarkStart w:id="871" w:name="_Toc486685935"/>
      <w:bookmarkStart w:id="872" w:name="_Toc383512725"/>
      <w:bookmarkStart w:id="873" w:name="_Toc463799047"/>
      <w:bookmarkStart w:id="874" w:name="_Toc488492868"/>
      <w:bookmarkStart w:id="875" w:name="_Toc10815"/>
      <w:bookmarkStart w:id="876" w:name="_Toc21784"/>
      <w:bookmarkStart w:id="877" w:name="_Toc419729391"/>
      <w:bookmarkStart w:id="878" w:name="_Toc419724324"/>
      <w:bookmarkStart w:id="879" w:name="_Toc488483638"/>
      <w:bookmarkStart w:id="880" w:name="_Toc383006504"/>
      <w:bookmarkStart w:id="881" w:name="_Toc382997700"/>
      <w:bookmarkStart w:id="882" w:name="_Toc487653215"/>
      <w:r>
        <w:rPr>
          <w:rFonts w:ascii="宋体" w:hAnsi="宋体"/>
          <w:color w:val="auto"/>
          <w:sz w:val="28"/>
          <w:szCs w:val="28"/>
          <w:highlight w:val="none"/>
        </w:rPr>
        <w:t>9.3 对评标委员会</w:t>
      </w:r>
      <w:r>
        <w:rPr>
          <w:rFonts w:hint="eastAsia" w:ascii="宋体" w:hAnsi="宋体"/>
          <w:color w:val="auto"/>
          <w:sz w:val="28"/>
          <w:szCs w:val="28"/>
          <w:highlight w:val="none"/>
        </w:rPr>
        <w:t>、清标小组</w:t>
      </w:r>
      <w:r>
        <w:rPr>
          <w:rFonts w:ascii="宋体" w:hAnsi="宋体"/>
          <w:color w:val="auto"/>
          <w:sz w:val="28"/>
          <w:szCs w:val="28"/>
          <w:highlight w:val="none"/>
          <w:lang w:val="zh-CN"/>
        </w:rPr>
        <w:t>和定标委员会的</w:t>
      </w:r>
      <w:r>
        <w:rPr>
          <w:rFonts w:ascii="宋体" w:hAnsi="宋体"/>
          <w:color w:val="auto"/>
          <w:sz w:val="28"/>
          <w:szCs w:val="28"/>
          <w:highlight w:val="none"/>
        </w:rPr>
        <w:t>的纪律要求</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1E167B81">
      <w:pPr>
        <w:spacing w:line="360" w:lineRule="auto"/>
        <w:ind w:firstLine="420" w:firstLineChars="200"/>
        <w:rPr>
          <w:rFonts w:ascii="宋体" w:hAnsi="宋体"/>
          <w:color w:val="auto"/>
          <w:szCs w:val="21"/>
          <w:highlight w:val="none"/>
        </w:rPr>
      </w:pPr>
      <w:r>
        <w:rPr>
          <w:rFonts w:ascii="宋体" w:hAnsi="宋体"/>
          <w:color w:val="auto"/>
          <w:szCs w:val="21"/>
          <w:highlight w:val="none"/>
        </w:rPr>
        <w:t>评标委员会</w:t>
      </w:r>
      <w:r>
        <w:rPr>
          <w:rFonts w:hint="eastAsia" w:ascii="宋体" w:hAnsi="宋体"/>
          <w:color w:val="auto"/>
          <w:szCs w:val="21"/>
          <w:highlight w:val="none"/>
        </w:rPr>
        <w:t>、清标小组</w:t>
      </w:r>
      <w:r>
        <w:rPr>
          <w:rFonts w:ascii="宋体" w:hAnsi="宋体"/>
          <w:color w:val="auto"/>
          <w:szCs w:val="21"/>
          <w:highlight w:val="none"/>
        </w:rPr>
        <w:t>和定标委员会成员不得收受他人的财物或者其他好处，不得向他人透漏对投标文件的评审和比较、定标候选人的推荐情况、</w:t>
      </w:r>
      <w:r>
        <w:rPr>
          <w:rFonts w:hint="eastAsia" w:ascii="宋体" w:hAnsi="宋体"/>
          <w:color w:val="auto"/>
          <w:szCs w:val="21"/>
          <w:highlight w:val="none"/>
        </w:rPr>
        <w:t>清标定标情况以及有关的其他情况</w:t>
      </w:r>
      <w:r>
        <w:rPr>
          <w:rFonts w:ascii="宋体" w:hAnsi="宋体"/>
          <w:color w:val="auto"/>
          <w:szCs w:val="21"/>
          <w:highlight w:val="none"/>
        </w:rPr>
        <w:t>。在评标、</w:t>
      </w:r>
      <w:r>
        <w:rPr>
          <w:rFonts w:hint="eastAsia" w:ascii="宋体" w:hAnsi="宋体"/>
          <w:color w:val="auto"/>
          <w:szCs w:val="21"/>
          <w:highlight w:val="none"/>
        </w:rPr>
        <w:t>清标、</w:t>
      </w:r>
      <w:r>
        <w:rPr>
          <w:rFonts w:ascii="宋体" w:hAnsi="宋体"/>
          <w:color w:val="auto"/>
          <w:szCs w:val="21"/>
          <w:highlight w:val="none"/>
        </w:rPr>
        <w:t>定标活动中，评标委员会</w:t>
      </w:r>
      <w:r>
        <w:rPr>
          <w:rFonts w:hint="eastAsia" w:ascii="宋体" w:hAnsi="宋体"/>
          <w:color w:val="auto"/>
          <w:szCs w:val="21"/>
          <w:highlight w:val="none"/>
        </w:rPr>
        <w:t>、清标小组</w:t>
      </w:r>
      <w:r>
        <w:rPr>
          <w:rFonts w:ascii="宋体" w:hAnsi="宋体"/>
          <w:color w:val="auto"/>
          <w:szCs w:val="21"/>
          <w:highlight w:val="none"/>
        </w:rPr>
        <w:t>和定标委员会成员应当客观、公正地履行职责，遵守职业道德，不得擅离职守，影响</w:t>
      </w:r>
      <w:r>
        <w:rPr>
          <w:rFonts w:hint="eastAsia" w:ascii="宋体" w:hAnsi="宋体"/>
          <w:color w:val="auto"/>
          <w:szCs w:val="21"/>
          <w:highlight w:val="none"/>
        </w:rPr>
        <w:t>有关</w:t>
      </w:r>
      <w:r>
        <w:rPr>
          <w:rFonts w:ascii="宋体" w:hAnsi="宋体"/>
          <w:color w:val="auto"/>
          <w:szCs w:val="21"/>
          <w:highlight w:val="none"/>
        </w:rPr>
        <w:t>程序正常进行。</w:t>
      </w:r>
    </w:p>
    <w:p w14:paraId="099C02FA">
      <w:pPr>
        <w:pStyle w:val="4"/>
        <w:spacing w:before="0" w:after="0" w:line="360" w:lineRule="auto"/>
        <w:rPr>
          <w:rFonts w:ascii="宋体" w:hAnsi="宋体"/>
          <w:color w:val="auto"/>
          <w:sz w:val="28"/>
          <w:szCs w:val="28"/>
          <w:highlight w:val="none"/>
        </w:rPr>
      </w:pPr>
      <w:bookmarkStart w:id="883" w:name="_Toc419825392"/>
      <w:bookmarkStart w:id="884" w:name="_Toc488492869"/>
      <w:bookmarkStart w:id="885" w:name="_Toc487653216"/>
      <w:bookmarkStart w:id="886" w:name="_Toc27170"/>
      <w:bookmarkStart w:id="887" w:name="_Toc382997701"/>
      <w:bookmarkStart w:id="888" w:name="_Toc383013032"/>
      <w:bookmarkStart w:id="889" w:name="_Toc1784"/>
      <w:bookmarkStart w:id="890" w:name="_Toc383512726"/>
      <w:bookmarkStart w:id="891" w:name="_Toc419724325"/>
      <w:bookmarkStart w:id="892" w:name="_Toc488483639"/>
      <w:bookmarkStart w:id="893" w:name="_Toc382997979"/>
      <w:bookmarkStart w:id="894" w:name="_Toc486685936"/>
      <w:bookmarkStart w:id="895" w:name="_Toc383006505"/>
      <w:bookmarkStart w:id="896" w:name="_Toc419729392"/>
      <w:bookmarkStart w:id="897" w:name="_Toc463799048"/>
      <w:bookmarkStart w:id="898" w:name="_Toc234382641"/>
      <w:bookmarkStart w:id="899" w:name="_Toc490832327"/>
      <w:bookmarkStart w:id="900" w:name="_Toc419825043"/>
      <w:r>
        <w:rPr>
          <w:rFonts w:ascii="宋体" w:hAnsi="宋体"/>
          <w:color w:val="auto"/>
          <w:sz w:val="28"/>
          <w:szCs w:val="28"/>
          <w:highlight w:val="none"/>
        </w:rPr>
        <w:t>9.4 对与评标</w:t>
      </w:r>
      <w:r>
        <w:rPr>
          <w:rFonts w:hint="eastAsia" w:ascii="宋体" w:hAnsi="宋体"/>
          <w:color w:val="auto"/>
          <w:sz w:val="28"/>
          <w:szCs w:val="28"/>
          <w:highlight w:val="none"/>
        </w:rPr>
        <w:t>、清标和定标</w:t>
      </w:r>
      <w:r>
        <w:rPr>
          <w:rFonts w:ascii="宋体" w:hAnsi="宋体"/>
          <w:color w:val="auto"/>
          <w:sz w:val="28"/>
          <w:szCs w:val="28"/>
          <w:highlight w:val="none"/>
        </w:rPr>
        <w:t>活动有关的工作人员的纪律要求</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3D84AC3D">
      <w:pPr>
        <w:spacing w:line="360" w:lineRule="auto"/>
        <w:ind w:firstLine="420" w:firstLineChars="200"/>
        <w:rPr>
          <w:rFonts w:ascii="宋体" w:hAnsi="宋体"/>
          <w:color w:val="auto"/>
          <w:szCs w:val="21"/>
          <w:highlight w:val="none"/>
        </w:rPr>
      </w:pPr>
      <w:r>
        <w:rPr>
          <w:rFonts w:ascii="宋体" w:hAnsi="宋体"/>
          <w:color w:val="auto"/>
          <w:szCs w:val="21"/>
          <w:highlight w:val="none"/>
        </w:rPr>
        <w:t>与评标</w:t>
      </w:r>
      <w:r>
        <w:rPr>
          <w:rFonts w:hint="eastAsia" w:ascii="宋体" w:hAnsi="宋体"/>
          <w:color w:val="auto"/>
          <w:szCs w:val="21"/>
          <w:highlight w:val="none"/>
        </w:rPr>
        <w:t>、清标</w:t>
      </w:r>
      <w:r>
        <w:rPr>
          <w:rFonts w:ascii="宋体" w:hAnsi="宋体"/>
          <w:color w:val="auto"/>
          <w:szCs w:val="21"/>
          <w:highlight w:val="none"/>
        </w:rPr>
        <w:t>和定标活动有关的工作人员不得收受他人的财物或者其他好处，不得向他人透漏对投标文件的评审和比较、定标候选人的推荐情况、</w:t>
      </w:r>
      <w:r>
        <w:rPr>
          <w:rFonts w:hint="eastAsia" w:cs="宋体"/>
          <w:color w:val="auto"/>
          <w:kern w:val="1"/>
          <w:szCs w:val="21"/>
          <w:highlight w:val="none"/>
        </w:rPr>
        <w:t>清标定标情况以及有关的其他情况</w:t>
      </w:r>
      <w:r>
        <w:rPr>
          <w:rFonts w:ascii="宋体" w:hAnsi="宋体"/>
          <w:color w:val="auto"/>
          <w:szCs w:val="21"/>
          <w:highlight w:val="none"/>
        </w:rPr>
        <w:t>。在评标、</w:t>
      </w:r>
      <w:r>
        <w:rPr>
          <w:rFonts w:hint="eastAsia" w:ascii="宋体" w:hAnsi="宋体"/>
          <w:color w:val="auto"/>
          <w:szCs w:val="21"/>
          <w:highlight w:val="none"/>
        </w:rPr>
        <w:t>清标、</w:t>
      </w:r>
      <w:r>
        <w:rPr>
          <w:rFonts w:ascii="宋体" w:hAnsi="宋体"/>
          <w:color w:val="auto"/>
          <w:szCs w:val="21"/>
          <w:highlight w:val="none"/>
        </w:rPr>
        <w:t>定标活动中，与评标、</w:t>
      </w:r>
      <w:r>
        <w:rPr>
          <w:rFonts w:hint="eastAsia" w:ascii="宋体" w:hAnsi="宋体"/>
          <w:color w:val="auto"/>
          <w:szCs w:val="21"/>
          <w:highlight w:val="none"/>
        </w:rPr>
        <w:t>清标、</w:t>
      </w:r>
      <w:r>
        <w:rPr>
          <w:rFonts w:ascii="宋体" w:hAnsi="宋体"/>
          <w:color w:val="auto"/>
          <w:szCs w:val="21"/>
          <w:highlight w:val="none"/>
        </w:rPr>
        <w:t>定标活动有关的工作人员不得擅离职守，影响</w:t>
      </w:r>
      <w:r>
        <w:rPr>
          <w:rFonts w:hint="eastAsia" w:ascii="宋体" w:hAnsi="宋体"/>
          <w:color w:val="auto"/>
          <w:szCs w:val="21"/>
          <w:highlight w:val="none"/>
        </w:rPr>
        <w:t>有关</w:t>
      </w:r>
      <w:r>
        <w:rPr>
          <w:rFonts w:ascii="宋体" w:hAnsi="宋体"/>
          <w:color w:val="auto"/>
          <w:szCs w:val="21"/>
          <w:highlight w:val="none"/>
        </w:rPr>
        <w:t>程序正常进行。</w:t>
      </w:r>
    </w:p>
    <w:p w14:paraId="1339FE0A">
      <w:pPr>
        <w:pStyle w:val="4"/>
        <w:spacing w:before="0" w:after="0" w:line="360" w:lineRule="auto"/>
        <w:rPr>
          <w:rFonts w:ascii="宋体" w:hAnsi="宋体"/>
          <w:color w:val="auto"/>
          <w:sz w:val="28"/>
          <w:szCs w:val="28"/>
          <w:highlight w:val="none"/>
        </w:rPr>
      </w:pPr>
      <w:bookmarkStart w:id="901" w:name="_Toc419724326"/>
      <w:bookmarkStart w:id="902" w:name="_Toc29698"/>
      <w:bookmarkStart w:id="903" w:name="_Toc486685937"/>
      <w:bookmarkStart w:id="904" w:name="_Toc382997980"/>
      <w:bookmarkStart w:id="905" w:name="_Toc419825044"/>
      <w:bookmarkStart w:id="906" w:name="_Toc383006506"/>
      <w:bookmarkStart w:id="907" w:name="_Toc32492"/>
      <w:bookmarkStart w:id="908" w:name="_Toc383013033"/>
      <w:bookmarkStart w:id="909" w:name="_Toc382997702"/>
      <w:bookmarkStart w:id="910" w:name="_Toc488492870"/>
      <w:bookmarkStart w:id="911" w:name="_Toc419825393"/>
      <w:bookmarkStart w:id="912" w:name="_Toc490832328"/>
      <w:bookmarkStart w:id="913" w:name="_Toc488483640"/>
      <w:bookmarkStart w:id="914" w:name="_Toc487653217"/>
      <w:bookmarkStart w:id="915" w:name="_Toc234382642"/>
      <w:bookmarkStart w:id="916" w:name="_Toc463799049"/>
      <w:bookmarkStart w:id="917" w:name="_Toc419729393"/>
      <w:bookmarkStart w:id="918" w:name="_Toc383512727"/>
      <w:r>
        <w:rPr>
          <w:rFonts w:ascii="宋体" w:hAnsi="宋体"/>
          <w:color w:val="auto"/>
          <w:sz w:val="28"/>
          <w:szCs w:val="28"/>
          <w:highlight w:val="none"/>
        </w:rPr>
        <w:t xml:space="preserve">9.5 </w:t>
      </w:r>
      <w:r>
        <w:rPr>
          <w:rFonts w:ascii="宋体" w:hAnsi="宋体"/>
          <w:color w:val="auto"/>
          <w:sz w:val="28"/>
          <w:szCs w:val="28"/>
          <w:highlight w:val="none"/>
          <w:lang w:val="zh-CN"/>
        </w:rPr>
        <w:t>异议、投诉与处理</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7F0C9FDA">
      <w:pPr>
        <w:spacing w:line="360" w:lineRule="auto"/>
        <w:ind w:firstLine="420" w:firstLineChars="200"/>
        <w:rPr>
          <w:rFonts w:ascii="宋体" w:hAnsi="宋体"/>
          <w:color w:val="auto"/>
          <w:szCs w:val="21"/>
          <w:highlight w:val="none"/>
        </w:rPr>
      </w:pPr>
      <w:bookmarkStart w:id="919" w:name="_Toc234382643"/>
      <w:r>
        <w:rPr>
          <w:rFonts w:hint="eastAsia" w:ascii="宋体" w:hAnsi="宋体"/>
          <w:color w:val="auto"/>
          <w:szCs w:val="21"/>
          <w:highlight w:val="none"/>
        </w:rPr>
        <w:t>9.5.1异议处理</w:t>
      </w:r>
    </w:p>
    <w:p w14:paraId="4EC715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（1）投标人对开标有异议的，应当使用本单位的CA证书当场通过电子交易平台在线提出；招标人应当通过电子交易平台当场作出答复。电子交易平台应当记录并保存异议的提出和答复情况。</w:t>
      </w:r>
    </w:p>
    <w:p w14:paraId="23DD2D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（2）潜在投标人对招标文件</w:t>
      </w:r>
      <w:r>
        <w:rPr>
          <w:rFonts w:hint="eastAsia" w:ascii="宋体" w:hAnsi="宋体"/>
          <w:color w:val="auto"/>
          <w:szCs w:val="21"/>
          <w:highlight w:val="none"/>
          <w:lang w:val="en-US" w:eastAsia="zh-CN"/>
        </w:rPr>
        <w:t>有</w:t>
      </w:r>
      <w:r>
        <w:rPr>
          <w:rFonts w:hint="eastAsia" w:ascii="宋体" w:hAnsi="宋体"/>
          <w:color w:val="auto"/>
          <w:szCs w:val="21"/>
          <w:highlight w:val="none"/>
        </w:rPr>
        <w:t>异议的，应当在规定的期限内（对招标文件的异议期限为在投标截止时间10天前</w:t>
      </w:r>
      <w:r>
        <w:rPr>
          <w:rFonts w:hint="eastAsia" w:ascii="宋体" w:hAnsi="宋体"/>
          <w:color w:val="auto"/>
          <w:szCs w:val="21"/>
          <w:highlight w:val="none"/>
          <w:lang w:eastAsia="zh-CN"/>
        </w:rPr>
        <w:t>）</w:t>
      </w:r>
      <w:r>
        <w:rPr>
          <w:rFonts w:hint="eastAsia" w:ascii="宋体" w:hAnsi="宋体"/>
          <w:color w:val="auto"/>
          <w:szCs w:val="21"/>
          <w:highlight w:val="none"/>
        </w:rPr>
        <w:t>通过</w:t>
      </w:r>
      <w:r>
        <w:rPr>
          <w:rFonts w:hint="eastAsia" w:ascii="宋体" w:hAnsi="宋体"/>
          <w:color w:val="auto"/>
          <w:szCs w:val="21"/>
          <w:highlight w:val="none"/>
          <w:lang w:val="en-US" w:eastAsia="zh-CN"/>
        </w:rPr>
        <w:t>公共资源</w:t>
      </w:r>
      <w:r>
        <w:rPr>
          <w:rFonts w:hint="eastAsia" w:ascii="宋体" w:hAnsi="宋体"/>
          <w:color w:val="auto"/>
          <w:szCs w:val="21"/>
          <w:highlight w:val="none"/>
        </w:rPr>
        <w:t>电子交易平台向招标人提出</w:t>
      </w:r>
      <w:r>
        <w:rPr>
          <w:rFonts w:hint="eastAsia" w:ascii="宋体" w:hAnsi="宋体"/>
          <w:color w:val="auto"/>
          <w:szCs w:val="21"/>
          <w:highlight w:val="none"/>
          <w:lang w:eastAsia="zh-CN"/>
        </w:rPr>
        <w:t>。</w:t>
      </w:r>
      <w:r>
        <w:rPr>
          <w:rFonts w:hint="eastAsia" w:ascii="宋体" w:hAnsi="宋体"/>
          <w:color w:val="auto"/>
          <w:szCs w:val="21"/>
          <w:highlight w:val="none"/>
        </w:rPr>
        <w:t>投标人及其他利害关系人</w:t>
      </w:r>
      <w:r>
        <w:rPr>
          <w:rFonts w:hint="eastAsia" w:ascii="宋体" w:hAnsi="宋体"/>
          <w:color w:val="auto"/>
          <w:szCs w:val="21"/>
          <w:highlight w:val="none"/>
          <w:lang w:val="en-US" w:eastAsia="zh-CN"/>
        </w:rPr>
        <w:t>对</w:t>
      </w:r>
      <w:r>
        <w:rPr>
          <w:rFonts w:hint="eastAsia" w:ascii="宋体" w:hAnsi="宋体"/>
          <w:color w:val="auto"/>
          <w:szCs w:val="21"/>
          <w:highlight w:val="none"/>
        </w:rPr>
        <w:t>评标结果</w:t>
      </w:r>
      <w:r>
        <w:rPr>
          <w:rFonts w:hint="eastAsia" w:cs="宋体"/>
          <w:color w:val="auto"/>
          <w:szCs w:val="21"/>
          <w:highlight w:val="none"/>
        </w:rPr>
        <w:t>或定标结果</w:t>
      </w:r>
      <w:r>
        <w:rPr>
          <w:rFonts w:hint="eastAsia" w:ascii="宋体" w:hAnsi="宋体"/>
          <w:color w:val="auto"/>
          <w:szCs w:val="21"/>
          <w:highlight w:val="none"/>
        </w:rPr>
        <w:t>有异议的，应当在规定的期限内（对评标结果</w:t>
      </w:r>
      <w:r>
        <w:rPr>
          <w:rFonts w:hint="eastAsia" w:cs="宋体"/>
          <w:color w:val="auto"/>
          <w:szCs w:val="21"/>
          <w:highlight w:val="none"/>
        </w:rPr>
        <w:t>或定标结果</w:t>
      </w:r>
      <w:r>
        <w:rPr>
          <w:rFonts w:hint="eastAsia" w:ascii="宋体" w:hAnsi="宋体"/>
          <w:color w:val="auto"/>
          <w:szCs w:val="21"/>
          <w:highlight w:val="none"/>
        </w:rPr>
        <w:t>的异议期限为中标候选人公示期内）通过</w:t>
      </w:r>
      <w:r>
        <w:rPr>
          <w:rFonts w:hint="eastAsia" w:ascii="宋体" w:hAnsi="宋体"/>
          <w:color w:val="auto"/>
          <w:szCs w:val="21"/>
          <w:highlight w:val="none"/>
          <w:lang w:val="en-US" w:eastAsia="zh-CN"/>
        </w:rPr>
        <w:t>公共资源</w:t>
      </w:r>
      <w:r>
        <w:rPr>
          <w:rFonts w:hint="eastAsia" w:ascii="宋体" w:hAnsi="宋体"/>
          <w:color w:val="auto"/>
          <w:szCs w:val="21"/>
          <w:highlight w:val="none"/>
        </w:rPr>
        <w:t xml:space="preserve">电子交易平台向招标人提出。     </w:t>
      </w:r>
    </w:p>
    <w:p w14:paraId="60069D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异议应当包括下列内容：</w:t>
      </w:r>
    </w:p>
    <w:p w14:paraId="5279FB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（一）异议人的名称、地址及有效联系方式；</w:t>
      </w:r>
    </w:p>
    <w:p w14:paraId="52F2AD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（二）被异议人的名称（仅适用于对评标结果</w:t>
      </w:r>
      <w:r>
        <w:rPr>
          <w:rFonts w:hint="eastAsia" w:cs="宋体"/>
          <w:color w:val="auto"/>
          <w:szCs w:val="21"/>
          <w:highlight w:val="none"/>
        </w:rPr>
        <w:t>或定标结果</w:t>
      </w:r>
      <w:r>
        <w:rPr>
          <w:rFonts w:hint="eastAsia" w:ascii="宋体" w:hAnsi="宋体"/>
          <w:color w:val="auto"/>
          <w:szCs w:val="21"/>
          <w:highlight w:val="none"/>
        </w:rPr>
        <w:t>的异议）；</w:t>
      </w:r>
    </w:p>
    <w:p w14:paraId="38328C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（三）异议事项的基本事实；</w:t>
      </w:r>
    </w:p>
    <w:p w14:paraId="5D18E6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（四）相关请求及主张；</w:t>
      </w:r>
    </w:p>
    <w:p w14:paraId="0B85E0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（五）有效线索和相关证明材料。 </w:t>
      </w:r>
    </w:p>
    <w:p w14:paraId="020907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14:paraId="2596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招标人收到对招标文件或评标结果或定标结果的异议后，应当在3日内作出是否受理的决定，逾期未作出不予受理决定的，自收到异议之日起即视为受理。有下列情形之一的异议，不予受理，并向异议人发出不予受理告知书：</w:t>
      </w:r>
    </w:p>
    <w:p w14:paraId="430D85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（一）对评标结果有异议</w:t>
      </w:r>
      <w:r>
        <w:rPr>
          <w:rFonts w:hint="eastAsia" w:cs="宋体"/>
          <w:color w:val="auto"/>
          <w:szCs w:val="21"/>
          <w:highlight w:val="none"/>
        </w:rPr>
        <w:t>或定标结果</w:t>
      </w:r>
      <w:r>
        <w:rPr>
          <w:rFonts w:hint="eastAsia" w:ascii="宋体" w:hAnsi="宋体"/>
          <w:color w:val="auto"/>
          <w:szCs w:val="21"/>
          <w:highlight w:val="none"/>
        </w:rPr>
        <w:t>的异议人不是本项目的参与者，或者与本项目无任何利害关系；</w:t>
      </w:r>
    </w:p>
    <w:p w14:paraId="43A1899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（二）异议事项不具体，且未提供有效线索，难以查证的； </w:t>
      </w:r>
    </w:p>
    <w:p w14:paraId="1127566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（三）异议未署具异议人真实姓名、签字和有效联系方式的；以法人名义提出异议的，异议未经法定代表人签字并加盖公章的；</w:t>
      </w:r>
    </w:p>
    <w:p w14:paraId="3404FB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（四）超过异议时效的。</w:t>
      </w:r>
    </w:p>
    <w:p w14:paraId="66CC94C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招标人对招标文件或评标结果</w:t>
      </w:r>
      <w:r>
        <w:rPr>
          <w:rFonts w:hint="eastAsia" w:cs="宋体"/>
          <w:color w:val="auto"/>
          <w:szCs w:val="21"/>
          <w:highlight w:val="none"/>
        </w:rPr>
        <w:t>或定标结果</w:t>
      </w:r>
      <w:r>
        <w:rPr>
          <w:rFonts w:hint="eastAsia" w:ascii="宋体" w:hAnsi="宋体"/>
          <w:color w:val="auto"/>
          <w:szCs w:val="21"/>
          <w:highlight w:val="none"/>
        </w:rPr>
        <w:t>异议的处理结果，应当通过电子交易平台作出答复并向社会公开，同时通过省行政监督平台向监督机关备案。在作出答复前应当暂停下一阶段招投标活动。</w:t>
      </w:r>
    </w:p>
    <w:p w14:paraId="6A075F2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9.5.2投诉处理</w:t>
      </w:r>
    </w:p>
    <w:p w14:paraId="5DC2425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根据中华人民共和国国务院令第613号《中华人民共和国招标投标法实施条例》、国家发改委、交通运输部等8部委（局）《关于工程建设项目招标投标活动投诉处理办法（2013年修正）》以及《福建省交通运输厅关于规范公路水运工程招投标线上投诉有关事项的通知》（闽交建函〔2020〕72号）等有关规定，</w:t>
      </w:r>
      <w:bookmarkStart w:id="920" w:name="OLE_LINK1"/>
      <w:r>
        <w:rPr>
          <w:rFonts w:hint="eastAsia" w:ascii="宋体" w:hAnsi="宋体"/>
          <w:color w:val="auto"/>
          <w:szCs w:val="21"/>
          <w:highlight w:val="none"/>
        </w:rPr>
        <w:t>投标人和其他利害关系人</w:t>
      </w:r>
      <w:bookmarkEnd w:id="920"/>
      <w:r>
        <w:rPr>
          <w:rFonts w:hint="eastAsia" w:ascii="宋体" w:hAnsi="宋体"/>
          <w:color w:val="auto"/>
          <w:szCs w:val="21"/>
          <w:highlight w:val="none"/>
        </w:rPr>
        <w:t>认为招投标活动</w:t>
      </w:r>
      <w:bookmarkStart w:id="921" w:name="OLE_LINK2"/>
      <w:r>
        <w:rPr>
          <w:rFonts w:hint="eastAsia" w:ascii="宋体" w:hAnsi="宋体"/>
          <w:color w:val="auto"/>
          <w:szCs w:val="21"/>
          <w:highlight w:val="none"/>
        </w:rPr>
        <w:t>不符合法律、行政法规定的，应当先向招标人提出异议，招标人应按《中华人民共和国招标投标法实施条例》规定的时限做出答复，</w:t>
      </w:r>
      <w:bookmarkEnd w:id="921"/>
      <w:bookmarkStart w:id="922" w:name="OLE_LINK6"/>
      <w:r>
        <w:rPr>
          <w:rFonts w:hint="eastAsia" w:ascii="宋体" w:hAnsi="宋体"/>
          <w:color w:val="auto"/>
          <w:szCs w:val="21"/>
          <w:highlight w:val="none"/>
        </w:rPr>
        <w:t>异议答复</w:t>
      </w:r>
      <w:bookmarkEnd w:id="922"/>
      <w:r>
        <w:rPr>
          <w:rFonts w:hint="eastAsia" w:ascii="宋体" w:hAnsi="宋体"/>
          <w:color w:val="auto"/>
          <w:szCs w:val="21"/>
          <w:highlight w:val="none"/>
        </w:rPr>
        <w:t>不能解决的，可以向各级行政监督部门</w:t>
      </w:r>
      <w:bookmarkStart w:id="923" w:name="OLE_LINK4"/>
      <w:r>
        <w:rPr>
          <w:rFonts w:hint="eastAsia" w:ascii="宋体" w:hAnsi="宋体"/>
          <w:color w:val="auto"/>
          <w:szCs w:val="21"/>
          <w:highlight w:val="none"/>
        </w:rPr>
        <w:t>逐级</w:t>
      </w:r>
      <w:bookmarkEnd w:id="923"/>
      <w:r>
        <w:rPr>
          <w:rFonts w:hint="eastAsia" w:ascii="宋体" w:hAnsi="宋体"/>
          <w:color w:val="auto"/>
          <w:szCs w:val="21"/>
          <w:highlight w:val="none"/>
        </w:rPr>
        <w:t>投诉（应提供向招标人提出异议的证明函件）。</w:t>
      </w:r>
    </w:p>
    <w:p w14:paraId="0FDC2F5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9.5.2.1.1投诉人投诉时，应提交投诉书。投诉书应包括以下内容： </w:t>
      </w:r>
    </w:p>
    <w:p w14:paraId="04C262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（1）投诉人的名称、地址及有效联系方式； </w:t>
      </w:r>
    </w:p>
    <w:p w14:paraId="3B92164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（2）被投诉人的名称、地址及有效联系方式；</w:t>
      </w:r>
    </w:p>
    <w:p w14:paraId="335517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（3）投诉事项的基本事实；</w:t>
      </w:r>
    </w:p>
    <w:p w14:paraId="12846D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（4）相关请求及主张；</w:t>
      </w:r>
    </w:p>
    <w:p w14:paraId="54DA00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投诉人是法人的，投诉书必须由其法定代表人或者授权代表签字并盖章；其他组织或个人投诉的，投诉书必须由其主要负责人或投诉人本人签字，并附有效身份证明复印件，已向有关行政监督部门投诉的、应当一并说明情况，并附上有效线索和相关证明材料。 投诉书有关材料是外文的，投诉人应当同时提供其中文译本。</w:t>
      </w:r>
    </w:p>
    <w:p w14:paraId="7B83D7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9.5.2.1.2投诉人不得以投诉为名排挤竞争对手，不得虚假、恶意投诉、阻碍招标投标活动的正常进行。 </w:t>
      </w:r>
    </w:p>
    <w:p w14:paraId="06BA66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9.5.2.1.3投诉人认为招投标活动不符合法律、行政法规规定的，可以在知道或应当知道之日起10日内提出书面投诉。依照有关行政法规提出异议的，异议答复期不计在内。</w:t>
      </w:r>
    </w:p>
    <w:p w14:paraId="6CCD3A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9.5.2.1.4投诉人可以自己直接投诉，也可以委托代理人办理投诉事务。代理人办理投诉事务时，应将授权委托书连同投诉书一并提交投诉机构。授权委托书应当明确有关委托代理的权限和事项。 </w:t>
      </w:r>
    </w:p>
    <w:p w14:paraId="6BB539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9.5.2.1.5负责受理的投诉机构自收到投诉之日起3个工作日内决定是否受理投诉，并自受理投诉之日起30个工作日内做出书面处理决定；需要检验、检测、鉴定、专家评审的，所需时间不计算在内。投诉人缺乏事实根据或者法律依据的或者捏造事实、伪造材料或者以非法手段取得证明材料进行投诉的，负责受理的投诉机构予以驳回投诉。</w:t>
      </w:r>
      <w:r>
        <w:rPr>
          <w:rFonts w:ascii="宋体" w:hAnsi="宋体"/>
          <w:color w:val="auto"/>
          <w:szCs w:val="21"/>
          <w:highlight w:val="none"/>
        </w:rPr>
        <w:t xml:space="preserve"> </w:t>
      </w:r>
    </w:p>
    <w:p w14:paraId="583CDB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9.5.2.2投诉处理决定做出前，投诉人要求撤回投诉的，应以书面形式提出并说明理由，受理机构根据以下情况，决定是否准予撤回。</w:t>
      </w:r>
      <w:r>
        <w:rPr>
          <w:rFonts w:ascii="宋体" w:hAnsi="宋体"/>
          <w:color w:val="auto"/>
          <w:szCs w:val="21"/>
          <w:highlight w:val="none"/>
        </w:rPr>
        <w:t xml:space="preserve"> </w:t>
      </w:r>
    </w:p>
    <w:p w14:paraId="6777E3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9.5.2.2.1已经查实有明显违法行为的，应当不准撤回，并继续调查直至做出处理决定；</w:t>
      </w:r>
    </w:p>
    <w:p w14:paraId="4A0603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9.5.2.2.2撤回投诉不损害国家利益、社会公共利益或其他当事人合法权益的，准予撤回，投诉处理过程终止。投诉人不得以同一事实和理由再提出投诉。</w:t>
      </w:r>
    </w:p>
    <w:p w14:paraId="7EBB0B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本项目投诉受理程序按照《福建省交通运输厅关于进一步规范我省公路水运工程招投标、信用考核等投诉来访处理工作的通知》（闽交建[2015]15号）执行，具体招投标活动投诉受理机构为：</w:t>
      </w:r>
    </w:p>
    <w:p w14:paraId="5BF80E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受理机构：              </w:t>
      </w:r>
    </w:p>
    <w:p w14:paraId="4A9CF3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投诉电话：                          </w:t>
      </w:r>
    </w:p>
    <w:p w14:paraId="4FDDDC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地址：                 </w:t>
      </w:r>
    </w:p>
    <w:p w14:paraId="20CC01FE">
      <w:pPr>
        <w:spacing w:line="360" w:lineRule="auto"/>
        <w:ind w:firstLine="420" w:firstLineChars="200"/>
        <w:rPr>
          <w:rFonts w:ascii="宋体" w:hAnsi="宋体"/>
          <w:color w:val="auto"/>
          <w:szCs w:val="28"/>
          <w:highlight w:val="none"/>
        </w:rPr>
      </w:pPr>
      <w:r>
        <w:rPr>
          <w:rFonts w:hint="eastAsia" w:ascii="宋体" w:hAnsi="宋体"/>
          <w:color w:val="auto"/>
          <w:szCs w:val="21"/>
          <w:highlight w:val="none"/>
        </w:rPr>
        <w:t xml:space="preserve">邮编：      </w:t>
      </w:r>
      <w:r>
        <w:rPr>
          <w:rFonts w:hint="eastAsia" w:ascii="宋体" w:hAnsi="宋体"/>
          <w:b/>
          <w:bCs/>
          <w:color w:val="auto"/>
          <w:szCs w:val="21"/>
          <w:highlight w:val="none"/>
          <w:u w:val="single"/>
        </w:rPr>
        <w:t xml:space="preserve">   </w:t>
      </w:r>
      <w:bookmarkStart w:id="924" w:name="_Toc419729394"/>
      <w:bookmarkStart w:id="925" w:name="_Toc383006507"/>
      <w:bookmarkStart w:id="926" w:name="_Toc419825394"/>
      <w:bookmarkStart w:id="927" w:name="_Toc383512728"/>
      <w:bookmarkStart w:id="928" w:name="_Toc11261"/>
      <w:bookmarkStart w:id="929" w:name="_Toc490832329"/>
      <w:bookmarkStart w:id="930" w:name="_Toc419825045"/>
      <w:bookmarkStart w:id="931" w:name="_Toc383013034"/>
      <w:bookmarkStart w:id="932" w:name="_Toc419724327"/>
      <w:bookmarkStart w:id="933" w:name="_Toc31305"/>
      <w:bookmarkStart w:id="934" w:name="_Toc463799050"/>
      <w:bookmarkStart w:id="935" w:name="_Toc382997981"/>
      <w:bookmarkStart w:id="936" w:name="_Toc382997703"/>
    </w:p>
    <w:p w14:paraId="6D0F66BF">
      <w:pPr>
        <w:pStyle w:val="4"/>
        <w:spacing w:before="0" w:after="0" w:line="360" w:lineRule="auto"/>
        <w:rPr>
          <w:rFonts w:ascii="宋体" w:hAnsi="宋体"/>
          <w:color w:val="auto"/>
          <w:szCs w:val="28"/>
          <w:highlight w:val="none"/>
        </w:rPr>
      </w:pPr>
      <w:r>
        <w:rPr>
          <w:rFonts w:hint="eastAsia" w:ascii="宋体" w:hAnsi="宋体"/>
          <w:color w:val="auto"/>
          <w:szCs w:val="28"/>
          <w:highlight w:val="none"/>
        </w:rPr>
        <w:t>10.其他规定</w:t>
      </w:r>
      <w:bookmarkEnd w:id="924"/>
      <w:bookmarkEnd w:id="925"/>
      <w:bookmarkEnd w:id="926"/>
      <w:bookmarkEnd w:id="927"/>
      <w:bookmarkEnd w:id="928"/>
      <w:bookmarkEnd w:id="929"/>
      <w:bookmarkEnd w:id="930"/>
      <w:bookmarkEnd w:id="931"/>
      <w:bookmarkEnd w:id="932"/>
      <w:bookmarkEnd w:id="933"/>
      <w:bookmarkEnd w:id="934"/>
      <w:bookmarkEnd w:id="935"/>
      <w:bookmarkEnd w:id="936"/>
    </w:p>
    <w:bookmarkEnd w:id="919"/>
    <w:p w14:paraId="0C98DF97">
      <w:pPr>
        <w:wordWrap w:val="0"/>
        <w:spacing w:before="240" w:beforeLines="100" w:line="300" w:lineRule="auto"/>
        <w:ind w:firstLine="480" w:firstLineChars="200"/>
        <w:rPr>
          <w:rFonts w:hint="eastAsia"/>
          <w:color w:val="auto"/>
          <w:sz w:val="24"/>
          <w:highlight w:val="none"/>
          <w:shd w:val="clear" w:color="auto" w:fill="auto"/>
        </w:rPr>
      </w:pPr>
      <w:r>
        <w:rPr>
          <w:rFonts w:hint="eastAsia"/>
          <w:color w:val="auto"/>
          <w:sz w:val="24"/>
          <w:highlight w:val="none"/>
          <w:shd w:val="clear" w:color="auto" w:fill="auto"/>
          <w:lang w:val="en-US" w:eastAsia="zh-CN"/>
        </w:rPr>
        <w:t xml:space="preserve">10.1 </w:t>
      </w:r>
      <w:r>
        <w:rPr>
          <w:rFonts w:hint="eastAsia"/>
          <w:color w:val="auto"/>
          <w:sz w:val="24"/>
          <w:highlight w:val="none"/>
          <w:shd w:val="clear" w:color="auto" w:fill="auto"/>
        </w:rPr>
        <w:t>自招标文件发布之日起，投标人应随时关注交易系统的招标信息更新，以保证能及时下载招标文件的澄清或变更等信息。特别需要说明的是，招标人的各项通知、文件均通过网络发布，即默认为已送达投标人，若因投标人未及时上网查收等原因导致的不利后果由投标人自行承担。</w:t>
      </w:r>
    </w:p>
    <w:p w14:paraId="4174FBEE">
      <w:pPr>
        <w:tabs>
          <w:tab w:val="left" w:pos="480"/>
        </w:tabs>
        <w:adjustRightInd w:val="0"/>
        <w:snapToGrid w:val="0"/>
        <w:spacing w:before="32" w:beforeLines="10" w:after="0" w:afterLines="0" w:line="25" w:lineRule="atLeast"/>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 xml:space="preserve"> 电子招标投标要求</w:t>
      </w:r>
    </w:p>
    <w:p w14:paraId="497ABCD8">
      <w:pPr>
        <w:tabs>
          <w:tab w:val="left" w:pos="480"/>
        </w:tabs>
        <w:adjustRightInd w:val="0"/>
        <w:snapToGrid w:val="0"/>
        <w:spacing w:before="32" w:beforeLines="10" w:after="0" w:afterLines="0" w:line="25" w:lineRule="atLeast"/>
        <w:ind w:firstLine="525" w:firstLineChars="250"/>
        <w:rPr>
          <w:rFonts w:ascii="宋体" w:hAnsi="宋体"/>
          <w:snapToGrid w:val="0"/>
          <w:color w:val="auto"/>
          <w:kern w:val="0"/>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.1投标人应仔细阅读厦门市建设工程电子招投标交易平台有关的系统操作手册和使用说明（相关手册和使用说明在厦门市公共资源交易网http://zyjy.as.xm.gov.cn/中的“办事服务- “下载中心”下载，并关注更新信息）以及招标文件中电子招投标的相关条款，并根据操作手册、使用说明和招标文件电子招投标的相关条款完成投标文件的编制、加密、递交、自行解密工作。</w:t>
      </w:r>
    </w:p>
    <w:p w14:paraId="2088B0DF">
      <w:pPr>
        <w:tabs>
          <w:tab w:val="left" w:pos="480"/>
        </w:tabs>
        <w:adjustRightInd w:val="0"/>
        <w:snapToGrid w:val="0"/>
        <w:spacing w:before="32" w:beforeLines="10" w:afterLines="0" w:line="25" w:lineRule="atLeast"/>
        <w:ind w:firstLine="525" w:firstLineChars="250"/>
        <w:rPr>
          <w:rFonts w:hint="eastAsia" w:ascii="宋体" w:hAnsi="宋体"/>
          <w:color w:val="auto"/>
          <w:szCs w:val="21"/>
          <w:highlight w:val="none"/>
        </w:rPr>
      </w:pPr>
      <w:r>
        <w:rPr>
          <w:rFonts w:hint="eastAsia" w:ascii="宋体" w:hAnsi="宋体"/>
          <w:snapToGrid w:val="0"/>
          <w:color w:val="auto"/>
          <w:kern w:val="0"/>
          <w:szCs w:val="21"/>
          <w:highlight w:val="none"/>
        </w:rPr>
        <w:t>10.</w:t>
      </w:r>
      <w:r>
        <w:rPr>
          <w:rFonts w:hint="eastAsia" w:ascii="宋体" w:hAnsi="宋体"/>
          <w:snapToGrid w:val="0"/>
          <w:color w:val="auto"/>
          <w:kern w:val="0"/>
          <w:szCs w:val="21"/>
          <w:highlight w:val="none"/>
          <w:lang w:val="en-US" w:eastAsia="zh-CN"/>
        </w:rPr>
        <w:t>2</w:t>
      </w:r>
      <w:r>
        <w:rPr>
          <w:rFonts w:hint="eastAsia" w:ascii="宋体" w:hAnsi="宋体"/>
          <w:snapToGrid w:val="0"/>
          <w:color w:val="auto"/>
          <w:kern w:val="0"/>
          <w:szCs w:val="21"/>
          <w:highlight w:val="none"/>
        </w:rPr>
        <w:t>.2在开标、评标、清标或定标工作开始后，因停电、网络故障、电子设备或者电子评标系统故障导致无法继续进行开标、评标、清标或定标工作时，故障可在短时间内解除的（不超过4小时），招标人可以暂停开标、评标、清标或定标工作，待故障解除后继续相应工作；故障无法在短时间内解除的（超过4小时），招标人应当终止开标、评标、清标或定标工作，并配合公共资源交易场所、电子交易平台做好招投标资料的封存和保密工作，待故障解除后再重新进行开标、重新组建评标委员会进行评标或重新进行清标、定标工作。</w:t>
      </w:r>
    </w:p>
    <w:p w14:paraId="346BF8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10.3</w:t>
      </w:r>
      <w:r>
        <w:rPr>
          <w:rFonts w:hint="eastAsia" w:ascii="宋体" w:hAnsi="宋体"/>
          <w:color w:val="auto"/>
          <w:szCs w:val="21"/>
          <w:highlight w:val="none"/>
        </w:rPr>
        <w:t>需要补充的其他内容：见投标人须知前附表。</w:t>
      </w:r>
    </w:p>
    <w:p w14:paraId="7414C1E6">
      <w:pPr>
        <w:spacing w:line="360" w:lineRule="auto"/>
        <w:ind w:firstLine="420" w:firstLineChars="200"/>
        <w:rPr>
          <w:rFonts w:ascii="宋体" w:hAnsi="宋体"/>
          <w:color w:val="auto"/>
          <w:szCs w:val="21"/>
          <w:highlight w:val="none"/>
        </w:rPr>
      </w:pPr>
    </w:p>
    <w:p w14:paraId="0A7D6F5F">
      <w:pPr>
        <w:pStyle w:val="4"/>
        <w:rPr>
          <w:color w:val="auto"/>
          <w:highlight w:val="none"/>
        </w:rPr>
        <w:sectPr>
          <w:pgSz w:w="11906" w:h="16838"/>
          <w:pgMar w:top="1440" w:right="1418" w:bottom="1440" w:left="1418" w:header="851" w:footer="992" w:gutter="0"/>
          <w:cols w:space="720" w:num="1"/>
          <w:docGrid w:type="lines" w:linePitch="312" w:charSpace="0"/>
        </w:sectPr>
      </w:pPr>
      <w:bookmarkStart w:id="937" w:name="_Toc184635081"/>
      <w:bookmarkStart w:id="938" w:name="_Toc31414"/>
      <w:bookmarkStart w:id="939" w:name="_Toc11432"/>
      <w:bookmarkStart w:id="940" w:name="_Toc383006508"/>
      <w:bookmarkStart w:id="941" w:name="_Toc382997704"/>
      <w:bookmarkStart w:id="942" w:name="_Toc382997982"/>
    </w:p>
    <w:bookmarkEnd w:id="937"/>
    <w:bookmarkEnd w:id="938"/>
    <w:p w14:paraId="6D1C1DB0">
      <w:pPr>
        <w:wordWrap w:val="0"/>
        <w:spacing w:line="400" w:lineRule="exact"/>
        <w:jc w:val="center"/>
        <w:rPr>
          <w:rFonts w:eastAsia="黑体"/>
          <w:color w:val="auto"/>
          <w:sz w:val="28"/>
          <w:szCs w:val="28"/>
          <w:highlight w:val="none"/>
        </w:rPr>
      </w:pPr>
      <w:bookmarkStart w:id="943" w:name="_Toc184635082"/>
      <w:bookmarkStart w:id="944" w:name="_Toc3412"/>
      <w:r>
        <w:rPr>
          <w:rFonts w:hint="eastAsia" w:eastAsia="黑体"/>
          <w:color w:val="auto"/>
          <w:spacing w:val="-10"/>
          <w:sz w:val="28"/>
          <w:szCs w:val="28"/>
          <w:highlight w:val="none"/>
          <w:u w:val="single"/>
        </w:rPr>
        <w:t xml:space="preserve">         </w:t>
      </w:r>
      <w:bookmarkStart w:id="945" w:name="_Toc13567"/>
      <w:r>
        <w:rPr>
          <w:rFonts w:hint="eastAsia" w:eastAsia="黑体"/>
          <w:color w:val="auto"/>
          <w:spacing w:val="-10"/>
          <w:sz w:val="28"/>
          <w:szCs w:val="28"/>
          <w:highlight w:val="none"/>
        </w:rPr>
        <w:t>（项目名称）    标段施工</w:t>
      </w:r>
      <w:r>
        <w:rPr>
          <w:rFonts w:hint="eastAsia" w:eastAsia="黑体"/>
          <w:color w:val="auto"/>
          <w:sz w:val="28"/>
          <w:szCs w:val="28"/>
          <w:highlight w:val="none"/>
        </w:rPr>
        <w:t>开标记录表</w:t>
      </w:r>
      <w:bookmarkEnd w:id="945"/>
    </w:p>
    <w:p w14:paraId="17BDE1F9">
      <w:pPr>
        <w:wordWrap w:val="0"/>
        <w:spacing w:line="400" w:lineRule="exact"/>
        <w:jc w:val="right"/>
        <w:rPr>
          <w:color w:val="auto"/>
          <w:highlight w:val="none"/>
        </w:rPr>
      </w:pPr>
      <w:r>
        <w:rPr>
          <w:rFonts w:hint="eastAsia"/>
          <w:color w:val="auto"/>
          <w:highlight w:val="none"/>
        </w:rPr>
        <w:t xml:space="preserve"> 开标时间：</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r>
        <w:rPr>
          <w:rFonts w:hint="eastAsia"/>
          <w:color w:val="auto"/>
          <w:highlight w:val="none"/>
          <w:u w:val="single"/>
        </w:rPr>
        <w:t xml:space="preserve">   </w:t>
      </w:r>
      <w:r>
        <w:rPr>
          <w:rFonts w:hint="eastAsia"/>
          <w:color w:val="auto"/>
          <w:highlight w:val="none"/>
        </w:rPr>
        <w:t>时</w:t>
      </w:r>
      <w:r>
        <w:rPr>
          <w:rFonts w:hint="eastAsia"/>
          <w:color w:val="auto"/>
          <w:highlight w:val="none"/>
          <w:u w:val="single"/>
        </w:rPr>
        <w:t xml:space="preserve">    </w:t>
      </w:r>
      <w:r>
        <w:rPr>
          <w:rFonts w:hint="eastAsia"/>
          <w:color w:val="auto"/>
          <w:highlight w:val="none"/>
        </w:rPr>
        <w:t>分</w:t>
      </w:r>
    </w:p>
    <w:tbl>
      <w:tblPr>
        <w:tblStyle w:val="39"/>
        <w:tblpPr w:leftFromText="180" w:rightFromText="180" w:vertAnchor="text" w:horzAnchor="page" w:tblpXSpec="center" w:tblpY="456"/>
        <w:tblOverlap w:val="never"/>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70"/>
        <w:gridCol w:w="1533"/>
        <w:gridCol w:w="1058"/>
        <w:gridCol w:w="1024"/>
        <w:gridCol w:w="712"/>
        <w:gridCol w:w="712"/>
        <w:gridCol w:w="723"/>
        <w:gridCol w:w="1152"/>
        <w:gridCol w:w="1152"/>
        <w:gridCol w:w="1161"/>
        <w:gridCol w:w="976"/>
        <w:gridCol w:w="967"/>
        <w:gridCol w:w="664"/>
        <w:gridCol w:w="962"/>
        <w:gridCol w:w="454"/>
        <w:gridCol w:w="445"/>
      </w:tblGrid>
      <w:tr w14:paraId="7EC69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166" w:type="pct"/>
            <w:vMerge w:val="restart"/>
            <w:vAlign w:val="center"/>
          </w:tcPr>
          <w:p w14:paraId="0A2CA5E9">
            <w:pPr>
              <w:wordWrap w:val="0"/>
              <w:adjustRightInd w:val="0"/>
              <w:spacing w:line="0" w:lineRule="atLeast"/>
              <w:jc w:val="center"/>
              <w:textAlignment w:val="baseline"/>
              <w:rPr>
                <w:rFonts w:ascii="宋体" w:hAnsi="宋体" w:cs="宋体"/>
                <w:color w:val="auto"/>
                <w:szCs w:val="21"/>
                <w:highlight w:val="none"/>
              </w:rPr>
            </w:pPr>
            <w:bookmarkStart w:id="946" w:name="_Toc261381671"/>
            <w:r>
              <w:rPr>
                <w:rFonts w:hint="eastAsia" w:ascii="宋体" w:hAnsi="宋体" w:cs="宋体"/>
                <w:color w:val="auto"/>
                <w:szCs w:val="21"/>
                <w:highlight w:val="none"/>
              </w:rPr>
              <w:t>序号</w:t>
            </w:r>
          </w:p>
        </w:tc>
        <w:tc>
          <w:tcPr>
            <w:tcW w:w="541" w:type="pct"/>
            <w:vMerge w:val="restart"/>
            <w:vAlign w:val="center"/>
          </w:tcPr>
          <w:p w14:paraId="3BF86317">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投标人名称</w:t>
            </w:r>
          </w:p>
        </w:tc>
        <w:tc>
          <w:tcPr>
            <w:tcW w:w="373" w:type="pct"/>
            <w:vMerge w:val="restart"/>
            <w:vAlign w:val="center"/>
          </w:tcPr>
          <w:p w14:paraId="0C2352DA">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投标保证金（元）</w:t>
            </w:r>
          </w:p>
        </w:tc>
        <w:tc>
          <w:tcPr>
            <w:tcW w:w="361" w:type="pct"/>
            <w:vMerge w:val="restart"/>
            <w:vAlign w:val="center"/>
          </w:tcPr>
          <w:p w14:paraId="370E1B3F">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投标报价（元）</w:t>
            </w:r>
          </w:p>
        </w:tc>
        <w:tc>
          <w:tcPr>
            <w:tcW w:w="251" w:type="pct"/>
            <w:vMerge w:val="restart"/>
            <w:vAlign w:val="center"/>
          </w:tcPr>
          <w:p w14:paraId="1FB41492">
            <w:pPr>
              <w:wordWrap w:val="0"/>
              <w:adjustRightInd w:val="0"/>
              <w:spacing w:line="0" w:lineRule="atLeast"/>
              <w:jc w:val="center"/>
              <w:textAlignment w:val="baseline"/>
              <w:rPr>
                <w:rFonts w:hint="eastAsia" w:ascii="宋体" w:hAnsi="宋体" w:cs="宋体"/>
                <w:color w:val="auto"/>
                <w:szCs w:val="21"/>
                <w:highlight w:val="none"/>
              </w:rPr>
            </w:pPr>
            <w:r>
              <w:rPr>
                <w:rFonts w:hint="eastAsia" w:ascii="宋体" w:hAnsi="宋体" w:cs="宋体"/>
                <w:color w:val="auto"/>
                <w:sz w:val="18"/>
                <w:szCs w:val="18"/>
                <w:highlight w:val="none"/>
                <w:lang w:val="en-US" w:eastAsia="zh-CN"/>
              </w:rPr>
              <w:t>是否超过最高投标限价</w:t>
            </w:r>
          </w:p>
        </w:tc>
        <w:tc>
          <w:tcPr>
            <w:tcW w:w="251" w:type="pct"/>
            <w:vMerge w:val="restart"/>
            <w:vAlign w:val="center"/>
          </w:tcPr>
          <w:p w14:paraId="6E3284B2">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质量目标</w:t>
            </w:r>
          </w:p>
        </w:tc>
        <w:tc>
          <w:tcPr>
            <w:tcW w:w="255" w:type="pct"/>
            <w:vMerge w:val="restart"/>
            <w:vAlign w:val="center"/>
          </w:tcPr>
          <w:p w14:paraId="424DA753">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工期</w:t>
            </w:r>
          </w:p>
        </w:tc>
        <w:tc>
          <w:tcPr>
            <w:tcW w:w="406" w:type="pct"/>
            <w:vMerge w:val="restart"/>
            <w:vAlign w:val="center"/>
          </w:tcPr>
          <w:p w14:paraId="728FC97E">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项目经理姓名、证书及编号</w:t>
            </w:r>
          </w:p>
        </w:tc>
        <w:tc>
          <w:tcPr>
            <w:tcW w:w="406" w:type="pct"/>
            <w:vMerge w:val="restart"/>
            <w:vAlign w:val="center"/>
          </w:tcPr>
          <w:p w14:paraId="7D1A09A5">
            <w:pPr>
              <w:wordWrap w:val="0"/>
              <w:adjustRightInd w:val="0"/>
              <w:spacing w:line="0" w:lineRule="atLeast"/>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技术负责人、证书及编号</w:t>
            </w:r>
          </w:p>
        </w:tc>
        <w:tc>
          <w:tcPr>
            <w:tcW w:w="409" w:type="pct"/>
            <w:vMerge w:val="restart"/>
            <w:vAlign w:val="center"/>
          </w:tcPr>
          <w:p w14:paraId="39A1440D">
            <w:pPr>
              <w:rPr>
                <w:color w:val="auto"/>
                <w:highlight w:val="none"/>
              </w:rPr>
            </w:pPr>
            <w:r>
              <w:rPr>
                <w:rFonts w:hint="eastAsia" w:ascii="宋体" w:hAnsi="宋体" w:cs="宋体"/>
                <w:color w:val="auto"/>
                <w:kern w:val="0"/>
                <w:szCs w:val="21"/>
                <w:highlight w:val="none"/>
                <w:lang w:bidi="ar"/>
              </w:rPr>
              <w:t>厦门市住房和建设局建设市场信用监管系统信用评价结果</w:t>
            </w:r>
          </w:p>
          <w:p w14:paraId="77283378">
            <w:pPr>
              <w:widowControl/>
              <w:jc w:val="left"/>
              <w:rPr>
                <w:rFonts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cs="宋体"/>
                <w:color w:val="auto"/>
                <w:szCs w:val="21"/>
                <w:highlight w:val="none"/>
                <w:u w:val="single" w:color="000000"/>
              </w:rPr>
              <w:t xml:space="preserve">     </w:t>
            </w:r>
            <w:r>
              <w:rPr>
                <w:rFonts w:hint="eastAsia" w:cs="宋体"/>
                <w:color w:val="auto"/>
                <w:szCs w:val="21"/>
                <w:highlight w:val="none"/>
              </w:rPr>
              <w:t>年第</w:t>
            </w:r>
            <w:r>
              <w:rPr>
                <w:rFonts w:hint="eastAsia" w:cs="宋体"/>
                <w:color w:val="auto"/>
                <w:szCs w:val="21"/>
                <w:highlight w:val="none"/>
                <w:u w:val="single"/>
              </w:rPr>
              <w:t xml:space="preserve">   </w:t>
            </w:r>
            <w:r>
              <w:rPr>
                <w:rFonts w:hint="eastAsia" w:cs="宋体"/>
                <w:color w:val="auto"/>
                <w:szCs w:val="21"/>
                <w:highlight w:val="none"/>
              </w:rPr>
              <w:t>季度</w:t>
            </w:r>
            <w:r>
              <w:rPr>
                <w:rFonts w:hint="eastAsia" w:ascii="宋体" w:hAnsi="宋体" w:cs="宋体"/>
                <w:color w:val="auto"/>
                <w:kern w:val="0"/>
                <w:szCs w:val="21"/>
                <w:highlight w:val="none"/>
                <w:lang w:bidi="ar"/>
              </w:rPr>
              <w:t>）</w:t>
            </w:r>
          </w:p>
          <w:p w14:paraId="72839471">
            <w:pPr>
              <w:wordWrap w:val="0"/>
              <w:adjustRightInd w:val="0"/>
              <w:spacing w:line="0" w:lineRule="atLeast"/>
              <w:jc w:val="center"/>
              <w:textAlignment w:val="baseline"/>
              <w:rPr>
                <w:rFonts w:ascii="宋体" w:hAnsi="宋体" w:cs="宋体"/>
                <w:color w:val="auto"/>
                <w:szCs w:val="21"/>
                <w:highlight w:val="none"/>
              </w:rPr>
            </w:pPr>
          </w:p>
        </w:tc>
        <w:tc>
          <w:tcPr>
            <w:tcW w:w="344" w:type="pct"/>
            <w:vMerge w:val="restart"/>
            <w:vAlign w:val="center"/>
          </w:tcPr>
          <w:p w14:paraId="37768ECF">
            <w:pPr>
              <w:pStyle w:val="49"/>
              <w:rPr>
                <w:color w:val="auto"/>
                <w:highlight w:val="none"/>
              </w:rPr>
            </w:pPr>
            <w:r>
              <w:rPr>
                <w:rFonts w:hint="eastAsia" w:ascii="宋体" w:hAnsi="宋体" w:eastAsia="宋体" w:cs="宋体"/>
                <w:color w:val="auto"/>
                <w:kern w:val="0"/>
                <w:szCs w:val="21"/>
                <w:highlight w:val="none"/>
                <w:lang w:val="en-US" w:eastAsia="zh-CN" w:bidi="ar"/>
              </w:rPr>
              <w:t>最近期的福建省交通建设市场信用考核评价等级</w:t>
            </w:r>
          </w:p>
        </w:tc>
        <w:tc>
          <w:tcPr>
            <w:tcW w:w="1074" w:type="pct"/>
            <w:gridSpan w:val="4"/>
            <w:tcBorders>
              <w:bottom w:val="single" w:color="auto" w:sz="4" w:space="0"/>
            </w:tcBorders>
            <w:vAlign w:val="center"/>
          </w:tcPr>
          <w:p w14:paraId="4330C72E">
            <w:pPr>
              <w:wordWrap w:val="0"/>
              <w:adjustRightInd w:val="0"/>
              <w:spacing w:before="156" w:beforeLines="50" w:line="300"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递交投标文件电脑</w:t>
            </w:r>
          </w:p>
          <w:p w14:paraId="756E554D">
            <w:pPr>
              <w:wordWrap w:val="0"/>
              <w:adjustRightIn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的硬件信息</w:t>
            </w:r>
          </w:p>
        </w:tc>
        <w:tc>
          <w:tcPr>
            <w:tcW w:w="157" w:type="pct"/>
            <w:vMerge w:val="restart"/>
            <w:vAlign w:val="center"/>
          </w:tcPr>
          <w:p w14:paraId="151B9927">
            <w:pPr>
              <w:wordWrap w:val="0"/>
              <w:adjustRightInd w:val="0"/>
              <w:spacing w:line="500" w:lineRule="exact"/>
              <w:jc w:val="center"/>
              <w:textAlignment w:val="baseline"/>
              <w:rPr>
                <w:rFonts w:ascii="宋体" w:hAnsi="宋体" w:cs="宋体"/>
                <w:color w:val="auto"/>
                <w:szCs w:val="21"/>
                <w:highlight w:val="none"/>
              </w:rPr>
            </w:pPr>
            <w:r>
              <w:rPr>
                <w:rFonts w:hint="eastAsia" w:ascii="宋体" w:hAnsi="宋体" w:cs="宋体"/>
                <w:color w:val="auto"/>
                <w:szCs w:val="21"/>
                <w:highlight w:val="none"/>
              </w:rPr>
              <w:t>备注</w:t>
            </w:r>
          </w:p>
        </w:tc>
      </w:tr>
      <w:tr w14:paraId="5FA3C5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jc w:val="center"/>
        </w:trPr>
        <w:tc>
          <w:tcPr>
            <w:tcW w:w="166" w:type="pct"/>
            <w:vMerge w:val="continue"/>
            <w:vAlign w:val="center"/>
          </w:tcPr>
          <w:p w14:paraId="679C4BDC">
            <w:pPr>
              <w:wordWrap w:val="0"/>
              <w:adjustRightInd w:val="0"/>
              <w:spacing w:line="0" w:lineRule="atLeast"/>
              <w:jc w:val="center"/>
              <w:textAlignment w:val="baseline"/>
              <w:rPr>
                <w:rFonts w:ascii="宋体" w:hAnsi="宋体" w:cs="宋体"/>
                <w:color w:val="auto"/>
                <w:szCs w:val="21"/>
                <w:highlight w:val="none"/>
              </w:rPr>
            </w:pPr>
          </w:p>
        </w:tc>
        <w:tc>
          <w:tcPr>
            <w:tcW w:w="541" w:type="pct"/>
            <w:vMerge w:val="continue"/>
            <w:vAlign w:val="center"/>
          </w:tcPr>
          <w:p w14:paraId="4A646C16">
            <w:pPr>
              <w:wordWrap w:val="0"/>
              <w:adjustRightInd w:val="0"/>
              <w:spacing w:line="0" w:lineRule="atLeast"/>
              <w:jc w:val="center"/>
              <w:textAlignment w:val="baseline"/>
              <w:rPr>
                <w:rFonts w:ascii="宋体" w:hAnsi="宋体" w:cs="宋体"/>
                <w:color w:val="auto"/>
                <w:szCs w:val="21"/>
                <w:highlight w:val="none"/>
              </w:rPr>
            </w:pPr>
          </w:p>
        </w:tc>
        <w:tc>
          <w:tcPr>
            <w:tcW w:w="373" w:type="pct"/>
            <w:vMerge w:val="continue"/>
            <w:vAlign w:val="center"/>
          </w:tcPr>
          <w:p w14:paraId="313FCCBA">
            <w:pPr>
              <w:wordWrap w:val="0"/>
              <w:adjustRightInd w:val="0"/>
              <w:spacing w:line="0" w:lineRule="atLeast"/>
              <w:jc w:val="center"/>
              <w:textAlignment w:val="baseline"/>
              <w:rPr>
                <w:rFonts w:ascii="宋体" w:hAnsi="宋体" w:cs="宋体"/>
                <w:color w:val="auto"/>
                <w:szCs w:val="21"/>
                <w:highlight w:val="none"/>
              </w:rPr>
            </w:pPr>
          </w:p>
        </w:tc>
        <w:tc>
          <w:tcPr>
            <w:tcW w:w="361" w:type="pct"/>
            <w:vMerge w:val="continue"/>
            <w:vAlign w:val="center"/>
          </w:tcPr>
          <w:p w14:paraId="51D08F3D">
            <w:pPr>
              <w:wordWrap w:val="0"/>
              <w:adjustRightInd w:val="0"/>
              <w:spacing w:line="0" w:lineRule="atLeast"/>
              <w:jc w:val="center"/>
              <w:textAlignment w:val="baseline"/>
              <w:rPr>
                <w:rFonts w:ascii="宋体" w:hAnsi="宋体" w:cs="宋体"/>
                <w:color w:val="auto"/>
                <w:szCs w:val="21"/>
                <w:highlight w:val="none"/>
              </w:rPr>
            </w:pPr>
          </w:p>
        </w:tc>
        <w:tc>
          <w:tcPr>
            <w:tcW w:w="251" w:type="pct"/>
            <w:vMerge w:val="continue"/>
            <w:vAlign w:val="center"/>
          </w:tcPr>
          <w:p w14:paraId="4CC971AE">
            <w:pPr>
              <w:wordWrap w:val="0"/>
              <w:adjustRightInd w:val="0"/>
              <w:spacing w:line="0" w:lineRule="atLeast"/>
              <w:jc w:val="center"/>
              <w:textAlignment w:val="baseline"/>
              <w:rPr>
                <w:rFonts w:ascii="宋体" w:hAnsi="宋体" w:cs="宋体"/>
                <w:color w:val="auto"/>
                <w:szCs w:val="21"/>
                <w:highlight w:val="none"/>
              </w:rPr>
            </w:pPr>
          </w:p>
        </w:tc>
        <w:tc>
          <w:tcPr>
            <w:tcW w:w="251" w:type="pct"/>
            <w:vMerge w:val="continue"/>
            <w:vAlign w:val="center"/>
          </w:tcPr>
          <w:p w14:paraId="59D4CEEB">
            <w:pPr>
              <w:wordWrap w:val="0"/>
              <w:adjustRightInd w:val="0"/>
              <w:spacing w:line="0" w:lineRule="atLeast"/>
              <w:jc w:val="center"/>
              <w:textAlignment w:val="baseline"/>
              <w:rPr>
                <w:rFonts w:ascii="宋体" w:hAnsi="宋体" w:cs="宋体"/>
                <w:color w:val="auto"/>
                <w:szCs w:val="21"/>
                <w:highlight w:val="none"/>
              </w:rPr>
            </w:pPr>
          </w:p>
        </w:tc>
        <w:tc>
          <w:tcPr>
            <w:tcW w:w="255" w:type="pct"/>
            <w:vMerge w:val="continue"/>
            <w:vAlign w:val="center"/>
          </w:tcPr>
          <w:p w14:paraId="6DCD2D10">
            <w:pPr>
              <w:wordWrap w:val="0"/>
              <w:adjustRightInd w:val="0"/>
              <w:spacing w:line="0" w:lineRule="atLeast"/>
              <w:jc w:val="center"/>
              <w:textAlignment w:val="baseline"/>
              <w:rPr>
                <w:rFonts w:ascii="宋体" w:hAnsi="宋体" w:cs="宋体"/>
                <w:color w:val="auto"/>
                <w:szCs w:val="21"/>
                <w:highlight w:val="none"/>
              </w:rPr>
            </w:pPr>
          </w:p>
        </w:tc>
        <w:tc>
          <w:tcPr>
            <w:tcW w:w="406" w:type="pct"/>
            <w:vMerge w:val="continue"/>
            <w:vAlign w:val="center"/>
          </w:tcPr>
          <w:p w14:paraId="4D745F84">
            <w:pPr>
              <w:wordWrap w:val="0"/>
              <w:adjustRightInd w:val="0"/>
              <w:spacing w:line="0" w:lineRule="atLeast"/>
              <w:jc w:val="center"/>
              <w:textAlignment w:val="baseline"/>
              <w:rPr>
                <w:rFonts w:ascii="宋体" w:hAnsi="宋体" w:cs="宋体"/>
                <w:color w:val="auto"/>
                <w:szCs w:val="21"/>
                <w:highlight w:val="none"/>
              </w:rPr>
            </w:pPr>
          </w:p>
        </w:tc>
        <w:tc>
          <w:tcPr>
            <w:tcW w:w="406" w:type="pct"/>
            <w:vMerge w:val="continue"/>
            <w:vAlign w:val="center"/>
          </w:tcPr>
          <w:p w14:paraId="0BB032A6">
            <w:pPr>
              <w:wordWrap w:val="0"/>
              <w:adjustRightInd w:val="0"/>
              <w:spacing w:line="0" w:lineRule="atLeast"/>
              <w:jc w:val="center"/>
              <w:textAlignment w:val="baseline"/>
              <w:rPr>
                <w:rFonts w:ascii="宋体" w:hAnsi="宋体" w:cs="宋体"/>
                <w:color w:val="auto"/>
                <w:szCs w:val="21"/>
                <w:highlight w:val="none"/>
              </w:rPr>
            </w:pPr>
          </w:p>
        </w:tc>
        <w:tc>
          <w:tcPr>
            <w:tcW w:w="409" w:type="pct"/>
            <w:vMerge w:val="continue"/>
            <w:vAlign w:val="center"/>
          </w:tcPr>
          <w:p w14:paraId="486C7F64">
            <w:pPr>
              <w:wordWrap w:val="0"/>
              <w:adjustRightInd w:val="0"/>
              <w:spacing w:line="0" w:lineRule="atLeast"/>
              <w:jc w:val="center"/>
              <w:textAlignment w:val="baseline"/>
              <w:rPr>
                <w:rFonts w:ascii="宋体" w:hAnsi="宋体" w:cs="宋体"/>
                <w:color w:val="auto"/>
                <w:szCs w:val="21"/>
                <w:highlight w:val="none"/>
              </w:rPr>
            </w:pPr>
          </w:p>
        </w:tc>
        <w:tc>
          <w:tcPr>
            <w:tcW w:w="344" w:type="pct"/>
            <w:vMerge w:val="continue"/>
            <w:vAlign w:val="center"/>
          </w:tcPr>
          <w:p w14:paraId="56B6C7A0">
            <w:pPr>
              <w:wordWrap w:val="0"/>
              <w:adjustRightInd w:val="0"/>
              <w:spacing w:line="0" w:lineRule="atLeast"/>
              <w:jc w:val="center"/>
              <w:textAlignment w:val="baseline"/>
              <w:rPr>
                <w:rFonts w:ascii="宋体" w:hAnsi="宋体" w:cs="宋体"/>
                <w:color w:val="auto"/>
                <w:szCs w:val="21"/>
                <w:highlight w:val="none"/>
              </w:rPr>
            </w:pPr>
          </w:p>
        </w:tc>
        <w:tc>
          <w:tcPr>
            <w:tcW w:w="341" w:type="pct"/>
            <w:tcBorders>
              <w:top w:val="single" w:color="auto" w:sz="4" w:space="0"/>
            </w:tcBorders>
            <w:vAlign w:val="center"/>
          </w:tcPr>
          <w:p w14:paraId="505A60CB">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MAC</w:t>
            </w:r>
          </w:p>
          <w:p w14:paraId="2145019D">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地址</w:t>
            </w:r>
          </w:p>
        </w:tc>
        <w:tc>
          <w:tcPr>
            <w:tcW w:w="234" w:type="pct"/>
            <w:tcBorders>
              <w:top w:val="single" w:color="auto" w:sz="4" w:space="0"/>
            </w:tcBorders>
            <w:vAlign w:val="center"/>
          </w:tcPr>
          <w:p w14:paraId="3293AF00">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CPU序</w:t>
            </w:r>
          </w:p>
          <w:p w14:paraId="3B7036E8">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列号</w:t>
            </w:r>
          </w:p>
        </w:tc>
        <w:tc>
          <w:tcPr>
            <w:tcW w:w="339" w:type="pct"/>
            <w:tcBorders>
              <w:top w:val="single" w:color="auto" w:sz="4" w:space="0"/>
            </w:tcBorders>
            <w:vAlign w:val="center"/>
          </w:tcPr>
          <w:p w14:paraId="0D11EAF3">
            <w:pPr>
              <w:wordWrap w:val="0"/>
              <w:adjustRightInd w:val="0"/>
              <w:jc w:val="center"/>
              <w:textAlignment w:val="baseline"/>
              <w:rPr>
                <w:rFonts w:ascii="宋体" w:hAnsi="宋体" w:cs="宋体"/>
                <w:color w:val="auto"/>
                <w:szCs w:val="21"/>
                <w:highlight w:val="none"/>
              </w:rPr>
            </w:pPr>
            <w:r>
              <w:rPr>
                <w:rFonts w:hint="eastAsia" w:ascii="宋体" w:hAnsi="宋体" w:cs="宋体"/>
                <w:color w:val="auto"/>
                <w:szCs w:val="21"/>
                <w:highlight w:val="none"/>
              </w:rPr>
              <w:t>硬盘序列号</w:t>
            </w:r>
          </w:p>
        </w:tc>
        <w:tc>
          <w:tcPr>
            <w:tcW w:w="159" w:type="pct"/>
            <w:vAlign w:val="center"/>
          </w:tcPr>
          <w:p w14:paraId="7FB73608">
            <w:pPr>
              <w:wordWrap w:val="0"/>
              <w:adjustRightInd w:val="0"/>
              <w:jc w:val="center"/>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是否雷同</w:t>
            </w:r>
          </w:p>
        </w:tc>
        <w:tc>
          <w:tcPr>
            <w:tcW w:w="157" w:type="pct"/>
            <w:vMerge w:val="continue"/>
            <w:vAlign w:val="center"/>
          </w:tcPr>
          <w:p w14:paraId="3019EAC5">
            <w:pPr>
              <w:wordWrap w:val="0"/>
              <w:adjustRightInd w:val="0"/>
              <w:spacing w:line="500" w:lineRule="exact"/>
              <w:jc w:val="center"/>
              <w:textAlignment w:val="baseline"/>
              <w:rPr>
                <w:rFonts w:ascii="宋体" w:hAnsi="宋体" w:cs="宋体"/>
                <w:color w:val="auto"/>
                <w:szCs w:val="21"/>
                <w:highlight w:val="none"/>
              </w:rPr>
            </w:pPr>
          </w:p>
        </w:tc>
      </w:tr>
      <w:tr w14:paraId="2161E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618088FE">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350FE4BC">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0CE54874">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19969416">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06CB214F">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65C7A613">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45835B00">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1D99E10E">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2A5C8619">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00807CBE">
            <w:pPr>
              <w:wordWrap w:val="0"/>
              <w:rPr>
                <w:rFonts w:ascii="宋体" w:hAnsi="宋体" w:cs="宋体"/>
                <w:color w:val="auto"/>
                <w:szCs w:val="21"/>
                <w:highlight w:val="none"/>
              </w:rPr>
            </w:pPr>
          </w:p>
        </w:tc>
        <w:tc>
          <w:tcPr>
            <w:tcW w:w="344" w:type="pct"/>
            <w:vAlign w:val="center"/>
          </w:tcPr>
          <w:p w14:paraId="684744D3">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6F05C5B6">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1DF5EDF8">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35D44F83">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05CEBBDB">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00B30EA1">
            <w:pPr>
              <w:wordWrap w:val="0"/>
              <w:adjustRightInd w:val="0"/>
              <w:spacing w:line="500" w:lineRule="exact"/>
              <w:jc w:val="center"/>
              <w:textAlignment w:val="baseline"/>
              <w:rPr>
                <w:rFonts w:ascii="宋体" w:hAnsi="宋体" w:cs="宋体"/>
                <w:color w:val="auto"/>
                <w:szCs w:val="21"/>
                <w:highlight w:val="none"/>
              </w:rPr>
            </w:pPr>
          </w:p>
        </w:tc>
      </w:tr>
      <w:tr w14:paraId="591EC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2B125035">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2838CCD2">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5D73FCD8">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6CF6AE28">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4CED318E">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381501F8">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3E861353">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0F872931">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369178A6">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5621FF71">
            <w:pPr>
              <w:wordWrap w:val="0"/>
              <w:rPr>
                <w:rFonts w:ascii="宋体" w:hAnsi="宋体" w:cs="宋体"/>
                <w:color w:val="auto"/>
                <w:szCs w:val="21"/>
                <w:highlight w:val="none"/>
              </w:rPr>
            </w:pPr>
          </w:p>
        </w:tc>
        <w:tc>
          <w:tcPr>
            <w:tcW w:w="344" w:type="pct"/>
            <w:vAlign w:val="center"/>
          </w:tcPr>
          <w:p w14:paraId="16E6D5FB">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7BEF52BD">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6A1FD6EF">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5454D818">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4B3B1FE5">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7D4B5822">
            <w:pPr>
              <w:wordWrap w:val="0"/>
              <w:adjustRightInd w:val="0"/>
              <w:spacing w:line="500" w:lineRule="exact"/>
              <w:jc w:val="center"/>
              <w:textAlignment w:val="baseline"/>
              <w:rPr>
                <w:rFonts w:ascii="宋体" w:hAnsi="宋体" w:cs="宋体"/>
                <w:color w:val="auto"/>
                <w:szCs w:val="21"/>
                <w:highlight w:val="none"/>
              </w:rPr>
            </w:pPr>
          </w:p>
        </w:tc>
      </w:tr>
      <w:tr w14:paraId="78097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57F7D325">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1097E925">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24B403B7">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14EA20FD">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51CC803D">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0F57CBA4">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41232220">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74BEF956">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510FE060">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296FAF54">
            <w:pPr>
              <w:wordWrap w:val="0"/>
              <w:rPr>
                <w:rFonts w:ascii="宋体" w:hAnsi="宋体" w:cs="宋体"/>
                <w:color w:val="auto"/>
                <w:szCs w:val="21"/>
                <w:highlight w:val="none"/>
              </w:rPr>
            </w:pPr>
          </w:p>
        </w:tc>
        <w:tc>
          <w:tcPr>
            <w:tcW w:w="344" w:type="pct"/>
            <w:vAlign w:val="center"/>
          </w:tcPr>
          <w:p w14:paraId="5753CCFA">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2BC04A4B">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206EFB1C">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09524456">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1A82197C">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5D2775C2">
            <w:pPr>
              <w:wordWrap w:val="0"/>
              <w:adjustRightInd w:val="0"/>
              <w:spacing w:line="500" w:lineRule="exact"/>
              <w:jc w:val="center"/>
              <w:textAlignment w:val="baseline"/>
              <w:rPr>
                <w:rFonts w:ascii="宋体" w:hAnsi="宋体" w:cs="宋体"/>
                <w:color w:val="auto"/>
                <w:szCs w:val="21"/>
                <w:highlight w:val="none"/>
              </w:rPr>
            </w:pPr>
          </w:p>
        </w:tc>
      </w:tr>
      <w:tr w14:paraId="2ECDE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3A2748FB">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166C0D18">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1C93B119">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08BA3B95">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52D44BC3">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037B83FE">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4861BB4D">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35AAAB2A">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41766C0C">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1757D618">
            <w:pPr>
              <w:wordWrap w:val="0"/>
              <w:rPr>
                <w:rFonts w:ascii="宋体" w:hAnsi="宋体" w:cs="宋体"/>
                <w:color w:val="auto"/>
                <w:szCs w:val="21"/>
                <w:highlight w:val="none"/>
              </w:rPr>
            </w:pPr>
          </w:p>
        </w:tc>
        <w:tc>
          <w:tcPr>
            <w:tcW w:w="344" w:type="pct"/>
            <w:vAlign w:val="center"/>
          </w:tcPr>
          <w:p w14:paraId="49306CD7">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04C47264">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4D934447">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402D23CE">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357596BC">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3C761872">
            <w:pPr>
              <w:wordWrap w:val="0"/>
              <w:adjustRightInd w:val="0"/>
              <w:spacing w:line="500" w:lineRule="exact"/>
              <w:jc w:val="center"/>
              <w:textAlignment w:val="baseline"/>
              <w:rPr>
                <w:rFonts w:ascii="宋体" w:hAnsi="宋体" w:cs="宋体"/>
                <w:color w:val="auto"/>
                <w:szCs w:val="21"/>
                <w:highlight w:val="none"/>
              </w:rPr>
            </w:pPr>
          </w:p>
        </w:tc>
      </w:tr>
      <w:tr w14:paraId="6A2D2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23C61478">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49A60EA0">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1C136834">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2BAE12A4">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0445DC74">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6E3DE79C">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196BE89F">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4FE06AC6">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78D3FDEC">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648CACE2">
            <w:pPr>
              <w:wordWrap w:val="0"/>
              <w:rPr>
                <w:rFonts w:ascii="宋体" w:hAnsi="宋体" w:cs="宋体"/>
                <w:color w:val="auto"/>
                <w:szCs w:val="21"/>
                <w:highlight w:val="none"/>
              </w:rPr>
            </w:pPr>
          </w:p>
        </w:tc>
        <w:tc>
          <w:tcPr>
            <w:tcW w:w="344" w:type="pct"/>
            <w:vAlign w:val="center"/>
          </w:tcPr>
          <w:p w14:paraId="0F7489A7">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38AD7B78">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702EC186">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6EB3E349">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5BA4122D">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568CAE12">
            <w:pPr>
              <w:wordWrap w:val="0"/>
              <w:adjustRightInd w:val="0"/>
              <w:spacing w:line="500" w:lineRule="exact"/>
              <w:jc w:val="center"/>
              <w:textAlignment w:val="baseline"/>
              <w:rPr>
                <w:rFonts w:ascii="宋体" w:hAnsi="宋体" w:cs="宋体"/>
                <w:color w:val="auto"/>
                <w:szCs w:val="21"/>
                <w:highlight w:val="none"/>
              </w:rPr>
            </w:pPr>
          </w:p>
        </w:tc>
      </w:tr>
      <w:tr w14:paraId="3278D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66" w:type="pct"/>
            <w:vAlign w:val="center"/>
          </w:tcPr>
          <w:p w14:paraId="094C9B6D">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7E95B4BD">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62C1920C">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0D117046">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273BB858">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2A5D0DEA">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7B4BA777">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05ABC5EB">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73F29D13">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7701F7EC">
            <w:pPr>
              <w:wordWrap w:val="0"/>
              <w:rPr>
                <w:rFonts w:ascii="宋体" w:hAnsi="宋体" w:cs="宋体"/>
                <w:color w:val="auto"/>
                <w:szCs w:val="21"/>
                <w:highlight w:val="none"/>
              </w:rPr>
            </w:pPr>
          </w:p>
        </w:tc>
        <w:tc>
          <w:tcPr>
            <w:tcW w:w="344" w:type="pct"/>
            <w:vAlign w:val="center"/>
          </w:tcPr>
          <w:p w14:paraId="1D006A04">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32D51DC2">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00BD06E1">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13996A0C">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15548A1D">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0C7C73A5">
            <w:pPr>
              <w:wordWrap w:val="0"/>
              <w:adjustRightInd w:val="0"/>
              <w:spacing w:line="500" w:lineRule="exact"/>
              <w:jc w:val="center"/>
              <w:textAlignment w:val="baseline"/>
              <w:rPr>
                <w:rFonts w:ascii="宋体" w:hAnsi="宋体" w:cs="宋体"/>
                <w:color w:val="auto"/>
                <w:szCs w:val="21"/>
                <w:highlight w:val="none"/>
              </w:rPr>
            </w:pPr>
          </w:p>
        </w:tc>
      </w:tr>
      <w:tr w14:paraId="77E3D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7" w:hRule="atLeast"/>
          <w:jc w:val="center"/>
        </w:trPr>
        <w:tc>
          <w:tcPr>
            <w:tcW w:w="166" w:type="pct"/>
            <w:vAlign w:val="center"/>
          </w:tcPr>
          <w:p w14:paraId="45FF33EB">
            <w:pPr>
              <w:wordWrap w:val="0"/>
              <w:adjustRightInd w:val="0"/>
              <w:spacing w:line="500" w:lineRule="exact"/>
              <w:jc w:val="center"/>
              <w:textAlignment w:val="baseline"/>
              <w:rPr>
                <w:rFonts w:ascii="宋体" w:hAnsi="宋体" w:cs="宋体"/>
                <w:color w:val="auto"/>
                <w:szCs w:val="21"/>
                <w:highlight w:val="none"/>
              </w:rPr>
            </w:pPr>
          </w:p>
        </w:tc>
        <w:tc>
          <w:tcPr>
            <w:tcW w:w="541" w:type="pct"/>
            <w:vAlign w:val="center"/>
          </w:tcPr>
          <w:p w14:paraId="6DC03880">
            <w:pPr>
              <w:wordWrap w:val="0"/>
              <w:adjustRightInd w:val="0"/>
              <w:spacing w:line="500" w:lineRule="exact"/>
              <w:jc w:val="center"/>
              <w:textAlignment w:val="baseline"/>
              <w:rPr>
                <w:rFonts w:ascii="宋体" w:hAnsi="宋体" w:cs="宋体"/>
                <w:color w:val="auto"/>
                <w:szCs w:val="21"/>
                <w:highlight w:val="none"/>
              </w:rPr>
            </w:pPr>
          </w:p>
        </w:tc>
        <w:tc>
          <w:tcPr>
            <w:tcW w:w="373" w:type="pct"/>
            <w:vAlign w:val="center"/>
          </w:tcPr>
          <w:p w14:paraId="039420B9">
            <w:pPr>
              <w:wordWrap w:val="0"/>
              <w:adjustRightInd w:val="0"/>
              <w:spacing w:line="500" w:lineRule="exact"/>
              <w:jc w:val="center"/>
              <w:textAlignment w:val="baseline"/>
              <w:rPr>
                <w:rFonts w:ascii="宋体" w:hAnsi="宋体" w:cs="宋体"/>
                <w:color w:val="auto"/>
                <w:szCs w:val="21"/>
                <w:highlight w:val="none"/>
              </w:rPr>
            </w:pPr>
          </w:p>
        </w:tc>
        <w:tc>
          <w:tcPr>
            <w:tcW w:w="361" w:type="pct"/>
            <w:vAlign w:val="center"/>
          </w:tcPr>
          <w:p w14:paraId="0A19CB93">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72B5FBC9">
            <w:pPr>
              <w:wordWrap w:val="0"/>
              <w:adjustRightInd w:val="0"/>
              <w:spacing w:line="500" w:lineRule="exact"/>
              <w:jc w:val="center"/>
              <w:textAlignment w:val="baseline"/>
              <w:rPr>
                <w:rFonts w:ascii="宋体" w:hAnsi="宋体" w:cs="宋体"/>
                <w:color w:val="auto"/>
                <w:szCs w:val="21"/>
                <w:highlight w:val="none"/>
              </w:rPr>
            </w:pPr>
          </w:p>
        </w:tc>
        <w:tc>
          <w:tcPr>
            <w:tcW w:w="251" w:type="pct"/>
            <w:vAlign w:val="center"/>
          </w:tcPr>
          <w:p w14:paraId="6DDDC200">
            <w:pPr>
              <w:wordWrap w:val="0"/>
              <w:adjustRightInd w:val="0"/>
              <w:spacing w:line="500" w:lineRule="exact"/>
              <w:jc w:val="center"/>
              <w:textAlignment w:val="baseline"/>
              <w:rPr>
                <w:rFonts w:ascii="宋体" w:hAnsi="宋体" w:cs="宋体"/>
                <w:color w:val="auto"/>
                <w:szCs w:val="21"/>
                <w:highlight w:val="none"/>
              </w:rPr>
            </w:pPr>
          </w:p>
        </w:tc>
        <w:tc>
          <w:tcPr>
            <w:tcW w:w="255" w:type="pct"/>
            <w:vAlign w:val="center"/>
          </w:tcPr>
          <w:p w14:paraId="25CD1376">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2B53826F">
            <w:pPr>
              <w:wordWrap w:val="0"/>
              <w:adjustRightInd w:val="0"/>
              <w:spacing w:line="500" w:lineRule="exact"/>
              <w:jc w:val="center"/>
              <w:textAlignment w:val="baseline"/>
              <w:rPr>
                <w:rFonts w:ascii="宋体" w:hAnsi="宋体" w:cs="宋体"/>
                <w:color w:val="auto"/>
                <w:szCs w:val="21"/>
                <w:highlight w:val="none"/>
              </w:rPr>
            </w:pPr>
          </w:p>
        </w:tc>
        <w:tc>
          <w:tcPr>
            <w:tcW w:w="406" w:type="pct"/>
          </w:tcPr>
          <w:p w14:paraId="67536E88">
            <w:pPr>
              <w:wordWrap w:val="0"/>
              <w:adjustRightInd w:val="0"/>
              <w:spacing w:line="500" w:lineRule="exact"/>
              <w:jc w:val="center"/>
              <w:textAlignment w:val="baseline"/>
              <w:rPr>
                <w:rFonts w:ascii="宋体" w:hAnsi="宋体" w:cs="宋体"/>
                <w:color w:val="auto"/>
                <w:szCs w:val="21"/>
                <w:highlight w:val="none"/>
              </w:rPr>
            </w:pPr>
          </w:p>
        </w:tc>
        <w:tc>
          <w:tcPr>
            <w:tcW w:w="409" w:type="pct"/>
          </w:tcPr>
          <w:p w14:paraId="7A71A90D">
            <w:pPr>
              <w:wordWrap w:val="0"/>
              <w:rPr>
                <w:rFonts w:ascii="宋体" w:hAnsi="宋体" w:cs="宋体"/>
                <w:color w:val="auto"/>
                <w:szCs w:val="21"/>
                <w:highlight w:val="none"/>
              </w:rPr>
            </w:pPr>
          </w:p>
        </w:tc>
        <w:tc>
          <w:tcPr>
            <w:tcW w:w="344" w:type="pct"/>
            <w:vAlign w:val="center"/>
          </w:tcPr>
          <w:p w14:paraId="3EEC2767">
            <w:pPr>
              <w:wordWrap w:val="0"/>
              <w:adjustRightInd w:val="0"/>
              <w:spacing w:line="500" w:lineRule="exact"/>
              <w:jc w:val="center"/>
              <w:textAlignment w:val="baseline"/>
              <w:rPr>
                <w:rFonts w:ascii="宋体" w:hAnsi="宋体" w:cs="宋体"/>
                <w:color w:val="auto"/>
                <w:szCs w:val="21"/>
                <w:highlight w:val="none"/>
              </w:rPr>
            </w:pPr>
          </w:p>
        </w:tc>
        <w:tc>
          <w:tcPr>
            <w:tcW w:w="341" w:type="pct"/>
            <w:vAlign w:val="center"/>
          </w:tcPr>
          <w:p w14:paraId="458DCF08">
            <w:pPr>
              <w:wordWrap w:val="0"/>
              <w:adjustRightInd w:val="0"/>
              <w:spacing w:line="500" w:lineRule="exact"/>
              <w:jc w:val="center"/>
              <w:textAlignment w:val="baseline"/>
              <w:rPr>
                <w:rFonts w:ascii="宋体" w:hAnsi="宋体" w:cs="宋体"/>
                <w:color w:val="auto"/>
                <w:szCs w:val="21"/>
                <w:highlight w:val="none"/>
              </w:rPr>
            </w:pPr>
          </w:p>
        </w:tc>
        <w:tc>
          <w:tcPr>
            <w:tcW w:w="234" w:type="pct"/>
            <w:vAlign w:val="center"/>
          </w:tcPr>
          <w:p w14:paraId="589300CA">
            <w:pPr>
              <w:wordWrap w:val="0"/>
              <w:adjustRightInd w:val="0"/>
              <w:spacing w:line="500" w:lineRule="exact"/>
              <w:jc w:val="center"/>
              <w:textAlignment w:val="baseline"/>
              <w:rPr>
                <w:rFonts w:ascii="宋体" w:hAnsi="宋体" w:cs="宋体"/>
                <w:color w:val="auto"/>
                <w:szCs w:val="21"/>
                <w:highlight w:val="none"/>
              </w:rPr>
            </w:pPr>
          </w:p>
        </w:tc>
        <w:tc>
          <w:tcPr>
            <w:tcW w:w="339" w:type="pct"/>
            <w:vAlign w:val="center"/>
          </w:tcPr>
          <w:p w14:paraId="2461BAD4">
            <w:pPr>
              <w:wordWrap w:val="0"/>
              <w:adjustRightInd w:val="0"/>
              <w:spacing w:line="500" w:lineRule="exact"/>
              <w:jc w:val="center"/>
              <w:textAlignment w:val="baseline"/>
              <w:rPr>
                <w:rFonts w:ascii="宋体" w:hAnsi="宋体" w:cs="宋体"/>
                <w:color w:val="auto"/>
                <w:szCs w:val="21"/>
                <w:highlight w:val="none"/>
              </w:rPr>
            </w:pPr>
          </w:p>
        </w:tc>
        <w:tc>
          <w:tcPr>
            <w:tcW w:w="159" w:type="pct"/>
            <w:vAlign w:val="center"/>
          </w:tcPr>
          <w:p w14:paraId="70C58DF1">
            <w:pPr>
              <w:wordWrap w:val="0"/>
              <w:adjustRightInd w:val="0"/>
              <w:spacing w:line="500" w:lineRule="exact"/>
              <w:jc w:val="center"/>
              <w:textAlignment w:val="baseline"/>
              <w:rPr>
                <w:rFonts w:ascii="宋体" w:hAnsi="宋体" w:cs="宋体"/>
                <w:color w:val="auto"/>
                <w:szCs w:val="21"/>
                <w:highlight w:val="none"/>
              </w:rPr>
            </w:pPr>
          </w:p>
        </w:tc>
        <w:tc>
          <w:tcPr>
            <w:tcW w:w="157" w:type="pct"/>
            <w:vAlign w:val="center"/>
          </w:tcPr>
          <w:p w14:paraId="10DFFC9A">
            <w:pPr>
              <w:wordWrap w:val="0"/>
              <w:adjustRightInd w:val="0"/>
              <w:spacing w:line="500" w:lineRule="exact"/>
              <w:jc w:val="center"/>
              <w:textAlignment w:val="baseline"/>
              <w:rPr>
                <w:rFonts w:ascii="宋体" w:hAnsi="宋体" w:cs="宋体"/>
                <w:color w:val="auto"/>
                <w:szCs w:val="21"/>
                <w:highlight w:val="none"/>
              </w:rPr>
            </w:pPr>
          </w:p>
        </w:tc>
      </w:tr>
    </w:tbl>
    <w:p w14:paraId="5FF06501">
      <w:pPr>
        <w:wordWrap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招标代理机构</w:t>
      </w:r>
      <w:r>
        <w:rPr>
          <w:color w:val="auto"/>
          <w:szCs w:val="21"/>
          <w:highlight w:val="none"/>
        </w:rPr>
        <w:t>：</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14:paraId="26E49A40">
      <w:pPr>
        <w:wordWrap w:val="0"/>
        <w:spacing w:line="620" w:lineRule="exact"/>
        <w:jc w:val="right"/>
        <w:rPr>
          <w:rFonts w:ascii="宋体" w:hAnsi="宋体"/>
          <w:b/>
          <w:color w:val="auto"/>
          <w:sz w:val="24"/>
          <w:highlight w:val="none"/>
        </w:r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bookmarkEnd w:id="943"/>
      <w:bookmarkEnd w:id="944"/>
      <w:bookmarkEnd w:id="946"/>
    </w:p>
    <w:p w14:paraId="0FC532AE">
      <w:pPr>
        <w:spacing w:line="360" w:lineRule="auto"/>
        <w:rPr>
          <w:rFonts w:ascii="宋体" w:hAnsi="宋体"/>
          <w:b/>
          <w:color w:val="auto"/>
          <w:sz w:val="24"/>
          <w:highlight w:val="none"/>
        </w:rPr>
        <w:sectPr>
          <w:headerReference r:id="rId9" w:type="default"/>
          <w:footerReference r:id="rId10" w:type="default"/>
          <w:pgSz w:w="16838" w:h="11906" w:orient="landscape"/>
          <w:pgMar w:top="997" w:right="1440" w:bottom="1249" w:left="1440" w:header="851" w:footer="992" w:gutter="0"/>
          <w:pgNumType w:start="28"/>
          <w:cols w:space="720" w:num="1"/>
          <w:docGrid w:type="lines" w:linePitch="312" w:charSpace="0"/>
        </w:sectPr>
      </w:pPr>
    </w:p>
    <w:p w14:paraId="342BDBFD">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问题澄清通知</w:t>
      </w:r>
    </w:p>
    <w:p w14:paraId="267B7915">
      <w:pPr>
        <w:spacing w:line="360" w:lineRule="auto"/>
        <w:ind w:firstLine="420" w:firstLineChars="200"/>
        <w:jc w:val="center"/>
        <w:rPr>
          <w:rFonts w:ascii="宋体" w:hAnsi="宋体"/>
          <w:b/>
          <w:color w:val="auto"/>
          <w:sz w:val="24"/>
          <w:highlight w:val="none"/>
        </w:rPr>
      </w:pPr>
      <w:r>
        <w:rPr>
          <w:rFonts w:hint="eastAsia" w:ascii="宋体" w:hAnsi="宋体"/>
          <w:color w:val="auto"/>
          <w:szCs w:val="21"/>
          <w:highlight w:val="none"/>
        </w:rPr>
        <w:t>编号：</w:t>
      </w:r>
    </w:p>
    <w:p w14:paraId="206D0C4C">
      <w:pPr>
        <w:spacing w:line="360" w:lineRule="auto"/>
        <w:ind w:firstLine="420" w:firstLineChars="200"/>
        <w:rPr>
          <w:rFonts w:ascii="宋体" w:hAnsi="宋体"/>
          <w:color w:val="auto"/>
          <w:szCs w:val="21"/>
          <w:highlight w:val="none"/>
          <w:u w:val="single"/>
        </w:rPr>
      </w:pPr>
    </w:p>
    <w:p w14:paraId="3AE515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（投标人名称）: </w:t>
      </w:r>
    </w:p>
    <w:p w14:paraId="438213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（项目名称）施工招标的评标委员会，对你方的投标文件进行了仔细的审查，现需你方对下列问题在线予以澄清：</w:t>
      </w:r>
    </w:p>
    <w:p w14:paraId="5B0A83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p>
    <w:p w14:paraId="56FF95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p>
    <w:p w14:paraId="1EE31B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14:paraId="0B18891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请将上述问题的澄清于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时_____分___秒前在线回复。</w:t>
      </w:r>
    </w:p>
    <w:p w14:paraId="42A164ED">
      <w:pPr>
        <w:spacing w:line="360" w:lineRule="auto"/>
        <w:ind w:firstLine="5145" w:firstLineChars="2450"/>
        <w:rPr>
          <w:rFonts w:ascii="宋体" w:hAnsi="宋体"/>
          <w:color w:val="auto"/>
          <w:szCs w:val="21"/>
          <w:highlight w:val="none"/>
        </w:rPr>
      </w:pPr>
    </w:p>
    <w:p w14:paraId="0761E91E">
      <w:pPr>
        <w:spacing w:line="360" w:lineRule="auto"/>
        <w:ind w:firstLine="5145" w:firstLineChars="2450"/>
        <w:rPr>
          <w:rFonts w:ascii="宋体" w:hAnsi="宋体"/>
          <w:color w:val="auto"/>
          <w:szCs w:val="21"/>
          <w:highlight w:val="none"/>
        </w:rPr>
      </w:pPr>
    </w:p>
    <w:p w14:paraId="7093D09C">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评标工作组负责人：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6BCFD440">
      <w:pPr>
        <w:spacing w:line="360" w:lineRule="auto"/>
        <w:rPr>
          <w:rFonts w:ascii="宋体" w:hAnsi="宋体"/>
          <w:color w:val="auto"/>
          <w:szCs w:val="21"/>
          <w:highlight w:val="none"/>
          <w:u w:val="single"/>
        </w:rPr>
      </w:pPr>
    </w:p>
    <w:p w14:paraId="4E3751DA">
      <w:pPr>
        <w:spacing w:line="360" w:lineRule="auto"/>
        <w:ind w:firstLine="5460" w:firstLineChars="26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DE7155C">
      <w:pPr>
        <w:spacing w:line="360" w:lineRule="auto"/>
        <w:ind w:firstLine="5460" w:firstLineChars="2600"/>
        <w:rPr>
          <w:rFonts w:ascii="宋体" w:hAnsi="宋体"/>
          <w:color w:val="auto"/>
          <w:szCs w:val="21"/>
          <w:highlight w:val="none"/>
        </w:rPr>
        <w:sectPr>
          <w:pgSz w:w="11905" w:h="16838"/>
          <w:pgMar w:top="1440" w:right="1417" w:bottom="1440" w:left="1417" w:header="850" w:footer="992" w:gutter="0"/>
          <w:pgNumType w:start="28"/>
          <w:cols w:space="720" w:num="1"/>
          <w:docGrid w:type="lines" w:linePitch="317" w:charSpace="0"/>
        </w:sectPr>
      </w:pPr>
    </w:p>
    <w:p w14:paraId="237A5A44">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问题的澄清</w:t>
      </w:r>
    </w:p>
    <w:p w14:paraId="075E6F9F">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rPr>
        <w:t>编号：</w:t>
      </w:r>
    </w:p>
    <w:p w14:paraId="3E17AF8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(项目名称）</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标段施工招标评标委员会：</w:t>
      </w:r>
    </w:p>
    <w:p w14:paraId="72168E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问题澄清通知（编号：</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已收悉，现澄清如下：</w:t>
      </w:r>
    </w:p>
    <w:p w14:paraId="19B452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p>
    <w:p w14:paraId="11E610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p>
    <w:p w14:paraId="65F88F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p>
    <w:p w14:paraId="0B9A026E">
      <w:pPr>
        <w:spacing w:line="360" w:lineRule="auto"/>
        <w:ind w:firstLine="420" w:firstLineChars="200"/>
        <w:rPr>
          <w:rFonts w:ascii="宋体" w:hAnsi="宋体"/>
          <w:color w:val="auto"/>
          <w:szCs w:val="21"/>
          <w:highlight w:val="none"/>
        </w:rPr>
      </w:pPr>
    </w:p>
    <w:p w14:paraId="5850E34A">
      <w:pPr>
        <w:spacing w:line="360" w:lineRule="auto"/>
        <w:ind w:firstLine="420" w:firstLineChars="200"/>
        <w:rPr>
          <w:rFonts w:ascii="宋体" w:hAnsi="宋体"/>
          <w:color w:val="auto"/>
          <w:szCs w:val="21"/>
          <w:highlight w:val="none"/>
        </w:rPr>
      </w:pPr>
    </w:p>
    <w:p w14:paraId="4EE5591B">
      <w:pPr>
        <w:spacing w:line="360" w:lineRule="auto"/>
        <w:ind w:firstLine="420" w:firstLineChars="200"/>
        <w:rPr>
          <w:rFonts w:ascii="宋体" w:hAnsi="宋体"/>
          <w:color w:val="auto"/>
          <w:szCs w:val="21"/>
          <w:highlight w:val="none"/>
        </w:rPr>
      </w:pPr>
      <w:r>
        <w:rPr>
          <w:rFonts w:hint="eastAsia"/>
          <w:color w:val="auto"/>
          <w:szCs w:val="21"/>
          <w:highlight w:val="none"/>
        </w:rPr>
        <w:t>上述问题澄清或说明，不改变我方投标文件的实质性内容，构成我方投标文件的组成部分。</w:t>
      </w:r>
    </w:p>
    <w:p w14:paraId="6CAC18A3">
      <w:pPr>
        <w:spacing w:line="360" w:lineRule="auto"/>
        <w:ind w:firstLine="420" w:firstLineChars="200"/>
        <w:rPr>
          <w:rFonts w:ascii="宋体" w:hAnsi="宋体"/>
          <w:color w:val="auto"/>
          <w:szCs w:val="21"/>
          <w:highlight w:val="none"/>
        </w:rPr>
      </w:pPr>
    </w:p>
    <w:p w14:paraId="339C2BD6">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1ADF605D">
      <w:pPr>
        <w:spacing w:line="360" w:lineRule="auto"/>
        <w:ind w:firstLine="420" w:firstLineChars="200"/>
        <w:rPr>
          <w:rFonts w:ascii="宋体" w:hAnsi="宋体"/>
          <w:color w:val="auto"/>
          <w:szCs w:val="21"/>
          <w:highlight w:val="none"/>
        </w:rPr>
      </w:pPr>
    </w:p>
    <w:p w14:paraId="7D55E0FA">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4BBBE9A1">
      <w:pPr>
        <w:spacing w:line="360" w:lineRule="auto"/>
        <w:ind w:firstLine="5145" w:firstLineChars="2450"/>
        <w:rPr>
          <w:rFonts w:ascii="宋体" w:hAnsi="宋体"/>
          <w:color w:val="auto"/>
          <w:szCs w:val="21"/>
          <w:highlight w:val="none"/>
          <w:u w:val="single"/>
        </w:rPr>
      </w:pPr>
    </w:p>
    <w:p w14:paraId="2E2305A5">
      <w:pPr>
        <w:spacing w:line="360" w:lineRule="auto"/>
        <w:ind w:firstLine="5145" w:firstLineChars="24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DAF0D58">
      <w:pPr>
        <w:spacing w:line="360" w:lineRule="auto"/>
        <w:ind w:firstLine="5145" w:firstLineChars="245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2D957767">
      <w:pPr>
        <w:wordWrap w:val="0"/>
        <w:spacing w:before="63" w:beforeLines="20" w:after="63" w:afterLines="20"/>
        <w:outlineLvl w:val="3"/>
        <w:rPr>
          <w:rFonts w:eastAsia="黑体"/>
          <w:b/>
          <w:bCs/>
          <w:color w:val="auto"/>
          <w:szCs w:val="21"/>
          <w:highlight w:val="none"/>
        </w:rPr>
      </w:pPr>
      <w:r>
        <w:rPr>
          <w:rFonts w:hint="eastAsia" w:eastAsia="黑体"/>
          <w:b/>
          <w:bCs/>
          <w:color w:val="auto"/>
          <w:szCs w:val="21"/>
          <w:highlight w:val="none"/>
        </w:rPr>
        <w:t>中标候选人公示（格式）</w:t>
      </w:r>
    </w:p>
    <w:p w14:paraId="38AA8E29">
      <w:pPr>
        <w:rPr>
          <w:color w:val="auto"/>
          <w:kern w:val="1"/>
          <w:highlight w:val="none"/>
          <w:lang w:val="zh-CN"/>
        </w:rPr>
      </w:pPr>
    </w:p>
    <w:p w14:paraId="0EFE9121">
      <w:pPr>
        <w:spacing w:line="360" w:lineRule="auto"/>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中标候选人公示</w:t>
      </w:r>
    </w:p>
    <w:p w14:paraId="42F5F007">
      <w:pPr>
        <w:adjustRightInd w:val="0"/>
        <w:snapToGrid w:val="0"/>
        <w:spacing w:line="360" w:lineRule="auto"/>
        <w:ind w:firstLine="444" w:firstLineChars="200"/>
        <w:rPr>
          <w:rFonts w:cs="宋体"/>
          <w:color w:val="auto"/>
          <w:szCs w:val="21"/>
          <w:highlight w:val="none"/>
        </w:rPr>
      </w:pPr>
      <w:r>
        <w:rPr>
          <w:rFonts w:hint="eastAsia" w:ascii="宋体" w:hAnsi="宋体" w:cs="宋体"/>
          <w:color w:val="auto"/>
          <w:spacing w:val="6"/>
          <w:szCs w:val="21"/>
          <w:highlight w:val="none"/>
        </w:rPr>
        <w:t>招</w:t>
      </w:r>
      <w:r>
        <w:rPr>
          <w:rFonts w:hint="eastAsia" w:ascii="宋体" w:hAnsi="宋体" w:cs="宋体"/>
          <w:color w:val="auto"/>
          <w:spacing w:val="4"/>
          <w:szCs w:val="21"/>
          <w:highlight w:val="none"/>
        </w:rPr>
        <w:t>标</w:t>
      </w:r>
      <w:r>
        <w:rPr>
          <w:rFonts w:hint="eastAsia" w:ascii="宋体" w:hAnsi="宋体" w:cs="宋体"/>
          <w:color w:val="auto"/>
          <w:spacing w:val="6"/>
          <w:szCs w:val="21"/>
          <w:highlight w:val="none"/>
        </w:rPr>
        <w:t>项目编</w:t>
      </w:r>
      <w:r>
        <w:rPr>
          <w:rFonts w:hint="eastAsia" w:ascii="宋体" w:hAnsi="宋体" w:cs="宋体"/>
          <w:color w:val="auto"/>
          <w:spacing w:val="4"/>
          <w:szCs w:val="21"/>
          <w:highlight w:val="none"/>
        </w:rPr>
        <w:t>号</w:t>
      </w:r>
      <w:r>
        <w:rPr>
          <w:rFonts w:hint="eastAsia" w:ascii="宋体" w:hAnsi="宋体" w:cs="宋体"/>
          <w:color w:val="auto"/>
          <w:spacing w:val="3"/>
          <w:szCs w:val="21"/>
          <w:highlight w:val="none"/>
        </w:rPr>
        <w:t>为</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u w:val="single"/>
        </w:rPr>
        <w:tab/>
      </w:r>
      <w:r>
        <w:rPr>
          <w:rFonts w:hint="eastAsia" w:ascii="宋体" w:hAnsi="宋体" w:cs="宋体"/>
          <w:color w:val="auto"/>
          <w:spacing w:val="4"/>
          <w:szCs w:val="21"/>
          <w:highlight w:val="none"/>
        </w:rPr>
        <w:t>的</w:t>
      </w:r>
      <w:r>
        <w:rPr>
          <w:rFonts w:hint="eastAsia" w:ascii="宋体" w:hAnsi="宋体" w:cs="宋体"/>
          <w:color w:val="auto"/>
          <w:spacing w:val="4"/>
          <w:szCs w:val="21"/>
          <w:highlight w:val="none"/>
          <w:u w:val="single"/>
        </w:rPr>
        <w:t xml:space="preserve"> </w:t>
      </w:r>
      <w:r>
        <w:rPr>
          <w:rFonts w:hint="eastAsia" w:ascii="宋体" w:hAnsi="宋体" w:cs="宋体"/>
          <w:color w:val="auto"/>
          <w:spacing w:val="4"/>
          <w:szCs w:val="21"/>
          <w:highlight w:val="none"/>
          <w:u w:val="single"/>
        </w:rPr>
        <w:tab/>
      </w:r>
      <w:r>
        <w:rPr>
          <w:rFonts w:hint="eastAsia" w:ascii="宋体" w:hAnsi="宋体" w:cs="宋体"/>
          <w:color w:val="auto"/>
          <w:spacing w:val="6"/>
          <w:szCs w:val="21"/>
          <w:highlight w:val="none"/>
        </w:rPr>
        <w:t>工</w:t>
      </w:r>
      <w:r>
        <w:rPr>
          <w:rFonts w:hint="eastAsia" w:ascii="宋体" w:hAnsi="宋体" w:cs="宋体"/>
          <w:color w:val="auto"/>
          <w:spacing w:val="4"/>
          <w:szCs w:val="21"/>
          <w:highlight w:val="none"/>
        </w:rPr>
        <w:t>程</w:t>
      </w:r>
      <w:r>
        <w:rPr>
          <w:rFonts w:hint="eastAsia" w:ascii="宋体" w:hAnsi="宋体" w:cs="宋体"/>
          <w:color w:val="auto"/>
          <w:spacing w:val="6"/>
          <w:szCs w:val="21"/>
          <w:highlight w:val="none"/>
        </w:rPr>
        <w:t>建</w:t>
      </w:r>
      <w:r>
        <w:rPr>
          <w:rFonts w:hint="eastAsia" w:ascii="宋体" w:hAnsi="宋体" w:cs="宋体"/>
          <w:color w:val="auto"/>
          <w:spacing w:val="4"/>
          <w:szCs w:val="21"/>
          <w:highlight w:val="none"/>
        </w:rPr>
        <w:t>设</w:t>
      </w:r>
      <w:r>
        <w:rPr>
          <w:rFonts w:hint="eastAsia" w:ascii="宋体" w:hAnsi="宋体" w:cs="宋体"/>
          <w:color w:val="auto"/>
          <w:spacing w:val="6"/>
          <w:szCs w:val="21"/>
          <w:highlight w:val="none"/>
        </w:rPr>
        <w:t>项</w:t>
      </w:r>
      <w:r>
        <w:rPr>
          <w:rFonts w:hint="eastAsia" w:ascii="宋体" w:hAnsi="宋体" w:cs="宋体"/>
          <w:color w:val="auto"/>
          <w:spacing w:val="4"/>
          <w:szCs w:val="21"/>
          <w:highlight w:val="none"/>
        </w:rPr>
        <w:t>目</w:t>
      </w:r>
      <w:r>
        <w:rPr>
          <w:rFonts w:hint="eastAsia" w:ascii="宋体" w:hAnsi="宋体" w:cs="宋体"/>
          <w:color w:val="auto"/>
          <w:spacing w:val="6"/>
          <w:szCs w:val="21"/>
          <w:highlight w:val="none"/>
        </w:rPr>
        <w:t>，该工</w:t>
      </w:r>
      <w:r>
        <w:rPr>
          <w:rFonts w:hint="eastAsia" w:ascii="宋体" w:hAnsi="宋体" w:cs="宋体"/>
          <w:color w:val="auto"/>
          <w:spacing w:val="4"/>
          <w:szCs w:val="21"/>
          <w:highlight w:val="none"/>
        </w:rPr>
        <w:t>程</w:t>
      </w:r>
      <w:r>
        <w:rPr>
          <w:rFonts w:hint="eastAsia" w:ascii="宋体" w:hAnsi="宋体" w:cs="宋体"/>
          <w:color w:val="auto"/>
          <w:spacing w:val="6"/>
          <w:szCs w:val="21"/>
          <w:highlight w:val="none"/>
        </w:rPr>
        <w:t>施</w:t>
      </w:r>
      <w:r>
        <w:rPr>
          <w:rFonts w:hint="eastAsia" w:ascii="宋体" w:hAnsi="宋体" w:cs="宋体"/>
          <w:color w:val="auto"/>
          <w:spacing w:val="4"/>
          <w:szCs w:val="21"/>
          <w:highlight w:val="none"/>
        </w:rPr>
        <w:t>工</w:t>
      </w:r>
      <w:r>
        <w:rPr>
          <w:rFonts w:hint="eastAsia" w:ascii="宋体" w:hAnsi="宋体" w:cs="宋体"/>
          <w:color w:val="auto"/>
          <w:spacing w:val="6"/>
          <w:szCs w:val="21"/>
          <w:highlight w:val="none"/>
        </w:rPr>
        <w:t>招</w:t>
      </w:r>
      <w:r>
        <w:rPr>
          <w:rFonts w:hint="eastAsia" w:ascii="宋体" w:hAnsi="宋体" w:cs="宋体"/>
          <w:color w:val="auto"/>
          <w:spacing w:val="4"/>
          <w:szCs w:val="21"/>
          <w:highlight w:val="none"/>
        </w:rPr>
        <w:t>标</w:t>
      </w:r>
      <w:r>
        <w:rPr>
          <w:rFonts w:hint="eastAsia" w:ascii="宋体" w:hAnsi="宋体" w:cs="宋体"/>
          <w:color w:val="auto"/>
          <w:spacing w:val="3"/>
          <w:szCs w:val="21"/>
          <w:highlight w:val="none"/>
        </w:rPr>
        <w:t>于</w:t>
      </w:r>
      <w:r>
        <w:rPr>
          <w:rFonts w:hint="eastAsia" w:ascii="宋体" w:hAnsi="宋体" w:cs="宋体"/>
          <w:color w:val="auto"/>
          <w:spacing w:val="3"/>
          <w:szCs w:val="21"/>
          <w:highlight w:val="none"/>
          <w:u w:val="single"/>
        </w:rPr>
        <w:t xml:space="preserve">   </w:t>
      </w:r>
      <w:r>
        <w:rPr>
          <w:rFonts w:hint="eastAsia" w:ascii="宋体" w:hAnsi="宋体" w:cs="宋体"/>
          <w:color w:val="auto"/>
          <w:spacing w:val="16"/>
          <w:szCs w:val="21"/>
          <w:highlight w:val="none"/>
          <w:u w:val="single"/>
        </w:rPr>
        <w:t xml:space="preserve"> </w:t>
      </w:r>
      <w:r>
        <w:rPr>
          <w:rFonts w:hint="eastAsia" w:ascii="宋体" w:hAnsi="宋体" w:cs="宋体"/>
          <w:color w:val="auto"/>
          <w:spacing w:val="-12"/>
          <w:szCs w:val="21"/>
          <w:highlight w:val="none"/>
        </w:rPr>
        <w:t>年</w:t>
      </w:r>
      <w:r>
        <w:rPr>
          <w:rFonts w:hint="eastAsia" w:ascii="宋体" w:hAnsi="宋体" w:cs="宋体"/>
          <w:color w:val="auto"/>
          <w:spacing w:val="-12"/>
          <w:szCs w:val="21"/>
          <w:highlight w:val="none"/>
          <w:u w:val="single"/>
        </w:rPr>
        <w:t xml:space="preserve">      </w:t>
      </w:r>
      <w:r>
        <w:rPr>
          <w:rFonts w:hint="eastAsia" w:ascii="宋体" w:hAnsi="宋体" w:cs="宋体"/>
          <w:color w:val="auto"/>
          <w:spacing w:val="7"/>
          <w:szCs w:val="21"/>
          <w:highlight w:val="none"/>
        </w:rPr>
        <w:t>月</w:t>
      </w:r>
      <w:r>
        <w:rPr>
          <w:rFonts w:hint="eastAsia" w:ascii="宋体" w:hAnsi="宋体" w:cs="宋体"/>
          <w:color w:val="auto"/>
          <w:spacing w:val="7"/>
          <w:szCs w:val="21"/>
          <w:highlight w:val="none"/>
          <w:u w:val="single"/>
        </w:rPr>
        <w:t xml:space="preserve"> </w:t>
      </w:r>
      <w:r>
        <w:rPr>
          <w:rFonts w:hint="eastAsia" w:ascii="宋体" w:hAnsi="宋体" w:cs="宋体"/>
          <w:color w:val="auto"/>
          <w:spacing w:val="118"/>
          <w:szCs w:val="21"/>
          <w:highlight w:val="none"/>
          <w:u w:val="single"/>
        </w:rPr>
        <w:t xml:space="preserve"> </w:t>
      </w:r>
      <w:r>
        <w:rPr>
          <w:rFonts w:hint="eastAsia" w:ascii="宋体" w:hAnsi="宋体" w:cs="宋体"/>
          <w:color w:val="auto"/>
          <w:spacing w:val="7"/>
          <w:szCs w:val="21"/>
          <w:highlight w:val="none"/>
        </w:rPr>
        <w:t>日依法公开</w:t>
      </w:r>
      <w:r>
        <w:rPr>
          <w:rFonts w:hint="eastAsia" w:ascii="宋体" w:hAnsi="宋体" w:cs="宋体"/>
          <w:color w:val="auto"/>
          <w:spacing w:val="6"/>
          <w:szCs w:val="21"/>
          <w:highlight w:val="none"/>
        </w:rPr>
        <w:t>开</w:t>
      </w:r>
      <w:r>
        <w:rPr>
          <w:rFonts w:hint="eastAsia" w:ascii="宋体" w:hAnsi="宋体" w:cs="宋体"/>
          <w:color w:val="auto"/>
          <w:spacing w:val="7"/>
          <w:szCs w:val="21"/>
          <w:highlight w:val="none"/>
        </w:rPr>
        <w:t>标后，</w:t>
      </w:r>
      <w:r>
        <w:rPr>
          <w:rFonts w:hint="eastAsia" w:ascii="宋体" w:hAnsi="宋体" w:cs="宋体"/>
          <w:color w:val="auto"/>
          <w:spacing w:val="6"/>
          <w:szCs w:val="21"/>
          <w:highlight w:val="none"/>
        </w:rPr>
        <w:t>评</w:t>
      </w:r>
      <w:r>
        <w:rPr>
          <w:rFonts w:hint="eastAsia" w:ascii="宋体" w:hAnsi="宋体" w:cs="宋体"/>
          <w:color w:val="auto"/>
          <w:spacing w:val="7"/>
          <w:szCs w:val="21"/>
          <w:highlight w:val="none"/>
        </w:rPr>
        <w:t>标委员会</w:t>
      </w:r>
      <w:r>
        <w:rPr>
          <w:rFonts w:hint="eastAsia" w:ascii="宋体" w:hAnsi="宋体" w:cs="宋体"/>
          <w:color w:val="auto"/>
          <w:spacing w:val="6"/>
          <w:szCs w:val="21"/>
          <w:highlight w:val="none"/>
        </w:rPr>
        <w:t>按</w:t>
      </w:r>
      <w:r>
        <w:rPr>
          <w:rFonts w:hint="eastAsia" w:ascii="宋体" w:hAnsi="宋体" w:cs="宋体"/>
          <w:color w:val="auto"/>
          <w:spacing w:val="7"/>
          <w:szCs w:val="21"/>
          <w:highlight w:val="none"/>
        </w:rPr>
        <w:t>照</w:t>
      </w:r>
      <w:r>
        <w:rPr>
          <w:rFonts w:hint="eastAsia" w:ascii="宋体" w:hAnsi="宋体" w:cs="宋体"/>
          <w:color w:val="auto"/>
          <w:spacing w:val="6"/>
          <w:szCs w:val="21"/>
          <w:highlight w:val="none"/>
        </w:rPr>
        <w:t>招</w:t>
      </w:r>
      <w:r>
        <w:rPr>
          <w:rFonts w:hint="eastAsia" w:ascii="宋体" w:hAnsi="宋体" w:cs="宋体"/>
          <w:color w:val="auto"/>
          <w:spacing w:val="7"/>
          <w:szCs w:val="21"/>
          <w:highlight w:val="none"/>
        </w:rPr>
        <w:t>标文件规定</w:t>
      </w:r>
      <w:r>
        <w:rPr>
          <w:rFonts w:hint="eastAsia" w:ascii="宋体" w:hAnsi="宋体" w:cs="宋体"/>
          <w:color w:val="auto"/>
          <w:spacing w:val="6"/>
          <w:szCs w:val="21"/>
          <w:highlight w:val="none"/>
        </w:rPr>
        <w:t>的</w:t>
      </w:r>
      <w:r>
        <w:rPr>
          <w:rFonts w:hint="eastAsia" w:ascii="宋体" w:hAnsi="宋体" w:cs="宋体"/>
          <w:color w:val="auto"/>
          <w:spacing w:val="7"/>
          <w:szCs w:val="21"/>
          <w:highlight w:val="none"/>
        </w:rPr>
        <w:t>评标标准和</w:t>
      </w:r>
      <w:r>
        <w:rPr>
          <w:rFonts w:hint="eastAsia" w:ascii="宋体" w:hAnsi="宋体" w:cs="宋体"/>
          <w:color w:val="auto"/>
          <w:spacing w:val="6"/>
          <w:szCs w:val="21"/>
          <w:highlight w:val="none"/>
        </w:rPr>
        <w:t>方</w:t>
      </w:r>
      <w:r>
        <w:rPr>
          <w:rFonts w:hint="eastAsia" w:ascii="宋体" w:hAnsi="宋体" w:cs="宋体"/>
          <w:color w:val="auto"/>
          <w:spacing w:val="7"/>
          <w:szCs w:val="21"/>
          <w:highlight w:val="none"/>
        </w:rPr>
        <w:t>法进行了评</w:t>
      </w:r>
      <w:r>
        <w:rPr>
          <w:rFonts w:hint="eastAsia" w:ascii="宋体" w:hAnsi="宋体" w:cs="宋体"/>
          <w:color w:val="auto"/>
          <w:szCs w:val="21"/>
          <w:highlight w:val="none"/>
        </w:rPr>
        <w:t>审，</w:t>
      </w:r>
      <w:r>
        <w:rPr>
          <w:rFonts w:hint="eastAsia" w:ascii="宋体" w:hAnsi="宋体" w:cs="宋体"/>
          <w:color w:val="auto"/>
          <w:kern w:val="0"/>
          <w:szCs w:val="21"/>
          <w:highlight w:val="none"/>
        </w:rPr>
        <w:t>清标小组</w:t>
      </w:r>
      <w:r>
        <w:rPr>
          <w:rFonts w:hint="eastAsia" w:cs="宋体"/>
          <w:color w:val="auto"/>
          <w:kern w:val="0"/>
          <w:szCs w:val="21"/>
          <w:highlight w:val="none"/>
        </w:rPr>
        <w:t>、定标委员会</w:t>
      </w:r>
      <w:r>
        <w:rPr>
          <w:rFonts w:hint="eastAsia" w:ascii="宋体" w:hAnsi="宋体" w:cs="宋体"/>
          <w:color w:val="auto"/>
          <w:kern w:val="0"/>
          <w:szCs w:val="21"/>
          <w:highlight w:val="none"/>
        </w:rPr>
        <w:t>按照定标方案规定方法、规则、标准和程序</w:t>
      </w:r>
      <w:r>
        <w:rPr>
          <w:rFonts w:hint="eastAsia" w:cs="宋体"/>
          <w:color w:val="auto"/>
          <w:kern w:val="0"/>
          <w:szCs w:val="21"/>
          <w:highlight w:val="none"/>
        </w:rPr>
        <w:t>完成了清标和定标工作。招标人</w:t>
      </w:r>
      <w:r>
        <w:rPr>
          <w:rFonts w:hint="eastAsia" w:cs="宋体"/>
          <w:color w:val="auto"/>
          <w:szCs w:val="21"/>
          <w:highlight w:val="none"/>
        </w:rPr>
        <w:t>根据评标报告、清标报告以及定标报告，现将评标结果、定标结果以及有关情况公示如下：</w:t>
      </w:r>
    </w:p>
    <w:p w14:paraId="2F2D718C">
      <w:pPr>
        <w:adjustRightInd w:val="0"/>
        <w:snapToGrid w:val="0"/>
        <w:spacing w:line="360" w:lineRule="auto"/>
        <w:ind w:firstLine="420" w:firstLineChars="200"/>
        <w:rPr>
          <w:color w:val="auto"/>
          <w:szCs w:val="21"/>
          <w:highlight w:val="none"/>
        </w:rPr>
      </w:pPr>
      <w:r>
        <w:rPr>
          <w:rFonts w:hint="eastAsia" w:ascii="宋体" w:hAnsi="宋体"/>
          <w:color w:val="auto"/>
          <w:szCs w:val="21"/>
          <w:highlight w:val="none"/>
        </w:rPr>
        <w:t>一</w:t>
      </w:r>
      <w:r>
        <w:rPr>
          <w:rFonts w:hint="eastAsia"/>
          <w:color w:val="auto"/>
          <w:szCs w:val="21"/>
          <w:highlight w:val="none"/>
        </w:rPr>
        <w:t>、评标结果</w:t>
      </w:r>
    </w:p>
    <w:p w14:paraId="7EE0B128">
      <w:pPr>
        <w:spacing w:line="360" w:lineRule="auto"/>
        <w:ind w:left="420"/>
        <w:rPr>
          <w:color w:val="auto"/>
          <w:szCs w:val="21"/>
          <w:highlight w:val="none"/>
        </w:rPr>
      </w:pPr>
      <w:r>
        <w:rPr>
          <w:rFonts w:hint="eastAsia"/>
          <w:color w:val="auto"/>
          <w:szCs w:val="21"/>
          <w:highlight w:val="none"/>
        </w:rPr>
        <w:t>1.1</w:t>
      </w:r>
      <w:r>
        <w:rPr>
          <w:rFonts w:hint="eastAsia" w:cs="宋体"/>
          <w:color w:val="auto"/>
          <w:sz w:val="21"/>
          <w:szCs w:val="21"/>
          <w:highlight w:val="none"/>
          <w:lang w:val="en-US" w:eastAsia="zh-CN"/>
        </w:rPr>
        <w:t>资格审查不合格结论情况表</w:t>
      </w:r>
    </w:p>
    <w:tbl>
      <w:tblPr>
        <w:tblStyle w:val="39"/>
        <w:tblW w:w="9519" w:type="dxa"/>
        <w:jc w:val="center"/>
        <w:tblLayout w:type="fixed"/>
        <w:tblCellMar>
          <w:top w:w="0" w:type="dxa"/>
          <w:left w:w="108" w:type="dxa"/>
          <w:bottom w:w="0" w:type="dxa"/>
          <w:right w:w="108" w:type="dxa"/>
        </w:tblCellMar>
      </w:tblPr>
      <w:tblGrid>
        <w:gridCol w:w="885"/>
        <w:gridCol w:w="3323"/>
        <w:gridCol w:w="5311"/>
      </w:tblGrid>
      <w:tr w14:paraId="06FDA31B">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0902BAF3">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序号</w:t>
            </w:r>
            <w:r>
              <w:rPr>
                <w:rFonts w:ascii="Times New Roman" w:hAnsi="Times New Roman"/>
                <w:color w:val="auto"/>
                <w:sz w:val="21"/>
                <w:szCs w:val="21"/>
                <w:highlight w:val="none"/>
              </w:rPr>
              <w:t> </w:t>
            </w:r>
          </w:p>
        </w:tc>
        <w:tc>
          <w:tcPr>
            <w:tcW w:w="3323" w:type="dxa"/>
            <w:tcBorders>
              <w:top w:val="single" w:color="auto" w:sz="4" w:space="0"/>
              <w:left w:val="nil"/>
              <w:bottom w:val="single" w:color="auto" w:sz="4" w:space="0"/>
              <w:right w:val="single" w:color="auto" w:sz="4" w:space="0"/>
            </w:tcBorders>
            <w:noWrap w:val="0"/>
            <w:vAlign w:val="center"/>
          </w:tcPr>
          <w:p w14:paraId="344771B7">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投标人名称</w:t>
            </w:r>
          </w:p>
        </w:tc>
        <w:tc>
          <w:tcPr>
            <w:tcW w:w="5311" w:type="dxa"/>
            <w:tcBorders>
              <w:top w:val="single" w:color="auto" w:sz="4" w:space="0"/>
              <w:left w:val="nil"/>
              <w:bottom w:val="single" w:color="auto" w:sz="4" w:space="0"/>
              <w:right w:val="single" w:color="auto" w:sz="4" w:space="0"/>
            </w:tcBorders>
            <w:noWrap w:val="0"/>
            <w:vAlign w:val="center"/>
          </w:tcPr>
          <w:p w14:paraId="3E2B36DB">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资格审查</w:t>
            </w:r>
            <w:r>
              <w:rPr>
                <w:rFonts w:hint="eastAsia" w:hAnsi="Times New Roman"/>
                <w:color w:val="auto"/>
                <w:sz w:val="21"/>
                <w:szCs w:val="21"/>
                <w:highlight w:val="none"/>
                <w:lang w:val="en-US" w:eastAsia="zh-CN"/>
              </w:rPr>
              <w:t>不合格原因及依据</w:t>
            </w:r>
          </w:p>
        </w:tc>
      </w:tr>
      <w:tr w14:paraId="32F9B824">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35CE0593">
            <w:pPr>
              <w:adjustRightInd w:val="0"/>
              <w:snapToGrid w:val="0"/>
              <w:spacing w:line="240" w:lineRule="atLeast"/>
              <w:jc w:val="center"/>
              <w:rPr>
                <w:rFonts w:hAnsi="Times New Roman"/>
                <w:color w:val="auto"/>
                <w:sz w:val="21"/>
                <w:szCs w:val="21"/>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3D4FDB4C">
            <w:pPr>
              <w:adjustRightInd w:val="0"/>
              <w:snapToGrid w:val="0"/>
              <w:spacing w:line="360" w:lineRule="auto"/>
              <w:jc w:val="center"/>
              <w:rPr>
                <w:rFonts w:hAnsi="Times New Roman"/>
                <w:color w:val="auto"/>
                <w:sz w:val="21"/>
                <w:szCs w:val="21"/>
                <w:highlight w:val="none"/>
              </w:rPr>
            </w:pPr>
          </w:p>
        </w:tc>
        <w:tc>
          <w:tcPr>
            <w:tcW w:w="5311" w:type="dxa"/>
            <w:tcBorders>
              <w:top w:val="single" w:color="auto" w:sz="4" w:space="0"/>
              <w:left w:val="nil"/>
              <w:bottom w:val="single" w:color="auto" w:sz="4" w:space="0"/>
              <w:right w:val="single" w:color="auto" w:sz="4" w:space="0"/>
            </w:tcBorders>
            <w:noWrap w:val="0"/>
            <w:vAlign w:val="center"/>
          </w:tcPr>
          <w:p w14:paraId="48B9DD53">
            <w:pPr>
              <w:adjustRightInd w:val="0"/>
              <w:snapToGrid w:val="0"/>
              <w:spacing w:line="360" w:lineRule="auto"/>
              <w:jc w:val="center"/>
              <w:rPr>
                <w:rFonts w:hAnsi="Times New Roman"/>
                <w:color w:val="auto"/>
                <w:sz w:val="21"/>
                <w:szCs w:val="21"/>
                <w:highlight w:val="none"/>
              </w:rPr>
            </w:pPr>
          </w:p>
        </w:tc>
      </w:tr>
      <w:tr w14:paraId="65BE2531">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58AEB9FD">
            <w:pPr>
              <w:adjustRightInd w:val="0"/>
              <w:snapToGrid w:val="0"/>
              <w:spacing w:line="240" w:lineRule="atLeast"/>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14:paraId="09A85A86">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5311" w:type="dxa"/>
            <w:tcBorders>
              <w:top w:val="single" w:color="auto" w:sz="4" w:space="0"/>
              <w:left w:val="nil"/>
              <w:bottom w:val="single" w:color="auto" w:sz="4" w:space="0"/>
              <w:right w:val="single" w:color="auto" w:sz="4" w:space="0"/>
            </w:tcBorders>
            <w:noWrap w:val="0"/>
            <w:vAlign w:val="center"/>
          </w:tcPr>
          <w:p w14:paraId="297F3432">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r>
    </w:tbl>
    <w:p w14:paraId="0537AAE2">
      <w:pPr>
        <w:spacing w:line="312" w:lineRule="auto"/>
        <w:ind w:left="420"/>
        <w:rPr>
          <w:color w:val="auto"/>
          <w:szCs w:val="21"/>
          <w:highlight w:val="none"/>
        </w:rPr>
      </w:pPr>
      <w:r>
        <w:rPr>
          <w:rFonts w:hint="eastAsia"/>
          <w:color w:val="auto"/>
          <w:szCs w:val="21"/>
          <w:highlight w:val="none"/>
        </w:rPr>
        <w:t>1.2未入围投标人名单</w:t>
      </w:r>
    </w:p>
    <w:tbl>
      <w:tblPr>
        <w:tblStyle w:val="39"/>
        <w:tblW w:w="9458" w:type="dxa"/>
        <w:jc w:val="center"/>
        <w:tblLayout w:type="fixed"/>
        <w:tblCellMar>
          <w:top w:w="0" w:type="dxa"/>
          <w:left w:w="108" w:type="dxa"/>
          <w:bottom w:w="0" w:type="dxa"/>
          <w:right w:w="108" w:type="dxa"/>
        </w:tblCellMar>
      </w:tblPr>
      <w:tblGrid>
        <w:gridCol w:w="885"/>
        <w:gridCol w:w="3323"/>
        <w:gridCol w:w="5250"/>
      </w:tblGrid>
      <w:tr w14:paraId="6611107E">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2FF8B95C">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序号 </w:t>
            </w:r>
          </w:p>
        </w:tc>
        <w:tc>
          <w:tcPr>
            <w:tcW w:w="3323" w:type="dxa"/>
            <w:tcBorders>
              <w:top w:val="single" w:color="auto" w:sz="4" w:space="0"/>
              <w:left w:val="nil"/>
              <w:bottom w:val="single" w:color="auto" w:sz="4" w:space="0"/>
              <w:right w:val="single" w:color="auto" w:sz="4" w:space="0"/>
            </w:tcBorders>
            <w:noWrap w:val="0"/>
            <w:vAlign w:val="center"/>
          </w:tcPr>
          <w:p w14:paraId="05410A73">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投标人名称</w:t>
            </w:r>
          </w:p>
        </w:tc>
        <w:tc>
          <w:tcPr>
            <w:tcW w:w="5250" w:type="dxa"/>
            <w:tcBorders>
              <w:top w:val="single" w:color="auto" w:sz="4" w:space="0"/>
              <w:left w:val="nil"/>
              <w:bottom w:val="single" w:color="auto" w:sz="4" w:space="0"/>
              <w:right w:val="single" w:color="auto" w:sz="4" w:space="0"/>
            </w:tcBorders>
            <w:noWrap w:val="0"/>
            <w:vAlign w:val="center"/>
          </w:tcPr>
          <w:p w14:paraId="5CA57088">
            <w:pPr>
              <w:adjustRightInd w:val="0"/>
              <w:snapToGrid w:val="0"/>
              <w:spacing w:line="240" w:lineRule="atLeast"/>
              <w:jc w:val="center"/>
              <w:rPr>
                <w:rFonts w:hint="eastAsia" w:hAnsi="Times New Roman"/>
                <w:color w:val="auto"/>
                <w:sz w:val="21"/>
                <w:szCs w:val="21"/>
                <w:highlight w:val="none"/>
              </w:rPr>
            </w:pPr>
            <w:r>
              <w:rPr>
                <w:rFonts w:hint="eastAsia" w:hAnsi="Times New Roman"/>
                <w:color w:val="auto"/>
                <w:sz w:val="21"/>
                <w:szCs w:val="21"/>
                <w:highlight w:val="none"/>
              </w:rPr>
              <w:t>未入围原因</w:t>
            </w:r>
          </w:p>
        </w:tc>
      </w:tr>
      <w:tr w14:paraId="4E84C901">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1A141A12">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1BA02DBC">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14:paraId="0602BC3B">
            <w:pPr>
              <w:adjustRightInd w:val="0"/>
              <w:snapToGrid w:val="0"/>
              <w:spacing w:line="360" w:lineRule="auto"/>
              <w:jc w:val="center"/>
              <w:rPr>
                <w:rFonts w:hAnsi="Times New Roman"/>
                <w:color w:val="auto"/>
                <w:sz w:val="15"/>
                <w:szCs w:val="15"/>
                <w:highlight w:val="none"/>
              </w:rPr>
            </w:pPr>
          </w:p>
        </w:tc>
      </w:tr>
      <w:tr w14:paraId="0F107277">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55726146">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418DFDB1">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14:paraId="00458878">
            <w:pPr>
              <w:adjustRightInd w:val="0"/>
              <w:snapToGrid w:val="0"/>
              <w:spacing w:line="360" w:lineRule="auto"/>
              <w:jc w:val="center"/>
              <w:rPr>
                <w:rFonts w:hAnsi="Times New Roman"/>
                <w:color w:val="auto"/>
                <w:sz w:val="15"/>
                <w:szCs w:val="15"/>
                <w:highlight w:val="none"/>
              </w:rPr>
            </w:pPr>
          </w:p>
        </w:tc>
      </w:tr>
      <w:tr w14:paraId="11DB9E79">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1A08308B">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3F45FEC9">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14:paraId="5DDD8B65">
            <w:pPr>
              <w:adjustRightInd w:val="0"/>
              <w:snapToGrid w:val="0"/>
              <w:spacing w:line="360" w:lineRule="auto"/>
              <w:jc w:val="center"/>
              <w:rPr>
                <w:rFonts w:hAnsi="Times New Roman"/>
                <w:color w:val="auto"/>
                <w:sz w:val="15"/>
                <w:szCs w:val="15"/>
                <w:highlight w:val="none"/>
              </w:rPr>
            </w:pPr>
          </w:p>
        </w:tc>
      </w:tr>
      <w:tr w14:paraId="1266570D">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420F4651">
            <w:pPr>
              <w:adjustRightInd w:val="0"/>
              <w:snapToGrid w:val="0"/>
              <w:spacing w:line="240" w:lineRule="atLeast"/>
              <w:jc w:val="center"/>
              <w:rPr>
                <w:rFonts w:hAnsi="Times New Roman"/>
                <w:color w:val="auto"/>
                <w:sz w:val="15"/>
                <w:szCs w:val="15"/>
                <w:highlight w:val="none"/>
              </w:rPr>
            </w:pPr>
          </w:p>
        </w:tc>
        <w:tc>
          <w:tcPr>
            <w:tcW w:w="3323" w:type="dxa"/>
            <w:tcBorders>
              <w:top w:val="single" w:color="auto" w:sz="4" w:space="0"/>
              <w:left w:val="nil"/>
              <w:bottom w:val="single" w:color="auto" w:sz="4" w:space="0"/>
              <w:right w:val="single" w:color="auto" w:sz="4" w:space="0"/>
            </w:tcBorders>
            <w:noWrap w:val="0"/>
            <w:vAlign w:val="center"/>
          </w:tcPr>
          <w:p w14:paraId="4E4E3E41">
            <w:pPr>
              <w:adjustRightInd w:val="0"/>
              <w:snapToGrid w:val="0"/>
              <w:spacing w:line="360" w:lineRule="auto"/>
              <w:jc w:val="center"/>
              <w:rPr>
                <w:rFonts w:hAnsi="Times New Roman"/>
                <w:color w:val="auto"/>
                <w:sz w:val="15"/>
                <w:szCs w:val="15"/>
                <w:highlight w:val="none"/>
              </w:rPr>
            </w:pPr>
          </w:p>
        </w:tc>
        <w:tc>
          <w:tcPr>
            <w:tcW w:w="5250" w:type="dxa"/>
            <w:tcBorders>
              <w:top w:val="single" w:color="auto" w:sz="4" w:space="0"/>
              <w:left w:val="nil"/>
              <w:bottom w:val="single" w:color="auto" w:sz="4" w:space="0"/>
              <w:right w:val="single" w:color="auto" w:sz="4" w:space="0"/>
            </w:tcBorders>
            <w:noWrap w:val="0"/>
            <w:vAlign w:val="center"/>
          </w:tcPr>
          <w:p w14:paraId="26732F18">
            <w:pPr>
              <w:adjustRightInd w:val="0"/>
              <w:snapToGrid w:val="0"/>
              <w:spacing w:line="360" w:lineRule="auto"/>
              <w:jc w:val="center"/>
              <w:rPr>
                <w:rFonts w:hAnsi="Times New Roman"/>
                <w:color w:val="auto"/>
                <w:sz w:val="15"/>
                <w:szCs w:val="15"/>
                <w:highlight w:val="none"/>
              </w:rPr>
            </w:pPr>
          </w:p>
        </w:tc>
      </w:tr>
      <w:tr w14:paraId="5A0BE5CC">
        <w:tblPrEx>
          <w:tblCellMar>
            <w:top w:w="0" w:type="dxa"/>
            <w:left w:w="108" w:type="dxa"/>
            <w:bottom w:w="0" w:type="dxa"/>
            <w:right w:w="108" w:type="dxa"/>
          </w:tblCellMar>
        </w:tblPrEx>
        <w:trPr>
          <w:trHeight w:val="556"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8CE4469">
            <w:pPr>
              <w:adjustRightInd w:val="0"/>
              <w:snapToGrid w:val="0"/>
              <w:spacing w:line="240" w:lineRule="atLeast"/>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3323" w:type="dxa"/>
            <w:tcBorders>
              <w:top w:val="single" w:color="auto" w:sz="4" w:space="0"/>
              <w:left w:val="nil"/>
              <w:bottom w:val="single" w:color="auto" w:sz="4" w:space="0"/>
              <w:right w:val="single" w:color="auto" w:sz="4" w:space="0"/>
            </w:tcBorders>
            <w:noWrap w:val="0"/>
            <w:vAlign w:val="center"/>
          </w:tcPr>
          <w:p w14:paraId="0CF58271">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c>
          <w:tcPr>
            <w:tcW w:w="5250" w:type="dxa"/>
            <w:tcBorders>
              <w:top w:val="single" w:color="auto" w:sz="4" w:space="0"/>
              <w:left w:val="nil"/>
              <w:bottom w:val="single" w:color="auto" w:sz="4" w:space="0"/>
              <w:right w:val="single" w:color="auto" w:sz="4" w:space="0"/>
            </w:tcBorders>
            <w:noWrap w:val="0"/>
            <w:vAlign w:val="center"/>
          </w:tcPr>
          <w:p w14:paraId="501D7829">
            <w:pPr>
              <w:adjustRightInd w:val="0"/>
              <w:snapToGrid w:val="0"/>
              <w:spacing w:line="360" w:lineRule="auto"/>
              <w:jc w:val="center"/>
              <w:rPr>
                <w:rFonts w:hAnsi="Times New Roman"/>
                <w:color w:val="auto"/>
                <w:sz w:val="15"/>
                <w:szCs w:val="15"/>
                <w:highlight w:val="none"/>
              </w:rPr>
            </w:pPr>
            <w:r>
              <w:rPr>
                <w:rFonts w:hint="eastAsia" w:hAnsi="Times New Roman"/>
                <w:color w:val="auto"/>
                <w:sz w:val="21"/>
                <w:szCs w:val="21"/>
                <w:highlight w:val="none"/>
                <w:lang w:eastAsia="zh-CN"/>
              </w:rPr>
              <w:t>……</w:t>
            </w:r>
          </w:p>
        </w:tc>
      </w:tr>
    </w:tbl>
    <w:p w14:paraId="751C01B5">
      <w:pPr>
        <w:spacing w:line="360" w:lineRule="auto"/>
        <w:ind w:firstLine="420" w:firstLineChars="200"/>
        <w:jc w:val="left"/>
        <w:rPr>
          <w:rFonts w:ascii="Calibri" w:hAnsi="Calibri" w:cs="Calibri"/>
          <w:color w:val="auto"/>
          <w:sz w:val="24"/>
          <w:szCs w:val="24"/>
          <w:highlight w:val="none"/>
        </w:rPr>
      </w:pPr>
      <w:r>
        <w:rPr>
          <w:rFonts w:hint="eastAsia" w:cs="宋体"/>
          <w:color w:val="auto"/>
          <w:sz w:val="21"/>
          <w:szCs w:val="21"/>
          <w:highlight w:val="none"/>
          <w:lang w:val="en-US" w:eastAsia="zh-CN"/>
        </w:rPr>
        <w:t>1.3</w:t>
      </w:r>
      <w:r>
        <w:rPr>
          <w:rFonts w:hint="eastAsia" w:cs="宋体"/>
          <w:color w:val="auto"/>
          <w:sz w:val="21"/>
          <w:szCs w:val="21"/>
          <w:highlight w:val="none"/>
        </w:rPr>
        <w:t>推荐的定标候选人</w:t>
      </w:r>
      <w:r>
        <w:rPr>
          <w:rFonts w:hint="eastAsia" w:cs="宋体"/>
          <w:color w:val="auto"/>
          <w:sz w:val="21"/>
          <w:szCs w:val="21"/>
          <w:highlight w:val="none"/>
          <w:lang w:val="en-US" w:eastAsia="zh-CN"/>
        </w:rPr>
        <w:t>名单</w:t>
      </w:r>
      <w:r>
        <w:rPr>
          <w:rFonts w:hint="eastAsia" w:cs="宋体"/>
          <w:color w:val="auto"/>
          <w:sz w:val="21"/>
          <w:szCs w:val="21"/>
          <w:highlight w:val="none"/>
        </w:rPr>
        <w:t>及主要投标内容：</w:t>
      </w:r>
    </w:p>
    <w:tbl>
      <w:tblPr>
        <w:tblStyle w:val="39"/>
        <w:tblpPr w:leftFromText="180" w:rightFromText="180" w:vertAnchor="text" w:horzAnchor="page" w:tblpXSpec="center" w:tblpY="270"/>
        <w:tblOverlap w:val="never"/>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800"/>
        <w:gridCol w:w="1213"/>
        <w:gridCol w:w="1011"/>
        <w:gridCol w:w="616"/>
        <w:gridCol w:w="967"/>
        <w:gridCol w:w="1013"/>
        <w:gridCol w:w="1127"/>
        <w:gridCol w:w="1301"/>
      </w:tblGrid>
      <w:tr w14:paraId="56E9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35AD787E">
            <w:pPr>
              <w:jc w:val="center"/>
              <w:rPr>
                <w:rFonts w:cs="宋体"/>
                <w:color w:val="auto"/>
                <w:sz w:val="18"/>
                <w:szCs w:val="18"/>
                <w:highlight w:val="none"/>
              </w:rPr>
            </w:pPr>
            <w:r>
              <w:rPr>
                <w:rFonts w:hint="eastAsia" w:cs="宋体"/>
                <w:color w:val="auto"/>
                <w:sz w:val="18"/>
                <w:szCs w:val="18"/>
                <w:highlight w:val="none"/>
              </w:rPr>
              <w:t>序号</w:t>
            </w:r>
          </w:p>
        </w:tc>
        <w:tc>
          <w:tcPr>
            <w:tcW w:w="1800" w:type="dxa"/>
            <w:tcBorders>
              <w:top w:val="single" w:color="auto" w:sz="4" w:space="0"/>
              <w:left w:val="single" w:color="auto" w:sz="4" w:space="0"/>
              <w:bottom w:val="single" w:color="auto" w:sz="4" w:space="0"/>
              <w:right w:val="single" w:color="auto" w:sz="4" w:space="0"/>
              <w:tl2br w:val="single" w:color="auto" w:sz="4" w:space="0"/>
            </w:tcBorders>
          </w:tcPr>
          <w:p w14:paraId="1FCDA835">
            <w:pPr>
              <w:ind w:left="630" w:leftChars="300" w:firstLine="360" w:firstLineChars="200"/>
              <w:jc w:val="left"/>
              <w:rPr>
                <w:rFonts w:cs="宋体"/>
                <w:color w:val="auto"/>
                <w:sz w:val="18"/>
                <w:szCs w:val="18"/>
                <w:highlight w:val="none"/>
              </w:rPr>
            </w:pPr>
          </w:p>
          <w:p w14:paraId="0030C222">
            <w:pPr>
              <w:ind w:firstLine="720" w:firstLineChars="400"/>
              <w:jc w:val="left"/>
              <w:rPr>
                <w:rFonts w:cs="宋体"/>
                <w:color w:val="auto"/>
                <w:sz w:val="18"/>
                <w:szCs w:val="18"/>
                <w:highlight w:val="none"/>
              </w:rPr>
            </w:pPr>
            <w:r>
              <w:rPr>
                <w:rFonts w:cs="Calibri"/>
                <w:color w:val="auto"/>
                <w:sz w:val="18"/>
                <w:szCs w:val="18"/>
                <w:highlight w:val="none"/>
              </w:rPr>
              <w:t>投标主要内容</w:t>
            </w:r>
          </w:p>
          <w:p w14:paraId="1748D542">
            <w:pPr>
              <w:jc w:val="left"/>
              <w:rPr>
                <w:rFonts w:cs="Calibri"/>
                <w:color w:val="auto"/>
                <w:sz w:val="18"/>
                <w:szCs w:val="18"/>
                <w:highlight w:val="none"/>
              </w:rPr>
            </w:pPr>
          </w:p>
          <w:p w14:paraId="454F1D38">
            <w:pPr>
              <w:jc w:val="left"/>
              <w:rPr>
                <w:rFonts w:cs="宋体"/>
                <w:color w:val="auto"/>
                <w:sz w:val="18"/>
                <w:szCs w:val="18"/>
                <w:highlight w:val="none"/>
              </w:rPr>
            </w:pPr>
            <w:r>
              <w:rPr>
                <w:rFonts w:hint="eastAsia" w:cs="宋体"/>
                <w:color w:val="auto"/>
                <w:sz w:val="18"/>
                <w:szCs w:val="18"/>
                <w:highlight w:val="none"/>
              </w:rPr>
              <w:t>定标候选人</w:t>
            </w:r>
          </w:p>
          <w:p w14:paraId="7B9BC987">
            <w:pPr>
              <w:jc w:val="left"/>
              <w:rPr>
                <w:rFonts w:cs="Calibri"/>
                <w:color w:val="auto"/>
                <w:sz w:val="18"/>
                <w:szCs w:val="18"/>
                <w:highlight w:val="none"/>
              </w:rPr>
            </w:pPr>
            <w:r>
              <w:rPr>
                <w:rFonts w:hint="eastAsia" w:cs="宋体"/>
                <w:color w:val="auto"/>
                <w:sz w:val="18"/>
                <w:szCs w:val="18"/>
                <w:highlight w:val="none"/>
              </w:rPr>
              <w:t>名称</w:t>
            </w:r>
          </w:p>
        </w:tc>
        <w:tc>
          <w:tcPr>
            <w:tcW w:w="1213" w:type="dxa"/>
            <w:tcBorders>
              <w:top w:val="single" w:color="auto" w:sz="4" w:space="0"/>
              <w:left w:val="nil"/>
              <w:bottom w:val="single" w:color="auto" w:sz="4" w:space="0"/>
              <w:right w:val="single" w:color="auto" w:sz="4" w:space="0"/>
            </w:tcBorders>
            <w:vAlign w:val="center"/>
          </w:tcPr>
          <w:p w14:paraId="58B33376">
            <w:pPr>
              <w:jc w:val="center"/>
              <w:rPr>
                <w:rFonts w:cs="Calibri"/>
                <w:color w:val="auto"/>
                <w:sz w:val="18"/>
                <w:szCs w:val="18"/>
                <w:highlight w:val="none"/>
              </w:rPr>
            </w:pPr>
            <w:r>
              <w:rPr>
                <w:rFonts w:hint="eastAsia" w:cs="宋体"/>
                <w:color w:val="auto"/>
                <w:sz w:val="18"/>
                <w:szCs w:val="18"/>
                <w:highlight w:val="none"/>
              </w:rPr>
              <w:t>投标报价总价（元）</w:t>
            </w:r>
          </w:p>
        </w:tc>
        <w:tc>
          <w:tcPr>
            <w:tcW w:w="1011" w:type="dxa"/>
            <w:tcBorders>
              <w:top w:val="single" w:color="auto" w:sz="4" w:space="0"/>
              <w:left w:val="nil"/>
              <w:bottom w:val="single" w:color="auto" w:sz="4" w:space="0"/>
              <w:right w:val="single" w:color="auto" w:sz="4" w:space="0"/>
            </w:tcBorders>
            <w:vAlign w:val="center"/>
          </w:tcPr>
          <w:p w14:paraId="5E7633E8">
            <w:pPr>
              <w:jc w:val="center"/>
              <w:rPr>
                <w:rFonts w:cs="宋体"/>
                <w:color w:val="auto"/>
                <w:sz w:val="18"/>
                <w:szCs w:val="18"/>
                <w:highlight w:val="none"/>
              </w:rPr>
            </w:pPr>
            <w:r>
              <w:rPr>
                <w:rFonts w:hint="eastAsia" w:cs="宋体"/>
                <w:color w:val="auto"/>
                <w:sz w:val="18"/>
                <w:szCs w:val="18"/>
                <w:highlight w:val="none"/>
              </w:rPr>
              <w:t>工期</w:t>
            </w:r>
          </w:p>
          <w:p w14:paraId="61494BB0">
            <w:pPr>
              <w:jc w:val="center"/>
              <w:rPr>
                <w:rFonts w:cs="Calibri"/>
                <w:color w:val="auto"/>
                <w:sz w:val="18"/>
                <w:szCs w:val="18"/>
                <w:highlight w:val="none"/>
              </w:rPr>
            </w:pPr>
            <w:r>
              <w:rPr>
                <w:rFonts w:hint="eastAsia" w:cs="宋体"/>
                <w:color w:val="auto"/>
                <w:sz w:val="18"/>
                <w:szCs w:val="18"/>
                <w:highlight w:val="none"/>
              </w:rPr>
              <w:t>（日历天）</w:t>
            </w:r>
          </w:p>
        </w:tc>
        <w:tc>
          <w:tcPr>
            <w:tcW w:w="616" w:type="dxa"/>
            <w:tcBorders>
              <w:top w:val="single" w:color="auto" w:sz="4" w:space="0"/>
              <w:left w:val="nil"/>
              <w:bottom w:val="single" w:color="auto" w:sz="4" w:space="0"/>
              <w:right w:val="single" w:color="auto" w:sz="4" w:space="0"/>
            </w:tcBorders>
            <w:vAlign w:val="center"/>
          </w:tcPr>
          <w:p w14:paraId="436E0C0F">
            <w:pPr>
              <w:jc w:val="center"/>
              <w:rPr>
                <w:rFonts w:cs="宋体"/>
                <w:color w:val="auto"/>
                <w:sz w:val="18"/>
                <w:szCs w:val="18"/>
                <w:highlight w:val="none"/>
              </w:rPr>
            </w:pPr>
            <w:r>
              <w:rPr>
                <w:rFonts w:hint="eastAsia" w:cs="宋体"/>
                <w:color w:val="auto"/>
                <w:sz w:val="18"/>
                <w:szCs w:val="18"/>
                <w:highlight w:val="none"/>
              </w:rPr>
              <w:t>质量</w:t>
            </w:r>
          </w:p>
          <w:p w14:paraId="6FF28387">
            <w:pPr>
              <w:jc w:val="center"/>
              <w:rPr>
                <w:rFonts w:cs="Calibri"/>
                <w:color w:val="auto"/>
                <w:sz w:val="18"/>
                <w:szCs w:val="18"/>
                <w:highlight w:val="none"/>
              </w:rPr>
            </w:pPr>
            <w:r>
              <w:rPr>
                <w:rFonts w:hint="eastAsia" w:cs="宋体"/>
                <w:color w:val="auto"/>
                <w:sz w:val="18"/>
                <w:szCs w:val="18"/>
                <w:highlight w:val="none"/>
              </w:rPr>
              <w:t>标准</w:t>
            </w:r>
          </w:p>
        </w:tc>
        <w:tc>
          <w:tcPr>
            <w:tcW w:w="967" w:type="dxa"/>
            <w:tcBorders>
              <w:top w:val="single" w:color="auto" w:sz="4" w:space="0"/>
              <w:left w:val="nil"/>
              <w:bottom w:val="single" w:color="auto" w:sz="4" w:space="0"/>
              <w:right w:val="single" w:color="auto" w:sz="4" w:space="0"/>
            </w:tcBorders>
            <w:vAlign w:val="center"/>
          </w:tcPr>
          <w:p w14:paraId="4A119372">
            <w:pPr>
              <w:jc w:val="center"/>
              <w:rPr>
                <w:rFonts w:cs="Calibri"/>
                <w:color w:val="auto"/>
                <w:sz w:val="18"/>
                <w:szCs w:val="18"/>
                <w:highlight w:val="none"/>
              </w:rPr>
            </w:pPr>
            <w:r>
              <w:rPr>
                <w:rFonts w:hint="eastAsia" w:cs="宋体"/>
                <w:color w:val="auto"/>
                <w:sz w:val="18"/>
                <w:szCs w:val="18"/>
                <w:highlight w:val="none"/>
              </w:rPr>
              <w:t>项目负责人</w:t>
            </w:r>
          </w:p>
        </w:tc>
        <w:tc>
          <w:tcPr>
            <w:tcW w:w="1013" w:type="dxa"/>
            <w:tcBorders>
              <w:top w:val="single" w:color="auto" w:sz="4" w:space="0"/>
              <w:left w:val="nil"/>
              <w:bottom w:val="single" w:color="auto" w:sz="4" w:space="0"/>
              <w:right w:val="single" w:color="auto" w:sz="4" w:space="0"/>
            </w:tcBorders>
            <w:vAlign w:val="center"/>
          </w:tcPr>
          <w:p w14:paraId="003C64C5">
            <w:pPr>
              <w:jc w:val="center"/>
              <w:rPr>
                <w:rFonts w:cs="Calibri"/>
                <w:color w:val="auto"/>
                <w:sz w:val="18"/>
                <w:szCs w:val="18"/>
                <w:highlight w:val="none"/>
              </w:rPr>
            </w:pPr>
            <w:r>
              <w:rPr>
                <w:rFonts w:hint="eastAsia" w:cs="宋体"/>
                <w:color w:val="auto"/>
                <w:sz w:val="18"/>
                <w:szCs w:val="18"/>
                <w:highlight w:val="none"/>
              </w:rPr>
              <w:t>项目负责人执业资格证书（或职称证书）名称及编号</w:t>
            </w:r>
          </w:p>
        </w:tc>
        <w:tc>
          <w:tcPr>
            <w:tcW w:w="1127" w:type="dxa"/>
            <w:tcBorders>
              <w:top w:val="single" w:color="auto" w:sz="4" w:space="0"/>
              <w:left w:val="nil"/>
              <w:bottom w:val="single" w:color="auto" w:sz="4" w:space="0"/>
              <w:right w:val="single" w:color="auto" w:sz="4" w:space="0"/>
            </w:tcBorders>
            <w:vAlign w:val="center"/>
          </w:tcPr>
          <w:p w14:paraId="0B04C201">
            <w:pPr>
              <w:jc w:val="center"/>
              <w:rPr>
                <w:rFonts w:cs="宋体"/>
                <w:color w:val="auto"/>
                <w:sz w:val="18"/>
                <w:szCs w:val="18"/>
                <w:highlight w:val="none"/>
              </w:rPr>
            </w:pPr>
            <w:r>
              <w:rPr>
                <w:rFonts w:hint="eastAsia" w:cs="宋体"/>
                <w:color w:val="auto"/>
                <w:sz w:val="18"/>
                <w:szCs w:val="18"/>
                <w:highlight w:val="none"/>
              </w:rPr>
              <w:t>定标候选人</w:t>
            </w:r>
          </w:p>
          <w:p w14:paraId="1EA8107A">
            <w:pPr>
              <w:jc w:val="center"/>
              <w:rPr>
                <w:rFonts w:cs="宋体"/>
                <w:color w:val="auto"/>
                <w:sz w:val="18"/>
                <w:szCs w:val="18"/>
                <w:highlight w:val="none"/>
              </w:rPr>
            </w:pPr>
            <w:r>
              <w:rPr>
                <w:rFonts w:hint="eastAsia" w:cs="宋体"/>
                <w:color w:val="auto"/>
                <w:sz w:val="18"/>
                <w:szCs w:val="18"/>
                <w:highlight w:val="none"/>
              </w:rPr>
              <w:t>类似工程业绩</w:t>
            </w:r>
          </w:p>
        </w:tc>
        <w:tc>
          <w:tcPr>
            <w:tcW w:w="1301" w:type="dxa"/>
            <w:tcBorders>
              <w:top w:val="single" w:color="auto" w:sz="4" w:space="0"/>
              <w:left w:val="single" w:color="auto" w:sz="4" w:space="0"/>
              <w:bottom w:val="single" w:color="auto" w:sz="4" w:space="0"/>
              <w:right w:val="single" w:color="auto" w:sz="4" w:space="0"/>
            </w:tcBorders>
            <w:vAlign w:val="center"/>
          </w:tcPr>
          <w:p w14:paraId="63DC11C7">
            <w:pPr>
              <w:jc w:val="center"/>
              <w:rPr>
                <w:rFonts w:cs="宋体"/>
                <w:color w:val="auto"/>
                <w:sz w:val="18"/>
                <w:szCs w:val="18"/>
                <w:highlight w:val="none"/>
              </w:rPr>
            </w:pPr>
            <w:r>
              <w:rPr>
                <w:rFonts w:hint="eastAsia" w:cs="宋体"/>
                <w:color w:val="auto"/>
                <w:sz w:val="18"/>
                <w:szCs w:val="18"/>
                <w:highlight w:val="none"/>
                <w:lang w:val="en-US" w:eastAsia="zh-CN"/>
              </w:rPr>
              <w:t>最近期的福建省交通建设市场信用考核评价等级</w:t>
            </w:r>
          </w:p>
        </w:tc>
      </w:tr>
      <w:tr w14:paraId="5FE8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4102DEBD">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3C1A614F">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tcPr>
          <w:p w14:paraId="484EE3C5">
            <w:pPr>
              <w:spacing w:line="400" w:lineRule="exact"/>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tcPr>
          <w:p w14:paraId="6DCC7F50">
            <w:pPr>
              <w:spacing w:line="400" w:lineRule="exact"/>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tcPr>
          <w:p w14:paraId="16FF8328">
            <w:pPr>
              <w:spacing w:line="400" w:lineRule="exact"/>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14:paraId="6DE12D27">
            <w:pPr>
              <w:spacing w:line="400" w:lineRule="exact"/>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14:paraId="61696062">
            <w:pPr>
              <w:spacing w:line="400" w:lineRule="exact"/>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14:paraId="5CF1F6EA">
            <w:pPr>
              <w:spacing w:line="400" w:lineRule="exact"/>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616B4455">
            <w:pPr>
              <w:rPr>
                <w:color w:val="auto"/>
                <w:highlight w:val="none"/>
              </w:rPr>
            </w:pPr>
          </w:p>
          <w:p w14:paraId="1CA20AB9">
            <w:pPr>
              <w:spacing w:line="400" w:lineRule="exact"/>
              <w:ind w:firstLine="150" w:firstLineChars="100"/>
              <w:rPr>
                <w:rFonts w:cs="宋体"/>
                <w:color w:val="auto"/>
                <w:sz w:val="15"/>
                <w:szCs w:val="15"/>
                <w:highlight w:val="none"/>
              </w:rPr>
            </w:pPr>
          </w:p>
        </w:tc>
      </w:tr>
      <w:tr w14:paraId="02D7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373EFAF6">
            <w:pPr>
              <w:jc w:val="center"/>
              <w:rPr>
                <w:rFonts w:cs="Calibri"/>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53CCBD8">
            <w:pPr>
              <w:jc w:val="center"/>
              <w:rPr>
                <w:rFonts w:cs="Calibri"/>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14:paraId="7CF5FCA9">
            <w:pPr>
              <w:spacing w:before="100" w:after="100"/>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14:paraId="268850DA">
            <w:pPr>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14:paraId="10FBDB53">
            <w:pPr>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14:paraId="5DE45C47">
            <w:pPr>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14:paraId="22D1CC33">
            <w:pPr>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14:paraId="0A3E91E3">
            <w:pPr>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58FA635">
            <w:pPr>
              <w:jc w:val="center"/>
              <w:rPr>
                <w:rFonts w:cs="宋体"/>
                <w:color w:val="auto"/>
                <w:sz w:val="15"/>
                <w:szCs w:val="15"/>
                <w:highlight w:val="none"/>
              </w:rPr>
            </w:pPr>
          </w:p>
        </w:tc>
      </w:tr>
      <w:tr w14:paraId="1AB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2B2919BC">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E592774">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14:paraId="37E17CD0">
            <w:pPr>
              <w:spacing w:before="100" w:after="100"/>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14:paraId="776F92AA">
            <w:pPr>
              <w:jc w:val="center"/>
              <w:rPr>
                <w:rFonts w:cs="宋体"/>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14:paraId="4871CA36">
            <w:pPr>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14:paraId="0F983835">
            <w:pPr>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14:paraId="77C539EB">
            <w:pPr>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14:paraId="5958F709">
            <w:pPr>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5315FBBA">
            <w:pPr>
              <w:jc w:val="center"/>
              <w:rPr>
                <w:rFonts w:cs="宋体"/>
                <w:color w:val="auto"/>
                <w:sz w:val="15"/>
                <w:szCs w:val="15"/>
                <w:highlight w:val="none"/>
              </w:rPr>
            </w:pPr>
          </w:p>
        </w:tc>
      </w:tr>
      <w:tr w14:paraId="3C7B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14:paraId="200D0C2A">
            <w:pPr>
              <w:jc w:val="center"/>
              <w:rPr>
                <w:rFonts w:cs="宋体"/>
                <w:color w:val="auto"/>
                <w:sz w:val="15"/>
                <w:szCs w:val="15"/>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DAEBD9F">
            <w:pPr>
              <w:jc w:val="center"/>
              <w:rPr>
                <w:rFonts w:cs="宋体"/>
                <w:color w:val="auto"/>
                <w:sz w:val="15"/>
                <w:szCs w:val="15"/>
                <w:highlight w:val="none"/>
              </w:rPr>
            </w:pPr>
          </w:p>
        </w:tc>
        <w:tc>
          <w:tcPr>
            <w:tcW w:w="1213" w:type="dxa"/>
            <w:tcBorders>
              <w:top w:val="single" w:color="auto" w:sz="4" w:space="0"/>
              <w:left w:val="nil"/>
              <w:bottom w:val="single" w:color="auto" w:sz="4" w:space="0"/>
              <w:right w:val="single" w:color="auto" w:sz="4" w:space="0"/>
            </w:tcBorders>
            <w:vAlign w:val="center"/>
          </w:tcPr>
          <w:p w14:paraId="7AAC0A21">
            <w:pPr>
              <w:spacing w:line="400" w:lineRule="exact"/>
              <w:jc w:val="center"/>
              <w:rPr>
                <w:rFonts w:cs="宋体"/>
                <w:color w:val="auto"/>
                <w:sz w:val="15"/>
                <w:szCs w:val="15"/>
                <w:highlight w:val="none"/>
              </w:rPr>
            </w:pPr>
          </w:p>
        </w:tc>
        <w:tc>
          <w:tcPr>
            <w:tcW w:w="1011" w:type="dxa"/>
            <w:tcBorders>
              <w:top w:val="single" w:color="auto" w:sz="4" w:space="0"/>
              <w:left w:val="nil"/>
              <w:bottom w:val="single" w:color="auto" w:sz="4" w:space="0"/>
              <w:right w:val="single" w:color="auto" w:sz="4" w:space="0"/>
            </w:tcBorders>
            <w:vAlign w:val="center"/>
          </w:tcPr>
          <w:p w14:paraId="3FA56C80">
            <w:pPr>
              <w:spacing w:line="400" w:lineRule="exact"/>
              <w:jc w:val="center"/>
              <w:rPr>
                <w:rFonts w:ascii="Arial" w:hAnsi="Arial" w:cs="Arial"/>
                <w:color w:val="auto"/>
                <w:sz w:val="15"/>
                <w:szCs w:val="15"/>
                <w:highlight w:val="none"/>
              </w:rPr>
            </w:pPr>
          </w:p>
        </w:tc>
        <w:tc>
          <w:tcPr>
            <w:tcW w:w="616" w:type="dxa"/>
            <w:tcBorders>
              <w:top w:val="single" w:color="auto" w:sz="4" w:space="0"/>
              <w:left w:val="nil"/>
              <w:bottom w:val="single" w:color="auto" w:sz="4" w:space="0"/>
              <w:right w:val="single" w:color="auto" w:sz="4" w:space="0"/>
            </w:tcBorders>
            <w:vAlign w:val="center"/>
          </w:tcPr>
          <w:p w14:paraId="1BA4C60F">
            <w:pPr>
              <w:spacing w:line="400" w:lineRule="exact"/>
              <w:jc w:val="center"/>
              <w:rPr>
                <w:rFonts w:cs="宋体"/>
                <w:color w:val="auto"/>
                <w:sz w:val="15"/>
                <w:szCs w:val="15"/>
                <w:highlight w:val="none"/>
              </w:rPr>
            </w:pPr>
          </w:p>
        </w:tc>
        <w:tc>
          <w:tcPr>
            <w:tcW w:w="967" w:type="dxa"/>
            <w:tcBorders>
              <w:top w:val="single" w:color="auto" w:sz="4" w:space="0"/>
              <w:left w:val="nil"/>
              <w:bottom w:val="single" w:color="auto" w:sz="4" w:space="0"/>
              <w:right w:val="single" w:color="auto" w:sz="4" w:space="0"/>
            </w:tcBorders>
            <w:vAlign w:val="center"/>
          </w:tcPr>
          <w:p w14:paraId="645813B0">
            <w:pPr>
              <w:spacing w:line="400" w:lineRule="exact"/>
              <w:jc w:val="center"/>
              <w:rPr>
                <w:rFonts w:cs="宋体"/>
                <w:color w:val="auto"/>
                <w:sz w:val="15"/>
                <w:szCs w:val="15"/>
                <w:highlight w:val="none"/>
              </w:rPr>
            </w:pPr>
          </w:p>
        </w:tc>
        <w:tc>
          <w:tcPr>
            <w:tcW w:w="1013" w:type="dxa"/>
            <w:tcBorders>
              <w:top w:val="single" w:color="auto" w:sz="4" w:space="0"/>
              <w:left w:val="nil"/>
              <w:bottom w:val="single" w:color="auto" w:sz="4" w:space="0"/>
              <w:right w:val="single" w:color="auto" w:sz="4" w:space="0"/>
            </w:tcBorders>
            <w:vAlign w:val="center"/>
          </w:tcPr>
          <w:p w14:paraId="058B2718">
            <w:pPr>
              <w:spacing w:line="400" w:lineRule="exact"/>
              <w:jc w:val="center"/>
              <w:rPr>
                <w:rFonts w:cs="宋体"/>
                <w:color w:val="auto"/>
                <w:sz w:val="15"/>
                <w:szCs w:val="15"/>
                <w:highlight w:val="none"/>
              </w:rPr>
            </w:pPr>
          </w:p>
        </w:tc>
        <w:tc>
          <w:tcPr>
            <w:tcW w:w="1127" w:type="dxa"/>
            <w:tcBorders>
              <w:top w:val="single" w:color="auto" w:sz="4" w:space="0"/>
              <w:left w:val="nil"/>
              <w:bottom w:val="single" w:color="auto" w:sz="4" w:space="0"/>
              <w:right w:val="single" w:color="auto" w:sz="4" w:space="0"/>
            </w:tcBorders>
            <w:vAlign w:val="center"/>
          </w:tcPr>
          <w:p w14:paraId="2AECE207">
            <w:pPr>
              <w:spacing w:line="400" w:lineRule="exact"/>
              <w:jc w:val="center"/>
              <w:rPr>
                <w:rFonts w:cs="宋体"/>
                <w:color w:val="auto"/>
                <w:sz w:val="15"/>
                <w:szCs w:val="15"/>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C97E75E">
            <w:pPr>
              <w:spacing w:line="400" w:lineRule="exact"/>
              <w:jc w:val="center"/>
              <w:rPr>
                <w:rFonts w:cs="宋体"/>
                <w:color w:val="auto"/>
                <w:sz w:val="15"/>
                <w:szCs w:val="15"/>
                <w:highlight w:val="none"/>
              </w:rPr>
            </w:pPr>
          </w:p>
        </w:tc>
      </w:tr>
    </w:tbl>
    <w:p w14:paraId="7F509745">
      <w:pPr>
        <w:spacing w:line="360" w:lineRule="auto"/>
        <w:rPr>
          <w:rFonts w:cs="宋体"/>
          <w:color w:val="auto"/>
          <w:szCs w:val="21"/>
          <w:highlight w:val="none"/>
        </w:rPr>
      </w:pPr>
    </w:p>
    <w:p w14:paraId="39AF226D">
      <w:pPr>
        <w:adjustRightInd w:val="0"/>
        <w:snapToGrid w:val="0"/>
        <w:spacing w:line="360" w:lineRule="auto"/>
        <w:ind w:firstLine="448" w:firstLineChars="200"/>
        <w:rPr>
          <w:rFonts w:hint="eastAsia" w:ascii="宋体" w:hAnsi="宋体" w:cs="宋体"/>
          <w:color w:val="auto"/>
          <w:spacing w:val="7"/>
          <w:szCs w:val="21"/>
          <w:highlight w:val="non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lang w:val="en-US" w:eastAsia="zh-CN"/>
        </w:rPr>
        <w:t>4</w:t>
      </w:r>
      <w:r>
        <w:rPr>
          <w:rFonts w:hint="eastAsia" w:ascii="宋体" w:hAnsi="宋体" w:cs="宋体"/>
          <w:color w:val="auto"/>
          <w:spacing w:val="7"/>
          <w:szCs w:val="21"/>
          <w:highlight w:val="none"/>
        </w:rPr>
        <w:t>否决其投标以及未被推荐为定标候选人的投标人及原因：</w:t>
      </w:r>
    </w:p>
    <w:tbl>
      <w:tblPr>
        <w:tblStyle w:val="39"/>
        <w:tblW w:w="9227" w:type="dxa"/>
        <w:tblInd w:w="108" w:type="dxa"/>
        <w:tblLayout w:type="fixed"/>
        <w:tblCellMar>
          <w:top w:w="0" w:type="dxa"/>
          <w:left w:w="108" w:type="dxa"/>
          <w:bottom w:w="0" w:type="dxa"/>
          <w:right w:w="108" w:type="dxa"/>
        </w:tblCellMar>
      </w:tblPr>
      <w:tblGrid>
        <w:gridCol w:w="885"/>
        <w:gridCol w:w="2923"/>
        <w:gridCol w:w="5419"/>
      </w:tblGrid>
      <w:tr w14:paraId="0B959E19">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4B8BC82F">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序号</w:t>
            </w:r>
            <w:r>
              <w:rPr>
                <w:rFonts w:ascii="Times New Roman" w:hAnsi="Times New Roman"/>
                <w:color w:val="auto"/>
                <w:sz w:val="21"/>
                <w:szCs w:val="21"/>
                <w:highlight w:val="none"/>
              </w:rPr>
              <w:t> </w:t>
            </w:r>
          </w:p>
        </w:tc>
        <w:tc>
          <w:tcPr>
            <w:tcW w:w="2923" w:type="dxa"/>
            <w:tcBorders>
              <w:top w:val="single" w:color="auto" w:sz="4" w:space="0"/>
              <w:left w:val="nil"/>
              <w:bottom w:val="single" w:color="auto" w:sz="4" w:space="0"/>
              <w:right w:val="single" w:color="auto" w:sz="4" w:space="0"/>
            </w:tcBorders>
            <w:noWrap w:val="0"/>
            <w:vAlign w:val="center"/>
          </w:tcPr>
          <w:p w14:paraId="74B66E74">
            <w:pPr>
              <w:adjustRightInd w:val="0"/>
              <w:snapToGrid w:val="0"/>
              <w:spacing w:line="240" w:lineRule="atLeast"/>
              <w:jc w:val="center"/>
              <w:rPr>
                <w:rFonts w:hAnsi="Times New Roman"/>
                <w:color w:val="auto"/>
                <w:sz w:val="21"/>
                <w:szCs w:val="21"/>
                <w:highlight w:val="none"/>
              </w:rPr>
            </w:pPr>
            <w:r>
              <w:rPr>
                <w:rFonts w:hint="eastAsia" w:hAnsi="Times New Roman"/>
                <w:color w:val="auto"/>
                <w:sz w:val="21"/>
                <w:szCs w:val="21"/>
                <w:highlight w:val="none"/>
              </w:rPr>
              <w:t>投标人名称</w:t>
            </w:r>
          </w:p>
        </w:tc>
        <w:tc>
          <w:tcPr>
            <w:tcW w:w="5419" w:type="dxa"/>
            <w:tcBorders>
              <w:top w:val="single" w:color="auto" w:sz="4" w:space="0"/>
              <w:left w:val="nil"/>
              <w:bottom w:val="single" w:color="auto" w:sz="4" w:space="0"/>
              <w:right w:val="single" w:color="auto" w:sz="4" w:space="0"/>
            </w:tcBorders>
            <w:noWrap w:val="0"/>
            <w:vAlign w:val="center"/>
          </w:tcPr>
          <w:p w14:paraId="7F268907">
            <w:pPr>
              <w:adjustRightInd w:val="0"/>
              <w:snapToGrid w:val="0"/>
              <w:spacing w:line="240" w:lineRule="atLeast"/>
              <w:jc w:val="center"/>
              <w:rPr>
                <w:rFonts w:hAnsi="Times New Roman"/>
                <w:color w:val="auto"/>
                <w:sz w:val="21"/>
                <w:szCs w:val="21"/>
                <w:highlight w:val="none"/>
              </w:rPr>
            </w:pPr>
            <w:r>
              <w:rPr>
                <w:rFonts w:hint="eastAsia" w:cs="宋体"/>
                <w:color w:val="auto"/>
                <w:sz w:val="21"/>
                <w:szCs w:val="21"/>
                <w:highlight w:val="none"/>
                <w:lang w:val="en-US" w:eastAsia="zh-CN" w:bidi="ar-SA"/>
              </w:rPr>
              <w:t>否决其投标以及未被推荐为定标候选人的原因</w:t>
            </w:r>
            <w:r>
              <w:rPr>
                <w:rFonts w:hint="eastAsia" w:hAnsi="Times New Roman"/>
                <w:color w:val="auto"/>
                <w:sz w:val="21"/>
                <w:szCs w:val="21"/>
                <w:highlight w:val="none"/>
                <w:lang w:val="en-US" w:eastAsia="zh-CN"/>
              </w:rPr>
              <w:t>及依据</w:t>
            </w:r>
          </w:p>
        </w:tc>
      </w:tr>
      <w:tr w14:paraId="2A6B0B35">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71545725">
            <w:pPr>
              <w:adjustRightInd w:val="0"/>
              <w:snapToGrid w:val="0"/>
              <w:spacing w:line="240" w:lineRule="atLeast"/>
              <w:jc w:val="center"/>
              <w:rPr>
                <w:rFonts w:hAnsi="Times New Roman"/>
                <w:color w:val="auto"/>
                <w:sz w:val="21"/>
                <w:szCs w:val="21"/>
                <w:highlight w:val="none"/>
              </w:rPr>
            </w:pPr>
          </w:p>
        </w:tc>
        <w:tc>
          <w:tcPr>
            <w:tcW w:w="2923" w:type="dxa"/>
            <w:tcBorders>
              <w:top w:val="single" w:color="auto" w:sz="4" w:space="0"/>
              <w:left w:val="nil"/>
              <w:bottom w:val="single" w:color="auto" w:sz="4" w:space="0"/>
              <w:right w:val="single" w:color="auto" w:sz="4" w:space="0"/>
            </w:tcBorders>
            <w:noWrap w:val="0"/>
            <w:vAlign w:val="center"/>
          </w:tcPr>
          <w:p w14:paraId="48A576EA">
            <w:pPr>
              <w:adjustRightInd w:val="0"/>
              <w:snapToGrid w:val="0"/>
              <w:spacing w:line="360" w:lineRule="auto"/>
              <w:jc w:val="center"/>
              <w:rPr>
                <w:rFonts w:hAnsi="Times New Roman"/>
                <w:color w:val="auto"/>
                <w:sz w:val="21"/>
                <w:szCs w:val="21"/>
                <w:highlight w:val="none"/>
              </w:rPr>
            </w:pPr>
          </w:p>
        </w:tc>
        <w:tc>
          <w:tcPr>
            <w:tcW w:w="5419" w:type="dxa"/>
            <w:tcBorders>
              <w:top w:val="single" w:color="auto" w:sz="4" w:space="0"/>
              <w:left w:val="nil"/>
              <w:bottom w:val="single" w:color="auto" w:sz="4" w:space="0"/>
              <w:right w:val="single" w:color="auto" w:sz="4" w:space="0"/>
            </w:tcBorders>
            <w:noWrap w:val="0"/>
            <w:vAlign w:val="center"/>
          </w:tcPr>
          <w:p w14:paraId="5EF9AC4B">
            <w:pPr>
              <w:adjustRightInd w:val="0"/>
              <w:snapToGrid w:val="0"/>
              <w:spacing w:line="360" w:lineRule="auto"/>
              <w:jc w:val="center"/>
              <w:rPr>
                <w:rFonts w:hAnsi="Times New Roman"/>
                <w:color w:val="auto"/>
                <w:sz w:val="21"/>
                <w:szCs w:val="21"/>
                <w:highlight w:val="none"/>
              </w:rPr>
            </w:pPr>
          </w:p>
        </w:tc>
      </w:tr>
      <w:tr w14:paraId="778E837C">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noWrap w:val="0"/>
            <w:vAlign w:val="center"/>
          </w:tcPr>
          <w:p w14:paraId="0A2F56DE">
            <w:pPr>
              <w:adjustRightInd w:val="0"/>
              <w:snapToGrid w:val="0"/>
              <w:spacing w:line="240" w:lineRule="atLeast"/>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2923" w:type="dxa"/>
            <w:tcBorders>
              <w:top w:val="single" w:color="auto" w:sz="4" w:space="0"/>
              <w:left w:val="nil"/>
              <w:bottom w:val="single" w:color="auto" w:sz="4" w:space="0"/>
              <w:right w:val="single" w:color="auto" w:sz="4" w:space="0"/>
            </w:tcBorders>
            <w:noWrap w:val="0"/>
            <w:vAlign w:val="center"/>
          </w:tcPr>
          <w:p w14:paraId="12172E1A">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c>
          <w:tcPr>
            <w:tcW w:w="5419" w:type="dxa"/>
            <w:tcBorders>
              <w:top w:val="single" w:color="auto" w:sz="4" w:space="0"/>
              <w:left w:val="nil"/>
              <w:bottom w:val="single" w:color="auto" w:sz="4" w:space="0"/>
              <w:right w:val="single" w:color="auto" w:sz="4" w:space="0"/>
            </w:tcBorders>
            <w:noWrap w:val="0"/>
            <w:vAlign w:val="center"/>
          </w:tcPr>
          <w:p w14:paraId="2F91645A">
            <w:pPr>
              <w:adjustRightInd w:val="0"/>
              <w:snapToGrid w:val="0"/>
              <w:spacing w:line="360" w:lineRule="auto"/>
              <w:jc w:val="center"/>
              <w:rPr>
                <w:rFonts w:hint="eastAsia" w:hAnsi="Times New Roman" w:eastAsia="宋体"/>
                <w:color w:val="auto"/>
                <w:sz w:val="21"/>
                <w:szCs w:val="21"/>
                <w:highlight w:val="none"/>
                <w:lang w:eastAsia="zh-CN"/>
              </w:rPr>
            </w:pPr>
            <w:r>
              <w:rPr>
                <w:rFonts w:hint="eastAsia" w:hAnsi="Times New Roman"/>
                <w:color w:val="auto"/>
                <w:sz w:val="21"/>
                <w:szCs w:val="21"/>
                <w:highlight w:val="none"/>
                <w:lang w:eastAsia="zh-CN"/>
              </w:rPr>
              <w:t>……</w:t>
            </w:r>
          </w:p>
        </w:tc>
      </w:tr>
    </w:tbl>
    <w:p w14:paraId="4BFD6EB5">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 xml:space="preserve">                                                       </w:t>
      </w:r>
    </w:p>
    <w:p w14:paraId="61FD22FC">
      <w:pPr>
        <w:adjustRightInd w:val="0"/>
        <w:snapToGrid w:val="0"/>
        <w:spacing w:line="360" w:lineRule="auto"/>
        <w:ind w:firstLine="448" w:firstLineChars="200"/>
        <w:rPr>
          <w:rFonts w:cs="宋体"/>
          <w:color w:val="auto"/>
          <w:szCs w:val="21"/>
          <w:highlight w:val="none"/>
          <w:u w:val="single"/>
        </w:rPr>
      </w:pPr>
      <w:r>
        <w:rPr>
          <w:rFonts w:hint="eastAsia" w:ascii="宋体" w:hAnsi="宋体" w:cs="宋体"/>
          <w:color w:val="auto"/>
          <w:spacing w:val="7"/>
          <w:szCs w:val="21"/>
          <w:highlight w:val="none"/>
        </w:rPr>
        <w:t>1.</w:t>
      </w:r>
      <w:r>
        <w:rPr>
          <w:rFonts w:hint="eastAsia" w:ascii="宋体" w:hAnsi="宋体" w:cs="宋体"/>
          <w:color w:val="auto"/>
          <w:spacing w:val="7"/>
          <w:szCs w:val="21"/>
          <w:highlight w:val="none"/>
          <w:lang w:val="en-US" w:eastAsia="zh-CN"/>
        </w:rPr>
        <w:t xml:space="preserve">5 </w:t>
      </w:r>
      <w:r>
        <w:rPr>
          <w:rFonts w:hint="eastAsia" w:ascii="宋体" w:hAnsi="宋体" w:cs="宋体"/>
          <w:color w:val="auto"/>
          <w:spacing w:val="7"/>
          <w:szCs w:val="21"/>
          <w:highlight w:val="none"/>
        </w:rPr>
        <w:t>评标委员会对投标报价给予修正的原因、依据和修正结果（如有时）</w:t>
      </w:r>
      <w:r>
        <w:rPr>
          <w:rFonts w:hint="eastAsia" w:ascii="宋体" w:hAnsi="宋体" w:cs="宋体"/>
          <w:color w:val="auto"/>
          <w:spacing w:val="7"/>
          <w:szCs w:val="21"/>
          <w:highlight w:val="none"/>
          <w:u w:val="single"/>
        </w:rPr>
        <w:t>：    。</w:t>
      </w:r>
      <w:r>
        <w:rPr>
          <w:rFonts w:hint="eastAsia" w:ascii="宋体" w:hAnsi="宋体" w:cs="宋体"/>
          <w:color w:val="auto"/>
          <w:spacing w:val="7"/>
          <w:szCs w:val="21"/>
          <w:highlight w:val="none"/>
        </w:rPr>
        <w:t xml:space="preserve">                  </w:t>
      </w:r>
      <w:r>
        <w:rPr>
          <w:rFonts w:hint="eastAsia" w:cs="宋体"/>
          <w:color w:val="auto"/>
          <w:szCs w:val="21"/>
          <w:highlight w:val="none"/>
          <w:u w:val="single"/>
        </w:rPr>
        <w:t xml:space="preserve">                                                 </w:t>
      </w:r>
    </w:p>
    <w:p w14:paraId="074B46EA">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二、定标结果</w:t>
      </w:r>
    </w:p>
    <w:p w14:paraId="54D8387C">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2.1定标候选人综合得分（由高至低排序）、中标候选人名单</w:t>
      </w:r>
    </w:p>
    <w:tbl>
      <w:tblPr>
        <w:tblStyle w:val="39"/>
        <w:tblW w:w="9310" w:type="dxa"/>
        <w:tblInd w:w="108" w:type="dxa"/>
        <w:tblLayout w:type="fixed"/>
        <w:tblCellMar>
          <w:top w:w="0" w:type="dxa"/>
          <w:left w:w="108" w:type="dxa"/>
          <w:bottom w:w="0" w:type="dxa"/>
          <w:right w:w="108" w:type="dxa"/>
        </w:tblCellMar>
      </w:tblPr>
      <w:tblGrid>
        <w:gridCol w:w="885"/>
        <w:gridCol w:w="4645"/>
        <w:gridCol w:w="1353"/>
        <w:gridCol w:w="2427"/>
      </w:tblGrid>
      <w:tr w14:paraId="1F8DDE05">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6E35CF12">
            <w:pPr>
              <w:adjustRightInd w:val="0"/>
              <w:snapToGrid w:val="0"/>
              <w:spacing w:line="240" w:lineRule="atLeast"/>
              <w:jc w:val="center"/>
              <w:rPr>
                <w:rFonts w:hAnsi="Times New Roman"/>
                <w:color w:val="auto"/>
                <w:szCs w:val="21"/>
                <w:highlight w:val="none"/>
              </w:rPr>
            </w:pPr>
            <w:r>
              <w:rPr>
                <w:rFonts w:hint="eastAsia" w:hAnsi="Times New Roman"/>
                <w:color w:val="auto"/>
                <w:szCs w:val="21"/>
                <w:highlight w:val="none"/>
              </w:rPr>
              <w:t>序号</w:t>
            </w:r>
            <w:r>
              <w:rPr>
                <w:rFonts w:ascii="Times New Roman" w:hAnsi="Times New Roman"/>
                <w:color w:val="auto"/>
                <w:szCs w:val="21"/>
                <w:highlight w:val="none"/>
              </w:rPr>
              <w:t> </w:t>
            </w:r>
          </w:p>
        </w:tc>
        <w:tc>
          <w:tcPr>
            <w:tcW w:w="4645" w:type="dxa"/>
            <w:tcBorders>
              <w:top w:val="single" w:color="auto" w:sz="4" w:space="0"/>
              <w:left w:val="nil"/>
              <w:bottom w:val="single" w:color="auto" w:sz="4" w:space="0"/>
              <w:right w:val="single" w:color="auto" w:sz="4" w:space="0"/>
            </w:tcBorders>
            <w:vAlign w:val="center"/>
          </w:tcPr>
          <w:p w14:paraId="33302220">
            <w:pPr>
              <w:adjustRightInd w:val="0"/>
              <w:snapToGrid w:val="0"/>
              <w:spacing w:line="240" w:lineRule="atLeast"/>
              <w:jc w:val="center"/>
              <w:rPr>
                <w:rFonts w:hAnsi="Times New Roman"/>
                <w:color w:val="auto"/>
                <w:szCs w:val="21"/>
                <w:highlight w:val="none"/>
              </w:rPr>
            </w:pPr>
            <w:r>
              <w:rPr>
                <w:rFonts w:hint="eastAsia" w:hAnsi="Times New Roman"/>
                <w:color w:val="auto"/>
                <w:szCs w:val="21"/>
                <w:highlight w:val="none"/>
              </w:rPr>
              <w:t>定标候选人名称</w:t>
            </w:r>
          </w:p>
        </w:tc>
        <w:tc>
          <w:tcPr>
            <w:tcW w:w="1353" w:type="dxa"/>
            <w:tcBorders>
              <w:top w:val="single" w:color="auto" w:sz="4" w:space="0"/>
              <w:left w:val="nil"/>
              <w:bottom w:val="single" w:color="auto" w:sz="4" w:space="0"/>
              <w:right w:val="single" w:color="auto" w:sz="4" w:space="0"/>
            </w:tcBorders>
            <w:vAlign w:val="center"/>
          </w:tcPr>
          <w:p w14:paraId="4DB76F64">
            <w:pPr>
              <w:adjustRightInd w:val="0"/>
              <w:snapToGrid w:val="0"/>
              <w:spacing w:line="240" w:lineRule="atLeast"/>
              <w:jc w:val="center"/>
              <w:rPr>
                <w:rFonts w:hAnsi="Times New Roman"/>
                <w:color w:val="auto"/>
                <w:szCs w:val="21"/>
                <w:highlight w:val="none"/>
              </w:rPr>
            </w:pPr>
            <w:r>
              <w:rPr>
                <w:rFonts w:hint="eastAsia" w:cs="宋体"/>
                <w:color w:val="auto"/>
                <w:szCs w:val="21"/>
                <w:highlight w:val="none"/>
              </w:rPr>
              <w:t>综合得分</w:t>
            </w:r>
          </w:p>
        </w:tc>
        <w:tc>
          <w:tcPr>
            <w:tcW w:w="2427" w:type="dxa"/>
            <w:tcBorders>
              <w:top w:val="single" w:color="auto" w:sz="4" w:space="0"/>
              <w:left w:val="nil"/>
              <w:bottom w:val="single" w:color="auto" w:sz="4" w:space="0"/>
              <w:right w:val="single" w:color="auto" w:sz="4" w:space="0"/>
            </w:tcBorders>
            <w:vAlign w:val="center"/>
          </w:tcPr>
          <w:p w14:paraId="67CD0E69">
            <w:pPr>
              <w:adjustRightInd w:val="0"/>
              <w:snapToGrid w:val="0"/>
              <w:spacing w:line="240" w:lineRule="atLeast"/>
              <w:jc w:val="center"/>
              <w:rPr>
                <w:rFonts w:hAnsi="Times New Roman"/>
                <w:color w:val="auto"/>
                <w:szCs w:val="21"/>
                <w:highlight w:val="none"/>
              </w:rPr>
            </w:pPr>
            <w:r>
              <w:rPr>
                <w:rFonts w:hint="eastAsia" w:cs="宋体"/>
                <w:color w:val="auto"/>
                <w:szCs w:val="21"/>
                <w:highlight w:val="none"/>
              </w:rPr>
              <w:t>是否为中标候选人</w:t>
            </w:r>
          </w:p>
        </w:tc>
      </w:tr>
      <w:tr w14:paraId="505BC854">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531A0F4A">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14:paraId="23B655D7">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14:paraId="767B21A4">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14:paraId="6F0BC706">
            <w:pPr>
              <w:adjustRightInd w:val="0"/>
              <w:snapToGrid w:val="0"/>
              <w:spacing w:line="360" w:lineRule="auto"/>
              <w:jc w:val="center"/>
              <w:rPr>
                <w:rFonts w:hAnsi="Times New Roman"/>
                <w:color w:val="auto"/>
                <w:szCs w:val="21"/>
                <w:highlight w:val="none"/>
              </w:rPr>
            </w:pPr>
          </w:p>
        </w:tc>
      </w:tr>
      <w:tr w14:paraId="3BFB90E7">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52C139DB">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14:paraId="181835E5">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14:paraId="2B8BEA28">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14:paraId="76630EBC">
            <w:pPr>
              <w:adjustRightInd w:val="0"/>
              <w:snapToGrid w:val="0"/>
              <w:spacing w:line="360" w:lineRule="auto"/>
              <w:jc w:val="center"/>
              <w:rPr>
                <w:rFonts w:hAnsi="Times New Roman"/>
                <w:color w:val="auto"/>
                <w:szCs w:val="21"/>
                <w:highlight w:val="none"/>
              </w:rPr>
            </w:pPr>
          </w:p>
        </w:tc>
      </w:tr>
      <w:tr w14:paraId="40741FE1">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01E5B36F">
            <w:pPr>
              <w:adjustRightInd w:val="0"/>
              <w:snapToGrid w:val="0"/>
              <w:spacing w:line="240" w:lineRule="atLeast"/>
              <w:jc w:val="center"/>
              <w:rPr>
                <w:rFonts w:hAnsi="Times New Roman"/>
                <w:color w:val="auto"/>
                <w:szCs w:val="21"/>
                <w:highlight w:val="none"/>
              </w:rPr>
            </w:pPr>
          </w:p>
        </w:tc>
        <w:tc>
          <w:tcPr>
            <w:tcW w:w="4645" w:type="dxa"/>
            <w:tcBorders>
              <w:top w:val="single" w:color="auto" w:sz="4" w:space="0"/>
              <w:left w:val="nil"/>
              <w:bottom w:val="single" w:color="auto" w:sz="4" w:space="0"/>
              <w:right w:val="single" w:color="auto" w:sz="4" w:space="0"/>
            </w:tcBorders>
            <w:vAlign w:val="center"/>
          </w:tcPr>
          <w:p w14:paraId="717C8BED">
            <w:pPr>
              <w:adjustRightInd w:val="0"/>
              <w:snapToGrid w:val="0"/>
              <w:spacing w:line="360" w:lineRule="auto"/>
              <w:jc w:val="center"/>
              <w:rPr>
                <w:rFonts w:hAnsi="Times New Roman"/>
                <w:color w:val="auto"/>
                <w:szCs w:val="21"/>
                <w:highlight w:val="none"/>
              </w:rPr>
            </w:pPr>
          </w:p>
        </w:tc>
        <w:tc>
          <w:tcPr>
            <w:tcW w:w="1353" w:type="dxa"/>
            <w:tcBorders>
              <w:top w:val="single" w:color="auto" w:sz="4" w:space="0"/>
              <w:left w:val="nil"/>
              <w:bottom w:val="single" w:color="auto" w:sz="4" w:space="0"/>
              <w:right w:val="single" w:color="auto" w:sz="4" w:space="0"/>
            </w:tcBorders>
            <w:vAlign w:val="center"/>
          </w:tcPr>
          <w:p w14:paraId="79E6E2C2">
            <w:pPr>
              <w:adjustRightInd w:val="0"/>
              <w:snapToGrid w:val="0"/>
              <w:spacing w:line="360" w:lineRule="auto"/>
              <w:jc w:val="center"/>
              <w:rPr>
                <w:rFonts w:hAnsi="Times New Roman"/>
                <w:color w:val="auto"/>
                <w:szCs w:val="21"/>
                <w:highlight w:val="none"/>
              </w:rPr>
            </w:pPr>
          </w:p>
        </w:tc>
        <w:tc>
          <w:tcPr>
            <w:tcW w:w="2427" w:type="dxa"/>
            <w:tcBorders>
              <w:top w:val="single" w:color="auto" w:sz="4" w:space="0"/>
              <w:left w:val="nil"/>
              <w:bottom w:val="single" w:color="auto" w:sz="4" w:space="0"/>
              <w:right w:val="single" w:color="auto" w:sz="4" w:space="0"/>
            </w:tcBorders>
            <w:vAlign w:val="center"/>
          </w:tcPr>
          <w:p w14:paraId="09885777">
            <w:pPr>
              <w:adjustRightInd w:val="0"/>
              <w:snapToGrid w:val="0"/>
              <w:spacing w:line="360" w:lineRule="auto"/>
              <w:jc w:val="center"/>
              <w:rPr>
                <w:rFonts w:hAnsi="Times New Roman"/>
                <w:color w:val="auto"/>
                <w:szCs w:val="21"/>
                <w:highlight w:val="none"/>
              </w:rPr>
            </w:pPr>
          </w:p>
        </w:tc>
      </w:tr>
      <w:tr w14:paraId="1751BDFB">
        <w:tblPrEx>
          <w:tblCellMar>
            <w:top w:w="0" w:type="dxa"/>
            <w:left w:w="108" w:type="dxa"/>
            <w:bottom w:w="0" w:type="dxa"/>
            <w:right w:w="108" w:type="dxa"/>
          </w:tblCellMar>
        </w:tblPrEx>
        <w:trPr>
          <w:trHeight w:val="556" w:hRule="atLeast"/>
        </w:trPr>
        <w:tc>
          <w:tcPr>
            <w:tcW w:w="885" w:type="dxa"/>
            <w:tcBorders>
              <w:top w:val="single" w:color="auto" w:sz="4" w:space="0"/>
              <w:left w:val="single" w:color="auto" w:sz="4" w:space="0"/>
              <w:bottom w:val="single" w:color="auto" w:sz="4" w:space="0"/>
              <w:right w:val="single" w:color="auto" w:sz="4" w:space="0"/>
            </w:tcBorders>
            <w:vAlign w:val="center"/>
          </w:tcPr>
          <w:p w14:paraId="10036924">
            <w:pPr>
              <w:adjustRightInd w:val="0"/>
              <w:snapToGrid w:val="0"/>
              <w:spacing w:line="240" w:lineRule="atLeast"/>
              <w:jc w:val="center"/>
              <w:rPr>
                <w:rFonts w:hAnsi="Times New Roman"/>
                <w:color w:val="auto"/>
                <w:szCs w:val="21"/>
                <w:highlight w:val="none"/>
              </w:rPr>
            </w:pPr>
            <w:r>
              <w:rPr>
                <w:rFonts w:hint="eastAsia" w:hAnsi="Times New Roman"/>
                <w:color w:val="auto"/>
                <w:sz w:val="21"/>
                <w:szCs w:val="21"/>
                <w:highlight w:val="none"/>
                <w:lang w:eastAsia="zh-CN"/>
              </w:rPr>
              <w:t>……</w:t>
            </w:r>
          </w:p>
        </w:tc>
        <w:tc>
          <w:tcPr>
            <w:tcW w:w="4645" w:type="dxa"/>
            <w:tcBorders>
              <w:top w:val="single" w:color="auto" w:sz="4" w:space="0"/>
              <w:left w:val="nil"/>
              <w:bottom w:val="single" w:color="auto" w:sz="4" w:space="0"/>
              <w:right w:val="single" w:color="auto" w:sz="4" w:space="0"/>
            </w:tcBorders>
            <w:vAlign w:val="center"/>
          </w:tcPr>
          <w:p w14:paraId="7B1E4BC0">
            <w:pPr>
              <w:adjustRightInd w:val="0"/>
              <w:snapToGrid w:val="0"/>
              <w:spacing w:line="360" w:lineRule="auto"/>
              <w:jc w:val="center"/>
              <w:rPr>
                <w:rFonts w:hAnsi="Times New Roman"/>
                <w:color w:val="auto"/>
                <w:szCs w:val="21"/>
                <w:highlight w:val="none"/>
              </w:rPr>
            </w:pPr>
            <w:r>
              <w:rPr>
                <w:rFonts w:hint="eastAsia" w:hAnsi="Times New Roman"/>
                <w:color w:val="auto"/>
                <w:sz w:val="21"/>
                <w:szCs w:val="21"/>
                <w:highlight w:val="none"/>
                <w:lang w:eastAsia="zh-CN"/>
              </w:rPr>
              <w:t>……</w:t>
            </w:r>
          </w:p>
        </w:tc>
        <w:tc>
          <w:tcPr>
            <w:tcW w:w="1353" w:type="dxa"/>
            <w:tcBorders>
              <w:top w:val="single" w:color="auto" w:sz="4" w:space="0"/>
              <w:left w:val="nil"/>
              <w:bottom w:val="single" w:color="auto" w:sz="4" w:space="0"/>
              <w:right w:val="single" w:color="auto" w:sz="4" w:space="0"/>
            </w:tcBorders>
            <w:vAlign w:val="center"/>
          </w:tcPr>
          <w:p w14:paraId="44999DD7">
            <w:pPr>
              <w:adjustRightInd w:val="0"/>
              <w:snapToGrid w:val="0"/>
              <w:spacing w:line="360" w:lineRule="auto"/>
              <w:jc w:val="center"/>
              <w:rPr>
                <w:rFonts w:hAnsi="Times New Roman"/>
                <w:color w:val="auto"/>
                <w:szCs w:val="21"/>
                <w:highlight w:val="none"/>
              </w:rPr>
            </w:pPr>
            <w:r>
              <w:rPr>
                <w:rFonts w:hint="eastAsia" w:hAnsi="Times New Roman"/>
                <w:color w:val="auto"/>
                <w:sz w:val="21"/>
                <w:szCs w:val="21"/>
                <w:highlight w:val="none"/>
                <w:lang w:eastAsia="zh-CN"/>
              </w:rPr>
              <w:t>……</w:t>
            </w:r>
          </w:p>
        </w:tc>
        <w:tc>
          <w:tcPr>
            <w:tcW w:w="2427" w:type="dxa"/>
            <w:tcBorders>
              <w:top w:val="single" w:color="auto" w:sz="4" w:space="0"/>
              <w:left w:val="nil"/>
              <w:bottom w:val="single" w:color="auto" w:sz="4" w:space="0"/>
              <w:right w:val="single" w:color="auto" w:sz="4" w:space="0"/>
            </w:tcBorders>
            <w:vAlign w:val="center"/>
          </w:tcPr>
          <w:p w14:paraId="6806C44A">
            <w:pPr>
              <w:adjustRightInd w:val="0"/>
              <w:snapToGrid w:val="0"/>
              <w:spacing w:line="240" w:lineRule="atLeast"/>
              <w:jc w:val="center"/>
              <w:rPr>
                <w:rFonts w:hAnsi="Times New Roman"/>
                <w:color w:val="auto"/>
                <w:szCs w:val="21"/>
                <w:highlight w:val="none"/>
              </w:rPr>
            </w:pPr>
            <w:r>
              <w:rPr>
                <w:rFonts w:hint="eastAsia" w:hAnsi="Times New Roman"/>
                <w:color w:val="auto"/>
                <w:sz w:val="21"/>
                <w:szCs w:val="21"/>
                <w:highlight w:val="none"/>
                <w:lang w:eastAsia="zh-CN"/>
              </w:rPr>
              <w:t>……</w:t>
            </w:r>
          </w:p>
        </w:tc>
      </w:tr>
    </w:tbl>
    <w:p w14:paraId="7F7F2AB9">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2.2报价评审参数K值的随机抽取区间及抽取的K值：</w:t>
      </w:r>
    </w:p>
    <w:p w14:paraId="32AAFF84">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随机抽取区间：</w:t>
      </w:r>
      <w:r>
        <w:rPr>
          <w:rFonts w:hint="eastAsia" w:cs="宋体"/>
          <w:color w:val="auto"/>
          <w:szCs w:val="21"/>
          <w:highlight w:val="none"/>
          <w:u w:val="single"/>
        </w:rPr>
        <w:t xml:space="preserve">                                。</w:t>
      </w:r>
      <w:r>
        <w:rPr>
          <w:rFonts w:ascii="宋体" w:hAnsi="宋体" w:cs="宋体"/>
          <w:color w:val="auto"/>
          <w:spacing w:val="7"/>
          <w:szCs w:val="21"/>
          <w:highlight w:val="none"/>
        </w:rPr>
        <w:t xml:space="preserve">    </w:t>
      </w:r>
      <w:r>
        <w:rPr>
          <w:rFonts w:hint="eastAsia" w:ascii="宋体" w:hAnsi="宋体" w:cs="宋体"/>
          <w:color w:val="auto"/>
          <w:spacing w:val="7"/>
          <w:szCs w:val="21"/>
          <w:highlight w:val="none"/>
        </w:rPr>
        <w:t xml:space="preserve">                                </w:t>
      </w:r>
    </w:p>
    <w:p w14:paraId="06F42920">
      <w:pPr>
        <w:adjustRightInd w:val="0"/>
        <w:snapToGrid w:val="0"/>
        <w:spacing w:line="360" w:lineRule="auto"/>
        <w:ind w:firstLine="448" w:firstLineChars="200"/>
        <w:rPr>
          <w:rFonts w:cs="宋体"/>
          <w:color w:val="auto"/>
          <w:szCs w:val="21"/>
          <w:highlight w:val="none"/>
          <w:u w:val="single"/>
        </w:rPr>
      </w:pPr>
      <w:r>
        <w:rPr>
          <w:rFonts w:hint="eastAsia" w:ascii="宋体" w:hAnsi="宋体" w:cs="宋体"/>
          <w:color w:val="auto"/>
          <w:spacing w:val="7"/>
          <w:szCs w:val="21"/>
          <w:highlight w:val="none"/>
        </w:rPr>
        <w:t>抽取的K值：</w:t>
      </w:r>
      <w:r>
        <w:rPr>
          <w:rFonts w:hint="eastAsia" w:cs="宋体"/>
          <w:color w:val="auto"/>
          <w:szCs w:val="21"/>
          <w:highlight w:val="none"/>
          <w:u w:val="single"/>
        </w:rPr>
        <w:t xml:space="preserve">                                。</w:t>
      </w:r>
    </w:p>
    <w:p w14:paraId="2E28D01B">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w:t>
      </w:r>
      <w:r>
        <w:rPr>
          <w:rFonts w:hint="eastAsia" w:ascii="宋体" w:hAnsi="宋体" w:cs="宋体"/>
          <w:color w:val="auto"/>
          <w:spacing w:val="7"/>
          <w:szCs w:val="21"/>
          <w:highlight w:val="none"/>
          <w:lang w:val="en-US" w:eastAsia="zh-CN"/>
        </w:rPr>
        <w:t>3</w:t>
      </w:r>
      <w:r>
        <w:rPr>
          <w:rFonts w:hint="eastAsia" w:ascii="宋体" w:hAnsi="宋体" w:cs="宋体"/>
          <w:color w:val="auto"/>
          <w:spacing w:val="7"/>
          <w:szCs w:val="21"/>
          <w:highlight w:val="none"/>
        </w:rPr>
        <w:t xml:space="preserve"> 随机抽取确定的定标方法</w:t>
      </w:r>
      <w:r>
        <w:rPr>
          <w:rFonts w:ascii="宋体" w:hAnsi="宋体" w:cs="宋体"/>
          <w:color w:val="auto"/>
          <w:spacing w:val="7"/>
          <w:szCs w:val="21"/>
          <w:highlight w:val="none"/>
          <w:vertAlign w:val="superscript"/>
        </w:rPr>
        <w:footnoteReference w:id="5"/>
      </w:r>
      <w:r>
        <w:rPr>
          <w:rFonts w:hint="eastAsia" w:ascii="宋体" w:hAnsi="宋体" w:cs="宋体"/>
          <w:color w:val="auto"/>
          <w:spacing w:val="7"/>
          <w:szCs w:val="21"/>
          <w:highlight w:val="none"/>
        </w:rPr>
        <w:t>：</w:t>
      </w:r>
      <w:r>
        <w:rPr>
          <w:rFonts w:hint="eastAsia" w:cs="宋体"/>
          <w:color w:val="auto"/>
          <w:szCs w:val="21"/>
          <w:highlight w:val="none"/>
          <w:u w:val="single"/>
        </w:rPr>
        <w:t xml:space="preserve">                                。</w:t>
      </w:r>
    </w:p>
    <w:p w14:paraId="5E53B316">
      <w:pPr>
        <w:adjustRightInd w:val="0"/>
        <w:snapToGrid w:val="0"/>
        <w:spacing w:line="360" w:lineRule="auto"/>
        <w:ind w:firstLine="448" w:firstLineChars="200"/>
        <w:rPr>
          <w:rFonts w:ascii="宋体" w:hAnsi="宋体" w:cs="宋体"/>
          <w:color w:val="auto"/>
          <w:spacing w:val="7"/>
          <w:szCs w:val="21"/>
          <w:highlight w:val="none"/>
        </w:rPr>
      </w:pPr>
      <w:r>
        <w:rPr>
          <w:rFonts w:hint="eastAsia" w:ascii="宋体" w:hAnsi="宋体" w:cs="宋体"/>
          <w:color w:val="auto"/>
          <w:spacing w:val="7"/>
          <w:szCs w:val="21"/>
          <w:highlight w:val="none"/>
        </w:rPr>
        <w:t>2.</w:t>
      </w:r>
      <w:r>
        <w:rPr>
          <w:rFonts w:hint="eastAsia" w:ascii="宋体" w:hAnsi="宋体" w:cs="宋体"/>
          <w:color w:val="auto"/>
          <w:spacing w:val="7"/>
          <w:szCs w:val="21"/>
          <w:highlight w:val="none"/>
          <w:lang w:val="en-US" w:eastAsia="zh-CN"/>
        </w:rPr>
        <w:t>4</w:t>
      </w:r>
      <w:r>
        <w:rPr>
          <w:rFonts w:hint="eastAsia" w:ascii="宋体" w:hAnsi="宋体" w:cs="宋体"/>
          <w:color w:val="auto"/>
          <w:spacing w:val="7"/>
          <w:szCs w:val="21"/>
          <w:highlight w:val="none"/>
        </w:rPr>
        <w:t xml:space="preserve">定标委员会推荐的中标人： </w:t>
      </w:r>
      <w:r>
        <w:rPr>
          <w:rFonts w:hint="eastAsia" w:cs="宋体"/>
          <w:color w:val="auto"/>
          <w:szCs w:val="21"/>
          <w:highlight w:val="none"/>
          <w:u w:val="single"/>
        </w:rPr>
        <w:t xml:space="preserve">                                。</w:t>
      </w:r>
      <w:r>
        <w:rPr>
          <w:rFonts w:hint="eastAsia" w:ascii="宋体" w:hAnsi="宋体" w:cs="宋体"/>
          <w:color w:val="auto"/>
          <w:spacing w:val="7"/>
          <w:szCs w:val="21"/>
          <w:highlight w:val="none"/>
        </w:rPr>
        <w:t xml:space="preserve">                                 </w:t>
      </w:r>
    </w:p>
    <w:p w14:paraId="0451D287">
      <w:pPr>
        <w:spacing w:line="360" w:lineRule="auto"/>
        <w:ind w:firstLine="420" w:firstLineChars="200"/>
        <w:rPr>
          <w:rFonts w:cs="Calibri"/>
          <w:color w:val="auto"/>
          <w:szCs w:val="21"/>
          <w:highlight w:val="none"/>
        </w:rPr>
      </w:pPr>
      <w:r>
        <w:rPr>
          <w:rFonts w:hint="eastAsia" w:cs="宋体"/>
          <w:color w:val="auto"/>
          <w:szCs w:val="21"/>
          <w:highlight w:val="none"/>
        </w:rPr>
        <w:t>三、公示时间：</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日至</w:t>
      </w:r>
      <w:r>
        <w:rPr>
          <w:rFonts w:hint="eastAsia" w:cs="宋体"/>
          <w:color w:val="auto"/>
          <w:szCs w:val="21"/>
          <w:highlight w:val="none"/>
          <w:u w:val="single"/>
        </w:rPr>
        <w:t xml:space="preserve">    </w:t>
      </w:r>
      <w:r>
        <w:rPr>
          <w:rFonts w:hint="eastAsia" w:cs="宋体"/>
          <w:color w:val="auto"/>
          <w:szCs w:val="21"/>
          <w:highlight w:val="none"/>
        </w:rPr>
        <w:t>年</w:t>
      </w:r>
      <w:r>
        <w:rPr>
          <w:rFonts w:hint="eastAsia" w:cs="宋体"/>
          <w:color w:val="auto"/>
          <w:szCs w:val="21"/>
          <w:highlight w:val="none"/>
          <w:u w:val="single"/>
        </w:rPr>
        <w:t xml:space="preserve">   </w:t>
      </w:r>
      <w:r>
        <w:rPr>
          <w:rFonts w:hint="eastAsia" w:cs="宋体"/>
          <w:color w:val="auto"/>
          <w:szCs w:val="21"/>
          <w:highlight w:val="none"/>
        </w:rPr>
        <w:t>月</w:t>
      </w:r>
      <w:r>
        <w:rPr>
          <w:rFonts w:hint="eastAsia" w:cs="宋体"/>
          <w:color w:val="auto"/>
          <w:szCs w:val="21"/>
          <w:highlight w:val="none"/>
          <w:u w:val="single"/>
        </w:rPr>
        <w:t xml:space="preserve">   </w:t>
      </w:r>
      <w:r>
        <w:rPr>
          <w:rFonts w:hint="eastAsia" w:cs="宋体"/>
          <w:color w:val="auto"/>
          <w:szCs w:val="21"/>
          <w:highlight w:val="none"/>
        </w:rPr>
        <w:t>日。投标人或者其他利害关系人对公示内容有异议的，应当在公示期间书面向招标人提出。</w:t>
      </w:r>
    </w:p>
    <w:p w14:paraId="4B1F6995">
      <w:pPr>
        <w:spacing w:line="360" w:lineRule="auto"/>
        <w:ind w:firstLine="424" w:firstLineChars="202"/>
        <w:rPr>
          <w:rFonts w:cs="Calibri"/>
          <w:color w:val="auto"/>
          <w:szCs w:val="21"/>
          <w:highlight w:val="none"/>
        </w:rPr>
      </w:pPr>
      <w:r>
        <w:rPr>
          <w:rFonts w:hint="eastAsia" w:cs="宋体"/>
          <w:color w:val="auto"/>
          <w:szCs w:val="21"/>
          <w:highlight w:val="none"/>
        </w:rPr>
        <w:t xml:space="preserve">四、异议的渠道和方式：                                       </w:t>
      </w:r>
    </w:p>
    <w:p w14:paraId="55992916">
      <w:pPr>
        <w:spacing w:line="360" w:lineRule="auto"/>
        <w:ind w:firstLine="424" w:firstLineChars="202"/>
        <w:rPr>
          <w:rFonts w:cs="Calibri"/>
          <w:color w:val="auto"/>
          <w:szCs w:val="21"/>
          <w:highlight w:val="none"/>
        </w:rPr>
      </w:pPr>
      <w:r>
        <w:rPr>
          <w:rFonts w:hint="eastAsia" w:cs="宋体"/>
          <w:color w:val="auto"/>
          <w:szCs w:val="21"/>
          <w:highlight w:val="none"/>
        </w:rPr>
        <w:t>招标人名称：</w:t>
      </w:r>
      <w:r>
        <w:rPr>
          <w:rFonts w:hint="eastAsia" w:cs="宋体"/>
          <w:color w:val="auto"/>
          <w:szCs w:val="21"/>
          <w:highlight w:val="none"/>
          <w:u w:val="single"/>
        </w:rPr>
        <w:t xml:space="preserve">                            </w:t>
      </w:r>
    </w:p>
    <w:p w14:paraId="5B128FA0">
      <w:pPr>
        <w:spacing w:line="360" w:lineRule="auto"/>
        <w:ind w:firstLine="424" w:firstLineChars="202"/>
        <w:rPr>
          <w:rFonts w:cs="Calibri"/>
          <w:color w:val="auto"/>
          <w:szCs w:val="21"/>
          <w:highlight w:val="none"/>
        </w:rPr>
      </w:pPr>
      <w:r>
        <w:rPr>
          <w:rFonts w:hint="eastAsia" w:cs="宋体"/>
          <w:color w:val="auto"/>
          <w:szCs w:val="21"/>
          <w:highlight w:val="none"/>
        </w:rPr>
        <w:t>招标人地址：</w:t>
      </w:r>
      <w:r>
        <w:rPr>
          <w:rFonts w:hint="eastAsia" w:cs="宋体"/>
          <w:color w:val="auto"/>
          <w:szCs w:val="21"/>
          <w:highlight w:val="none"/>
          <w:u w:val="single"/>
        </w:rPr>
        <w:t xml:space="preserve">                            </w:t>
      </w:r>
    </w:p>
    <w:p w14:paraId="71AE75BC">
      <w:pPr>
        <w:spacing w:line="360" w:lineRule="auto"/>
        <w:ind w:firstLine="424" w:firstLineChars="202"/>
        <w:rPr>
          <w:rFonts w:cs="Calibri"/>
          <w:color w:val="auto"/>
          <w:szCs w:val="21"/>
          <w:highlight w:val="none"/>
        </w:rPr>
      </w:pPr>
      <w:r>
        <w:rPr>
          <w:rFonts w:hint="eastAsia" w:cs="宋体"/>
          <w:color w:val="auto"/>
          <w:szCs w:val="21"/>
          <w:highlight w:val="none"/>
        </w:rPr>
        <w:t>招标人联系方式：</w:t>
      </w:r>
      <w:r>
        <w:rPr>
          <w:rFonts w:hint="eastAsia" w:cs="宋体"/>
          <w:color w:val="auto"/>
          <w:szCs w:val="21"/>
          <w:highlight w:val="none"/>
          <w:u w:val="single"/>
        </w:rPr>
        <w:t xml:space="preserve">                        </w:t>
      </w:r>
    </w:p>
    <w:p w14:paraId="3B65FD18">
      <w:pPr>
        <w:spacing w:line="360" w:lineRule="auto"/>
        <w:ind w:firstLine="424" w:firstLineChars="202"/>
        <w:rPr>
          <w:rFonts w:cs="Calibri"/>
          <w:color w:val="auto"/>
          <w:szCs w:val="21"/>
          <w:highlight w:val="none"/>
          <w:u w:val="single"/>
        </w:rPr>
      </w:pPr>
      <w:r>
        <w:rPr>
          <w:rFonts w:hint="eastAsia" w:cs="宋体"/>
          <w:color w:val="auto"/>
          <w:szCs w:val="21"/>
          <w:highlight w:val="none"/>
        </w:rPr>
        <w:t>招标人：</w:t>
      </w:r>
      <w:r>
        <w:rPr>
          <w:rFonts w:hint="eastAsia" w:cs="宋体"/>
          <w:color w:val="auto"/>
          <w:szCs w:val="21"/>
          <w:highlight w:val="none"/>
          <w:u w:val="single"/>
        </w:rPr>
        <w:t xml:space="preserve">     （电子签名专用章）</w:t>
      </w:r>
      <w:r>
        <w:rPr>
          <w:rFonts w:hint="eastAsia" w:cs="宋体"/>
          <w:color w:val="auto"/>
          <w:szCs w:val="21"/>
          <w:highlight w:val="none"/>
        </w:rPr>
        <w:t xml:space="preserve"> 招标代理机构：</w:t>
      </w:r>
      <w:r>
        <w:rPr>
          <w:rFonts w:hint="eastAsia" w:cs="宋体"/>
          <w:color w:val="auto"/>
          <w:szCs w:val="21"/>
          <w:highlight w:val="none"/>
          <w:u w:val="single"/>
        </w:rPr>
        <w:t xml:space="preserve">     （电子签名专用章）</w:t>
      </w:r>
    </w:p>
    <w:p w14:paraId="2D758DD3">
      <w:pPr>
        <w:spacing w:line="360" w:lineRule="auto"/>
        <w:ind w:firstLine="424" w:firstLineChars="202"/>
        <w:rPr>
          <w:rFonts w:cs="Calibri"/>
          <w:color w:val="auto"/>
          <w:szCs w:val="21"/>
          <w:highlight w:val="none"/>
        </w:rPr>
      </w:pPr>
      <w:r>
        <w:rPr>
          <w:rFonts w:hint="eastAsia" w:cs="宋体"/>
          <w:color w:val="auto"/>
          <w:szCs w:val="21"/>
          <w:highlight w:val="none"/>
        </w:rPr>
        <w:t>法定代表人或                    法定代表人或</w:t>
      </w:r>
    </w:p>
    <w:p w14:paraId="17CE8EA6">
      <w:pPr>
        <w:spacing w:line="360" w:lineRule="auto"/>
        <w:ind w:firstLine="424" w:firstLineChars="202"/>
        <w:rPr>
          <w:rFonts w:cs="宋体"/>
          <w:color w:val="auto"/>
          <w:szCs w:val="21"/>
          <w:highlight w:val="none"/>
          <w:u w:val="single"/>
        </w:rPr>
      </w:pPr>
      <w:r>
        <w:rPr>
          <w:rFonts w:hint="eastAsia" w:cs="宋体"/>
          <w:color w:val="auto"/>
          <w:szCs w:val="21"/>
          <w:highlight w:val="none"/>
        </w:rPr>
        <w:t>其委托代理人：</w:t>
      </w:r>
      <w:r>
        <w:rPr>
          <w:rFonts w:hint="eastAsia" w:cs="宋体"/>
          <w:color w:val="auto"/>
          <w:szCs w:val="21"/>
          <w:highlight w:val="none"/>
          <w:u w:val="single"/>
        </w:rPr>
        <w:t>（电子签名专用章）</w:t>
      </w:r>
      <w:r>
        <w:rPr>
          <w:rFonts w:hint="eastAsia" w:cs="宋体"/>
          <w:color w:val="auto"/>
          <w:szCs w:val="21"/>
          <w:highlight w:val="none"/>
        </w:rPr>
        <w:t xml:space="preserve"> 其委托代理人：</w:t>
      </w:r>
      <w:r>
        <w:rPr>
          <w:rFonts w:hint="eastAsia" w:cs="宋体"/>
          <w:color w:val="auto"/>
          <w:szCs w:val="21"/>
          <w:highlight w:val="none"/>
          <w:u w:val="single"/>
        </w:rPr>
        <w:t xml:space="preserve">     （电子签名专用章）</w:t>
      </w:r>
    </w:p>
    <w:p w14:paraId="5620D143">
      <w:pPr>
        <w:spacing w:before="71"/>
        <w:ind w:left="0"/>
        <w:rPr>
          <w:rFonts w:ascii="仿宋_GB2312" w:eastAsia="仿宋_GB2312"/>
          <w:color w:val="auto"/>
          <w:highlight w:val="none"/>
        </w:rPr>
      </w:pPr>
      <w:r>
        <w:rPr>
          <w:rFonts w:hint="eastAsia" w:ascii="黑体" w:eastAsia="黑体"/>
          <w:color w:val="auto"/>
          <w:highlight w:val="none"/>
        </w:rPr>
        <w:br w:type="page"/>
      </w:r>
      <w:bookmarkStart w:id="947" w:name="_Toc504581710"/>
      <w:r>
        <w:rPr>
          <w:rFonts w:hint="eastAsia" w:eastAsia="黑体"/>
          <w:b/>
          <w:bCs/>
          <w:color w:val="auto"/>
          <w:szCs w:val="21"/>
          <w:highlight w:val="none"/>
        </w:rPr>
        <w:t>中标结果公示（格式）</w:t>
      </w:r>
      <w:bookmarkEnd w:id="947"/>
    </w:p>
    <w:p w14:paraId="4633CDDF">
      <w:pPr>
        <w:tabs>
          <w:tab w:val="left" w:pos="1440"/>
        </w:tabs>
        <w:spacing w:line="360" w:lineRule="auto"/>
        <w:jc w:val="center"/>
        <w:rPr>
          <w:rFonts w:ascii="黑体" w:hAnsi="黑体" w:eastAsia="黑体"/>
          <w:b/>
          <w:color w:val="auto"/>
          <w:sz w:val="32"/>
          <w:szCs w:val="32"/>
          <w:highlight w:val="none"/>
        </w:rPr>
      </w:pPr>
      <w:r>
        <w:rPr>
          <w:rFonts w:hint="eastAsia" w:ascii="黑体" w:hAnsi="黑体" w:eastAsia="黑体"/>
          <w:b/>
          <w:color w:val="auto"/>
          <w:sz w:val="32"/>
          <w:szCs w:val="32"/>
          <w:highlight w:val="none"/>
        </w:rPr>
        <w:t>中标结果公布</w:t>
      </w:r>
    </w:p>
    <w:p w14:paraId="68151D84">
      <w:pPr>
        <w:spacing w:line="360" w:lineRule="auto"/>
        <w:ind w:firstLine="480" w:firstLineChars="200"/>
        <w:rPr>
          <w:color w:val="auto"/>
          <w:sz w:val="24"/>
          <w:highlight w:val="none"/>
        </w:rPr>
      </w:pPr>
      <w:r>
        <w:rPr>
          <w:rFonts w:hint="eastAsia"/>
          <w:color w:val="auto"/>
          <w:sz w:val="24"/>
          <w:highlight w:val="none"/>
        </w:rPr>
        <w:t>招标项目编号：</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u w:val="single"/>
        </w:rPr>
        <w:t xml:space="preserve">                        </w:t>
      </w:r>
      <w:r>
        <w:rPr>
          <w:rFonts w:hint="eastAsia"/>
          <w:color w:val="auto"/>
          <w:sz w:val="24"/>
          <w:highlight w:val="none"/>
        </w:rPr>
        <w:t>建设项目的招标，招标人根据定标委员会的中标人推荐结果确定了中标人，现将中标人有关情况公布如下：</w:t>
      </w:r>
    </w:p>
    <w:p w14:paraId="2FAB90D6">
      <w:pPr>
        <w:spacing w:line="360" w:lineRule="auto"/>
        <w:ind w:firstLine="480" w:firstLineChars="200"/>
        <w:rPr>
          <w:color w:val="auto"/>
          <w:sz w:val="24"/>
          <w:highlight w:val="none"/>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14:paraId="78AE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14:paraId="6EB9F33C">
            <w:pPr>
              <w:spacing w:line="360" w:lineRule="auto"/>
              <w:jc w:val="center"/>
              <w:rPr>
                <w:color w:val="auto"/>
                <w:sz w:val="24"/>
                <w:highlight w:val="none"/>
              </w:rPr>
            </w:pPr>
            <w:r>
              <w:rPr>
                <w:rFonts w:hint="eastAsia"/>
                <w:color w:val="auto"/>
                <w:sz w:val="24"/>
                <w:highlight w:val="none"/>
              </w:rPr>
              <w:t>中标人</w:t>
            </w:r>
          </w:p>
        </w:tc>
        <w:tc>
          <w:tcPr>
            <w:tcW w:w="6421" w:type="dxa"/>
            <w:gridSpan w:val="3"/>
            <w:vAlign w:val="center"/>
          </w:tcPr>
          <w:p w14:paraId="324D8C75">
            <w:pPr>
              <w:spacing w:line="360" w:lineRule="auto"/>
              <w:jc w:val="center"/>
              <w:rPr>
                <w:color w:val="auto"/>
                <w:sz w:val="24"/>
                <w:highlight w:val="none"/>
              </w:rPr>
            </w:pPr>
          </w:p>
        </w:tc>
      </w:tr>
      <w:tr w14:paraId="0F9B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vAlign w:val="center"/>
          </w:tcPr>
          <w:p w14:paraId="19C2254B">
            <w:pPr>
              <w:spacing w:line="360" w:lineRule="auto"/>
              <w:jc w:val="center"/>
              <w:rPr>
                <w:color w:val="auto"/>
                <w:sz w:val="24"/>
                <w:highlight w:val="none"/>
              </w:rPr>
            </w:pPr>
            <w:r>
              <w:rPr>
                <w:rFonts w:hint="eastAsia"/>
                <w:color w:val="auto"/>
                <w:sz w:val="24"/>
                <w:highlight w:val="none"/>
              </w:rPr>
              <w:t>中标价</w:t>
            </w:r>
          </w:p>
        </w:tc>
        <w:tc>
          <w:tcPr>
            <w:tcW w:w="2139" w:type="dxa"/>
            <w:vAlign w:val="center"/>
          </w:tcPr>
          <w:p w14:paraId="35029F7B">
            <w:pPr>
              <w:spacing w:line="360" w:lineRule="auto"/>
              <w:jc w:val="center"/>
              <w:rPr>
                <w:color w:val="auto"/>
                <w:sz w:val="24"/>
                <w:highlight w:val="none"/>
              </w:rPr>
            </w:pPr>
          </w:p>
        </w:tc>
        <w:tc>
          <w:tcPr>
            <w:tcW w:w="2141" w:type="dxa"/>
            <w:vAlign w:val="center"/>
          </w:tcPr>
          <w:p w14:paraId="46C2BE2A">
            <w:pPr>
              <w:spacing w:line="360" w:lineRule="auto"/>
              <w:jc w:val="center"/>
              <w:rPr>
                <w:color w:val="auto"/>
                <w:sz w:val="24"/>
                <w:highlight w:val="none"/>
              </w:rPr>
            </w:pPr>
            <w:r>
              <w:rPr>
                <w:rFonts w:hint="eastAsia"/>
                <w:color w:val="auto"/>
                <w:sz w:val="24"/>
                <w:highlight w:val="none"/>
              </w:rPr>
              <w:t>项目负责人</w:t>
            </w:r>
          </w:p>
        </w:tc>
        <w:tc>
          <w:tcPr>
            <w:tcW w:w="2141" w:type="dxa"/>
            <w:vAlign w:val="center"/>
          </w:tcPr>
          <w:p w14:paraId="2A432486">
            <w:pPr>
              <w:spacing w:line="360" w:lineRule="auto"/>
              <w:jc w:val="center"/>
              <w:rPr>
                <w:color w:val="auto"/>
                <w:sz w:val="24"/>
                <w:highlight w:val="none"/>
              </w:rPr>
            </w:pPr>
          </w:p>
        </w:tc>
      </w:tr>
      <w:tr w14:paraId="7016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14:paraId="6A5D684F">
            <w:pPr>
              <w:spacing w:line="360" w:lineRule="auto"/>
              <w:jc w:val="center"/>
              <w:rPr>
                <w:color w:val="auto"/>
                <w:sz w:val="24"/>
                <w:highlight w:val="none"/>
              </w:rPr>
            </w:pPr>
            <w:r>
              <w:rPr>
                <w:rFonts w:hint="eastAsia"/>
                <w:color w:val="auto"/>
                <w:sz w:val="24"/>
                <w:highlight w:val="none"/>
              </w:rPr>
              <w:t>工期</w:t>
            </w:r>
          </w:p>
        </w:tc>
        <w:tc>
          <w:tcPr>
            <w:tcW w:w="2139" w:type="dxa"/>
            <w:vAlign w:val="center"/>
          </w:tcPr>
          <w:p w14:paraId="50DF777A">
            <w:pPr>
              <w:spacing w:line="360" w:lineRule="auto"/>
              <w:jc w:val="center"/>
              <w:rPr>
                <w:color w:val="auto"/>
                <w:sz w:val="24"/>
                <w:highlight w:val="none"/>
              </w:rPr>
            </w:pPr>
          </w:p>
        </w:tc>
        <w:tc>
          <w:tcPr>
            <w:tcW w:w="2141" w:type="dxa"/>
            <w:vAlign w:val="center"/>
          </w:tcPr>
          <w:p w14:paraId="4E2A39CC">
            <w:pPr>
              <w:spacing w:line="360" w:lineRule="auto"/>
              <w:jc w:val="center"/>
              <w:rPr>
                <w:color w:val="auto"/>
                <w:sz w:val="24"/>
                <w:highlight w:val="none"/>
              </w:rPr>
            </w:pPr>
            <w:r>
              <w:rPr>
                <w:rFonts w:hint="eastAsia"/>
                <w:color w:val="auto"/>
                <w:sz w:val="24"/>
                <w:highlight w:val="none"/>
              </w:rPr>
              <w:t>质量标准</w:t>
            </w:r>
          </w:p>
        </w:tc>
        <w:tc>
          <w:tcPr>
            <w:tcW w:w="2141" w:type="dxa"/>
            <w:vAlign w:val="center"/>
          </w:tcPr>
          <w:p w14:paraId="40FB5890">
            <w:pPr>
              <w:spacing w:line="360" w:lineRule="auto"/>
              <w:jc w:val="center"/>
              <w:rPr>
                <w:color w:val="auto"/>
                <w:sz w:val="24"/>
                <w:highlight w:val="none"/>
              </w:rPr>
            </w:pPr>
          </w:p>
        </w:tc>
      </w:tr>
      <w:tr w14:paraId="30CC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vAlign w:val="center"/>
          </w:tcPr>
          <w:p w14:paraId="3F0BCD38">
            <w:pPr>
              <w:spacing w:line="360" w:lineRule="auto"/>
              <w:jc w:val="center"/>
              <w:rPr>
                <w:color w:val="auto"/>
                <w:sz w:val="24"/>
                <w:highlight w:val="none"/>
              </w:rPr>
            </w:pPr>
            <w:r>
              <w:rPr>
                <w:rFonts w:hint="eastAsia" w:ascii="宋体" w:hAnsi="宋体"/>
                <w:snapToGrid w:val="0"/>
                <w:color w:val="auto"/>
                <w:kern w:val="0"/>
                <w:szCs w:val="21"/>
                <w:highlight w:val="none"/>
              </w:rPr>
              <w:t>企业及人员信用分享用情况（如有）</w:t>
            </w:r>
          </w:p>
        </w:tc>
        <w:tc>
          <w:tcPr>
            <w:tcW w:w="6421" w:type="dxa"/>
            <w:gridSpan w:val="3"/>
            <w:vAlign w:val="center"/>
          </w:tcPr>
          <w:p w14:paraId="3AD1D4D0">
            <w:pPr>
              <w:spacing w:line="360" w:lineRule="auto"/>
              <w:jc w:val="center"/>
              <w:rPr>
                <w:color w:val="auto"/>
                <w:sz w:val="24"/>
                <w:highlight w:val="none"/>
              </w:rPr>
            </w:pPr>
          </w:p>
        </w:tc>
      </w:tr>
    </w:tbl>
    <w:p w14:paraId="6960C07A">
      <w:pPr>
        <w:spacing w:line="360" w:lineRule="auto"/>
        <w:rPr>
          <w:color w:val="auto"/>
          <w:sz w:val="24"/>
          <w:highlight w:val="none"/>
        </w:rPr>
      </w:pPr>
    </w:p>
    <w:p w14:paraId="205DD322">
      <w:pPr>
        <w:spacing w:line="360" w:lineRule="auto"/>
        <w:rPr>
          <w:color w:val="auto"/>
          <w:sz w:val="24"/>
          <w:highlight w:val="none"/>
          <w:u w:val="single"/>
        </w:rPr>
      </w:pPr>
      <w:r>
        <w:rPr>
          <w:rFonts w:hint="eastAsia"/>
          <w:color w:val="auto"/>
          <w:sz w:val="24"/>
          <w:highlight w:val="none"/>
        </w:rPr>
        <w:t>评标委员会成员名单：</w:t>
      </w:r>
      <w:r>
        <w:rPr>
          <w:rFonts w:hint="eastAsia" w:cs="宋体"/>
          <w:color w:val="auto"/>
          <w:szCs w:val="21"/>
          <w:highlight w:val="none"/>
          <w:u w:val="single"/>
        </w:rPr>
        <w:t xml:space="preserve">                                。</w:t>
      </w:r>
      <w:r>
        <w:rPr>
          <w:rFonts w:hint="eastAsia"/>
          <w:color w:val="auto"/>
          <w:sz w:val="24"/>
          <w:highlight w:val="none"/>
          <w:u w:val="single"/>
        </w:rPr>
        <w:t xml:space="preserve">                                                 </w:t>
      </w:r>
    </w:p>
    <w:p w14:paraId="35930484">
      <w:pPr>
        <w:spacing w:line="360" w:lineRule="auto"/>
        <w:rPr>
          <w:color w:val="auto"/>
          <w:highlight w:val="none"/>
        </w:rPr>
      </w:pPr>
    </w:p>
    <w:p w14:paraId="050B3CD0">
      <w:pPr>
        <w:spacing w:line="360" w:lineRule="auto"/>
        <w:rPr>
          <w:color w:val="auto"/>
          <w:sz w:val="24"/>
          <w:highlight w:val="none"/>
        </w:rPr>
      </w:pPr>
      <w:r>
        <w:rPr>
          <w:rFonts w:hint="eastAsia"/>
          <w:color w:val="auto"/>
          <w:sz w:val="24"/>
          <w:highlight w:val="none"/>
        </w:rPr>
        <w:t>招标人名称：</w:t>
      </w:r>
      <w:r>
        <w:rPr>
          <w:rFonts w:hint="eastAsia"/>
          <w:color w:val="auto"/>
          <w:sz w:val="24"/>
          <w:highlight w:val="none"/>
          <w:u w:val="single"/>
        </w:rPr>
        <w:t xml:space="preserve">                            </w:t>
      </w:r>
    </w:p>
    <w:p w14:paraId="6538631A">
      <w:pPr>
        <w:spacing w:line="360" w:lineRule="auto"/>
        <w:rPr>
          <w:color w:val="auto"/>
          <w:sz w:val="24"/>
          <w:highlight w:val="none"/>
        </w:rPr>
      </w:pPr>
      <w:r>
        <w:rPr>
          <w:rFonts w:hint="eastAsia"/>
          <w:color w:val="auto"/>
          <w:sz w:val="24"/>
          <w:highlight w:val="none"/>
        </w:rPr>
        <w:t>招标人地址：</w:t>
      </w:r>
      <w:r>
        <w:rPr>
          <w:rFonts w:hint="eastAsia"/>
          <w:color w:val="auto"/>
          <w:sz w:val="24"/>
          <w:highlight w:val="none"/>
          <w:u w:val="single"/>
        </w:rPr>
        <w:t xml:space="preserve">                            </w:t>
      </w:r>
    </w:p>
    <w:p w14:paraId="48DB4475">
      <w:pPr>
        <w:spacing w:line="360" w:lineRule="auto"/>
        <w:rPr>
          <w:color w:val="auto"/>
          <w:sz w:val="24"/>
          <w:highlight w:val="none"/>
        </w:rPr>
      </w:pPr>
      <w:r>
        <w:rPr>
          <w:rFonts w:hint="eastAsia"/>
          <w:color w:val="auto"/>
          <w:sz w:val="24"/>
          <w:highlight w:val="none"/>
        </w:rPr>
        <w:t>招标人联系方式：</w:t>
      </w:r>
      <w:r>
        <w:rPr>
          <w:rFonts w:hint="eastAsia"/>
          <w:color w:val="auto"/>
          <w:sz w:val="24"/>
          <w:highlight w:val="none"/>
          <w:u w:val="single"/>
        </w:rPr>
        <w:t xml:space="preserve">                        </w:t>
      </w:r>
    </w:p>
    <w:p w14:paraId="5F9B5382">
      <w:pPr>
        <w:spacing w:line="360" w:lineRule="auto"/>
        <w:rPr>
          <w:color w:val="auto"/>
          <w:highlight w:val="none"/>
        </w:rPr>
      </w:pPr>
    </w:p>
    <w:p w14:paraId="2940529D">
      <w:pPr>
        <w:spacing w:line="360" w:lineRule="auto"/>
        <w:rPr>
          <w:color w:val="auto"/>
          <w:highlight w:val="none"/>
        </w:rPr>
      </w:pPr>
    </w:p>
    <w:p w14:paraId="2508016C">
      <w:pPr>
        <w:spacing w:line="360" w:lineRule="auto"/>
        <w:rPr>
          <w:color w:val="auto"/>
          <w:sz w:val="24"/>
          <w:highlight w:val="none"/>
          <w:u w:val="single"/>
        </w:rPr>
      </w:pPr>
      <w:r>
        <w:rPr>
          <w:rFonts w:hint="eastAsia"/>
          <w:color w:val="auto"/>
          <w:sz w:val="24"/>
          <w:highlight w:val="none"/>
        </w:rPr>
        <w:t>招标人：</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rPr>
        <w:t xml:space="preserve">  招标代理机构：</w:t>
      </w:r>
      <w:r>
        <w:rPr>
          <w:rFonts w:hint="eastAsia"/>
          <w:color w:val="auto"/>
          <w:sz w:val="24"/>
          <w:highlight w:val="none"/>
          <w:u w:val="single"/>
        </w:rPr>
        <w:t xml:space="preserve">      </w:t>
      </w:r>
      <w:r>
        <w:rPr>
          <w:rFonts w:hint="eastAsia"/>
          <w:color w:val="auto"/>
          <w:highlight w:val="none"/>
          <w:u w:val="single"/>
        </w:rPr>
        <w:t>（电子签名专用章）</w:t>
      </w:r>
      <w:r>
        <w:rPr>
          <w:rFonts w:hint="eastAsia"/>
          <w:color w:val="auto"/>
          <w:sz w:val="24"/>
          <w:highlight w:val="none"/>
          <w:u w:val="single"/>
        </w:rPr>
        <w:t xml:space="preserve"> </w:t>
      </w:r>
    </w:p>
    <w:p w14:paraId="52702A1D">
      <w:pPr>
        <w:spacing w:line="360" w:lineRule="auto"/>
        <w:ind w:firstLine="482" w:firstLineChars="200"/>
        <w:jc w:val="center"/>
        <w:rPr>
          <w:rFonts w:ascii="宋体" w:hAnsi="宋体"/>
          <w:b/>
          <w:color w:val="auto"/>
          <w:sz w:val="24"/>
          <w:highlight w:val="none"/>
        </w:rPr>
      </w:pPr>
    </w:p>
    <w:p w14:paraId="7C284A72">
      <w:pPr>
        <w:spacing w:line="360" w:lineRule="auto"/>
        <w:ind w:firstLine="482" w:firstLineChars="200"/>
        <w:jc w:val="center"/>
        <w:rPr>
          <w:rFonts w:ascii="宋体" w:hAnsi="宋体"/>
          <w:b/>
          <w:color w:val="auto"/>
          <w:sz w:val="24"/>
          <w:highlight w:val="none"/>
        </w:rPr>
      </w:pPr>
    </w:p>
    <w:p w14:paraId="42B07166">
      <w:pPr>
        <w:spacing w:line="360" w:lineRule="auto"/>
        <w:ind w:firstLine="482" w:firstLineChars="200"/>
        <w:jc w:val="center"/>
        <w:rPr>
          <w:rFonts w:ascii="宋体" w:hAnsi="宋体"/>
          <w:b/>
          <w:color w:val="auto"/>
          <w:sz w:val="24"/>
          <w:highlight w:val="none"/>
        </w:rPr>
      </w:pPr>
    </w:p>
    <w:p w14:paraId="03665DB2">
      <w:pPr>
        <w:spacing w:line="360" w:lineRule="auto"/>
        <w:ind w:firstLine="482" w:firstLineChars="200"/>
        <w:jc w:val="center"/>
        <w:rPr>
          <w:rFonts w:ascii="宋体" w:hAnsi="宋体"/>
          <w:b/>
          <w:color w:val="auto"/>
          <w:sz w:val="24"/>
          <w:highlight w:val="none"/>
        </w:rPr>
      </w:pPr>
    </w:p>
    <w:p w14:paraId="2059DC9B">
      <w:pPr>
        <w:spacing w:line="360" w:lineRule="auto"/>
        <w:ind w:firstLine="482" w:firstLineChars="200"/>
        <w:jc w:val="center"/>
        <w:rPr>
          <w:rFonts w:ascii="宋体" w:hAnsi="宋体"/>
          <w:b/>
          <w:color w:val="auto"/>
          <w:sz w:val="24"/>
          <w:highlight w:val="none"/>
        </w:rPr>
      </w:pPr>
    </w:p>
    <w:p w14:paraId="4DD7DF3C">
      <w:pPr>
        <w:spacing w:line="360" w:lineRule="auto"/>
        <w:ind w:firstLine="482" w:firstLineChars="200"/>
        <w:jc w:val="center"/>
        <w:rPr>
          <w:rFonts w:ascii="宋体" w:hAnsi="宋体"/>
          <w:b/>
          <w:color w:val="auto"/>
          <w:sz w:val="24"/>
          <w:highlight w:val="none"/>
        </w:rPr>
      </w:pPr>
    </w:p>
    <w:p w14:paraId="0CA236A0">
      <w:pPr>
        <w:spacing w:line="360" w:lineRule="auto"/>
        <w:ind w:firstLine="482" w:firstLineChars="200"/>
        <w:jc w:val="center"/>
        <w:rPr>
          <w:rFonts w:ascii="宋体" w:hAnsi="宋体"/>
          <w:b/>
          <w:color w:val="auto"/>
          <w:sz w:val="24"/>
          <w:highlight w:val="none"/>
        </w:rPr>
      </w:pPr>
    </w:p>
    <w:p w14:paraId="69423C1B">
      <w:pPr>
        <w:spacing w:line="360" w:lineRule="auto"/>
        <w:ind w:firstLine="482" w:firstLineChars="200"/>
        <w:jc w:val="center"/>
        <w:rPr>
          <w:rFonts w:ascii="宋体" w:hAnsi="宋体"/>
          <w:b/>
          <w:color w:val="auto"/>
          <w:sz w:val="24"/>
          <w:highlight w:val="none"/>
        </w:rPr>
      </w:pPr>
    </w:p>
    <w:p w14:paraId="36675DD1">
      <w:pPr>
        <w:spacing w:line="360" w:lineRule="auto"/>
        <w:ind w:firstLine="482" w:firstLineChars="200"/>
        <w:jc w:val="center"/>
        <w:rPr>
          <w:rFonts w:ascii="宋体" w:hAnsi="宋体"/>
          <w:b/>
          <w:color w:val="auto"/>
          <w:sz w:val="24"/>
          <w:highlight w:val="none"/>
        </w:rPr>
      </w:pPr>
    </w:p>
    <w:p w14:paraId="0B4BC315">
      <w:pPr>
        <w:spacing w:line="360" w:lineRule="auto"/>
        <w:ind w:firstLine="482" w:firstLineChars="200"/>
        <w:jc w:val="center"/>
        <w:rPr>
          <w:rFonts w:ascii="宋体" w:hAnsi="宋体"/>
          <w:b/>
          <w:color w:val="auto"/>
          <w:sz w:val="24"/>
          <w:highlight w:val="none"/>
        </w:rPr>
      </w:pPr>
    </w:p>
    <w:p w14:paraId="5149890F">
      <w:pPr>
        <w:spacing w:line="360" w:lineRule="auto"/>
        <w:ind w:firstLine="482" w:firstLineChars="200"/>
        <w:jc w:val="center"/>
        <w:rPr>
          <w:rFonts w:ascii="宋体" w:hAnsi="宋体"/>
          <w:b/>
          <w:color w:val="auto"/>
          <w:sz w:val="24"/>
          <w:highlight w:val="none"/>
        </w:rPr>
      </w:pPr>
    </w:p>
    <w:p w14:paraId="638AC57C">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中标通知书</w:t>
      </w:r>
    </w:p>
    <w:p w14:paraId="64444B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（中标人名称）: </w:t>
      </w:r>
    </w:p>
    <w:p w14:paraId="6C076E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你方于</w:t>
      </w:r>
      <w:r>
        <w:rPr>
          <w:rFonts w:hint="eastAsia" w:ascii="宋体" w:hAnsi="宋体"/>
          <w:color w:val="auto"/>
          <w:szCs w:val="21"/>
          <w:highlight w:val="none"/>
          <w:u w:val="single"/>
        </w:rPr>
        <w:t xml:space="preserve">                 </w:t>
      </w:r>
      <w:r>
        <w:rPr>
          <w:rFonts w:hint="eastAsia" w:ascii="宋体" w:hAnsi="宋体"/>
          <w:color w:val="auto"/>
          <w:szCs w:val="21"/>
          <w:highlight w:val="none"/>
        </w:rPr>
        <w:t>（投标日期）所递交的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（项目名称）施工投标文件已被我方接受，被确定为中标人。</w:t>
      </w:r>
    </w:p>
    <w:p w14:paraId="55BD81C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中标价：</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3D91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14:paraId="46729B3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28C730F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w:t>
      </w:r>
      <w:r>
        <w:rPr>
          <w:rFonts w:hint="eastAsia" w:cs="宋体"/>
          <w:color w:val="auto"/>
          <w:szCs w:val="21"/>
          <w:highlight w:val="none"/>
        </w:rPr>
        <w:t>负责人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（姓名及注册建造师证书编号）。</w:t>
      </w:r>
    </w:p>
    <w:p w14:paraId="231D14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请你方在接到本通知书后的</w:t>
      </w:r>
      <w:r>
        <w:rPr>
          <w:rFonts w:hint="eastAsia" w:ascii="宋体" w:hAnsi="宋体"/>
          <w:color w:val="auto"/>
          <w:szCs w:val="21"/>
          <w:highlight w:val="none"/>
          <w:u w:val="single"/>
        </w:rPr>
        <w:t xml:space="preserve">     </w:t>
      </w:r>
      <w:r>
        <w:rPr>
          <w:rFonts w:hint="eastAsia" w:ascii="宋体" w:hAnsi="宋体"/>
          <w:color w:val="auto"/>
          <w:szCs w:val="21"/>
          <w:highlight w:val="none"/>
        </w:rPr>
        <w:t>日内到</w:t>
      </w:r>
      <w:r>
        <w:rPr>
          <w:rFonts w:hint="eastAsia" w:ascii="宋体" w:hAnsi="宋体"/>
          <w:color w:val="auto"/>
          <w:szCs w:val="21"/>
          <w:highlight w:val="none"/>
          <w:u w:val="single"/>
        </w:rPr>
        <w:t xml:space="preserve">                          </w:t>
      </w:r>
      <w:r>
        <w:rPr>
          <w:rFonts w:hint="eastAsia" w:ascii="宋体" w:hAnsi="宋体"/>
          <w:color w:val="auto"/>
          <w:szCs w:val="21"/>
          <w:highlight w:val="none"/>
        </w:rPr>
        <w:t>（指定地点）与我方签订施工承包合同，在此之前按招标文件第二章“投标人须知”第7.</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款规定向我方提交履约担保。</w:t>
      </w:r>
    </w:p>
    <w:p w14:paraId="7AED18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特此通知。</w:t>
      </w:r>
    </w:p>
    <w:p w14:paraId="1B208AFF">
      <w:pPr>
        <w:spacing w:line="360" w:lineRule="auto"/>
        <w:ind w:firstLine="4200" w:firstLineChars="2000"/>
        <w:rPr>
          <w:rFonts w:ascii="宋体" w:hAnsi="宋体"/>
          <w:color w:val="auto"/>
          <w:szCs w:val="21"/>
          <w:highlight w:val="none"/>
        </w:rPr>
      </w:pPr>
    </w:p>
    <w:p w14:paraId="45A6E49B">
      <w:pPr>
        <w:spacing w:line="360" w:lineRule="auto"/>
        <w:ind w:firstLine="4200" w:firstLineChars="2000"/>
        <w:rPr>
          <w:rFonts w:ascii="宋体" w:hAnsi="宋体"/>
          <w:color w:val="auto"/>
          <w:szCs w:val="21"/>
          <w:highlight w:val="none"/>
        </w:rPr>
      </w:pPr>
    </w:p>
    <w:p w14:paraId="6F3CBB9C">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FF758D7">
      <w:pPr>
        <w:spacing w:line="360" w:lineRule="auto"/>
        <w:ind w:firstLine="420" w:firstLineChars="200"/>
        <w:rPr>
          <w:rFonts w:ascii="宋体" w:hAnsi="宋体"/>
          <w:color w:val="auto"/>
          <w:szCs w:val="21"/>
          <w:highlight w:val="none"/>
        </w:rPr>
      </w:pPr>
    </w:p>
    <w:p w14:paraId="273208EB">
      <w:pPr>
        <w:spacing w:line="360" w:lineRule="auto"/>
        <w:ind w:firstLine="4095" w:firstLineChars="19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674CD968">
      <w:pPr>
        <w:spacing w:line="360" w:lineRule="auto"/>
        <w:ind w:firstLine="4830" w:firstLineChars="2300"/>
        <w:rPr>
          <w:rFonts w:ascii="宋体" w:hAnsi="宋体"/>
          <w:color w:val="auto"/>
          <w:szCs w:val="21"/>
          <w:highlight w:val="none"/>
          <w:u w:val="single"/>
        </w:rPr>
      </w:pPr>
    </w:p>
    <w:p w14:paraId="4AD54877">
      <w:pPr>
        <w:spacing w:line="360" w:lineRule="auto"/>
        <w:ind w:firstLine="4830" w:firstLineChars="23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     日</w:t>
      </w:r>
    </w:p>
    <w:p w14:paraId="3A018085">
      <w:pPr>
        <w:spacing w:line="360" w:lineRule="auto"/>
        <w:ind w:firstLine="4830" w:firstLineChars="2300"/>
        <w:rPr>
          <w:rFonts w:ascii="宋体" w:hAnsi="宋体"/>
          <w:color w:val="auto"/>
          <w:szCs w:val="21"/>
          <w:highlight w:val="none"/>
        </w:rPr>
        <w:sectPr>
          <w:footerReference r:id="rId11" w:type="default"/>
          <w:pgSz w:w="11905" w:h="16838"/>
          <w:pgMar w:top="1440" w:right="1417" w:bottom="1440" w:left="1417" w:header="850" w:footer="992" w:gutter="0"/>
          <w:cols w:space="720" w:num="1"/>
          <w:docGrid w:type="lines" w:linePitch="317" w:charSpace="0"/>
        </w:sectPr>
      </w:pPr>
    </w:p>
    <w:bookmarkEnd w:id="939"/>
    <w:bookmarkEnd w:id="940"/>
    <w:bookmarkEnd w:id="941"/>
    <w:bookmarkEnd w:id="942"/>
    <w:p w14:paraId="47C50803">
      <w:pPr>
        <w:rPr>
          <w:rFonts w:ascii="宋体" w:hAnsi="宋体"/>
          <w:color w:val="auto"/>
          <w:sz w:val="24"/>
          <w:highlight w:val="none"/>
        </w:rPr>
      </w:pPr>
    </w:p>
    <w:p w14:paraId="000B4DCF">
      <w:pPr>
        <w:rPr>
          <w:rFonts w:ascii="宋体" w:hAnsi="宋体"/>
          <w:color w:val="auto"/>
          <w:sz w:val="24"/>
          <w:highlight w:val="none"/>
        </w:rPr>
      </w:pPr>
    </w:p>
    <w:p w14:paraId="5154C002">
      <w:pPr>
        <w:rPr>
          <w:rFonts w:ascii="宋体" w:hAnsi="宋体"/>
          <w:color w:val="auto"/>
          <w:sz w:val="24"/>
          <w:highlight w:val="none"/>
        </w:rPr>
      </w:pPr>
    </w:p>
    <w:p w14:paraId="5EE79C4C">
      <w:pPr>
        <w:rPr>
          <w:rFonts w:ascii="宋体" w:hAnsi="宋体"/>
          <w:color w:val="auto"/>
          <w:sz w:val="24"/>
          <w:highlight w:val="none"/>
        </w:rPr>
      </w:pPr>
    </w:p>
    <w:p w14:paraId="7DAB5F30">
      <w:pPr>
        <w:rPr>
          <w:rFonts w:ascii="宋体" w:hAnsi="宋体"/>
          <w:color w:val="auto"/>
          <w:sz w:val="24"/>
          <w:highlight w:val="none"/>
        </w:rPr>
      </w:pPr>
    </w:p>
    <w:p w14:paraId="1333E785">
      <w:pPr>
        <w:rPr>
          <w:rFonts w:ascii="宋体" w:hAnsi="宋体"/>
          <w:color w:val="auto"/>
          <w:sz w:val="24"/>
          <w:highlight w:val="none"/>
        </w:rPr>
      </w:pPr>
    </w:p>
    <w:p w14:paraId="2CC1DD80">
      <w:pPr>
        <w:rPr>
          <w:rFonts w:ascii="宋体" w:hAnsi="宋体"/>
          <w:color w:val="auto"/>
          <w:sz w:val="24"/>
          <w:highlight w:val="none"/>
        </w:rPr>
      </w:pPr>
    </w:p>
    <w:p w14:paraId="12529B8A">
      <w:pPr>
        <w:rPr>
          <w:rFonts w:ascii="宋体" w:hAnsi="宋体"/>
          <w:color w:val="auto"/>
          <w:sz w:val="24"/>
          <w:highlight w:val="none"/>
        </w:rPr>
      </w:pPr>
    </w:p>
    <w:p w14:paraId="6F2FD3E6">
      <w:pPr>
        <w:rPr>
          <w:rFonts w:ascii="宋体" w:hAnsi="宋体"/>
          <w:color w:val="auto"/>
          <w:sz w:val="24"/>
          <w:highlight w:val="none"/>
        </w:rPr>
      </w:pPr>
    </w:p>
    <w:p w14:paraId="663C45F8">
      <w:pPr>
        <w:rPr>
          <w:rFonts w:ascii="宋体" w:hAnsi="宋体"/>
          <w:color w:val="auto"/>
          <w:sz w:val="24"/>
          <w:highlight w:val="none"/>
        </w:rPr>
      </w:pPr>
    </w:p>
    <w:p w14:paraId="0EA8F7D3">
      <w:pPr>
        <w:rPr>
          <w:rFonts w:ascii="宋体" w:hAnsi="宋体"/>
          <w:color w:val="auto"/>
          <w:sz w:val="24"/>
          <w:highlight w:val="none"/>
        </w:rPr>
      </w:pPr>
    </w:p>
    <w:p w14:paraId="55C01D9D">
      <w:pPr>
        <w:rPr>
          <w:rFonts w:ascii="宋体" w:hAnsi="宋体"/>
          <w:color w:val="auto"/>
          <w:sz w:val="24"/>
          <w:highlight w:val="none"/>
        </w:rPr>
      </w:pPr>
    </w:p>
    <w:p w14:paraId="1C24B053">
      <w:pPr>
        <w:pStyle w:val="2"/>
        <w:spacing w:line="300" w:lineRule="auto"/>
        <w:rPr>
          <w:rFonts w:ascii="宋体" w:hAnsi="宋体" w:cs="黑体"/>
          <w:color w:val="auto"/>
          <w:highlight w:val="none"/>
        </w:rPr>
      </w:pPr>
      <w:bookmarkStart w:id="948" w:name="_Toc17977"/>
      <w:bookmarkStart w:id="949" w:name="_Toc12238"/>
      <w:bookmarkStart w:id="950" w:name="_Toc490832330"/>
      <w:r>
        <w:rPr>
          <w:rFonts w:hint="eastAsia" w:ascii="宋体" w:hAnsi="宋体" w:cs="黑体"/>
          <w:color w:val="auto"/>
          <w:highlight w:val="none"/>
        </w:rPr>
        <w:t>第三章 评 标 办 法</w:t>
      </w:r>
      <w:bookmarkEnd w:id="948"/>
      <w:bookmarkEnd w:id="949"/>
      <w:bookmarkEnd w:id="950"/>
    </w:p>
    <w:p w14:paraId="410BD22B">
      <w:pPr>
        <w:autoSpaceDE w:val="0"/>
        <w:autoSpaceDN w:val="0"/>
        <w:spacing w:line="300" w:lineRule="auto"/>
        <w:textAlignment w:val="bottom"/>
        <w:rPr>
          <w:rFonts w:ascii="宋体" w:hAnsi="宋体"/>
          <w:color w:val="auto"/>
          <w:sz w:val="24"/>
          <w:highlight w:val="none"/>
        </w:rPr>
      </w:pPr>
    </w:p>
    <w:p w14:paraId="5E4EC6AD">
      <w:pPr>
        <w:autoSpaceDE w:val="0"/>
        <w:autoSpaceDN w:val="0"/>
        <w:spacing w:line="300" w:lineRule="auto"/>
        <w:textAlignment w:val="bottom"/>
        <w:rPr>
          <w:rFonts w:ascii="宋体" w:hAnsi="宋体"/>
          <w:color w:val="auto"/>
          <w:szCs w:val="21"/>
          <w:highlight w:val="none"/>
        </w:rPr>
      </w:pPr>
    </w:p>
    <w:p w14:paraId="6333F247">
      <w:pPr>
        <w:autoSpaceDE w:val="0"/>
        <w:autoSpaceDN w:val="0"/>
        <w:spacing w:line="300" w:lineRule="auto"/>
        <w:ind w:firstLine="482" w:firstLineChars="200"/>
        <w:jc w:val="left"/>
        <w:textAlignment w:val="bottom"/>
        <w:rPr>
          <w:rFonts w:ascii="宋体" w:hAnsi="宋体" w:cs="宋体"/>
          <w:b/>
          <w:bCs/>
          <w:color w:val="auto"/>
          <w:kern w:val="0"/>
          <w:sz w:val="24"/>
          <w:highlight w:val="none"/>
          <w:u w:val="double"/>
        </w:rPr>
      </w:pPr>
    </w:p>
    <w:p w14:paraId="0CC6472A">
      <w:pPr>
        <w:autoSpaceDE w:val="0"/>
        <w:autoSpaceDN w:val="0"/>
        <w:spacing w:line="300" w:lineRule="auto"/>
        <w:textAlignment w:val="bottom"/>
        <w:rPr>
          <w:rFonts w:ascii="宋体" w:hAnsi="宋体"/>
          <w:color w:val="auto"/>
          <w:szCs w:val="21"/>
          <w:highlight w:val="none"/>
        </w:rPr>
      </w:pPr>
    </w:p>
    <w:p w14:paraId="5DF8DA97">
      <w:pPr>
        <w:autoSpaceDE w:val="0"/>
        <w:autoSpaceDN w:val="0"/>
        <w:spacing w:line="300" w:lineRule="auto"/>
        <w:textAlignment w:val="bottom"/>
        <w:rPr>
          <w:rFonts w:ascii="宋体" w:hAnsi="宋体"/>
          <w:color w:val="auto"/>
          <w:szCs w:val="21"/>
          <w:highlight w:val="none"/>
        </w:rPr>
      </w:pPr>
    </w:p>
    <w:p w14:paraId="1772969C">
      <w:pPr>
        <w:autoSpaceDE w:val="0"/>
        <w:autoSpaceDN w:val="0"/>
        <w:spacing w:line="300" w:lineRule="auto"/>
        <w:textAlignment w:val="bottom"/>
        <w:rPr>
          <w:rFonts w:ascii="宋体" w:hAnsi="宋体"/>
          <w:color w:val="auto"/>
          <w:szCs w:val="21"/>
          <w:highlight w:val="none"/>
        </w:rPr>
      </w:pPr>
    </w:p>
    <w:p w14:paraId="5502DFE3">
      <w:pPr>
        <w:autoSpaceDE w:val="0"/>
        <w:autoSpaceDN w:val="0"/>
        <w:spacing w:line="300" w:lineRule="auto"/>
        <w:textAlignment w:val="bottom"/>
        <w:rPr>
          <w:rFonts w:ascii="宋体" w:hAnsi="宋体"/>
          <w:color w:val="auto"/>
          <w:szCs w:val="21"/>
          <w:highlight w:val="none"/>
        </w:rPr>
      </w:pPr>
    </w:p>
    <w:p w14:paraId="66C94073">
      <w:pPr>
        <w:autoSpaceDE w:val="0"/>
        <w:autoSpaceDN w:val="0"/>
        <w:spacing w:line="300" w:lineRule="auto"/>
        <w:textAlignment w:val="bottom"/>
        <w:rPr>
          <w:rFonts w:ascii="宋体" w:hAnsi="宋体"/>
          <w:color w:val="auto"/>
          <w:szCs w:val="21"/>
          <w:highlight w:val="none"/>
        </w:rPr>
      </w:pPr>
    </w:p>
    <w:p w14:paraId="765AFCF6">
      <w:pPr>
        <w:autoSpaceDE w:val="0"/>
        <w:autoSpaceDN w:val="0"/>
        <w:spacing w:line="300" w:lineRule="auto"/>
        <w:textAlignment w:val="bottom"/>
        <w:rPr>
          <w:rFonts w:ascii="宋体" w:hAnsi="宋体"/>
          <w:color w:val="auto"/>
          <w:szCs w:val="21"/>
          <w:highlight w:val="none"/>
        </w:rPr>
      </w:pPr>
    </w:p>
    <w:p w14:paraId="196EA7C1">
      <w:pPr>
        <w:autoSpaceDE w:val="0"/>
        <w:autoSpaceDN w:val="0"/>
        <w:spacing w:line="300" w:lineRule="auto"/>
        <w:textAlignment w:val="bottom"/>
        <w:rPr>
          <w:rFonts w:ascii="宋体" w:hAnsi="宋体"/>
          <w:color w:val="auto"/>
          <w:szCs w:val="21"/>
          <w:highlight w:val="none"/>
        </w:rPr>
      </w:pPr>
    </w:p>
    <w:p w14:paraId="147D683F">
      <w:pPr>
        <w:autoSpaceDE w:val="0"/>
        <w:autoSpaceDN w:val="0"/>
        <w:spacing w:line="300" w:lineRule="auto"/>
        <w:textAlignment w:val="bottom"/>
        <w:rPr>
          <w:rFonts w:ascii="宋体" w:hAnsi="宋体"/>
          <w:color w:val="auto"/>
          <w:szCs w:val="21"/>
          <w:highlight w:val="none"/>
        </w:rPr>
      </w:pPr>
    </w:p>
    <w:p w14:paraId="2ACB0538">
      <w:pPr>
        <w:autoSpaceDE w:val="0"/>
        <w:autoSpaceDN w:val="0"/>
        <w:spacing w:line="300" w:lineRule="auto"/>
        <w:textAlignment w:val="bottom"/>
        <w:rPr>
          <w:rFonts w:ascii="宋体" w:hAnsi="宋体"/>
          <w:color w:val="auto"/>
          <w:szCs w:val="21"/>
          <w:highlight w:val="none"/>
        </w:rPr>
      </w:pPr>
    </w:p>
    <w:p w14:paraId="5948F559">
      <w:pPr>
        <w:autoSpaceDE w:val="0"/>
        <w:autoSpaceDN w:val="0"/>
        <w:spacing w:line="300" w:lineRule="auto"/>
        <w:textAlignment w:val="bottom"/>
        <w:rPr>
          <w:rFonts w:ascii="宋体" w:hAnsi="宋体"/>
          <w:color w:val="auto"/>
          <w:szCs w:val="21"/>
          <w:highlight w:val="none"/>
        </w:rPr>
      </w:pPr>
    </w:p>
    <w:p w14:paraId="50884ACC">
      <w:pPr>
        <w:autoSpaceDE w:val="0"/>
        <w:autoSpaceDN w:val="0"/>
        <w:spacing w:line="300" w:lineRule="auto"/>
        <w:textAlignment w:val="bottom"/>
        <w:rPr>
          <w:rFonts w:ascii="宋体" w:hAnsi="宋体"/>
          <w:color w:val="auto"/>
          <w:szCs w:val="21"/>
          <w:highlight w:val="none"/>
        </w:rPr>
      </w:pPr>
    </w:p>
    <w:p w14:paraId="3288AF70">
      <w:pPr>
        <w:autoSpaceDE w:val="0"/>
        <w:autoSpaceDN w:val="0"/>
        <w:spacing w:line="300" w:lineRule="auto"/>
        <w:textAlignment w:val="bottom"/>
        <w:rPr>
          <w:rFonts w:ascii="宋体" w:hAnsi="宋体"/>
          <w:color w:val="auto"/>
          <w:szCs w:val="21"/>
          <w:highlight w:val="none"/>
        </w:rPr>
      </w:pPr>
    </w:p>
    <w:p w14:paraId="1F98F65D">
      <w:pPr>
        <w:widowControl/>
        <w:tabs>
          <w:tab w:val="left" w:pos="4200"/>
        </w:tabs>
        <w:spacing w:line="400" w:lineRule="exact"/>
        <w:rPr>
          <w:rFonts w:ascii="宋体" w:hAnsi="宋体" w:cs="宋体"/>
          <w:b/>
          <w:bCs/>
          <w:color w:val="auto"/>
          <w:kern w:val="0"/>
          <w:sz w:val="36"/>
          <w:szCs w:val="36"/>
          <w:highlight w:val="none"/>
        </w:rPr>
      </w:pPr>
      <w:bookmarkStart w:id="951" w:name="_Toc13510"/>
      <w:bookmarkStart w:id="952" w:name="_Toc334077616"/>
    </w:p>
    <w:bookmarkEnd w:id="951"/>
    <w:bookmarkEnd w:id="952"/>
    <w:p w14:paraId="1D276F4B">
      <w:pPr>
        <w:widowControl/>
        <w:tabs>
          <w:tab w:val="left" w:pos="4200"/>
        </w:tabs>
        <w:spacing w:before="158" w:beforeLines="50" w:line="400" w:lineRule="exact"/>
        <w:jc w:val="center"/>
        <w:rPr>
          <w:rFonts w:ascii="宋体" w:hAnsi="宋体" w:cs="宋体"/>
          <w:b/>
          <w:bCs/>
          <w:color w:val="auto"/>
          <w:kern w:val="0"/>
          <w:sz w:val="36"/>
          <w:szCs w:val="36"/>
          <w:highlight w:val="none"/>
        </w:rPr>
      </w:pPr>
      <w:r>
        <w:rPr>
          <w:rFonts w:ascii="宋体" w:hAnsi="宋体" w:cs="宋体"/>
          <w:b/>
          <w:bCs/>
          <w:color w:val="auto"/>
          <w:kern w:val="0"/>
          <w:sz w:val="36"/>
          <w:szCs w:val="36"/>
          <w:highlight w:val="none"/>
        </w:rPr>
        <w:br w:type="page"/>
      </w:r>
      <w:r>
        <w:rPr>
          <w:rFonts w:hint="eastAsia" w:ascii="宋体" w:hAnsi="宋体" w:cs="宋体"/>
          <w:b/>
          <w:bCs/>
          <w:color w:val="auto"/>
          <w:kern w:val="0"/>
          <w:sz w:val="36"/>
          <w:szCs w:val="36"/>
          <w:highlight w:val="none"/>
        </w:rPr>
        <w:t>评标办法</w:t>
      </w:r>
    </w:p>
    <w:p w14:paraId="74E831C7">
      <w:pPr>
        <w:widowControl/>
        <w:tabs>
          <w:tab w:val="left" w:pos="4200"/>
        </w:tabs>
        <w:spacing w:before="317" w:beforeLines="100" w:after="317" w:afterLines="100" w:line="400" w:lineRule="exact"/>
        <w:jc w:val="center"/>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评标办法前附表</w:t>
      </w:r>
      <w:r>
        <w:rPr>
          <w:rStyle w:val="48"/>
          <w:rFonts w:hint="eastAsia" w:ascii="宋体" w:hAnsi="宋体" w:cs="宋体"/>
          <w:b/>
          <w:bCs/>
          <w:color w:val="auto"/>
          <w:kern w:val="0"/>
          <w:sz w:val="30"/>
          <w:szCs w:val="30"/>
          <w:highlight w:val="none"/>
        </w:rPr>
        <w:footnoteReference w:id="6"/>
      </w:r>
    </w:p>
    <w:tbl>
      <w:tblPr>
        <w:tblStyle w:val="39"/>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593"/>
        <w:gridCol w:w="662"/>
        <w:gridCol w:w="1330"/>
        <w:gridCol w:w="1730"/>
        <w:gridCol w:w="4947"/>
      </w:tblGrid>
      <w:tr w14:paraId="1A81F80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480" w:hRule="atLeast"/>
          <w:jc w:val="center"/>
        </w:trPr>
        <w:tc>
          <w:tcPr>
            <w:tcW w:w="2585" w:type="dxa"/>
            <w:gridSpan w:val="3"/>
            <w:tcBorders>
              <w:top w:val="single" w:color="000000" w:sz="12" w:space="0"/>
              <w:left w:val="single" w:color="000000" w:sz="12" w:space="0"/>
              <w:bottom w:val="single" w:color="000000" w:sz="12" w:space="0"/>
              <w:right w:val="single" w:color="000000" w:sz="12" w:space="0"/>
              <w:tl2br w:val="nil"/>
              <w:tr2bl w:val="nil"/>
            </w:tcBorders>
            <w:noWrap w:val="0"/>
            <w:vAlign w:val="center"/>
          </w:tcPr>
          <w:p w14:paraId="5887CB63">
            <w:pPr>
              <w:widowControl/>
              <w:wordWrap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6677" w:type="dxa"/>
            <w:gridSpan w:val="2"/>
            <w:tcBorders>
              <w:top w:val="single" w:color="000000" w:sz="12" w:space="0"/>
              <w:left w:val="nil"/>
              <w:bottom w:val="single" w:color="000000" w:sz="12" w:space="0"/>
              <w:right w:val="single" w:color="000000" w:sz="12" w:space="0"/>
              <w:tl2br w:val="nil"/>
              <w:tr2bl w:val="nil"/>
            </w:tcBorders>
            <w:noWrap w:val="0"/>
            <w:vAlign w:val="center"/>
          </w:tcPr>
          <w:p w14:paraId="1554B947">
            <w:pPr>
              <w:widowControl/>
              <w:wordWrap w:val="0"/>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评审因素与评审标准</w:t>
            </w:r>
          </w:p>
        </w:tc>
      </w:tr>
      <w:tr w14:paraId="034975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10" w:hRule="atLeast"/>
          <w:jc w:val="center"/>
        </w:trPr>
        <w:tc>
          <w:tcPr>
            <w:tcW w:w="593" w:type="dxa"/>
            <w:tcBorders>
              <w:top w:val="nil"/>
              <w:left w:val="single" w:color="000000" w:sz="12" w:space="0"/>
              <w:bottom w:val="single" w:color="000000" w:sz="12" w:space="0"/>
              <w:right w:val="single" w:color="000000" w:sz="12" w:space="0"/>
              <w:tl2br w:val="nil"/>
              <w:tr2bl w:val="nil"/>
            </w:tcBorders>
            <w:noWrap w:val="0"/>
            <w:vAlign w:val="center"/>
          </w:tcPr>
          <w:p w14:paraId="5FC97763">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992" w:type="dxa"/>
            <w:gridSpan w:val="2"/>
            <w:tcBorders>
              <w:top w:val="nil"/>
              <w:left w:val="nil"/>
              <w:bottom w:val="single" w:color="000000" w:sz="12" w:space="0"/>
              <w:right w:val="single" w:color="000000" w:sz="12" w:space="0"/>
              <w:tl2br w:val="nil"/>
              <w:tr2bl w:val="nil"/>
            </w:tcBorders>
            <w:noWrap w:val="0"/>
            <w:vAlign w:val="center"/>
          </w:tcPr>
          <w:p w14:paraId="66098DA2">
            <w:pPr>
              <w:widowControl/>
              <w:wordWrap/>
              <w:autoSpaceDE w:val="0"/>
              <w:autoSpaceDN w:val="0"/>
              <w:spacing w:line="300" w:lineRule="auto"/>
              <w:jc w:val="center"/>
              <w:rPr>
                <w:rFonts w:hint="eastAsia" w:ascii="宋体" w:hAnsi="宋体" w:eastAsia="宋体" w:cs="宋体"/>
                <w:color w:val="auto"/>
                <w:kern w:val="0"/>
                <w:sz w:val="21"/>
                <w:szCs w:val="21"/>
                <w:highlight w:val="none"/>
                <w:lang w:eastAsia="zh-CN"/>
              </w:rPr>
            </w:pPr>
            <w:r>
              <w:rPr>
                <w:rFonts w:hint="eastAsia" w:cs="宋体"/>
                <w:color w:val="auto"/>
                <w:kern w:val="1"/>
                <w:sz w:val="21"/>
                <w:szCs w:val="21"/>
                <w:highlight w:val="none"/>
                <w:lang w:val="en-US" w:eastAsia="zh-CN"/>
              </w:rPr>
              <w:t>资格审查与确定入围投标人的程序顺序</w:t>
            </w:r>
          </w:p>
        </w:tc>
        <w:tc>
          <w:tcPr>
            <w:tcW w:w="6677" w:type="dxa"/>
            <w:gridSpan w:val="2"/>
            <w:tcBorders>
              <w:top w:val="single" w:color="000000" w:sz="12" w:space="0"/>
              <w:left w:val="single" w:color="000000" w:sz="12" w:space="0"/>
              <w:bottom w:val="single" w:color="000000" w:sz="12" w:space="0"/>
              <w:right w:val="single" w:color="000000" w:sz="12" w:space="0"/>
              <w:tl2br w:val="nil"/>
              <w:tr2bl w:val="nil"/>
            </w:tcBorders>
            <w:noWrap w:val="0"/>
            <w:vAlign w:val="center"/>
          </w:tcPr>
          <w:p w14:paraId="520C0019">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1.未设置类似工程业绩作为投标人资格条件的招标项目（其他项目），是否将评标办法第2.3项第（1）目“资格审查”先于第（3）目“确定入围投标人”进行：</w:t>
            </w:r>
          </w:p>
          <w:p w14:paraId="2858F13A">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  □否</w:t>
            </w:r>
          </w:p>
          <w:p w14:paraId="11C347E3">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2.招标文件规定将资格审查程序先于确定入围投标人程序的，“投标人”指资格审查合格的投标人。</w:t>
            </w:r>
          </w:p>
        </w:tc>
      </w:tr>
      <w:tr w14:paraId="107357F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092" w:hRule="atLeast"/>
          <w:jc w:val="center"/>
        </w:trPr>
        <w:tc>
          <w:tcPr>
            <w:tcW w:w="593" w:type="dxa"/>
            <w:vMerge w:val="restart"/>
            <w:tcBorders>
              <w:tl2br w:val="nil"/>
              <w:tr2bl w:val="nil"/>
            </w:tcBorders>
            <w:noWrap w:val="0"/>
            <w:vAlign w:val="center"/>
          </w:tcPr>
          <w:p w14:paraId="48386E81">
            <w:pPr>
              <w:widowControl/>
              <w:wordWrap w:val="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662" w:type="dxa"/>
            <w:vMerge w:val="restart"/>
            <w:tcBorders>
              <w:tl2br w:val="nil"/>
              <w:tr2bl w:val="nil"/>
            </w:tcBorders>
            <w:noWrap w:val="0"/>
            <w:vAlign w:val="center"/>
          </w:tcPr>
          <w:p w14:paraId="1F5FB1BE">
            <w:pPr>
              <w:widowControl/>
              <w:wordWrap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确定入围投标人</w:t>
            </w:r>
          </w:p>
          <w:p w14:paraId="249AB6E3">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14:paraId="644F836D">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投标人数量大于或等于3家且小于或等于20家</w:t>
            </w:r>
          </w:p>
        </w:tc>
        <w:tc>
          <w:tcPr>
            <w:tcW w:w="6677" w:type="dxa"/>
            <w:gridSpan w:val="2"/>
            <w:tcBorders>
              <w:tl2br w:val="nil"/>
              <w:tr2bl w:val="nil"/>
            </w:tcBorders>
            <w:noWrap w:val="0"/>
            <w:vAlign w:val="center"/>
          </w:tcPr>
          <w:p w14:paraId="3CEB921F">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按照投标人投标报价由低往高进行报价排序，淘汰投标报价最高的投标人（最高投标报价的投标人多于1家的，一并淘汰），剩余投标人均确定为入围投标人。</w:t>
            </w:r>
          </w:p>
        </w:tc>
      </w:tr>
      <w:tr w14:paraId="29FC41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14:paraId="2CDC4566">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14:paraId="197F5C6F">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14:paraId="522199B0">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投标人数量大于或等于21家且小于或等于30家</w:t>
            </w:r>
          </w:p>
        </w:tc>
        <w:tc>
          <w:tcPr>
            <w:tcW w:w="6677" w:type="dxa"/>
            <w:gridSpan w:val="2"/>
            <w:tcBorders>
              <w:tl2br w:val="nil"/>
              <w:tr2bl w:val="nil"/>
            </w:tcBorders>
            <w:noWrap w:val="0"/>
            <w:vAlign w:val="center"/>
          </w:tcPr>
          <w:p w14:paraId="165934C1">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按照投标人投标报价由低往高进行报价排序，淘汰报价排序靠前和靠后的各1-3家投标人（具体家数公开抽取确定），剩余投标人均确定为入围投标人。</w:t>
            </w:r>
          </w:p>
          <w:p w14:paraId="60D43A73">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上述随机抽取工作规则如下：</w:t>
            </w:r>
          </w:p>
          <w:p w14:paraId="2A1059F7">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1.报价排序靠前淘汰家数</w:t>
            </w:r>
          </w:p>
          <w:p w14:paraId="38F95DF5">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首先由招标人代表在市公共资源交易中心开标区抽取机中放入3个球号，球号分别为1、2、3，经随机抽取的球号数字即为报价排序靠前淘汰家数</w:t>
            </w:r>
            <w:r>
              <w:rPr>
                <w:rFonts w:hint="eastAsia" w:cs="宋体"/>
                <w:color w:val="auto"/>
                <w:sz w:val="21"/>
                <w:szCs w:val="21"/>
                <w:highlight w:val="none"/>
                <w:lang w:val="zh-CN" w:bidi="zh-CN"/>
              </w:rPr>
              <w:t>（</w:t>
            </w:r>
            <w:r>
              <w:rPr>
                <w:rFonts w:hint="eastAsia" w:cs="宋体"/>
                <w:color w:val="auto"/>
                <w:kern w:val="1"/>
                <w:sz w:val="21"/>
                <w:szCs w:val="21"/>
                <w:highlight w:val="none"/>
                <w:lang w:val="zh-CN"/>
              </w:rPr>
              <w:t>与淘汰投标人中最高投标报价相同的投标人，一并淘汰）</w:t>
            </w:r>
            <w:r>
              <w:rPr>
                <w:rFonts w:hint="eastAsia" w:ascii="宋体" w:hAnsi="宋体" w:eastAsia="宋体" w:cs="宋体"/>
                <w:color w:val="auto"/>
                <w:kern w:val="0"/>
                <w:szCs w:val="21"/>
                <w:highlight w:val="none"/>
              </w:rPr>
              <w:t>；</w:t>
            </w:r>
          </w:p>
          <w:p w14:paraId="26629FCB">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2.报价排序靠后淘汰家数</w:t>
            </w:r>
          </w:p>
          <w:p w14:paraId="37BBD456">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其次由招标人代表在市公共资源交易中心开标区抽取机中放入3个球号，球号分别为1、2、3，经随机抽取的球号数字即为报价排序靠后淘汰家数（与淘汰投标人中最低投标报价相同的投标人，一并淘汰）；</w:t>
            </w:r>
          </w:p>
          <w:p w14:paraId="382F53DB">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3.在抽取过程中，如出现由于工作失误或设备故障影响抽取结果的，抽取结果无效，应当重新抽取。所有抽球过程实行全程录音录像监控。</w:t>
            </w:r>
          </w:p>
        </w:tc>
      </w:tr>
      <w:tr w14:paraId="26C308A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14:paraId="382BE639">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14:paraId="68460821">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14:paraId="43F7F738">
            <w:pPr>
              <w:widowControl/>
              <w:wordWrap w:val="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投标人数量大于或等于31家且小于或等于50家</w:t>
            </w:r>
          </w:p>
        </w:tc>
        <w:tc>
          <w:tcPr>
            <w:tcW w:w="6677" w:type="dxa"/>
            <w:gridSpan w:val="2"/>
            <w:tcBorders>
              <w:tl2br w:val="nil"/>
              <w:tr2bl w:val="nil"/>
            </w:tcBorders>
            <w:noWrap w:val="0"/>
            <w:vAlign w:val="center"/>
          </w:tcPr>
          <w:p w14:paraId="44DD64A0">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1.报价排序淘汰投标人：</w:t>
            </w:r>
          </w:p>
          <w:p w14:paraId="7BDDA8E8">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投标人的投标报价由低往高进行报价排序，淘汰排序靠前5家投标人（与淘汰投标人中最高投标报价相同的投标人，一并淘汰），同时在余下的投标人中淘汰排序靠后1/4数量的投标人（淘汰数量取整数，小数点第一位“四舍五入”，第二位及以后不计；与淘汰投标人中最低投标报价一致的投标人，一并淘汰）。</w:t>
            </w:r>
          </w:p>
          <w:p w14:paraId="48A4F664">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经报价排序淘汰后投标人数量小于或等于20家的全部确定为入围投标人，投标人数量仍大于20家的进入信用排序选取投标人环节。</w:t>
            </w:r>
          </w:p>
          <w:p w14:paraId="67EC2FD6">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被本项程序淘汰的投标人不参与第4项规定的入围投标人的确定和增补。</w:t>
            </w:r>
          </w:p>
        </w:tc>
      </w:tr>
      <w:tr w14:paraId="703259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662" w:hRule="atLeast"/>
          <w:jc w:val="center"/>
        </w:trPr>
        <w:tc>
          <w:tcPr>
            <w:tcW w:w="593" w:type="dxa"/>
            <w:vMerge w:val="continue"/>
            <w:tcBorders>
              <w:tl2br w:val="nil"/>
              <w:tr2bl w:val="nil"/>
            </w:tcBorders>
            <w:noWrap w:val="0"/>
            <w:vAlign w:val="center"/>
          </w:tcPr>
          <w:p w14:paraId="4E3019F9">
            <w:pPr>
              <w:widowControl/>
              <w:wordWrap w:val="0"/>
              <w:jc w:val="center"/>
              <w:rPr>
                <w:rFonts w:hint="eastAsia" w:ascii="宋体" w:hAnsi="宋体" w:eastAsia="宋体" w:cs="宋体"/>
                <w:color w:val="auto"/>
                <w:kern w:val="0"/>
                <w:sz w:val="21"/>
                <w:szCs w:val="21"/>
                <w:highlight w:val="none"/>
                <w:lang w:val="en-US" w:eastAsia="zh-CN"/>
              </w:rPr>
            </w:pPr>
          </w:p>
        </w:tc>
        <w:tc>
          <w:tcPr>
            <w:tcW w:w="662" w:type="dxa"/>
            <w:vMerge w:val="continue"/>
            <w:tcBorders>
              <w:tl2br w:val="nil"/>
              <w:tr2bl w:val="nil"/>
            </w:tcBorders>
            <w:noWrap w:val="0"/>
            <w:vAlign w:val="center"/>
          </w:tcPr>
          <w:p w14:paraId="156EB12C">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l2br w:val="nil"/>
              <w:tr2bl w:val="nil"/>
            </w:tcBorders>
            <w:noWrap w:val="0"/>
            <w:vAlign w:val="center"/>
          </w:tcPr>
          <w:p w14:paraId="5C16D021">
            <w:pPr>
              <w:widowControl/>
              <w:wordWrap w:val="0"/>
              <w:jc w:val="center"/>
              <w:rPr>
                <w:rFonts w:hint="eastAsia" w:ascii="宋体" w:hAnsi="宋体" w:eastAsia="宋体" w:cs="宋体"/>
                <w:color w:val="auto"/>
                <w:kern w:val="0"/>
                <w:sz w:val="21"/>
                <w:szCs w:val="21"/>
                <w:highlight w:val="none"/>
                <w:lang w:eastAsia="zh-CN"/>
              </w:rPr>
            </w:pPr>
          </w:p>
        </w:tc>
        <w:tc>
          <w:tcPr>
            <w:tcW w:w="6677" w:type="dxa"/>
            <w:gridSpan w:val="2"/>
            <w:tcBorders>
              <w:tl2br w:val="nil"/>
              <w:tr2bl w:val="nil"/>
            </w:tcBorders>
            <w:noWrap w:val="0"/>
            <w:vAlign w:val="center"/>
          </w:tcPr>
          <w:p w14:paraId="31DD5D7C">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2、信用排序</w:t>
            </w:r>
            <w:r>
              <w:rPr>
                <w:rFonts w:hint="eastAsia" w:ascii="宋体" w:hAnsi="宋体" w:eastAsia="宋体" w:cs="宋体"/>
                <w:color w:val="auto"/>
                <w:kern w:val="0"/>
                <w:sz w:val="21"/>
                <w:szCs w:val="21"/>
                <w:highlight w:val="none"/>
                <w:lang w:val="en-US" w:eastAsia="zh-CN"/>
              </w:rPr>
              <w:t>选取入围</w:t>
            </w:r>
            <w:r>
              <w:rPr>
                <w:rFonts w:hint="eastAsia" w:ascii="宋体" w:hAnsi="宋体" w:eastAsia="宋体" w:cs="宋体"/>
                <w:color w:val="auto"/>
                <w:kern w:val="0"/>
                <w:sz w:val="21"/>
                <w:szCs w:val="21"/>
                <w:highlight w:val="none"/>
                <w:lang w:eastAsia="zh-CN"/>
              </w:rPr>
              <w:t>投标人</w:t>
            </w:r>
            <w:r>
              <w:rPr>
                <w:rStyle w:val="48"/>
                <w:rFonts w:hint="eastAsia" w:ascii="宋体" w:hAnsi="宋体" w:eastAsia="宋体" w:cs="宋体"/>
                <w:color w:val="auto"/>
                <w:kern w:val="0"/>
                <w:sz w:val="21"/>
                <w:szCs w:val="21"/>
                <w:highlight w:val="none"/>
                <w:lang w:eastAsia="zh-CN"/>
              </w:rPr>
              <w:footnoteReference w:id="7"/>
            </w:r>
          </w:p>
          <w:p w14:paraId="1E33C48E">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从最近期的福建省交通建设市场信用考核评价等级为AA的投标人</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厦门市建筑施工企业信用综合评价</w:t>
            </w:r>
            <w:r>
              <w:rPr>
                <w:rFonts w:hint="eastAsia" w:ascii="宋体" w:hAnsi="宋体" w:eastAsia="宋体" w:cs="宋体"/>
                <w:color w:val="auto"/>
                <w:sz w:val="21"/>
                <w:szCs w:val="21"/>
                <w:highlight w:val="none"/>
                <w:lang w:val="zh-CN" w:bidi="zh-CN"/>
              </w:rPr>
              <w:t>结果的评价</w:t>
            </w:r>
            <w:r>
              <w:rPr>
                <w:rFonts w:hint="eastAsia" w:ascii="宋体" w:hAnsi="宋体" w:eastAsia="宋体" w:cs="宋体"/>
                <w:color w:val="auto"/>
                <w:kern w:val="0"/>
                <w:sz w:val="21"/>
                <w:szCs w:val="21"/>
                <w:highlight w:val="none"/>
                <w:lang w:eastAsia="zh-CN"/>
              </w:rPr>
              <w:t>等级为A的投标人（</w:t>
            </w:r>
            <w:r>
              <w:rPr>
                <w:rFonts w:hint="eastAsia" w:ascii="宋体" w:hAnsi="宋体" w:eastAsia="宋体" w:cs="宋体"/>
                <w:color w:val="auto"/>
                <w:kern w:val="0"/>
                <w:sz w:val="21"/>
                <w:szCs w:val="21"/>
                <w:highlight w:val="none"/>
                <w:lang w:val="en-US" w:eastAsia="zh-CN"/>
              </w:rPr>
              <w:t>满足上述信用评价其一即可，本表下同</w:t>
            </w:r>
            <w:r>
              <w:rPr>
                <w:rFonts w:hint="eastAsia" w:ascii="宋体" w:hAnsi="宋体" w:eastAsia="宋体" w:cs="宋体"/>
                <w:color w:val="auto"/>
                <w:kern w:val="0"/>
                <w:sz w:val="21"/>
                <w:szCs w:val="21"/>
                <w:highlight w:val="none"/>
                <w:lang w:eastAsia="zh-CN"/>
              </w:rPr>
              <w:t>）中按投标人的投标报价由低往高</w:t>
            </w:r>
            <w:r>
              <w:rPr>
                <w:rFonts w:hint="eastAsia" w:ascii="宋体" w:hAnsi="宋体" w:eastAsia="宋体" w:cs="宋体"/>
                <w:color w:val="auto"/>
                <w:kern w:val="0"/>
                <w:sz w:val="21"/>
                <w:szCs w:val="21"/>
                <w:highlight w:val="none"/>
                <w:lang w:val="en-US" w:eastAsia="zh-CN"/>
              </w:rPr>
              <w:t>进行报价排序</w:t>
            </w:r>
            <w:r>
              <w:rPr>
                <w:rFonts w:hint="eastAsia" w:ascii="宋体" w:hAnsi="宋体" w:eastAsia="宋体" w:cs="宋体"/>
                <w:color w:val="auto"/>
                <w:kern w:val="0"/>
                <w:sz w:val="21"/>
                <w:szCs w:val="21"/>
                <w:highlight w:val="none"/>
                <w:lang w:eastAsia="zh-CN"/>
              </w:rPr>
              <w:t>，依序确定为入围投标人，</w:t>
            </w:r>
            <w:r>
              <w:rPr>
                <w:rFonts w:hint="eastAsia" w:ascii="宋体" w:hAnsi="宋体" w:eastAsia="宋体" w:cs="宋体"/>
                <w:color w:val="auto"/>
                <w:kern w:val="0"/>
                <w:sz w:val="21"/>
                <w:szCs w:val="21"/>
                <w:highlight w:val="none"/>
                <w:lang w:val="en-US" w:eastAsia="zh-CN"/>
              </w:rPr>
              <w:t>以上等级的投标人</w:t>
            </w:r>
            <w:r>
              <w:rPr>
                <w:rFonts w:hint="eastAsia" w:ascii="宋体" w:hAnsi="宋体" w:eastAsia="宋体" w:cs="宋体"/>
                <w:color w:val="auto"/>
                <w:kern w:val="0"/>
                <w:sz w:val="21"/>
                <w:szCs w:val="21"/>
                <w:highlight w:val="none"/>
                <w:lang w:eastAsia="zh-CN"/>
              </w:rPr>
              <w:t>数量不足 20 家的，再从最近期的福建省交通建设市场信用考核评价等级为A的投标人</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lang w:eastAsia="zh-CN"/>
              </w:rPr>
              <w:t>厦门市建筑施工企业信用综合评价等级为BB+的投标人中按投标人的投标报价由低往高排序并依序确定为入围投标人，</w:t>
            </w:r>
            <w:r>
              <w:rPr>
                <w:rFonts w:hint="eastAsia" w:ascii="宋体" w:hAnsi="宋体" w:eastAsia="宋体" w:cs="宋体"/>
                <w:color w:val="auto"/>
                <w:kern w:val="0"/>
                <w:szCs w:val="21"/>
                <w:highlight w:val="none"/>
              </w:rPr>
              <w:t>入围投标人仍不足20家的，从其他投标人中按投标人的投标报价由低往高排序并依序选取直至入围投标人数量为20家</w:t>
            </w:r>
            <w:r>
              <w:rPr>
                <w:rFonts w:hint="eastAsia" w:ascii="宋体" w:hAnsi="宋体" w:eastAsia="宋体" w:cs="宋体"/>
                <w:color w:val="auto"/>
                <w:kern w:val="0"/>
                <w:sz w:val="21"/>
                <w:szCs w:val="21"/>
                <w:highlight w:val="none"/>
                <w:lang w:eastAsia="zh-CN"/>
              </w:rPr>
              <w:t>（与前述 20 家投标人中最高报价一致的投标人，一并入围）。</w:t>
            </w:r>
          </w:p>
          <w:p w14:paraId="6705D3FA">
            <w:pPr>
              <w:pStyle w:val="49"/>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bidi="ar"/>
              </w:rPr>
              <w:t>①</w:t>
            </w:r>
            <w:r>
              <w:rPr>
                <w:rFonts w:hint="eastAsia" w:ascii="宋体" w:hAnsi="宋体" w:eastAsia="宋体" w:cs="宋体"/>
                <w:color w:val="auto"/>
                <w:kern w:val="0"/>
                <w:szCs w:val="21"/>
                <w:highlight w:val="none"/>
                <w:lang w:bidi="ar"/>
              </w:rPr>
              <w:t>最近期的福建省交通建设市场信用考核评价</w:t>
            </w:r>
            <w:r>
              <w:rPr>
                <w:rFonts w:hint="eastAsia" w:ascii="宋体" w:hAnsi="宋体" w:eastAsia="宋体" w:cs="宋体"/>
                <w:color w:val="auto"/>
                <w:kern w:val="0"/>
                <w:szCs w:val="21"/>
                <w:highlight w:val="none"/>
                <w:lang w:val="en-US" w:eastAsia="zh-CN" w:bidi="ar"/>
              </w:rPr>
              <w:t>指</w:t>
            </w:r>
            <w:r>
              <w:rPr>
                <w:rFonts w:hint="eastAsia" w:ascii="宋体" w:hAnsi="宋体" w:eastAsia="宋体" w:cs="宋体"/>
                <w:color w:val="auto"/>
                <w:kern w:val="0"/>
                <w:szCs w:val="21"/>
                <w:highlight w:val="none"/>
                <w:lang w:bidi="ar"/>
              </w:rPr>
              <w:t>投标人须知前附表条款号第</w:t>
            </w:r>
            <w:r>
              <w:rPr>
                <w:rFonts w:hint="eastAsia" w:ascii="宋体" w:hAnsi="宋体" w:eastAsia="宋体" w:cs="宋体"/>
                <w:color w:val="auto"/>
                <w:kern w:val="0"/>
                <w:szCs w:val="21"/>
                <w:highlight w:val="none"/>
                <w:lang w:eastAsia="zh-CN" w:bidi="ar"/>
              </w:rPr>
              <w:t>1</w:t>
            </w:r>
            <w:r>
              <w:rPr>
                <w:rFonts w:hint="eastAsia" w:ascii="宋体" w:hAnsi="宋体" w:eastAsia="宋体" w:cs="宋体"/>
                <w:color w:val="auto"/>
                <w:kern w:val="0"/>
                <w:szCs w:val="21"/>
                <w:highlight w:val="none"/>
                <w:lang w:val="en-US" w:eastAsia="zh-CN" w:bidi="ar"/>
              </w:rPr>
              <w:t>0.4</w:t>
            </w:r>
            <w:r>
              <w:rPr>
                <w:rFonts w:hint="eastAsia" w:ascii="宋体" w:hAnsi="宋体" w:eastAsia="宋体" w:cs="宋体"/>
                <w:color w:val="auto"/>
                <w:kern w:val="0"/>
                <w:szCs w:val="21"/>
                <w:highlight w:val="none"/>
                <w:lang w:bidi="ar"/>
              </w:rPr>
              <w:t>项规定的评价结果</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最近期厦门市建筑施工企业信用综合评价结果指投标人须知前附表条款号第</w:t>
            </w:r>
            <w:r>
              <w:rPr>
                <w:rFonts w:hint="eastAsia" w:ascii="宋体" w:hAnsi="宋体" w:eastAsia="宋体" w:cs="宋体"/>
                <w:color w:val="auto"/>
                <w:kern w:val="0"/>
                <w:szCs w:val="21"/>
                <w:highlight w:val="none"/>
                <w:lang w:eastAsia="zh-CN" w:bidi="ar"/>
              </w:rPr>
              <w:t>1</w:t>
            </w:r>
            <w:r>
              <w:rPr>
                <w:rFonts w:hint="eastAsia" w:ascii="宋体" w:hAnsi="宋体" w:eastAsia="宋体" w:cs="宋体"/>
                <w:color w:val="auto"/>
                <w:kern w:val="0"/>
                <w:szCs w:val="21"/>
                <w:highlight w:val="none"/>
                <w:lang w:val="en-US" w:eastAsia="zh-CN" w:bidi="ar"/>
              </w:rPr>
              <w:t>0.3</w:t>
            </w:r>
            <w:r>
              <w:rPr>
                <w:rFonts w:hint="eastAsia" w:ascii="宋体" w:hAnsi="宋体" w:eastAsia="宋体" w:cs="宋体"/>
                <w:color w:val="auto"/>
                <w:kern w:val="0"/>
                <w:szCs w:val="21"/>
                <w:highlight w:val="none"/>
                <w:lang w:bidi="ar"/>
              </w:rPr>
              <w:t>项规定的评价结果</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本表下同</w:t>
            </w:r>
            <w:r>
              <w:rPr>
                <w:rFonts w:hint="eastAsia" w:ascii="宋体" w:hAnsi="宋体" w:eastAsia="宋体" w:cs="宋体"/>
                <w:color w:val="auto"/>
                <w:kern w:val="0"/>
                <w:sz w:val="21"/>
                <w:szCs w:val="21"/>
                <w:highlight w:val="none"/>
                <w:lang w:val="en-US" w:eastAsia="zh-CN"/>
              </w:rPr>
              <w:t>。</w:t>
            </w:r>
          </w:p>
          <w:p w14:paraId="39ECEAB2">
            <w:pPr>
              <w:pStyle w:val="49"/>
              <w:ind w:firstLine="420" w:firstLineChars="200"/>
              <w:rPr>
                <w:rFonts w:hint="default" w:eastAsia="宋体"/>
                <w:color w:val="auto"/>
                <w:highlight w:val="none"/>
                <w:lang w:eastAsia="zh-CN"/>
              </w:rPr>
            </w:pP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sz w:val="21"/>
                <w:szCs w:val="21"/>
                <w:highlight w:val="none"/>
              </w:rPr>
              <w:t>按照</w:t>
            </w:r>
            <w:r>
              <w:rPr>
                <w:rFonts w:hint="eastAsia" w:ascii="宋体" w:hAnsi="宋体" w:eastAsia="宋体" w:cs="宋体"/>
                <w:color w:val="auto"/>
                <w:szCs w:val="21"/>
                <w:highlight w:val="none"/>
              </w:rPr>
              <w:t>投标人须知前附表第1.4.2项第1条</w:t>
            </w:r>
            <w:r>
              <w:rPr>
                <w:rFonts w:hint="eastAsia" w:ascii="宋体" w:hAnsi="宋体" w:eastAsia="宋体" w:cs="宋体"/>
                <w:color w:val="auto"/>
                <w:sz w:val="21"/>
                <w:szCs w:val="21"/>
                <w:highlight w:val="none"/>
              </w:rPr>
              <w:t>组成联合体投标的，</w:t>
            </w:r>
            <w:r>
              <w:rPr>
                <w:rFonts w:hint="eastAsia" w:ascii="宋体" w:hAnsi="宋体" w:eastAsia="宋体" w:cs="宋体"/>
                <w:color w:val="auto"/>
                <w:szCs w:val="21"/>
                <w:highlight w:val="none"/>
              </w:rPr>
              <w:t>以该条规定为准</w:t>
            </w:r>
            <w:r>
              <w:rPr>
                <w:rFonts w:hint="eastAsia" w:ascii="宋体" w:hAnsi="宋体" w:eastAsia="宋体" w:cs="宋体"/>
                <w:color w:val="auto"/>
                <w:sz w:val="21"/>
                <w:szCs w:val="21"/>
                <w:highlight w:val="none"/>
              </w:rPr>
              <w:t>确定联合体投标人的信用综合评价等级；按照</w:t>
            </w:r>
            <w:r>
              <w:rPr>
                <w:rFonts w:hint="eastAsia" w:ascii="宋体" w:hAnsi="宋体" w:eastAsia="宋体" w:cs="宋体"/>
                <w:color w:val="auto"/>
                <w:szCs w:val="21"/>
                <w:highlight w:val="none"/>
              </w:rPr>
              <w:t>投标人须知前附表第1.4.2项第</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条</w:t>
            </w:r>
            <w:r>
              <w:rPr>
                <w:rFonts w:hint="eastAsia" w:ascii="宋体" w:hAnsi="宋体" w:eastAsia="宋体" w:cs="宋体"/>
                <w:color w:val="auto"/>
                <w:sz w:val="21"/>
                <w:szCs w:val="21"/>
                <w:highlight w:val="none"/>
              </w:rPr>
              <w:t>组成联合体投标的，以联合体</w:t>
            </w:r>
            <w:r>
              <w:rPr>
                <w:rFonts w:hint="eastAsia" w:ascii="宋体" w:hAnsi="宋体" w:eastAsia="宋体" w:cs="宋体"/>
                <w:color w:val="auto"/>
                <w:sz w:val="21"/>
                <w:szCs w:val="21"/>
                <w:highlight w:val="none"/>
                <w:lang w:val="en-US" w:eastAsia="zh-CN"/>
              </w:rPr>
              <w:t>牵头人</w:t>
            </w:r>
            <w:r>
              <w:rPr>
                <w:rFonts w:hint="eastAsia" w:ascii="宋体" w:hAnsi="宋体" w:eastAsia="宋体" w:cs="宋体"/>
                <w:color w:val="auto"/>
                <w:sz w:val="21"/>
                <w:szCs w:val="21"/>
                <w:highlight w:val="none"/>
              </w:rPr>
              <w:t>确定联合体投标人的信用综合评价等级。</w:t>
            </w:r>
          </w:p>
          <w:p w14:paraId="44CEB2AE">
            <w:pPr>
              <w:pStyle w:val="49"/>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3、经</w:t>
            </w:r>
            <w:r>
              <w:rPr>
                <w:rFonts w:hint="eastAsia" w:ascii="宋体" w:hAnsi="宋体" w:eastAsia="宋体" w:cs="宋体"/>
                <w:color w:val="auto"/>
                <w:kern w:val="0"/>
                <w:szCs w:val="21"/>
                <w:highlight w:val="none"/>
              </w:rPr>
              <w:t>第1项报价排序淘汰和第2项信用排序选取后</w:t>
            </w:r>
            <w:r>
              <w:rPr>
                <w:rFonts w:hint="eastAsia" w:ascii="宋体" w:hAnsi="宋体" w:eastAsia="宋体" w:cs="宋体"/>
                <w:color w:val="auto"/>
                <w:kern w:val="0"/>
                <w:sz w:val="21"/>
                <w:szCs w:val="21"/>
                <w:highlight w:val="none"/>
                <w:lang w:eastAsia="zh-CN"/>
              </w:rPr>
              <w:t>投标人数量不足20家的，按实际数量全部确定为入围投标人。</w:t>
            </w:r>
          </w:p>
          <w:p w14:paraId="76BEBCA8">
            <w:pPr>
              <w:pStyle w:val="49"/>
              <w:ind w:firstLine="420" w:firstLineChars="200"/>
              <w:rPr>
                <w:rFonts w:hint="eastAsia" w:ascii="宋体" w:hAnsi="宋体" w:eastAsia="宋体" w:cs="宋体"/>
                <w:color w:val="auto"/>
                <w:kern w:val="1"/>
                <w:sz w:val="21"/>
                <w:szCs w:val="21"/>
                <w:highlight w:val="none"/>
                <w:lang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出现下列情形应当</w:t>
            </w:r>
            <w:r>
              <w:rPr>
                <w:rFonts w:hint="eastAsia" w:ascii="宋体" w:hAnsi="宋体" w:eastAsia="宋体" w:cs="宋体"/>
                <w:color w:val="auto"/>
                <w:sz w:val="21"/>
                <w:szCs w:val="21"/>
                <w:highlight w:val="none"/>
                <w:lang w:bidi="ar"/>
              </w:rPr>
              <w:t>增补入围投标人：</w:t>
            </w:r>
          </w:p>
          <w:p w14:paraId="1D2D0157">
            <w:pPr>
              <w:pStyle w:val="49"/>
              <w:ind w:firstLine="420" w:firstLineChars="200"/>
              <w:rPr>
                <w:rFonts w:hint="eastAsia" w:ascii="宋体" w:hAnsi="宋体" w:eastAsia="宋体" w:cs="宋体"/>
                <w:color w:val="auto"/>
                <w:kern w:val="1"/>
                <w:szCs w:val="21"/>
                <w:highlight w:val="none"/>
                <w:lang w:eastAsia="zh-CN"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.1</w:t>
            </w:r>
            <w:r>
              <w:rPr>
                <w:rFonts w:hint="eastAsia" w:ascii="宋体" w:hAnsi="宋体" w:eastAsia="宋体" w:cs="宋体"/>
                <w:color w:val="auto"/>
                <w:kern w:val="1"/>
                <w:szCs w:val="21"/>
                <w:highlight w:val="none"/>
                <w:lang w:bidi="ar"/>
              </w:rPr>
              <w:t>按照第1项以及第2项规定确定的入围投标人中，每出现一次任意一家入围投标人投标报价与其报价排序在前一家的入围投标人投标报价的差值÷招标项目最高投标报价限价×100%的计算结果（保留至小数点后二位，第三位及以后不计）小于0.1%之情形的，则在按照第2项规定未被确定为入围投标人的剩余投标人中，</w:t>
            </w:r>
            <w:r>
              <w:rPr>
                <w:rFonts w:hint="eastAsia" w:ascii="宋体" w:hAnsi="宋体" w:eastAsia="宋体" w:cs="宋体"/>
                <w:color w:val="auto"/>
                <w:kern w:val="1"/>
                <w:szCs w:val="21"/>
                <w:highlight w:val="none"/>
                <w:lang w:val="en-US" w:eastAsia="zh-CN" w:bidi="ar"/>
              </w:rPr>
              <w:t>将</w:t>
            </w:r>
            <w:r>
              <w:rPr>
                <w:rFonts w:hint="eastAsia" w:ascii="宋体" w:hAnsi="宋体" w:eastAsia="宋体" w:cs="宋体"/>
                <w:color w:val="auto"/>
                <w:kern w:val="1"/>
                <w:szCs w:val="21"/>
                <w:highlight w:val="none"/>
                <w:lang w:bidi="ar"/>
              </w:rPr>
              <w:t>最近期的福建省交通建设市场信用考核评价等级为AA的投标人或厦门市建筑施工企业信用综合评价结果的评价等级为A的投标人按投标报价由低往高进行报价排序，依序相应增补一家入围投标人</w:t>
            </w:r>
            <w:r>
              <w:rPr>
                <w:rFonts w:hint="eastAsia" w:ascii="宋体" w:hAnsi="宋体" w:eastAsia="宋体" w:cs="宋体"/>
                <w:color w:val="auto"/>
                <w:kern w:val="1"/>
                <w:szCs w:val="21"/>
                <w:highlight w:val="none"/>
                <w:lang w:eastAsia="zh-CN" w:bidi="ar"/>
              </w:rPr>
              <w:t>（</w:t>
            </w:r>
            <w:r>
              <w:rPr>
                <w:rFonts w:hint="eastAsia" w:ascii="宋体" w:hAnsi="宋体" w:eastAsia="宋体" w:cs="宋体"/>
                <w:color w:val="auto"/>
                <w:kern w:val="1"/>
                <w:szCs w:val="21"/>
                <w:highlight w:val="none"/>
                <w:lang w:bidi="ar"/>
              </w:rPr>
              <w:t>福建省交通建设市场信用考核评价等级</w:t>
            </w:r>
            <w:r>
              <w:rPr>
                <w:rFonts w:hint="eastAsia" w:ascii="宋体" w:hAnsi="宋体" w:eastAsia="宋体" w:cs="宋体"/>
                <w:color w:val="auto"/>
                <w:kern w:val="1"/>
                <w:szCs w:val="21"/>
                <w:highlight w:val="none"/>
                <w:lang w:val="en-US" w:eastAsia="zh-CN" w:bidi="ar"/>
              </w:rPr>
              <w:t>为AA等级或</w:t>
            </w:r>
            <w:r>
              <w:rPr>
                <w:rFonts w:hint="eastAsia" w:ascii="宋体" w:hAnsi="宋体" w:eastAsia="宋体" w:cs="宋体"/>
                <w:color w:val="auto"/>
                <w:kern w:val="1"/>
                <w:szCs w:val="21"/>
                <w:highlight w:val="none"/>
                <w:lang w:bidi="ar"/>
              </w:rPr>
              <w:t>厦门市建筑施工企业信用综合评价</w:t>
            </w:r>
            <w:r>
              <w:rPr>
                <w:rFonts w:hint="eastAsia" w:ascii="宋体" w:hAnsi="宋体" w:eastAsia="宋体" w:cs="宋体"/>
                <w:color w:val="auto"/>
                <w:kern w:val="1"/>
                <w:szCs w:val="21"/>
                <w:highlight w:val="none"/>
                <w:lang w:val="en-US" w:eastAsia="zh-CN" w:bidi="ar"/>
              </w:rPr>
              <w:t>等级为</w:t>
            </w:r>
            <w:r>
              <w:rPr>
                <w:rFonts w:hint="eastAsia" w:ascii="宋体" w:hAnsi="宋体" w:eastAsia="宋体" w:cs="宋体"/>
                <w:color w:val="auto"/>
                <w:kern w:val="1"/>
                <w:szCs w:val="21"/>
                <w:highlight w:val="none"/>
                <w:lang w:bidi="ar"/>
              </w:rPr>
              <w:t>A等级投标人数量不足时，从最近期的福建省交通建设市场信用考核评价等级为A的投标人或厦门市建筑施工企业信用综合评价等级为BB+的投标人中按投标报价由低往高进行报价排序，依序相应增补，其余以此类推</w:t>
            </w:r>
            <w:r>
              <w:rPr>
                <w:rFonts w:hint="eastAsia" w:ascii="宋体" w:hAnsi="宋体" w:eastAsia="宋体" w:cs="宋体"/>
                <w:color w:val="auto"/>
                <w:kern w:val="1"/>
                <w:szCs w:val="21"/>
                <w:highlight w:val="none"/>
                <w:lang w:eastAsia="zh-CN" w:bidi="ar"/>
              </w:rPr>
              <w:t>）。</w:t>
            </w:r>
          </w:p>
          <w:p w14:paraId="0BD843A2">
            <w:pPr>
              <w:pStyle w:val="49"/>
              <w:ind w:firstLine="420" w:firstLineChars="200"/>
              <w:rPr>
                <w:rFonts w:hint="eastAsia" w:ascii="宋体" w:hAnsi="宋体" w:eastAsia="宋体" w:cs="宋体"/>
                <w:color w:val="auto"/>
                <w:kern w:val="1"/>
                <w:szCs w:val="21"/>
                <w:highlight w:val="none"/>
                <w:lang w:bidi="ar"/>
              </w:rPr>
            </w:pPr>
            <w:r>
              <w:rPr>
                <w:rFonts w:hint="eastAsia" w:ascii="宋体" w:hAnsi="宋体" w:eastAsia="宋体" w:cs="宋体"/>
                <w:color w:val="auto"/>
                <w:kern w:val="1"/>
                <w:sz w:val="21"/>
                <w:szCs w:val="21"/>
                <w:highlight w:val="none"/>
                <w:lang w:val="en-US" w:eastAsia="zh-CN" w:bidi="ar"/>
              </w:rPr>
              <w:t>4</w:t>
            </w:r>
            <w:r>
              <w:rPr>
                <w:rFonts w:hint="eastAsia" w:ascii="宋体" w:hAnsi="宋体" w:eastAsia="宋体" w:cs="宋体"/>
                <w:color w:val="auto"/>
                <w:kern w:val="1"/>
                <w:sz w:val="21"/>
                <w:szCs w:val="21"/>
                <w:highlight w:val="none"/>
                <w:lang w:bidi="ar"/>
              </w:rPr>
              <w:t>.2按照</w:t>
            </w:r>
            <w:r>
              <w:rPr>
                <w:rFonts w:hint="eastAsia" w:ascii="宋体" w:hAnsi="宋体" w:eastAsia="宋体" w:cs="宋体"/>
                <w:color w:val="auto"/>
                <w:kern w:val="1"/>
                <w:szCs w:val="21"/>
                <w:highlight w:val="none"/>
                <w:lang w:bidi="ar"/>
              </w:rPr>
              <w:t>第1项以及第2项</w:t>
            </w:r>
            <w:r>
              <w:rPr>
                <w:rFonts w:hint="eastAsia" w:ascii="宋体" w:hAnsi="宋体" w:eastAsia="宋体" w:cs="宋体"/>
                <w:color w:val="auto"/>
                <w:kern w:val="1"/>
                <w:sz w:val="21"/>
                <w:szCs w:val="21"/>
                <w:highlight w:val="none"/>
                <w:lang w:bidi="ar"/>
              </w:rPr>
              <w:t>规定确定的入围投标人中最高投标报价与最低投标报价的差值÷招标项目最高投标报价限价×100%的计算结果（保留至小数点后一位，第二位及以后不计）小于1.0%时，视为入围投标人只占用一个入围名额，</w:t>
            </w:r>
            <w:r>
              <w:rPr>
                <w:rFonts w:hint="eastAsia" w:ascii="宋体" w:hAnsi="宋体" w:eastAsia="宋体" w:cs="宋体"/>
                <w:color w:val="auto"/>
                <w:kern w:val="1"/>
                <w:sz w:val="21"/>
                <w:szCs w:val="21"/>
                <w:highlight w:val="none"/>
                <w:lang w:val="en-US" w:eastAsia="zh-CN" w:bidi="ar"/>
              </w:rPr>
              <w:t>则再</w:t>
            </w:r>
            <w:r>
              <w:rPr>
                <w:rFonts w:hint="eastAsia" w:ascii="宋体" w:hAnsi="宋体" w:eastAsia="宋体" w:cs="宋体"/>
                <w:color w:val="auto"/>
                <w:kern w:val="1"/>
                <w:sz w:val="21"/>
                <w:szCs w:val="21"/>
                <w:highlight w:val="none"/>
                <w:lang w:bidi="ar"/>
              </w:rPr>
              <w:t>按照第2项</w:t>
            </w:r>
            <w:r>
              <w:rPr>
                <w:rFonts w:hint="eastAsia" w:ascii="宋体" w:hAnsi="宋体" w:eastAsia="宋体" w:cs="宋体"/>
                <w:color w:val="auto"/>
                <w:kern w:val="1"/>
                <w:sz w:val="21"/>
                <w:szCs w:val="21"/>
                <w:highlight w:val="none"/>
                <w:lang w:val="en-US" w:eastAsia="zh-CN" w:bidi="ar"/>
              </w:rPr>
              <w:t>及第4.1项</w:t>
            </w:r>
            <w:r>
              <w:rPr>
                <w:rFonts w:hint="eastAsia" w:ascii="宋体" w:hAnsi="宋体" w:eastAsia="宋体" w:cs="宋体"/>
                <w:color w:val="auto"/>
                <w:kern w:val="1"/>
                <w:sz w:val="21"/>
                <w:szCs w:val="21"/>
                <w:highlight w:val="none"/>
                <w:lang w:bidi="ar"/>
              </w:rPr>
              <w:t>规定未被确定为入围投标人的剩余投标人中</w:t>
            </w:r>
            <w:r>
              <w:rPr>
                <w:rFonts w:hint="eastAsia" w:ascii="宋体" w:hAnsi="宋体" w:eastAsia="宋体" w:cs="宋体"/>
                <w:color w:val="auto"/>
                <w:kern w:val="1"/>
                <w:sz w:val="21"/>
                <w:szCs w:val="21"/>
                <w:highlight w:val="none"/>
                <w:lang w:eastAsia="zh-CN" w:bidi="ar"/>
              </w:rPr>
              <w:t>，</w:t>
            </w:r>
            <w:r>
              <w:rPr>
                <w:rFonts w:hint="eastAsia" w:ascii="宋体" w:hAnsi="宋体" w:eastAsia="宋体" w:cs="宋体"/>
                <w:color w:val="auto"/>
                <w:kern w:val="1"/>
                <w:sz w:val="21"/>
                <w:szCs w:val="21"/>
                <w:highlight w:val="none"/>
                <w:lang w:val="en-US" w:eastAsia="zh-CN" w:bidi="ar"/>
              </w:rPr>
              <w:t>按</w:t>
            </w:r>
            <w:r>
              <w:rPr>
                <w:rFonts w:hint="eastAsia" w:ascii="宋体" w:hAnsi="宋体" w:eastAsia="宋体" w:cs="宋体"/>
                <w:color w:val="auto"/>
                <w:kern w:val="1"/>
                <w:szCs w:val="21"/>
                <w:highlight w:val="none"/>
                <w:lang w:val="en-US" w:eastAsia="zh-CN" w:bidi="ar"/>
              </w:rPr>
              <w:t>实际数量全部</w:t>
            </w:r>
            <w:r>
              <w:rPr>
                <w:rFonts w:hint="eastAsia" w:ascii="宋体" w:hAnsi="宋体" w:eastAsia="宋体" w:cs="宋体"/>
                <w:color w:val="auto"/>
                <w:kern w:val="1"/>
                <w:szCs w:val="21"/>
                <w:highlight w:val="none"/>
                <w:lang w:bidi="ar"/>
              </w:rPr>
              <w:t>增补为入围投标人。</w:t>
            </w:r>
          </w:p>
          <w:p w14:paraId="7CF82952">
            <w:pPr>
              <w:pStyle w:val="49"/>
              <w:ind w:firstLine="420" w:firstLineChars="200"/>
              <w:rPr>
                <w:rFonts w:hint="eastAsia" w:ascii="宋体" w:hAnsi="宋体" w:eastAsia="宋体" w:cs="宋体"/>
                <w:color w:val="auto"/>
                <w:kern w:val="1"/>
                <w:sz w:val="21"/>
                <w:szCs w:val="21"/>
                <w:highlight w:val="none"/>
                <w:lang w:bidi="ar"/>
              </w:rPr>
            </w:pPr>
            <w:r>
              <w:rPr>
                <w:rFonts w:hint="eastAsia" w:ascii="宋体" w:hAnsi="宋体" w:eastAsia="宋体" w:cs="宋体"/>
                <w:color w:val="auto"/>
                <w:kern w:val="1"/>
                <w:sz w:val="21"/>
                <w:szCs w:val="21"/>
                <w:highlight w:val="none"/>
                <w:lang w:eastAsia="zh-CN" w:bidi="ar"/>
              </w:rPr>
              <w:t>4</w:t>
            </w:r>
            <w:r>
              <w:rPr>
                <w:rFonts w:hint="eastAsia" w:ascii="宋体" w:hAnsi="宋体" w:eastAsia="宋体" w:cs="宋体"/>
                <w:color w:val="auto"/>
                <w:kern w:val="1"/>
                <w:sz w:val="21"/>
                <w:szCs w:val="21"/>
                <w:highlight w:val="none"/>
                <w:lang w:bidi="ar"/>
              </w:rPr>
              <w:t>.3信用因素增补入围投标人</w:t>
            </w:r>
          </w:p>
          <w:p w14:paraId="119CFD47">
            <w:pPr>
              <w:pStyle w:val="49"/>
              <w:ind w:firstLine="420" w:firstLineChars="200"/>
              <w:rPr>
                <w:rFonts w:hint="eastAsia" w:ascii="宋体" w:hAnsi="宋体" w:eastAsia="宋体" w:cs="宋体"/>
                <w:color w:val="auto"/>
                <w:kern w:val="1"/>
                <w:szCs w:val="21"/>
                <w:highlight w:val="none"/>
                <w:lang w:bidi="ar"/>
              </w:rPr>
            </w:pPr>
            <w:r>
              <w:rPr>
                <w:rFonts w:hint="eastAsia" w:ascii="宋体" w:hAnsi="宋体" w:eastAsia="宋体" w:cs="宋体"/>
                <w:color w:val="auto"/>
                <w:kern w:val="1"/>
                <w:szCs w:val="21"/>
                <w:highlight w:val="none"/>
                <w:lang w:bidi="ar"/>
              </w:rPr>
              <w:t>按照第1项、第2项、第4项规定确定（或增补）的入围投标人中，最近期的</w:t>
            </w:r>
            <w:r>
              <w:rPr>
                <w:rFonts w:hint="eastAsia" w:ascii="宋体" w:hAnsi="宋体" w:eastAsia="宋体" w:cs="宋体"/>
                <w:color w:val="auto"/>
                <w:kern w:val="1"/>
                <w:sz w:val="21"/>
                <w:szCs w:val="21"/>
                <w:highlight w:val="none"/>
                <w:lang w:bidi="ar"/>
              </w:rPr>
              <w:t>福建省交通建设市场信用考核评价等级</w:t>
            </w:r>
            <w:r>
              <w:rPr>
                <w:rFonts w:hint="eastAsia" w:ascii="宋体" w:hAnsi="宋体" w:eastAsia="宋体" w:cs="宋体"/>
                <w:color w:val="auto"/>
                <w:kern w:val="1"/>
                <w:szCs w:val="21"/>
                <w:highlight w:val="none"/>
                <w:lang w:bidi="ar"/>
              </w:rPr>
              <w:t>为A</w:t>
            </w:r>
            <w:r>
              <w:rPr>
                <w:rFonts w:hint="eastAsia" w:ascii="宋体" w:hAnsi="宋体" w:eastAsia="宋体" w:cs="宋体"/>
                <w:color w:val="auto"/>
                <w:kern w:val="1"/>
                <w:szCs w:val="21"/>
                <w:highlight w:val="none"/>
                <w:lang w:val="en-US" w:eastAsia="zh-CN" w:bidi="ar"/>
              </w:rPr>
              <w:t>级及以上</w:t>
            </w:r>
            <w:r>
              <w:rPr>
                <w:rFonts w:hint="eastAsia" w:ascii="宋体" w:hAnsi="宋体" w:eastAsia="宋体" w:cs="宋体"/>
                <w:color w:val="auto"/>
                <w:kern w:val="1"/>
                <w:szCs w:val="21"/>
                <w:highlight w:val="none"/>
                <w:lang w:bidi="ar"/>
              </w:rPr>
              <w:t>的投标人少于</w:t>
            </w:r>
            <w:r>
              <w:rPr>
                <w:rFonts w:hint="eastAsia" w:ascii="宋体" w:hAnsi="宋体" w:eastAsia="宋体" w:cs="宋体"/>
                <w:color w:val="auto"/>
                <w:kern w:val="1"/>
                <w:szCs w:val="21"/>
                <w:highlight w:val="none"/>
                <w:lang w:eastAsia="zh-CN" w:bidi="ar"/>
              </w:rPr>
              <w:t>5</w:t>
            </w:r>
            <w:r>
              <w:rPr>
                <w:rFonts w:hint="eastAsia" w:ascii="宋体" w:hAnsi="宋体" w:eastAsia="宋体" w:cs="宋体"/>
                <w:color w:val="auto"/>
                <w:kern w:val="1"/>
                <w:szCs w:val="21"/>
                <w:highlight w:val="none"/>
                <w:lang w:bidi="ar"/>
              </w:rPr>
              <w:t>家时，则</w:t>
            </w:r>
            <w:r>
              <w:rPr>
                <w:rFonts w:hint="eastAsia" w:ascii="宋体" w:hAnsi="宋体" w:eastAsia="宋体" w:cs="宋体"/>
                <w:color w:val="auto"/>
                <w:kern w:val="1"/>
                <w:szCs w:val="21"/>
                <w:highlight w:val="none"/>
                <w:lang w:val="en-US" w:eastAsia="zh-CN" w:bidi="ar"/>
              </w:rPr>
              <w:t>再</w:t>
            </w:r>
            <w:r>
              <w:rPr>
                <w:rFonts w:hint="eastAsia" w:ascii="宋体" w:hAnsi="宋体" w:eastAsia="宋体" w:cs="宋体"/>
                <w:color w:val="auto"/>
                <w:kern w:val="1"/>
                <w:szCs w:val="21"/>
                <w:highlight w:val="none"/>
                <w:lang w:bidi="ar"/>
              </w:rPr>
              <w:t>按照第1项、第2项、第4项规定未被确定为入围投标人的剩余投标人中，按报价</w:t>
            </w:r>
            <w:r>
              <w:rPr>
                <w:rFonts w:hint="eastAsia" w:ascii="宋体" w:hAnsi="宋体" w:eastAsia="宋体" w:cs="宋体"/>
                <w:color w:val="auto"/>
                <w:kern w:val="1"/>
                <w:szCs w:val="21"/>
                <w:highlight w:val="none"/>
                <w:lang w:val="en-US" w:eastAsia="zh-CN" w:bidi="ar"/>
              </w:rPr>
              <w:t>由低到高</w:t>
            </w:r>
            <w:r>
              <w:rPr>
                <w:rFonts w:hint="eastAsia" w:ascii="宋体" w:hAnsi="宋体" w:eastAsia="宋体" w:cs="宋体"/>
                <w:color w:val="auto"/>
                <w:kern w:val="1"/>
                <w:szCs w:val="21"/>
                <w:highlight w:val="none"/>
                <w:lang w:bidi="ar"/>
              </w:rPr>
              <w:t>排序依序选取具备A级</w:t>
            </w:r>
            <w:r>
              <w:rPr>
                <w:rFonts w:hint="eastAsia" w:ascii="宋体" w:hAnsi="宋体" w:eastAsia="宋体" w:cs="宋体"/>
                <w:color w:val="auto"/>
                <w:kern w:val="1"/>
                <w:szCs w:val="21"/>
                <w:highlight w:val="none"/>
                <w:lang w:val="en-US" w:eastAsia="zh-CN" w:bidi="ar"/>
              </w:rPr>
              <w:t>及以上</w:t>
            </w:r>
            <w:r>
              <w:rPr>
                <w:rFonts w:hint="eastAsia" w:ascii="宋体" w:hAnsi="宋体" w:eastAsia="宋体" w:cs="宋体"/>
                <w:color w:val="auto"/>
                <w:kern w:val="1"/>
                <w:szCs w:val="21"/>
                <w:highlight w:val="none"/>
                <w:lang w:bidi="ar"/>
              </w:rPr>
              <w:t>的投标人增补为入围投标人</w:t>
            </w:r>
            <w:r>
              <w:rPr>
                <w:rFonts w:hint="eastAsia" w:ascii="宋体" w:hAnsi="宋体" w:eastAsia="宋体" w:cs="宋体"/>
                <w:color w:val="auto"/>
                <w:kern w:val="1"/>
                <w:szCs w:val="21"/>
                <w:highlight w:val="none"/>
                <w:lang w:eastAsia="zh-CN" w:bidi="ar"/>
              </w:rPr>
              <w:t>，</w:t>
            </w:r>
            <w:r>
              <w:rPr>
                <w:rFonts w:hint="eastAsia" w:ascii="宋体" w:hAnsi="宋体" w:eastAsia="宋体" w:cs="宋体"/>
                <w:color w:val="auto"/>
                <w:kern w:val="1"/>
                <w:szCs w:val="21"/>
                <w:highlight w:val="none"/>
                <w:lang w:bidi="ar"/>
              </w:rPr>
              <w:t>直至最终入围投标人中具备A级</w:t>
            </w:r>
            <w:r>
              <w:rPr>
                <w:rFonts w:hint="eastAsia" w:ascii="宋体" w:hAnsi="宋体" w:eastAsia="宋体" w:cs="宋体"/>
                <w:color w:val="auto"/>
                <w:kern w:val="1"/>
                <w:szCs w:val="21"/>
                <w:highlight w:val="none"/>
                <w:lang w:val="en-US" w:eastAsia="zh-CN" w:bidi="ar"/>
              </w:rPr>
              <w:t>及以上</w:t>
            </w:r>
            <w:r>
              <w:rPr>
                <w:rFonts w:hint="eastAsia" w:ascii="宋体" w:hAnsi="宋体" w:eastAsia="宋体" w:cs="宋体"/>
                <w:color w:val="auto"/>
                <w:kern w:val="1"/>
                <w:szCs w:val="21"/>
                <w:highlight w:val="none"/>
                <w:lang w:bidi="ar"/>
              </w:rPr>
              <w:t>的投标人满足</w:t>
            </w:r>
            <w:r>
              <w:rPr>
                <w:rFonts w:hint="eastAsia" w:ascii="宋体" w:hAnsi="宋体" w:eastAsia="宋体" w:cs="宋体"/>
                <w:color w:val="auto"/>
                <w:kern w:val="1"/>
                <w:szCs w:val="21"/>
                <w:highlight w:val="none"/>
                <w:lang w:eastAsia="zh-CN" w:bidi="ar"/>
              </w:rPr>
              <w:t>5</w:t>
            </w:r>
            <w:r>
              <w:rPr>
                <w:rFonts w:hint="eastAsia" w:ascii="宋体" w:hAnsi="宋体" w:eastAsia="宋体" w:cs="宋体"/>
                <w:color w:val="auto"/>
                <w:kern w:val="1"/>
                <w:szCs w:val="21"/>
                <w:highlight w:val="none"/>
                <w:lang w:bidi="ar"/>
              </w:rPr>
              <w:t>家（不满足</w:t>
            </w:r>
            <w:r>
              <w:rPr>
                <w:rFonts w:hint="eastAsia" w:ascii="宋体" w:hAnsi="宋体" w:eastAsia="宋体" w:cs="宋体"/>
                <w:color w:val="auto"/>
                <w:kern w:val="1"/>
                <w:szCs w:val="21"/>
                <w:highlight w:val="none"/>
                <w:lang w:eastAsia="zh-CN" w:bidi="ar"/>
              </w:rPr>
              <w:t>5</w:t>
            </w:r>
            <w:r>
              <w:rPr>
                <w:rFonts w:hint="eastAsia" w:ascii="宋体" w:hAnsi="宋体" w:eastAsia="宋体" w:cs="宋体"/>
                <w:color w:val="auto"/>
                <w:kern w:val="1"/>
                <w:szCs w:val="21"/>
                <w:highlight w:val="none"/>
                <w:lang w:bidi="ar"/>
              </w:rPr>
              <w:t>家的，具备A级</w:t>
            </w:r>
            <w:r>
              <w:rPr>
                <w:rFonts w:hint="eastAsia" w:ascii="宋体" w:hAnsi="宋体" w:eastAsia="宋体" w:cs="宋体"/>
                <w:color w:val="auto"/>
                <w:kern w:val="1"/>
                <w:szCs w:val="21"/>
                <w:highlight w:val="none"/>
                <w:lang w:val="en-US" w:eastAsia="zh-CN" w:bidi="ar"/>
              </w:rPr>
              <w:t>及以上</w:t>
            </w:r>
            <w:r>
              <w:rPr>
                <w:rFonts w:hint="eastAsia" w:ascii="宋体" w:hAnsi="宋体" w:eastAsia="宋体" w:cs="宋体"/>
                <w:color w:val="auto"/>
                <w:kern w:val="1"/>
                <w:szCs w:val="21"/>
                <w:highlight w:val="none"/>
                <w:lang w:bidi="ar"/>
              </w:rPr>
              <w:t>的剩余投标人全部增补为入围投标人</w:t>
            </w:r>
            <w:r>
              <w:rPr>
                <w:rFonts w:hint="eastAsia" w:ascii="宋体" w:hAnsi="宋体" w:eastAsia="宋体" w:cs="宋体"/>
                <w:color w:val="auto"/>
                <w:kern w:val="1"/>
                <w:szCs w:val="21"/>
                <w:highlight w:val="none"/>
                <w:lang w:eastAsia="zh-CN" w:bidi="ar"/>
              </w:rPr>
              <w:t>，</w:t>
            </w:r>
            <w:r>
              <w:rPr>
                <w:rFonts w:hint="eastAsia" w:ascii="宋体" w:hAnsi="宋体" w:eastAsia="宋体" w:cs="宋体"/>
                <w:color w:val="auto"/>
                <w:kern w:val="1"/>
                <w:szCs w:val="21"/>
                <w:highlight w:val="none"/>
                <w:lang w:val="en-US" w:eastAsia="zh-CN" w:bidi="ar"/>
              </w:rPr>
              <w:t>与增补的第5家报价相同的A级及以上的投标人一并增补</w:t>
            </w:r>
            <w:r>
              <w:rPr>
                <w:rFonts w:hint="eastAsia" w:ascii="宋体" w:hAnsi="宋体" w:eastAsia="宋体" w:cs="宋体"/>
                <w:color w:val="auto"/>
                <w:kern w:val="1"/>
                <w:szCs w:val="21"/>
                <w:highlight w:val="none"/>
                <w:lang w:bidi="ar"/>
              </w:rPr>
              <w:t>）。</w:t>
            </w:r>
          </w:p>
          <w:p w14:paraId="75A9BEB7">
            <w:pPr>
              <w:pStyle w:val="49"/>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1"/>
                <w:sz w:val="21"/>
                <w:szCs w:val="21"/>
                <w:highlight w:val="none"/>
                <w:lang w:val="en-US" w:eastAsia="zh-CN" w:bidi="ar"/>
              </w:rPr>
              <w:t>注：</w:t>
            </w:r>
            <w:r>
              <w:rPr>
                <w:rFonts w:hint="eastAsia" w:ascii="宋体" w:hAnsi="宋体" w:eastAsia="宋体" w:cs="宋体"/>
                <w:color w:val="auto"/>
                <w:sz w:val="21"/>
                <w:szCs w:val="21"/>
                <w:highlight w:val="none"/>
              </w:rPr>
              <w:t>按照</w:t>
            </w:r>
            <w:r>
              <w:rPr>
                <w:rFonts w:hint="eastAsia" w:ascii="宋体" w:hAnsi="宋体" w:eastAsia="宋体" w:cs="宋体"/>
                <w:color w:val="auto"/>
                <w:szCs w:val="21"/>
                <w:highlight w:val="none"/>
              </w:rPr>
              <w:t>投标人须知前附表第1.4.2项第1条</w:t>
            </w:r>
            <w:r>
              <w:rPr>
                <w:rFonts w:hint="eastAsia" w:ascii="宋体" w:hAnsi="宋体" w:eastAsia="宋体" w:cs="宋体"/>
                <w:color w:val="auto"/>
                <w:sz w:val="21"/>
                <w:szCs w:val="21"/>
                <w:highlight w:val="none"/>
              </w:rPr>
              <w:t>组成联合体投标的，</w:t>
            </w:r>
            <w:r>
              <w:rPr>
                <w:rFonts w:hint="eastAsia" w:ascii="宋体" w:hAnsi="宋体" w:eastAsia="宋体" w:cs="宋体"/>
                <w:color w:val="auto"/>
                <w:szCs w:val="21"/>
                <w:highlight w:val="none"/>
              </w:rPr>
              <w:t>以该条规定为准</w:t>
            </w:r>
            <w:r>
              <w:rPr>
                <w:rFonts w:hint="eastAsia" w:ascii="宋体" w:hAnsi="宋体" w:eastAsia="宋体" w:cs="宋体"/>
                <w:color w:val="auto"/>
                <w:sz w:val="21"/>
                <w:szCs w:val="21"/>
                <w:highlight w:val="none"/>
              </w:rPr>
              <w:t>确定联合体投标人的信用综合评价等级；按照</w:t>
            </w:r>
            <w:r>
              <w:rPr>
                <w:rFonts w:hint="eastAsia" w:ascii="宋体" w:hAnsi="宋体" w:eastAsia="宋体" w:cs="宋体"/>
                <w:color w:val="auto"/>
                <w:szCs w:val="21"/>
                <w:highlight w:val="none"/>
              </w:rPr>
              <w:t>投标人须知前附表第1.4.2项第2条</w:t>
            </w:r>
            <w:r>
              <w:rPr>
                <w:rFonts w:hint="eastAsia" w:ascii="宋体" w:hAnsi="宋体" w:eastAsia="宋体" w:cs="宋体"/>
                <w:color w:val="auto"/>
                <w:sz w:val="21"/>
                <w:szCs w:val="21"/>
                <w:highlight w:val="none"/>
              </w:rPr>
              <w:t>组成联合体投标的，以联合体</w:t>
            </w:r>
            <w:r>
              <w:rPr>
                <w:rFonts w:hint="eastAsia" w:ascii="宋体" w:hAnsi="宋体" w:eastAsia="宋体" w:cs="宋体"/>
                <w:color w:val="auto"/>
                <w:sz w:val="21"/>
                <w:szCs w:val="21"/>
                <w:highlight w:val="none"/>
                <w:lang w:val="en-US" w:eastAsia="zh-CN"/>
              </w:rPr>
              <w:t>牵头人</w:t>
            </w:r>
            <w:r>
              <w:rPr>
                <w:rFonts w:hint="eastAsia" w:ascii="宋体" w:hAnsi="宋体" w:eastAsia="宋体" w:cs="宋体"/>
                <w:color w:val="auto"/>
                <w:sz w:val="21"/>
                <w:szCs w:val="21"/>
                <w:highlight w:val="none"/>
              </w:rPr>
              <w:t>确定联合体投标人的信用综合评价等级。</w:t>
            </w:r>
          </w:p>
        </w:tc>
      </w:tr>
      <w:tr w14:paraId="32D174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01D09201">
            <w:pPr>
              <w:widowControl/>
              <w:wordWrap w:val="0"/>
              <w:jc w:val="center"/>
              <w:rPr>
                <w:rFonts w:hint="default" w:ascii="宋体" w:hAnsi="宋体" w:eastAsia="宋体" w:cs="宋体"/>
                <w:color w:val="auto"/>
                <w:kern w:val="0"/>
                <w:sz w:val="21"/>
                <w:szCs w:val="21"/>
                <w:highlight w:val="none"/>
                <w:lang w:val="en-US" w:eastAsia="zh-CN"/>
              </w:rPr>
            </w:pPr>
          </w:p>
        </w:tc>
        <w:tc>
          <w:tcPr>
            <w:tcW w:w="662" w:type="dxa"/>
            <w:vMerge w:val="continue"/>
            <w:tcBorders>
              <w:left w:val="nil"/>
              <w:right w:val="single" w:color="auto" w:sz="4" w:space="0"/>
              <w:tl2br w:val="nil"/>
              <w:tr2bl w:val="nil"/>
            </w:tcBorders>
            <w:noWrap w:val="0"/>
            <w:vAlign w:val="center"/>
          </w:tcPr>
          <w:p w14:paraId="5435D6F1">
            <w:pPr>
              <w:widowControl/>
              <w:wordWrap w:val="0"/>
              <w:jc w:val="center"/>
              <w:rPr>
                <w:rFonts w:hint="eastAsia" w:ascii="宋体" w:hAnsi="宋体" w:eastAsia="宋体" w:cs="宋体"/>
                <w:color w:val="auto"/>
                <w:kern w:val="0"/>
                <w:sz w:val="21"/>
                <w:szCs w:val="21"/>
                <w:highlight w:val="none"/>
                <w:lang w:eastAsia="zh-CN"/>
              </w:rPr>
            </w:pPr>
          </w:p>
        </w:tc>
        <w:tc>
          <w:tcPr>
            <w:tcW w:w="1330"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76E68340">
            <w:pPr>
              <w:widowControl/>
              <w:wordWrap w:val="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Cs w:val="21"/>
                <w:highlight w:val="none"/>
              </w:rPr>
              <w:t>投标人数量大于或等于51家</w:t>
            </w:r>
          </w:p>
        </w:tc>
        <w:tc>
          <w:tcPr>
            <w:tcW w:w="6677" w:type="dxa"/>
            <w:gridSpan w:val="2"/>
            <w:tcBorders>
              <w:top w:val="single" w:color="auto" w:sz="4" w:space="0"/>
              <w:left w:val="single" w:color="000000" w:sz="12" w:space="0"/>
              <w:bottom w:val="single" w:color="auto" w:sz="4" w:space="0"/>
              <w:right w:val="single" w:color="000000" w:sz="12" w:space="0"/>
              <w:tl2br w:val="nil"/>
              <w:tr2bl w:val="nil"/>
            </w:tcBorders>
            <w:noWrap w:val="0"/>
            <w:vAlign w:val="center"/>
          </w:tcPr>
          <w:p w14:paraId="00D0159B">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1.报价排序淘汰投标人：</w:t>
            </w:r>
          </w:p>
          <w:p w14:paraId="4CA29C9B">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投标人的投标报价由低往高进行报价排序，淘汰排序靠前10%数量且不少于5家投标人（淘汰数量取整数，小数点第一位“四舍五入”，第二位及以后不计；与淘汰投标人中最高投标报价相同的投标人，一并淘汰），同时在余下的投标人中淘汰排序靠后1/4数量且不多于30家的投标人【淘汰数量取整数，小数点第一位“四舍五入”，第二位及以后不计；与淘汰投标人中最低投标报价一致的投标人，一并淘汰（无论是否导致多于30家投标人被淘汰）】。</w:t>
            </w:r>
          </w:p>
          <w:p w14:paraId="336715AE">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2.随机抽取入围投标人</w:t>
            </w:r>
          </w:p>
          <w:p w14:paraId="4B8FBECF">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报价排序分区。未被报价排序淘汰投标人按照报价高低分为上下两个半区，其中下半区投标人报价高于上半区投标人报价。未被报价排序淘汰投标人家数为偶数时，两个半区的投标人家数对等；家数为奇数时，下半区投标人比上半区投标人多一家。若最接近上、下半区分区位置的若干家投标人投标报价一致时，统一划入下半区。</w:t>
            </w:r>
          </w:p>
          <w:p w14:paraId="32BE9B4F">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2.2抽取入围投标人</w:t>
            </w:r>
          </w:p>
          <w:p w14:paraId="4D6F6D4B">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①首先确定上半区入围投标人。从最近期的福建省交通建设市场信用考核评价等级为AA</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厦门市建筑施工企业信用综合评价结果的</w:t>
            </w:r>
            <w:r>
              <w:rPr>
                <w:rFonts w:hint="eastAsia" w:ascii="宋体" w:hAnsi="宋体" w:eastAsia="宋体" w:cs="宋体"/>
                <w:color w:val="auto"/>
                <w:kern w:val="0"/>
                <w:szCs w:val="21"/>
                <w:highlight w:val="none"/>
                <w:lang w:val="en-US" w:eastAsia="zh-CN"/>
              </w:rPr>
              <w:t>评价</w:t>
            </w:r>
            <w:r>
              <w:rPr>
                <w:rFonts w:hint="eastAsia" w:ascii="宋体" w:hAnsi="宋体" w:eastAsia="宋体" w:cs="宋体"/>
                <w:color w:val="auto"/>
                <w:kern w:val="0"/>
                <w:szCs w:val="21"/>
                <w:highlight w:val="none"/>
              </w:rPr>
              <w:t>等级为A的上半区投标人中随机抽取12家，不足的</w:t>
            </w:r>
            <w:r>
              <w:rPr>
                <w:rFonts w:hint="eastAsia" w:ascii="宋体" w:hAnsi="宋体" w:eastAsia="宋体" w:cs="宋体"/>
                <w:color w:val="auto"/>
                <w:kern w:val="0"/>
                <w:szCs w:val="21"/>
                <w:highlight w:val="none"/>
                <w:lang w:val="en-US" w:eastAsia="zh-CN"/>
              </w:rPr>
              <w:t>从</w:t>
            </w:r>
            <w:r>
              <w:rPr>
                <w:rFonts w:hint="eastAsia" w:ascii="宋体" w:hAnsi="宋体" w:eastAsia="宋体" w:cs="宋体"/>
                <w:color w:val="auto"/>
                <w:kern w:val="0"/>
                <w:szCs w:val="21"/>
                <w:highlight w:val="none"/>
              </w:rPr>
              <w:t>最近期的福建省交通建设市场信用考核评价等级为A</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厦门市建筑施工企业信用综合评价结果的</w:t>
            </w:r>
            <w:r>
              <w:rPr>
                <w:rFonts w:hint="eastAsia" w:ascii="宋体" w:hAnsi="宋体" w:eastAsia="宋体" w:cs="宋体"/>
                <w:color w:val="auto"/>
                <w:kern w:val="0"/>
                <w:szCs w:val="21"/>
                <w:highlight w:val="none"/>
                <w:lang w:val="en-US" w:eastAsia="zh-CN"/>
              </w:rPr>
              <w:t>评价</w:t>
            </w:r>
            <w:r>
              <w:rPr>
                <w:rFonts w:hint="eastAsia" w:ascii="宋体" w:hAnsi="宋体" w:eastAsia="宋体" w:cs="宋体"/>
                <w:color w:val="auto"/>
                <w:kern w:val="0"/>
                <w:szCs w:val="21"/>
                <w:highlight w:val="none"/>
              </w:rPr>
              <w:t>等级为</w:t>
            </w:r>
            <w:r>
              <w:rPr>
                <w:rFonts w:hint="eastAsia" w:ascii="宋体" w:hAnsi="宋体" w:eastAsia="宋体" w:cs="宋体"/>
                <w:color w:val="auto"/>
                <w:kern w:val="0"/>
                <w:szCs w:val="21"/>
                <w:highlight w:val="none"/>
                <w:lang w:val="en-US" w:eastAsia="zh-CN"/>
              </w:rPr>
              <w:t>BB+</w:t>
            </w:r>
            <w:r>
              <w:rPr>
                <w:rFonts w:hint="eastAsia" w:ascii="宋体" w:hAnsi="宋体" w:eastAsia="宋体" w:cs="宋体"/>
                <w:color w:val="auto"/>
                <w:kern w:val="0"/>
                <w:szCs w:val="21"/>
                <w:highlight w:val="none"/>
              </w:rPr>
              <w:t>的上半区投标人中随机抽取，再不足的从上半区其他投标人中随机抽取，直至入围投标人数量为12家。</w:t>
            </w:r>
          </w:p>
          <w:p w14:paraId="31273ACA">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其次确定下半区入围投标人。从最近期的福建省交通建设市场信用考核评价等级为AA或厦门市建筑施工企业信用综合评价结果的评价等级为A的下半区投标人中随机抽取8家，不足时从最近期的福建省交通建设市场信用考核评价等级为A或厦门市建筑施工企业信用综合评价结果的评价等级为BB+的下半区投标人中随机抽取，再不足的从下半区其他投标人中随机抽取，直至上下半区入围投标人总数为20家。</w:t>
            </w:r>
          </w:p>
          <w:p w14:paraId="2E146D08">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③随机抽取工作规则如下：</w:t>
            </w:r>
          </w:p>
          <w:p w14:paraId="379CCF78">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（1）投标人代表球号即为投标人的代表号；</w:t>
            </w:r>
          </w:p>
          <w:p w14:paraId="0F66A811">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（2）由建设单位代表或代建单位代表在市公共资源交易中心开标区抽取机中放入相应半区投标人代表球号，根据上述第①项和第②项规则依次抽取出的球号对应的投标人成为入围投标人；</w:t>
            </w:r>
          </w:p>
          <w:p w14:paraId="2C252C7E">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（3）在抽取过程中，如出现由于工作失误或设备故障影响抽取结果的，抽取结果无效，应当重新抽取。所有抽球过程实行全程录音录像监控。</w:t>
            </w:r>
          </w:p>
          <w:p w14:paraId="79FE74AE">
            <w:pPr>
              <w:keepNext w:val="0"/>
              <w:keepLines w:val="0"/>
              <w:pageBreakBefore w:val="0"/>
              <w:widowControl/>
              <w:numPr>
                <w:ilvl w:val="0"/>
                <w:numId w:val="0"/>
              </w:numPr>
              <w:kinsoku/>
              <w:wordWrap w:val="0"/>
              <w:overflowPunct/>
              <w:topLinePunct w:val="0"/>
              <w:autoSpaceDE/>
              <w:autoSpaceDN/>
              <w:bidi w:val="0"/>
              <w:adjustRightInd/>
              <w:snapToGrid/>
              <w:spacing w:line="240" w:lineRule="auto"/>
              <w:ind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注：按照投标人须知前附表第1.4.2项第1条组成联合体投标的，以该条规定为准确定联合体投标人的信用综合评价等级；按照投标人须知前附表第1.4.2项第2条组成联合体投标的，以联合体</w:t>
            </w:r>
            <w:r>
              <w:rPr>
                <w:rFonts w:hint="eastAsia" w:ascii="宋体" w:hAnsi="宋体" w:eastAsia="宋体" w:cs="宋体"/>
                <w:color w:val="auto"/>
                <w:kern w:val="0"/>
                <w:szCs w:val="21"/>
                <w:highlight w:val="none"/>
                <w:lang w:val="en-US" w:eastAsia="zh-CN"/>
              </w:rPr>
              <w:t>牵头人</w:t>
            </w:r>
            <w:r>
              <w:rPr>
                <w:rFonts w:hint="eastAsia" w:ascii="宋体" w:hAnsi="宋体" w:eastAsia="宋体" w:cs="宋体"/>
                <w:color w:val="auto"/>
                <w:kern w:val="0"/>
                <w:szCs w:val="21"/>
                <w:highlight w:val="none"/>
              </w:rPr>
              <w:t>确定联合体投标人的信用等级。</w:t>
            </w:r>
          </w:p>
        </w:tc>
      </w:tr>
      <w:tr w14:paraId="27052F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14:paraId="4FAEBDCB">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p>
        </w:tc>
        <w:tc>
          <w:tcPr>
            <w:tcW w:w="1992" w:type="dxa"/>
            <w:gridSpan w:val="2"/>
            <w:vMerge w:val="restart"/>
            <w:tcBorders>
              <w:left w:val="nil"/>
              <w:right w:val="single" w:color="000000" w:sz="12" w:space="0"/>
              <w:tl2br w:val="nil"/>
              <w:tr2bl w:val="nil"/>
            </w:tcBorders>
            <w:noWrap w:val="0"/>
            <w:vAlign w:val="center"/>
          </w:tcPr>
          <w:p w14:paraId="5D7B4659">
            <w:pPr>
              <w:widowControl/>
              <w:wordWrap w:val="0"/>
              <w:jc w:val="center"/>
              <w:rPr>
                <w:rFonts w:hint="default" w:ascii="宋体" w:hAnsi="宋体" w:eastAsia="宋体" w:cs="宋体"/>
                <w:color w:val="auto"/>
                <w:kern w:val="0"/>
                <w:szCs w:val="21"/>
                <w:highlight w:val="none"/>
                <w:lang w:val="en-US" w:eastAsia="zh-CN"/>
              </w:rPr>
            </w:pPr>
            <w:r>
              <w:rPr>
                <w:rFonts w:hint="eastAsia" w:ascii="宋体" w:hAnsi="宋体"/>
                <w:color w:val="auto"/>
                <w:szCs w:val="21"/>
                <w:highlight w:val="none"/>
              </w:rPr>
              <w:t>资格评审标准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06C1E6E">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资质等级</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0B0CCB4A">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14:paraId="3DDF36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1E5927A8">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22F2DC05">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CAC173F">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财务状况</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3EFE5D0A">
            <w:pPr>
              <w:spacing w:line="360" w:lineRule="exac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14:paraId="236D48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44399278">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5DD2E937">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191D54CA">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项目业绩</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2AA443F4">
            <w:pPr>
              <w:spacing w:line="300" w:lineRule="auto"/>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14:paraId="6F1DA7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5DE4D17F">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1E96C726">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C184B54">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信誉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47D23BA">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olor w:val="auto"/>
                <w:szCs w:val="21"/>
                <w:highlight w:val="none"/>
              </w:rPr>
              <w:t>符合第二章“投标人须知”第1.4.1项规定</w:t>
            </w:r>
          </w:p>
        </w:tc>
      </w:tr>
      <w:tr w14:paraId="668890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7F62CFC3">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33A8ED10">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5BC65A27">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主要人员</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25F13950">
            <w:pPr>
              <w:adjustRightInd w:val="0"/>
              <w:snapToGrid w:val="0"/>
              <w:spacing w:line="300" w:lineRule="auto"/>
              <w:jc w:val="left"/>
              <w:rPr>
                <w:rFonts w:hint="eastAsia" w:ascii="宋体" w:hAnsi="宋体" w:eastAsia="宋体" w:cs="宋体"/>
                <w:color w:val="auto"/>
                <w:kern w:val="0"/>
                <w:szCs w:val="21"/>
                <w:highlight w:val="none"/>
              </w:rPr>
            </w:pPr>
            <w:r>
              <w:rPr>
                <w:rFonts w:hint="eastAsia" w:ascii="宋体" w:hAnsi="宋体" w:cs="宋体"/>
                <w:color w:val="auto"/>
                <w:szCs w:val="21"/>
                <w:highlight w:val="none"/>
              </w:rPr>
              <w:t>符合第二章“投标人须知”第1.4.1项规定</w:t>
            </w:r>
          </w:p>
        </w:tc>
      </w:tr>
      <w:tr w14:paraId="6B876E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41A71BE1">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443418F2">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4EFDD7DD">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其他要求</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688D28C">
            <w:pPr>
              <w:spacing w:line="300" w:lineRule="auto"/>
              <w:rPr>
                <w:rFonts w:hint="eastAsia" w:ascii="宋体" w:hAnsi="宋体" w:eastAsia="宋体" w:cs="宋体"/>
                <w:color w:val="auto"/>
                <w:kern w:val="0"/>
                <w:szCs w:val="21"/>
                <w:highlight w:val="none"/>
              </w:rPr>
            </w:pPr>
            <w:r>
              <w:rPr>
                <w:rFonts w:hint="eastAsia" w:ascii="宋体" w:hAnsi="宋体" w:cs="宋体"/>
                <w:color w:val="auto"/>
                <w:szCs w:val="21"/>
                <w:highlight w:val="none"/>
              </w:rPr>
              <w:t>符合第二章“投标人须知”第1.4.1项规定</w:t>
            </w:r>
          </w:p>
        </w:tc>
      </w:tr>
      <w:tr w14:paraId="5C7DB2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248C8FCA">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3DD80815">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142F1C89">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联合体投标人</w:t>
            </w:r>
            <w:r>
              <w:rPr>
                <w:rFonts w:hint="eastAsia"/>
                <w:color w:val="auto"/>
                <w:szCs w:val="21"/>
                <w:highlight w:val="none"/>
              </w:rPr>
              <w:t>（如有）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2AC09C3E">
            <w:pPr>
              <w:spacing w:line="300" w:lineRule="auto"/>
              <w:rPr>
                <w:rFonts w:hint="eastAsia" w:ascii="宋体" w:hAnsi="宋体" w:eastAsia="宋体" w:cs="宋体"/>
                <w:color w:val="auto"/>
                <w:kern w:val="0"/>
                <w:szCs w:val="21"/>
                <w:highlight w:val="none"/>
              </w:rPr>
            </w:pPr>
            <w:r>
              <w:rPr>
                <w:rFonts w:hint="eastAsia"/>
                <w:color w:val="auto"/>
                <w:highlight w:val="none"/>
              </w:rPr>
              <w:t>符合第二章“投标人须知”第1.4.2项规定</w:t>
            </w:r>
          </w:p>
        </w:tc>
      </w:tr>
      <w:tr w14:paraId="1B5A3E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2330F907">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5E07B3EA">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55A4C12D">
            <w:pPr>
              <w:adjustRightInd w:val="0"/>
              <w:snapToGrid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投标文件软硬件信息不得出现的情形</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3B6E2F1F">
            <w:pPr>
              <w:spacing w:line="300" w:lineRule="auto"/>
              <w:rPr>
                <w:rFonts w:hint="eastAsia" w:ascii="宋体" w:hAnsi="宋体" w:eastAsia="宋体" w:cs="宋体"/>
                <w:color w:val="auto"/>
                <w:kern w:val="0"/>
                <w:szCs w:val="21"/>
                <w:highlight w:val="none"/>
              </w:rPr>
            </w:pPr>
            <w:r>
              <w:rPr>
                <w:rFonts w:hint="eastAsia" w:ascii="Times New Roman" w:hAnsi="Times New Roman"/>
                <w:color w:val="auto"/>
                <w:highlight w:val="none"/>
              </w:rPr>
              <w:t>电子投标文件记录的计算机硬件信息中，不得存在一条及以上的计算机的MAC地址、CPU序列号、硬盘序列号空值的情形。</w:t>
            </w:r>
          </w:p>
        </w:tc>
      </w:tr>
      <w:tr w14:paraId="6E3EA9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14:paraId="5347A7D3">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1992" w:type="dxa"/>
            <w:gridSpan w:val="2"/>
            <w:vMerge w:val="restart"/>
            <w:tcBorders>
              <w:left w:val="nil"/>
              <w:right w:val="single" w:color="000000" w:sz="12" w:space="0"/>
              <w:tl2br w:val="nil"/>
              <w:tr2bl w:val="nil"/>
            </w:tcBorders>
            <w:noWrap w:val="0"/>
            <w:vAlign w:val="center"/>
          </w:tcPr>
          <w:p w14:paraId="1C8E9708">
            <w:pPr>
              <w:widowControl/>
              <w:wordWrap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形式评审标准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1672495C">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591D40F8">
            <w:pPr>
              <w:adjustRightInd w:val="0"/>
              <w:snapToGrid w:val="0"/>
              <w:rPr>
                <w:rFonts w:hint="eastAsia" w:ascii="Times New Roman" w:hAnsi="Times New Roman"/>
                <w:color w:val="auto"/>
                <w:highlight w:val="none"/>
              </w:rPr>
            </w:pPr>
            <w:r>
              <w:rPr>
                <w:rFonts w:hint="eastAsia" w:ascii="宋体" w:hAnsi="宋体"/>
                <w:color w:val="auto"/>
                <w:szCs w:val="21"/>
                <w:highlight w:val="none"/>
              </w:rPr>
              <w:t>与营业执照、资质证书、安全生产许可证一致</w:t>
            </w:r>
          </w:p>
        </w:tc>
      </w:tr>
      <w:tr w14:paraId="5558A2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2D55907A">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3024C6BB">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7913A2E">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投标函签字盖章</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623EE1A">
            <w:pPr>
              <w:adjustRightInd w:val="0"/>
              <w:snapToGrid w:val="0"/>
              <w:rPr>
                <w:rFonts w:hint="eastAsia" w:ascii="Times New Roman" w:hAnsi="Times New Roman"/>
                <w:color w:val="auto"/>
                <w:highlight w:val="none"/>
              </w:rPr>
            </w:pPr>
            <w:r>
              <w:rPr>
                <w:rFonts w:hint="eastAsia" w:ascii="宋体" w:hAnsi="宋体"/>
                <w:color w:val="auto"/>
                <w:szCs w:val="21"/>
                <w:highlight w:val="none"/>
              </w:rPr>
              <w:t>加盖单位电子公章</w:t>
            </w:r>
          </w:p>
        </w:tc>
      </w:tr>
      <w:tr w14:paraId="09519EB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18F22752">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24FCBBEA">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629DADF3">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投标文件格式</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616F4F50">
            <w:pPr>
              <w:adjustRightInd w:val="0"/>
              <w:snapToGrid w:val="0"/>
              <w:rPr>
                <w:rFonts w:hint="eastAsia" w:ascii="Times New Roman" w:hAnsi="Times New Roman"/>
                <w:color w:val="auto"/>
                <w:highlight w:val="none"/>
              </w:rPr>
            </w:pPr>
            <w:r>
              <w:rPr>
                <w:rFonts w:hint="eastAsia" w:ascii="宋体" w:hAnsi="宋体"/>
                <w:color w:val="auto"/>
                <w:szCs w:val="21"/>
                <w:highlight w:val="none"/>
              </w:rPr>
              <w:t>符合第九章“投标文件格式”的要求</w:t>
            </w:r>
          </w:p>
        </w:tc>
      </w:tr>
      <w:tr w14:paraId="294022A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1EBA4FCD">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5CBC6C08">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76E03D3A">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联合体投标人</w:t>
            </w:r>
            <w:r>
              <w:rPr>
                <w:rFonts w:hint="eastAsia" w:ascii="宋体" w:hAnsi="宋体"/>
                <w:color w:val="auto"/>
                <w:kern w:val="0"/>
                <w:szCs w:val="21"/>
                <w:highlight w:val="none"/>
              </w:rPr>
              <w:t>（若有）</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634280D9">
            <w:pPr>
              <w:adjustRightInd w:val="0"/>
              <w:snapToGrid w:val="0"/>
              <w:rPr>
                <w:rFonts w:hint="eastAsia" w:ascii="Times New Roman" w:hAnsi="Times New Roman"/>
                <w:color w:val="auto"/>
                <w:highlight w:val="none"/>
              </w:rPr>
            </w:pPr>
            <w:r>
              <w:rPr>
                <w:rFonts w:hint="eastAsia" w:ascii="宋体" w:hAnsi="宋体"/>
                <w:color w:val="auto"/>
                <w:kern w:val="0"/>
                <w:szCs w:val="21"/>
                <w:highlight w:val="none"/>
              </w:rPr>
              <w:t>提交联合体协议书，并明确联合体牵头人</w:t>
            </w:r>
          </w:p>
        </w:tc>
      </w:tr>
      <w:tr w14:paraId="5A74417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39157F8C">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4449E9F6">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3704BFD">
            <w:pPr>
              <w:adjustRightInd w:val="0"/>
              <w:snapToGrid w:val="0"/>
              <w:jc w:val="center"/>
              <w:rPr>
                <w:rFonts w:hint="eastAsia" w:ascii="宋体" w:hAnsi="宋体"/>
                <w:color w:val="auto"/>
                <w:szCs w:val="21"/>
                <w:highlight w:val="none"/>
              </w:rPr>
            </w:pPr>
            <w:r>
              <w:rPr>
                <w:rFonts w:hint="eastAsia" w:ascii="宋体" w:hAnsi="宋体"/>
                <w:color w:val="auto"/>
                <w:szCs w:val="21"/>
                <w:highlight w:val="none"/>
              </w:rPr>
              <w:t>报价唯一</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E1F6A9F">
            <w:pPr>
              <w:adjustRightInd w:val="0"/>
              <w:snapToGrid w:val="0"/>
              <w:rPr>
                <w:rFonts w:hint="eastAsia" w:ascii="Times New Roman" w:hAnsi="Times New Roman"/>
                <w:color w:val="auto"/>
                <w:highlight w:val="none"/>
              </w:rPr>
            </w:pPr>
            <w:r>
              <w:rPr>
                <w:rFonts w:hint="eastAsia" w:ascii="宋体" w:hAnsi="宋体"/>
                <w:color w:val="auto"/>
                <w:szCs w:val="21"/>
                <w:highlight w:val="none"/>
              </w:rPr>
              <w:t>只能有一个有效报价</w:t>
            </w:r>
          </w:p>
        </w:tc>
      </w:tr>
      <w:tr w14:paraId="501B8C0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62607B66">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67C06056">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6087608">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rPr>
              <w:t>分包协议</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37873E25">
            <w:pPr>
              <w:adjustRightInd w:val="0"/>
              <w:snapToGrid w:val="0"/>
              <w:spacing w:line="340" w:lineRule="exact"/>
              <w:rPr>
                <w:rFonts w:hint="eastAsia" w:ascii="Times New Roman" w:hAnsi="Times New Roman"/>
                <w:color w:val="auto"/>
                <w:highlight w:val="none"/>
              </w:rPr>
            </w:pPr>
            <w:r>
              <w:rPr>
                <w:rFonts w:hint="eastAsia" w:ascii="宋体" w:hAnsi="宋体" w:cs="宋体"/>
                <w:color w:val="auto"/>
                <w:szCs w:val="21"/>
                <w:highlight w:val="none"/>
              </w:rPr>
              <w:t>分包人资质、分包内容等</w:t>
            </w:r>
          </w:p>
        </w:tc>
      </w:tr>
      <w:tr w14:paraId="5FA3542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645C0D56">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56CBF8EC">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66EFE2D4">
            <w:pPr>
              <w:adjustRightInd w:val="0"/>
              <w:snapToGrid w:val="0"/>
              <w:spacing w:line="340" w:lineRule="exact"/>
              <w:jc w:val="center"/>
              <w:rPr>
                <w:rFonts w:hint="eastAsia" w:ascii="宋体" w:hAnsi="宋体"/>
                <w:color w:val="auto"/>
                <w:szCs w:val="21"/>
                <w:highlight w:val="none"/>
              </w:rPr>
            </w:pPr>
            <w:r>
              <w:rPr>
                <w:rFonts w:hint="eastAsia" w:ascii="宋体" w:hAnsi="宋体" w:cs="宋体"/>
                <w:color w:val="auto"/>
                <w:szCs w:val="21"/>
                <w:highlight w:val="none"/>
                <w:lang w:val="en"/>
              </w:rPr>
              <w:t>...</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D4A1D04">
            <w:pPr>
              <w:adjustRightInd w:val="0"/>
              <w:snapToGrid w:val="0"/>
              <w:spacing w:line="340" w:lineRule="exact"/>
              <w:rPr>
                <w:rFonts w:hint="eastAsia" w:ascii="Times New Roman" w:hAnsi="Times New Roman"/>
                <w:color w:val="auto"/>
                <w:highlight w:val="none"/>
              </w:rPr>
            </w:pPr>
            <w:r>
              <w:rPr>
                <w:rFonts w:hint="eastAsia" w:ascii="宋体" w:hAnsi="宋体" w:cs="宋体"/>
                <w:color w:val="auto"/>
                <w:szCs w:val="21"/>
                <w:highlight w:val="none"/>
                <w:lang w:val="en"/>
              </w:rPr>
              <w:t>...</w:t>
            </w:r>
          </w:p>
        </w:tc>
      </w:tr>
      <w:tr w14:paraId="1B2BE8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restart"/>
            <w:tcBorders>
              <w:left w:val="single" w:color="000000" w:sz="12" w:space="0"/>
              <w:right w:val="single" w:color="000000" w:sz="12" w:space="0"/>
              <w:tl2br w:val="nil"/>
              <w:tr2bl w:val="nil"/>
            </w:tcBorders>
            <w:noWrap w:val="0"/>
            <w:vAlign w:val="center"/>
          </w:tcPr>
          <w:p w14:paraId="48B6AC06">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p>
        </w:tc>
        <w:tc>
          <w:tcPr>
            <w:tcW w:w="1992" w:type="dxa"/>
            <w:gridSpan w:val="2"/>
            <w:vMerge w:val="restart"/>
            <w:tcBorders>
              <w:left w:val="nil"/>
              <w:right w:val="single" w:color="000000" w:sz="12" w:space="0"/>
              <w:tl2br w:val="nil"/>
              <w:tr2bl w:val="nil"/>
            </w:tcBorders>
            <w:noWrap w:val="0"/>
            <w:vAlign w:val="center"/>
          </w:tcPr>
          <w:p w14:paraId="4338EDAC">
            <w:pPr>
              <w:widowControl/>
              <w:wordWrap w:val="0"/>
              <w:jc w:val="center"/>
              <w:rPr>
                <w:rFonts w:hint="eastAsia" w:ascii="宋体" w:hAnsi="宋体" w:eastAsia="宋体" w:cs="宋体"/>
                <w:color w:val="auto"/>
                <w:kern w:val="0"/>
                <w:szCs w:val="21"/>
                <w:highlight w:val="none"/>
              </w:rPr>
            </w:pPr>
            <w:r>
              <w:rPr>
                <w:rFonts w:hint="eastAsia" w:ascii="宋体" w:hAnsi="宋体"/>
                <w:color w:val="auto"/>
                <w:szCs w:val="21"/>
                <w:highlight w:val="none"/>
              </w:rPr>
              <w:t>响应性评审标准</w:t>
            </w: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CA84290">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投标内容</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760C9E3A">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符合第二章“投标人须知”第1.3.1项规定</w:t>
            </w:r>
          </w:p>
        </w:tc>
      </w:tr>
      <w:tr w14:paraId="631C406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00D7813B">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03A969EA">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ABA30EB">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工期</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02586574">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符合第二章“投标人须知”第1.3.2项规定</w:t>
            </w:r>
          </w:p>
        </w:tc>
      </w:tr>
      <w:tr w14:paraId="1D41EA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6509FD33">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3343F148">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4042B23">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工程质量</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29D785DA">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符合第二章“投标人须知”第1.3.3项规定</w:t>
            </w:r>
          </w:p>
        </w:tc>
      </w:tr>
      <w:tr w14:paraId="44EDC64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0C576691">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74DA0146">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291AE345">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投标有效期</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0D6CCCA4">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符合第二章“投标人须知”第3.3.1项规定</w:t>
            </w:r>
          </w:p>
        </w:tc>
      </w:tr>
      <w:tr w14:paraId="36BB528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23581A16">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3E1E77B4">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B3D3C49">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投标保证金</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650E9EFA">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符合第二章“投标人须知”第3.4.1项规定</w:t>
            </w:r>
          </w:p>
        </w:tc>
      </w:tr>
      <w:tr w14:paraId="6C659BE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161449CC">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05E05C41">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4A16395E">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权利义务</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0611E086">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第五章“合同条款及格式”规定</w:t>
            </w:r>
          </w:p>
        </w:tc>
      </w:tr>
      <w:tr w14:paraId="4704919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01100C37">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47A6B2D5">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4C37A88A">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已标价的工程量清单</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4D0AD044">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w:t>
            </w:r>
            <w:r>
              <w:rPr>
                <w:rFonts w:ascii="宋体" w:hAnsi="宋体"/>
                <w:color w:val="auto"/>
                <w:szCs w:val="21"/>
                <w:highlight w:val="none"/>
              </w:rPr>
              <w:t>文件</w:t>
            </w:r>
            <w:r>
              <w:rPr>
                <w:rFonts w:hint="eastAsia" w:ascii="宋体" w:hAnsi="宋体"/>
                <w:color w:val="auto"/>
                <w:szCs w:val="21"/>
                <w:highlight w:val="none"/>
              </w:rPr>
              <w:t>第六章“工程量清单”给出的范围及数量</w:t>
            </w:r>
          </w:p>
        </w:tc>
      </w:tr>
      <w:tr w14:paraId="2073AB7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vMerge w:val="continue"/>
            <w:tcBorders>
              <w:left w:val="single" w:color="000000" w:sz="12" w:space="0"/>
              <w:right w:val="single" w:color="000000" w:sz="12" w:space="0"/>
              <w:tl2br w:val="nil"/>
              <w:tr2bl w:val="nil"/>
            </w:tcBorders>
            <w:noWrap w:val="0"/>
            <w:vAlign w:val="center"/>
          </w:tcPr>
          <w:p w14:paraId="2A948878">
            <w:pPr>
              <w:widowControl/>
              <w:wordWrap w:val="0"/>
              <w:jc w:val="center"/>
              <w:rPr>
                <w:rFonts w:hint="default" w:ascii="宋体" w:hAnsi="宋体" w:eastAsia="宋体" w:cs="宋体"/>
                <w:color w:val="auto"/>
                <w:kern w:val="0"/>
                <w:sz w:val="21"/>
                <w:szCs w:val="21"/>
                <w:highlight w:val="none"/>
                <w:lang w:val="en-US" w:eastAsia="zh-CN"/>
              </w:rPr>
            </w:pPr>
          </w:p>
        </w:tc>
        <w:tc>
          <w:tcPr>
            <w:tcW w:w="1992" w:type="dxa"/>
            <w:gridSpan w:val="2"/>
            <w:vMerge w:val="continue"/>
            <w:tcBorders>
              <w:left w:val="nil"/>
              <w:right w:val="single" w:color="000000" w:sz="12" w:space="0"/>
              <w:tl2br w:val="nil"/>
              <w:tr2bl w:val="nil"/>
            </w:tcBorders>
            <w:noWrap w:val="0"/>
            <w:vAlign w:val="center"/>
          </w:tcPr>
          <w:p w14:paraId="4B89F3DE">
            <w:pPr>
              <w:widowControl/>
              <w:wordWrap w:val="0"/>
              <w:jc w:val="center"/>
              <w:rPr>
                <w:rFonts w:hint="eastAsia" w:ascii="宋体" w:hAnsi="宋体" w:eastAsia="宋体" w:cs="宋体"/>
                <w:color w:val="auto"/>
                <w:kern w:val="0"/>
                <w:szCs w:val="21"/>
                <w:highlight w:val="none"/>
              </w:rPr>
            </w:pPr>
          </w:p>
        </w:tc>
        <w:tc>
          <w:tcPr>
            <w:tcW w:w="1730" w:type="dxa"/>
            <w:tcBorders>
              <w:top w:val="single" w:color="auto" w:sz="4" w:space="0"/>
              <w:left w:val="single" w:color="000000" w:sz="12" w:space="0"/>
              <w:bottom w:val="single" w:color="auto" w:sz="4" w:space="0"/>
              <w:right w:val="single" w:color="auto" w:sz="4" w:space="0"/>
              <w:tl2br w:val="nil"/>
              <w:tr2bl w:val="nil"/>
            </w:tcBorders>
            <w:noWrap w:val="0"/>
            <w:vAlign w:val="center"/>
          </w:tcPr>
          <w:p w14:paraId="04782957">
            <w:pPr>
              <w:adjustRightInd w:val="0"/>
              <w:snapToGrid w:val="0"/>
              <w:jc w:val="center"/>
              <w:rPr>
                <w:rFonts w:hint="eastAsia" w:ascii="宋体" w:hAnsi="宋体" w:cs="宋体"/>
                <w:color w:val="auto"/>
                <w:szCs w:val="21"/>
                <w:highlight w:val="none"/>
                <w:lang w:val="en"/>
              </w:rPr>
            </w:pPr>
            <w:r>
              <w:rPr>
                <w:rFonts w:hint="eastAsia" w:ascii="宋体" w:hAnsi="宋体"/>
                <w:color w:val="auto"/>
                <w:szCs w:val="21"/>
                <w:highlight w:val="none"/>
              </w:rPr>
              <w:t>技术标准和要求</w:t>
            </w:r>
          </w:p>
        </w:tc>
        <w:tc>
          <w:tcPr>
            <w:tcW w:w="4947" w:type="dxa"/>
            <w:tcBorders>
              <w:top w:val="single" w:color="auto" w:sz="4" w:space="0"/>
              <w:left w:val="single" w:color="auto" w:sz="4" w:space="0"/>
              <w:bottom w:val="single" w:color="auto" w:sz="4" w:space="0"/>
              <w:right w:val="single" w:color="000000" w:sz="12" w:space="0"/>
              <w:tl2br w:val="nil"/>
              <w:tr2bl w:val="nil"/>
            </w:tcBorders>
            <w:noWrap w:val="0"/>
            <w:vAlign w:val="center"/>
          </w:tcPr>
          <w:p w14:paraId="2E7C8AB2">
            <w:pPr>
              <w:adjustRightInd w:val="0"/>
              <w:snapToGrid w:val="0"/>
              <w:jc w:val="left"/>
              <w:rPr>
                <w:rFonts w:hint="eastAsia" w:ascii="宋体" w:hAnsi="宋体" w:cs="宋体"/>
                <w:color w:val="auto"/>
                <w:szCs w:val="21"/>
                <w:highlight w:val="none"/>
                <w:lang w:val="en"/>
              </w:rPr>
            </w:pPr>
            <w:r>
              <w:rPr>
                <w:rFonts w:hint="eastAsia" w:ascii="宋体" w:hAnsi="宋体"/>
                <w:color w:val="auto"/>
                <w:szCs w:val="21"/>
                <w:highlight w:val="none"/>
              </w:rPr>
              <w:t>符合招标文件第八章“技术标准和要求”规定</w:t>
            </w:r>
          </w:p>
        </w:tc>
      </w:tr>
      <w:tr w14:paraId="2DB757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39" w:hRule="atLeast"/>
          <w:jc w:val="center"/>
        </w:trPr>
        <w:tc>
          <w:tcPr>
            <w:tcW w:w="593" w:type="dxa"/>
            <w:tcBorders>
              <w:left w:val="single" w:color="000000" w:sz="12" w:space="0"/>
              <w:right w:val="single" w:color="000000" w:sz="12" w:space="0"/>
              <w:tl2br w:val="nil"/>
              <w:tr2bl w:val="nil"/>
            </w:tcBorders>
            <w:noWrap w:val="0"/>
            <w:vAlign w:val="center"/>
          </w:tcPr>
          <w:p w14:paraId="05157DC9">
            <w:pPr>
              <w:widowControl/>
              <w:wordWrap w:val="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6</w:t>
            </w:r>
          </w:p>
        </w:tc>
        <w:tc>
          <w:tcPr>
            <w:tcW w:w="1992" w:type="dxa"/>
            <w:gridSpan w:val="2"/>
            <w:tcBorders>
              <w:left w:val="nil"/>
              <w:right w:val="single" w:color="000000" w:sz="12" w:space="0"/>
              <w:tl2br w:val="nil"/>
              <w:tr2bl w:val="nil"/>
            </w:tcBorders>
            <w:noWrap w:val="0"/>
            <w:vAlign w:val="center"/>
          </w:tcPr>
          <w:p w14:paraId="47F370C8">
            <w:pPr>
              <w:widowControl/>
              <w:wordWrap w:val="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bidi="zh-CN"/>
              </w:rPr>
              <w:t>投标人回复澄清、说明、补正的时限</w:t>
            </w:r>
          </w:p>
        </w:tc>
        <w:tc>
          <w:tcPr>
            <w:tcW w:w="6677" w:type="dxa"/>
            <w:gridSpan w:val="2"/>
            <w:tcBorders>
              <w:top w:val="single" w:color="auto" w:sz="4" w:space="0"/>
              <w:left w:val="single" w:color="000000" w:sz="12" w:space="0"/>
              <w:bottom w:val="single" w:color="auto" w:sz="4" w:space="0"/>
              <w:right w:val="single" w:color="000000" w:sz="12" w:space="0"/>
              <w:tl2br w:val="nil"/>
              <w:tr2bl w:val="nil"/>
            </w:tcBorders>
            <w:noWrap w:val="0"/>
            <w:vAlign w:val="center"/>
          </w:tcPr>
          <w:p w14:paraId="21CDA2A9">
            <w:pPr>
              <w:adjustRightInd w:val="0"/>
              <w:snapToGrid w:val="0"/>
              <w:jc w:val="left"/>
              <w:rPr>
                <w:rFonts w:hint="eastAsia" w:ascii="宋体" w:hAnsi="宋体"/>
                <w:color w:val="auto"/>
                <w:szCs w:val="21"/>
                <w:highlight w:val="none"/>
              </w:rPr>
            </w:pPr>
            <w:r>
              <w:rPr>
                <w:rFonts w:hint="eastAsia" w:ascii="宋体" w:hAnsi="宋体" w:cs="宋体"/>
                <w:color w:val="auto"/>
                <w:kern w:val="1"/>
                <w:szCs w:val="21"/>
                <w:highlight w:val="none"/>
              </w:rPr>
              <w:t>评标委员会通过电子交易平台发出通知后</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分钟内。</w:t>
            </w:r>
          </w:p>
        </w:tc>
      </w:tr>
    </w:tbl>
    <w:p w14:paraId="0136F0E3">
      <w:pPr>
        <w:pStyle w:val="49"/>
        <w:rPr>
          <w:color w:val="auto"/>
          <w:highlight w:val="none"/>
        </w:rPr>
      </w:pPr>
    </w:p>
    <w:p w14:paraId="6304C543">
      <w:pPr>
        <w:pStyle w:val="80"/>
        <w:jc w:val="center"/>
        <w:rPr>
          <w:color w:val="auto"/>
          <w:highlight w:val="none"/>
        </w:rPr>
      </w:pPr>
      <w:r>
        <w:rPr>
          <w:rFonts w:hint="eastAsia"/>
          <w:color w:val="auto"/>
          <w:sz w:val="32"/>
          <w:szCs w:val="32"/>
          <w:highlight w:val="none"/>
        </w:rPr>
        <w:t>评标办法正文</w:t>
      </w:r>
    </w:p>
    <w:p w14:paraId="4A00E59D">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本评标办法正文若有与本范本评标办法前附表不一致之处，以评标办法前附表为准。</w:t>
      </w:r>
    </w:p>
    <w:p w14:paraId="685B45BF">
      <w:pPr>
        <w:wordWrap w:val="0"/>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 评标方法</w:t>
      </w:r>
    </w:p>
    <w:p w14:paraId="3968E79C">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 本次评标采用定性评审法。</w:t>
      </w:r>
    </w:p>
    <w:p w14:paraId="670DB3FC">
      <w:pPr>
        <w:wordWrap w:val="0"/>
        <w:spacing w:line="3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1.2 </w:t>
      </w:r>
      <w:r>
        <w:rPr>
          <w:rFonts w:hint="eastAsia" w:ascii="宋体" w:hAnsi="宋体" w:eastAsia="宋体" w:cs="宋体"/>
          <w:color w:val="auto"/>
          <w:sz w:val="24"/>
          <w:szCs w:val="24"/>
          <w:highlight w:val="none"/>
        </w:rPr>
        <w:t>评标委员会由招标人组建，负责资格审查、确定入围投标人、对入围投标人的投标文件进行定性评审，</w:t>
      </w:r>
      <w:r>
        <w:rPr>
          <w:rFonts w:hint="eastAsia" w:ascii="宋体" w:hAnsi="宋体" w:cs="宋体"/>
          <w:color w:val="auto"/>
          <w:sz w:val="24"/>
          <w:highlight w:val="none"/>
        </w:rPr>
        <w:t>将未被否决投标的入围投标人确定为定标候选人。</w:t>
      </w:r>
    </w:p>
    <w:p w14:paraId="6642C8A2">
      <w:pPr>
        <w:wordWrap w:val="0"/>
        <w:spacing w:line="36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 评标程序和标准</w:t>
      </w:r>
    </w:p>
    <w:p w14:paraId="6FCCBF50">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评标按以下程序进行。</w:t>
      </w:r>
    </w:p>
    <w:p w14:paraId="6BEDE673">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2.1组建评标委员会</w:t>
      </w:r>
    </w:p>
    <w:p w14:paraId="567D702E">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2.2评标前的准备</w:t>
      </w:r>
    </w:p>
    <w:p w14:paraId="57A68B91">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2.3资格审查及确定入围投标人</w:t>
      </w:r>
    </w:p>
    <w:p w14:paraId="1AA937EA">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（1）资格审查</w:t>
      </w:r>
    </w:p>
    <w:p w14:paraId="16F6FA6F">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（2）资格文件的澄清、说明和补正</w:t>
      </w:r>
    </w:p>
    <w:p w14:paraId="1F6E59A4">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（3）确定入围投标人</w:t>
      </w:r>
    </w:p>
    <w:p w14:paraId="3EE6574C">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投标人须知前附表对上述第（1）目“资格审查”与第（</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）目“确定入围投标人”的程序顺序作出规定的，从其规定。</w:t>
      </w:r>
    </w:p>
    <w:p w14:paraId="6350AE70">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2.4定性评审</w:t>
      </w:r>
    </w:p>
    <w:p w14:paraId="651C0F23">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（1）形式评审与响应性评审</w:t>
      </w:r>
    </w:p>
    <w:p w14:paraId="2B0FCAC2">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（2）投标文件的澄清、说明和补正</w:t>
      </w:r>
    </w:p>
    <w:p w14:paraId="04E65D95">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（3）投标文件的修正</w:t>
      </w:r>
    </w:p>
    <w:p w14:paraId="2D054FF5">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）详细评审</w:t>
      </w:r>
    </w:p>
    <w:p w14:paraId="7AFCD60C">
      <w:pPr>
        <w:wordWrap w:val="0"/>
        <w:spacing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推荐</w:t>
      </w:r>
      <w:r>
        <w:rPr>
          <w:rFonts w:hint="eastAsia" w:ascii="宋体" w:hAnsi="宋体" w:cs="宋体"/>
          <w:color w:val="auto"/>
          <w:sz w:val="24"/>
          <w:highlight w:val="none"/>
        </w:rPr>
        <w:t>定标候选人</w:t>
      </w:r>
    </w:p>
    <w:p w14:paraId="10233C83">
      <w:pPr>
        <w:wordWrap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资格审查与确定入围投标人</w:t>
      </w:r>
    </w:p>
    <w:p w14:paraId="14E11AF2">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确定入围投标人</w:t>
      </w:r>
    </w:p>
    <w:p w14:paraId="2EB4A10D">
      <w:pPr>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eastAsia="zh-CN"/>
        </w:rPr>
        <w:t>（</w:t>
      </w:r>
      <w:r>
        <w:rPr>
          <w:rFonts w:hint="eastAsia" w:ascii="宋体" w:hAnsi="宋体" w:eastAsia="宋体" w:cs="宋体"/>
          <w:color w:val="auto"/>
          <w:kern w:val="1"/>
          <w:sz w:val="24"/>
          <w:szCs w:val="24"/>
          <w:highlight w:val="none"/>
          <w:lang w:val="en-US" w:eastAsia="zh-CN"/>
        </w:rPr>
        <w:t>1</w:t>
      </w:r>
      <w:r>
        <w:rPr>
          <w:rFonts w:hint="eastAsia" w:ascii="宋体" w:hAnsi="宋体" w:eastAsia="宋体" w:cs="宋体"/>
          <w:color w:val="auto"/>
          <w:kern w:val="1"/>
          <w:sz w:val="24"/>
          <w:szCs w:val="24"/>
          <w:highlight w:val="none"/>
          <w:lang w:eastAsia="zh-CN"/>
        </w:rPr>
        <w:t>）评标委员会</w:t>
      </w:r>
      <w:r>
        <w:rPr>
          <w:rFonts w:hint="eastAsia" w:ascii="宋体" w:hAnsi="宋体" w:eastAsia="宋体" w:cs="宋体"/>
          <w:color w:val="auto"/>
          <w:kern w:val="1"/>
          <w:sz w:val="24"/>
          <w:szCs w:val="24"/>
          <w:highlight w:val="none"/>
        </w:rPr>
        <w:t>在资格审查合格的投标人中，依据评标办法</w:t>
      </w:r>
      <w:r>
        <w:rPr>
          <w:rFonts w:hint="eastAsia" w:ascii="宋体" w:hAnsi="宋体" w:eastAsia="宋体" w:cs="宋体"/>
          <w:color w:val="auto"/>
          <w:kern w:val="1"/>
          <w:sz w:val="24"/>
          <w:szCs w:val="24"/>
          <w:highlight w:val="none"/>
          <w:lang w:val="en-US" w:eastAsia="zh-CN"/>
        </w:rPr>
        <w:t>前</w:t>
      </w:r>
      <w:r>
        <w:rPr>
          <w:rFonts w:hint="eastAsia" w:ascii="宋体" w:hAnsi="宋体" w:eastAsia="宋体" w:cs="宋体"/>
          <w:color w:val="auto"/>
          <w:kern w:val="1"/>
          <w:sz w:val="24"/>
          <w:szCs w:val="24"/>
          <w:highlight w:val="none"/>
        </w:rPr>
        <w:t>附表第</w:t>
      </w:r>
      <w:r>
        <w:rPr>
          <w:rFonts w:hint="eastAsia" w:ascii="宋体" w:hAnsi="宋体" w:eastAsia="宋体" w:cs="宋体"/>
          <w:color w:val="auto"/>
          <w:kern w:val="1"/>
          <w:sz w:val="24"/>
          <w:szCs w:val="24"/>
          <w:highlight w:val="none"/>
          <w:lang w:val="en-US" w:eastAsia="zh-CN"/>
        </w:rPr>
        <w:t>2</w:t>
      </w:r>
      <w:r>
        <w:rPr>
          <w:rFonts w:hint="eastAsia" w:ascii="宋体" w:hAnsi="宋体" w:eastAsia="宋体" w:cs="宋体"/>
          <w:color w:val="auto"/>
          <w:kern w:val="1"/>
          <w:sz w:val="24"/>
          <w:szCs w:val="24"/>
          <w:highlight w:val="none"/>
        </w:rPr>
        <w:t>项规定的标准确定入围投标人。</w:t>
      </w:r>
    </w:p>
    <w:p w14:paraId="1A08C406">
      <w:pPr>
        <w:spacing w:line="360" w:lineRule="auto"/>
        <w:ind w:firstLine="480" w:firstLineChars="200"/>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sz w:val="24"/>
          <w:szCs w:val="24"/>
          <w:highlight w:val="none"/>
          <w:lang w:val="en-US" w:eastAsia="zh-CN"/>
        </w:rPr>
        <w:t>（2）评标办法前附表确定“确定入围投标人”的程序顺序先于“资格审查”的，评标委员会先依据评标办法前附表第2项规定的标准确定入围投标人，然后根据第3项规定，对入围投标人进行资格审查，资格审查不合格的入围投标人，不再递补入围投标人。</w:t>
      </w:r>
    </w:p>
    <w:p w14:paraId="0D680D0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资格审查</w:t>
      </w:r>
    </w:p>
    <w:p w14:paraId="78F7EC7E">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评标委员会依据评标办法附表第</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项规定的标准对入围投标人进行资格审查，有一项不符合评审标准的，资格审查不合格，且不再递补入围投标人。</w:t>
      </w:r>
    </w:p>
    <w:p w14:paraId="64F0BF0D">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资格审查合格的投标人数量少于3家的，招标人应当重新招标。</w:t>
      </w:r>
    </w:p>
    <w:p w14:paraId="304803BE">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资格文件的澄清、说明和补正</w:t>
      </w:r>
    </w:p>
    <w:p w14:paraId="5A1F9CA1">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资格审查过程中，评标委员会可以通过电子交易平台要求投标人对所提交的投标文件中不明确的内容进行书面澄清或说明，或者对细微偏差进行补正。投标人通过电子交易平台回复澄清、说明、补正，时限要求详见评标办法前附表第</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项，评标委员会不接受投标人主动提出的澄清、说明或补正。</w:t>
      </w:r>
    </w:p>
    <w:p w14:paraId="6E00B079">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2DBA761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（2）澄清、说明和补正不得改变资格文件的实质性内容。投标人的书面澄清、说明和补正属于资格文件的组成部分。</w:t>
      </w:r>
    </w:p>
    <w:p w14:paraId="47F265DC">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（3）评标委员会对投标人提交的澄清、说明或补正有疑问的，可以要求投标人进一步澄清、说明或补正，直至满足评标委员会的要求。</w:t>
      </w:r>
    </w:p>
    <w:p w14:paraId="6F176E3D">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（4）投标人不按评标委员会要求对资格文件澄清、说明或补正的，评标委员会应当作出资格审查不合格的审查结论。</w:t>
      </w:r>
    </w:p>
    <w:p w14:paraId="651A05EC">
      <w:pPr>
        <w:wordWrap w:val="0"/>
        <w:spacing w:line="36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定性评审</w:t>
      </w:r>
    </w:p>
    <w:p w14:paraId="6288EAA4">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4.1定性评审工作规则</w:t>
      </w:r>
    </w:p>
    <w:p w14:paraId="24C424F6">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4.1.1评标委员会应当按照本章规定的方法、评审因素、标准和程序，客观、公正地对投标文件提出评审意见。本章没有规定的方法、评审因素和标准，不得作为评标的依据。</w:t>
      </w:r>
    </w:p>
    <w:p w14:paraId="659A25B4">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4.1.2招标人应当根据项目规模和技术复杂程度等因素合理确定评标时间。超过三分之一的评标委员会成员认为评标时间不够的，招标人应当适当延长。</w:t>
      </w:r>
    </w:p>
    <w:p w14:paraId="5E4615C8">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4.1.3评标过程中，评标委员会成员有回避事由、擅离职守或者因健康等原因不能继续评标的，应当及时更换。被更换的评标委员会成员作出的评审结论无效，由更换后的评标委员会成员重新进行评审。</w:t>
      </w:r>
    </w:p>
    <w:p w14:paraId="00E3E71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4.1.4招标文件条款存在含义不清或者相互矛盾的，评标委员会应当针对相应条款作出有利于相应投标人的结论。</w:t>
      </w:r>
    </w:p>
    <w:p w14:paraId="32031223">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14:paraId="51F7A181">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4.1.6对否决的投标或不采信投标人说明的情况，评标委员会应当在评标报告中作详细说明。</w:t>
      </w:r>
    </w:p>
    <w:p w14:paraId="42991CBA">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14:paraId="1F5A24B3">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4.1.8评标结束后，由招标人向评标委员会成员支付劳务费。除此之外，评标委员会成员不得接受该项目招投标相关单位和个人的任何其他礼物、现金或者有价证券等财物。</w:t>
      </w:r>
    </w:p>
    <w:p w14:paraId="624DB086">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4.2组建评标委员会</w:t>
      </w:r>
    </w:p>
    <w:p w14:paraId="2A4D2E3B">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（1）评标委员会由有关技术、经济等方面的专家组成，成员人数见第二章“投标人须知”。技术、经济等方面专家全部从福建省综合性评标专家库中抽取。</w:t>
      </w:r>
    </w:p>
    <w:p w14:paraId="2969D51E">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（2）评标委员会成员有下列情形之一的，应当回避：</w:t>
      </w:r>
    </w:p>
    <w:p w14:paraId="0B685392">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①招标人或投标人的主要负责人的近亲属；</w:t>
      </w:r>
    </w:p>
    <w:p w14:paraId="6038D50A">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②项目主管部门或者行政监督部门的人员；</w:t>
      </w:r>
    </w:p>
    <w:p w14:paraId="33FCA151">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③与投标人有利害关系的；</w:t>
      </w:r>
    </w:p>
    <w:p w14:paraId="1FF3840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④与投标人有经济利益关系，可能影响对投标公正评审的；</w:t>
      </w:r>
    </w:p>
    <w:p w14:paraId="4312EF1A">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⑤曾因在招标、评标以及其他与招标投标有关活动中从事违法行为而受过行政处罚或刑事处罚的。</w:t>
      </w:r>
    </w:p>
    <w:p w14:paraId="45C34BD8">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（3）评标委员会采用推举或者随机抽取方式确定一名专家评委担任评标委员会负责人。评标委员会负责人负责组织开展评标活动，对在评标过程中产生的问题提请评标委员会讨论、表决，组织编写评标报告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评标委员会负责人与评标委员会的其他成员享有同等表决权。</w:t>
      </w:r>
    </w:p>
    <w:p w14:paraId="22DAF6DA">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评</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前的准备</w:t>
      </w:r>
    </w:p>
    <w:p w14:paraId="2CD4F100">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14:paraId="3E540CB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6AD73252">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形式评审与响应性评审</w:t>
      </w:r>
    </w:p>
    <w:p w14:paraId="4DBF9CF3">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评标委员会依据评标办法前附表第 </w:t>
      </w:r>
      <w:r>
        <w:rPr>
          <w:rFonts w:hint="eastAsia" w:ascii="宋体" w:hAnsi="宋体" w:eastAsia="宋体" w:cs="宋体"/>
          <w:color w:val="auto"/>
          <w:sz w:val="24"/>
          <w:szCs w:val="24"/>
          <w:highlight w:val="none"/>
          <w:lang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5项</w:t>
      </w:r>
      <w:r>
        <w:rPr>
          <w:rFonts w:hint="eastAsia" w:ascii="宋体" w:hAnsi="宋体" w:eastAsia="宋体" w:cs="宋体"/>
          <w:color w:val="auto"/>
          <w:sz w:val="24"/>
          <w:szCs w:val="24"/>
          <w:highlight w:val="none"/>
        </w:rPr>
        <w:t>规定的标准对入围投标人的投标文件进行形式评审与响应性评审，有一项不符合评审标准的，评标委员会应当否决其投标。</w:t>
      </w:r>
    </w:p>
    <w:p w14:paraId="5C041E72">
      <w:pPr>
        <w:wordWrap w:val="0"/>
        <w:spacing w:line="3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详细评审</w:t>
      </w:r>
    </w:p>
    <w:p w14:paraId="78A0A707">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47408614">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投标文件的澄清、说明和补正</w:t>
      </w:r>
    </w:p>
    <w:p w14:paraId="448E4AFA">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评标过程中，评标委员会可以通过电子交易平台要求投标人对所提交的投标文件中不明确的内容进行书面澄清或说明，或者对细微偏差进行补正。投标人通过电子交易平台回复澄清、说明、补正，时限要求详见评标办法前附表第</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项，评标委员会不接受投标人主动提出的澄清、说明或补正。</w:t>
      </w:r>
    </w:p>
    <w:p w14:paraId="16713F9F">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w:t>
      </w:r>
    </w:p>
    <w:p w14:paraId="2E2F9569">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（2）澄清、说明和补正不得改变投标文件的实质性内容。投标人的书面澄清、说明和补正属于投标文件的组成部分。</w:t>
      </w:r>
    </w:p>
    <w:p w14:paraId="23398C6F">
      <w:pPr>
        <w:wordWrap w:val="0"/>
        <w:spacing w:line="36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（3）评标委员会对投标人提交的澄清、说明或补正有疑问的，可以要求投标人进一步澄清、说明或补正，直至满足评标委员会的要求。不按评标委员会要求澄清、说明或补正的，评标委员会应当否决其投标</w:t>
      </w:r>
      <w:r>
        <w:rPr>
          <w:rFonts w:hint="eastAsia" w:ascii="宋体" w:hAnsi="宋体" w:eastAsia="宋体" w:cs="宋体"/>
          <w:color w:val="auto"/>
          <w:sz w:val="24"/>
          <w:szCs w:val="24"/>
          <w:highlight w:val="none"/>
          <w:lang w:eastAsia="zh-CN"/>
        </w:rPr>
        <w:t>。</w:t>
      </w:r>
    </w:p>
    <w:p w14:paraId="53D7E6EB">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投标文件的修正</w:t>
      </w:r>
    </w:p>
    <w:p w14:paraId="6B321AE1">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投标报价有算术错误的，评标委员会按以下原则对投标报价进行修正，修正的价格经投标人书面确认后具有约束力。投标人不接受修正价格的，其投标将被否决处理，并没收其投标担保。</w:t>
      </w:r>
    </w:p>
    <w:p w14:paraId="4C83944C">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（1）投标文件中的大写金额与小写金额不一致的，以大写金额为准；</w:t>
      </w:r>
    </w:p>
    <w:p w14:paraId="53F680ED">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（2）总价金额与依据单价计算出的结果不一致的，以单价金额为准修正总价，但单价金额小数点有明显错误的除外；</w:t>
      </w:r>
    </w:p>
    <w:p w14:paraId="7AA0085C">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（3）当单价与数量相乘不等于合价时，以单价计算为准，如果单价有明显的小数点位置差错，应以标出的合价为准，同时对单价予以修正；</w:t>
      </w:r>
    </w:p>
    <w:p w14:paraId="068B7263">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（4）当各子目的合价累计不等于总价时，应以各子目合价累计数为准，修正总价。</w:t>
      </w:r>
    </w:p>
    <w:p w14:paraId="2B256CE2">
      <w:pPr>
        <w:tabs>
          <w:tab w:val="left" w:pos="360"/>
          <w:tab w:val="left" w:pos="540"/>
        </w:tabs>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工程量清单中的投标报价有其他错误的，评标委员会按以下原则对投标报价进行修正，修正的价格经投标人书面确认后具有约束力。投标人不接受修正价格的，评标委员会应否决其投标。</w:t>
      </w:r>
    </w:p>
    <w:p w14:paraId="1012A937">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10406407">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2AD13C62">
      <w:pPr>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（3）当单价与数量的乘积与合价（金额）虽然一致，但投标人修改了该子目的工程数量，则其合价按招标人给定的工程数量乘以投标人所报单价予以修正。</w:t>
      </w:r>
    </w:p>
    <w:p w14:paraId="009255B5">
      <w:pPr>
        <w:tabs>
          <w:tab w:val="left" w:pos="360"/>
          <w:tab w:val="left" w:pos="540"/>
          <w:tab w:val="left" w:pos="720"/>
        </w:tabs>
        <w:wordWrap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修正后的最终投标总报价若超过最高限价上限（如有），评标委员会应否决其投标。</w:t>
      </w:r>
    </w:p>
    <w:p w14:paraId="08CB4930">
      <w:pPr>
        <w:wordWrap w:val="0"/>
        <w:spacing w:before="0" w:beforeLines="-2147483648"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修正后的最终投标报价仅作为签订合同的一个依据，不参与评标价得分的计算。</w:t>
      </w:r>
    </w:p>
    <w:p w14:paraId="6B42320B">
      <w:pPr>
        <w:wordWrap w:val="0"/>
        <w:spacing w:before="0" w:beforeLines="-2147483648" w:line="360" w:lineRule="exact"/>
        <w:ind w:firstLine="480" w:firstLineChars="200"/>
        <w:rPr>
          <w:rFonts w:hint="eastAsia" w:ascii="宋体" w:hAnsi="宋体" w:eastAsia="宋体" w:cs="宋体"/>
          <w:color w:val="auto"/>
          <w:sz w:val="24"/>
          <w:highlight w:val="none"/>
          <w:shd w:val="clear"/>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highlight w:val="none"/>
          <w:shd w:val="clear"/>
        </w:rPr>
        <w:t>投标文件相关信息的核查</w:t>
      </w:r>
    </w:p>
    <w:p w14:paraId="325AE745">
      <w:pPr>
        <w:wordWrap w:val="0"/>
        <w:spacing w:before="0" w:beforeLines="-2147483648" w:line="360" w:lineRule="exact"/>
        <w:ind w:firstLine="480" w:firstLineChars="200"/>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lang w:val="en-US" w:eastAsia="zh-CN"/>
        </w:rPr>
        <w:t>.1</w:t>
      </w:r>
      <w:r>
        <w:rPr>
          <w:rFonts w:hint="eastAsia" w:ascii="宋体" w:hAnsi="宋体" w:eastAsia="宋体" w:cs="宋体"/>
          <w:color w:val="auto"/>
          <w:sz w:val="24"/>
          <w:highlight w:val="none"/>
          <w:shd w:val="clear" w:color="auto" w:fill="auto"/>
        </w:rPr>
        <w:t>在评标过程中，评标委员会应查询交通运输部“全国水运建设市场信用信息管理系统”</w:t>
      </w:r>
      <w:r>
        <w:rPr>
          <w:rFonts w:hint="eastAsia" w:ascii="宋体" w:hAnsi="宋体" w:cs="宋体"/>
          <w:color w:val="auto"/>
          <w:sz w:val="24"/>
          <w:highlight w:val="none"/>
          <w:shd w:val="clear" w:color="auto" w:fill="auto"/>
          <w:lang w:val="en-US" w:eastAsia="zh-CN"/>
        </w:rPr>
        <w:t>或“福建省交通公路水运建设与运输市场信用信息管理系统（信用交通·福建）”</w:t>
      </w:r>
      <w:r>
        <w:rPr>
          <w:rFonts w:hint="eastAsia" w:ascii="宋体" w:hAnsi="宋体" w:eastAsia="宋体" w:cs="宋体"/>
          <w:color w:val="auto"/>
          <w:sz w:val="24"/>
          <w:highlight w:val="none"/>
          <w:shd w:val="clear" w:color="auto" w:fill="auto"/>
        </w:rPr>
        <w:t>，对投标人的资质、业绩、信用等级等信息进行核实。若投标文件载明的信息与</w:t>
      </w:r>
      <w:r>
        <w:rPr>
          <w:rFonts w:hint="eastAsia" w:ascii="宋体" w:hAnsi="宋体" w:cs="宋体"/>
          <w:color w:val="auto"/>
          <w:sz w:val="24"/>
          <w:highlight w:val="none"/>
          <w:shd w:val="clear" w:color="auto" w:fill="auto"/>
          <w:lang w:val="en-US" w:eastAsia="zh-CN"/>
        </w:rPr>
        <w:t>上述系统</w:t>
      </w:r>
      <w:r>
        <w:rPr>
          <w:rFonts w:hint="eastAsia" w:ascii="宋体" w:hAnsi="宋体" w:eastAsia="宋体" w:cs="宋体"/>
          <w:color w:val="auto"/>
          <w:sz w:val="24"/>
          <w:highlight w:val="none"/>
          <w:shd w:val="clear" w:color="auto" w:fill="auto"/>
        </w:rPr>
        <w:t>发布的信息不符，使得投标人的资格条件不符合招标文件规定的，评标委员会应否决其投标。</w:t>
      </w:r>
    </w:p>
    <w:p w14:paraId="3F0683BD">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w:t>
      </w:r>
      <w:r>
        <w:rPr>
          <w:rFonts w:hint="eastAsia" w:ascii="宋体" w:hAnsi="宋体" w:cs="宋体"/>
          <w:color w:val="auto"/>
          <w:sz w:val="24"/>
          <w:highlight w:val="none"/>
          <w:shd w:val="clear" w:color="auto" w:fill="auto"/>
          <w:lang w:val="en-US" w:eastAsia="zh-CN"/>
        </w:rPr>
        <w:t>8</w:t>
      </w:r>
      <w:r>
        <w:rPr>
          <w:rFonts w:hint="eastAsia" w:ascii="宋体" w:hAnsi="宋体" w:eastAsia="宋体" w:cs="宋体"/>
          <w:color w:val="auto"/>
          <w:sz w:val="24"/>
          <w:highlight w:val="none"/>
          <w:shd w:val="clear" w:color="auto" w:fill="auto"/>
        </w:rPr>
        <w:t>.2评标委员会应对在评标过程中发现的投标人与投标人之间、投标人与招标人之间存在的串通投标的情形进行评审和认定。投标人存在串通投标、弄虚作假、行贿等违法行为的，评标委员会应否决其投标。</w:t>
      </w:r>
    </w:p>
    <w:p w14:paraId="74FDE35A">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（1）有下列情形之一的，属于投标人相互串通投标：</w:t>
      </w:r>
    </w:p>
    <w:p w14:paraId="3F27B3E2">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a.投标人之间协商投标报价等投标文件的实质性内容；</w:t>
      </w:r>
    </w:p>
    <w:p w14:paraId="0918B482">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b.投标人之间约定中标人；</w:t>
      </w:r>
    </w:p>
    <w:p w14:paraId="203E6B0C">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c.投标人之间约定部分投标人放弃投标或中标；</w:t>
      </w:r>
    </w:p>
    <w:p w14:paraId="1ED08D53">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d.属于同一集团、协会、商会等组织成员的投标人按照该组织要求协同投标；</w:t>
      </w:r>
    </w:p>
    <w:p w14:paraId="1D93632F">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e.投标人之间为谋取中标或排斥特定投标人而釆取的其他联合行动。</w:t>
      </w:r>
    </w:p>
    <w:p w14:paraId="18923568">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（2）有下列情形之一的，视为投标人相互串通投标：</w:t>
      </w:r>
    </w:p>
    <w:p w14:paraId="5F4BB2A6">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a.不同投标人的投标文件由同一单位或个人编制；</w:t>
      </w:r>
    </w:p>
    <w:p w14:paraId="2603C186">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b.不同投标人委托同一单位或个人办理投标事宜；</w:t>
      </w:r>
    </w:p>
    <w:p w14:paraId="07797A33">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c.不同投标人的投标文件载明的项目管理成员为同一人；</w:t>
      </w:r>
    </w:p>
    <w:p w14:paraId="548A64F8">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d.不同投标人的投标文件异常一致或投标报价呈规律性差异；</w:t>
      </w:r>
    </w:p>
    <w:p w14:paraId="35788C74">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e.不同投标人的投标文件相互混装；</w:t>
      </w:r>
    </w:p>
    <w:p w14:paraId="362C88E4">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f.不同投标人的投标保证金从同一单位或个人的账户转出。</w:t>
      </w:r>
    </w:p>
    <w:p w14:paraId="6BBEE380">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（3）有下列情形之一的，属于招标人与投标人串通投标：</w:t>
      </w:r>
    </w:p>
    <w:p w14:paraId="54EC5FE0">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a.招标人在开标前开启投标文件并将有关信息泄露给其他投标人；</w:t>
      </w:r>
    </w:p>
    <w:p w14:paraId="680EC2D2">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b.招标人直接或间接向投标人泄露标底、评标委员会成员等信息；</w:t>
      </w:r>
    </w:p>
    <w:p w14:paraId="3CD0D53E">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c.招标人明示或暗示投标人压低或抬高投标报价；</w:t>
      </w:r>
    </w:p>
    <w:p w14:paraId="77FA1374">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d.招标人授意投标人撤换、修改投标文件；</w:t>
      </w:r>
    </w:p>
    <w:p w14:paraId="4A70238E">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e.招标人明示或暗示投标人为特定投标人中标提供方便；</w:t>
      </w:r>
    </w:p>
    <w:p w14:paraId="0E3809E6">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f.招标人与投标人为谋求特定投标人中标而采取的其他串通行为。</w:t>
      </w:r>
    </w:p>
    <w:p w14:paraId="50E20E85">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（4）投标人有下列情形之一的，属于弄虚作假的行为：</w:t>
      </w:r>
    </w:p>
    <w:p w14:paraId="6BA0B7DE">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a.使用通过受让或租借等方式获取的资格、资质证书投标；</w:t>
      </w:r>
    </w:p>
    <w:p w14:paraId="69A95A2D">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b.使用伪造、变造的许可证件；</w:t>
      </w:r>
    </w:p>
    <w:p w14:paraId="795E1307">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c.提供虚假的财务状况或业绩；</w:t>
      </w:r>
    </w:p>
    <w:p w14:paraId="65BFEC21">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d.提供虚假的项目负责人或主要技术人员简历、劳动关系证明；</w:t>
      </w:r>
    </w:p>
    <w:p w14:paraId="6F7C82C0">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e.提供虚假的信用状况；</w:t>
      </w:r>
    </w:p>
    <w:p w14:paraId="28DA977B">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zCs w:val="24"/>
          <w:highlight w:val="none"/>
          <w:shd w:val="clear" w:color="auto" w:fill="auto"/>
        </w:rPr>
        <w:t>f.其他弄虚作假的行为。</w:t>
      </w:r>
    </w:p>
    <w:p w14:paraId="72C4C909">
      <w:pPr>
        <w:keepNext w:val="0"/>
        <w:keepLines w:val="0"/>
        <w:pageBreakBefore w:val="0"/>
        <w:widowControl/>
        <w:kinsoku/>
        <w:wordWrap w:val="0"/>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highlight w:val="none"/>
          <w:shd w:val="clear"/>
        </w:rPr>
      </w:pPr>
      <w:r>
        <w:rPr>
          <w:rFonts w:hint="eastAsia" w:ascii="宋体" w:hAnsi="宋体" w:eastAsia="宋体" w:cs="宋体"/>
          <w:b/>
          <w:bCs/>
          <w:color w:val="auto"/>
          <w:sz w:val="24"/>
          <w:highlight w:val="none"/>
          <w:shd w:val="clear"/>
        </w:rPr>
        <w:t>5.</w:t>
      </w:r>
      <w:r>
        <w:rPr>
          <w:rFonts w:hint="eastAsia" w:ascii="宋体" w:hAnsi="宋体" w:eastAsia="宋体" w:cs="宋体"/>
          <w:b/>
          <w:bCs/>
          <w:color w:val="auto"/>
          <w:sz w:val="24"/>
          <w:highlight w:val="none"/>
          <w:shd w:val="clear"/>
          <w:lang w:val="en-US" w:eastAsia="zh-CN"/>
        </w:rPr>
        <w:t xml:space="preserve"> 推荐</w:t>
      </w:r>
      <w:r>
        <w:rPr>
          <w:rFonts w:hint="eastAsia" w:ascii="宋体" w:hAnsi="宋体" w:eastAsia="宋体" w:cs="宋体"/>
          <w:b/>
          <w:bCs/>
          <w:color w:val="auto"/>
          <w:sz w:val="24"/>
          <w:highlight w:val="none"/>
          <w:shd w:val="clear"/>
        </w:rPr>
        <w:t>定标候选人</w:t>
      </w:r>
    </w:p>
    <w:p w14:paraId="1BAE6C31">
      <w:pPr>
        <w:keepNext w:val="0"/>
        <w:keepLines w:val="0"/>
        <w:pageBreakBefore w:val="0"/>
        <w:widowControl/>
        <w:kinsoku/>
        <w:wordWrap w:val="0"/>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评标委员会根据评标程序和标准完成评标后，将所有投标未被否决的入围投标人</w:t>
      </w:r>
      <w:r>
        <w:rPr>
          <w:rFonts w:hint="eastAsia" w:ascii="宋体" w:hAnsi="宋体" w:eastAsia="宋体" w:cs="宋体"/>
          <w:color w:val="auto"/>
          <w:sz w:val="24"/>
          <w:szCs w:val="24"/>
          <w:highlight w:val="none"/>
          <w:lang w:val="en-US" w:eastAsia="zh-CN"/>
        </w:rPr>
        <w:t>推荐</w:t>
      </w:r>
      <w:r>
        <w:rPr>
          <w:rFonts w:hint="eastAsia" w:ascii="宋体" w:hAnsi="宋体" w:eastAsia="宋体" w:cs="宋体"/>
          <w:color w:val="auto"/>
          <w:sz w:val="24"/>
          <w:szCs w:val="24"/>
          <w:highlight w:val="none"/>
        </w:rPr>
        <w:t>为定标候选人。投标未被否决的入围投标人少于 3 家，评标委员会认为投标明显缺乏竞争的，可以否决全部投标</w:t>
      </w:r>
      <w:r>
        <w:rPr>
          <w:rFonts w:hint="eastAsia" w:ascii="宋体" w:hAnsi="宋体" w:eastAsia="宋体" w:cs="宋体"/>
          <w:color w:val="auto"/>
          <w:sz w:val="24"/>
          <w:szCs w:val="24"/>
          <w:highlight w:val="none"/>
          <w:lang w:eastAsia="zh-CN"/>
        </w:rPr>
        <w:t>，招标人将重新招标。</w:t>
      </w:r>
    </w:p>
    <w:p w14:paraId="6FFDCD57">
      <w:pPr>
        <w:keepNext w:val="0"/>
        <w:keepLines w:val="0"/>
        <w:pageBreakBefore w:val="0"/>
        <w:widowControl/>
        <w:kinsoku/>
        <w:wordWrap w:val="0"/>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 提交评标报告</w:t>
      </w:r>
    </w:p>
    <w:p w14:paraId="75D15852">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.1 评标委员会按照本章规定的程序和评审标准完成全部评审工作后，应当向招标人提交评标报告。</w:t>
      </w:r>
    </w:p>
    <w:p w14:paraId="13CD783A">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.2 评标委员会决定否决所有投标的，应当在评标报告中说明具体理由。</w:t>
      </w:r>
    </w:p>
    <w:p w14:paraId="320D6B4C">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.3 评标报告中应当列明投标文件雷同情况</w:t>
      </w:r>
      <w:r>
        <w:rPr>
          <w:rFonts w:hint="eastAsia" w:ascii="宋体" w:hAnsi="宋体" w:eastAsia="宋体" w:cs="宋体"/>
          <w:color w:val="auto"/>
          <w:sz w:val="24"/>
          <w:szCs w:val="24"/>
          <w:highlight w:val="none"/>
          <w:lang w:val="en-US" w:eastAsia="zh-CN"/>
        </w:rPr>
        <w:t>.</w:t>
      </w:r>
    </w:p>
    <w:p w14:paraId="1E9EF125">
      <w:pPr>
        <w:keepNext w:val="0"/>
        <w:keepLines w:val="0"/>
        <w:widowControl/>
        <w:wordWrap w:val="0"/>
        <w:spacing w:before="0" w:beforeLines="-2147483648" w:after="0" w:line="360" w:lineRule="exact"/>
        <w:ind w:firstLine="482" w:firstLineChars="200"/>
        <w:rPr>
          <w:rFonts w:hint="eastAsia" w:ascii="宋体" w:hAnsi="宋体" w:eastAsia="宋体" w:cs="宋体"/>
          <w:b/>
          <w:bCs/>
          <w:color w:val="auto"/>
          <w:sz w:val="24"/>
          <w:highlight w:val="none"/>
          <w:shd w:val="clear"/>
          <w:lang w:val="en-US" w:eastAsia="zh-CN"/>
        </w:rPr>
      </w:pPr>
      <w:bookmarkStart w:id="953" w:name="_Toc27815"/>
      <w:r>
        <w:rPr>
          <w:rFonts w:hint="eastAsia" w:ascii="宋体" w:hAnsi="宋体" w:eastAsia="宋体" w:cs="宋体"/>
          <w:b/>
          <w:bCs/>
          <w:color w:val="auto"/>
          <w:sz w:val="24"/>
          <w:highlight w:val="none"/>
          <w:shd w:val="clear"/>
          <w:lang w:val="en-US" w:eastAsia="zh-CN"/>
        </w:rPr>
        <w:t>7</w:t>
      </w:r>
      <w:r>
        <w:rPr>
          <w:rFonts w:hint="eastAsia" w:ascii="宋体" w:hAnsi="宋体" w:eastAsia="宋体" w:cs="宋体"/>
          <w:b/>
          <w:bCs/>
          <w:color w:val="auto"/>
          <w:sz w:val="24"/>
          <w:highlight w:val="none"/>
          <w:shd w:val="clear"/>
        </w:rPr>
        <w:t xml:space="preserve">. </w:t>
      </w:r>
      <w:r>
        <w:rPr>
          <w:rFonts w:hint="eastAsia" w:ascii="宋体" w:hAnsi="宋体" w:eastAsia="宋体" w:cs="宋体"/>
          <w:b/>
          <w:bCs/>
          <w:color w:val="auto"/>
          <w:sz w:val="24"/>
          <w:highlight w:val="none"/>
          <w:shd w:val="clear"/>
          <w:lang w:val="en-US" w:eastAsia="zh-CN"/>
        </w:rPr>
        <w:t>评标报告的审查</w:t>
      </w:r>
      <w:bookmarkEnd w:id="953"/>
    </w:p>
    <w:p w14:paraId="2D5E35C0">
      <w:pPr>
        <w:wordWrap w:val="0"/>
        <w:spacing w:line="360" w:lineRule="exact"/>
        <w:ind w:firstLine="480" w:firstLineChars="200"/>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招标人履行主体责任，有权审查评标委员会提交的评标报告，发现评标报告存在错误的，有权要求评标委员会依据本章规定复核纠正。</w:t>
      </w:r>
    </w:p>
    <w:p w14:paraId="58A0EF57">
      <w:pPr>
        <w:pStyle w:val="49"/>
        <w:rPr>
          <w:rFonts w:hint="eastAsia" w:ascii="宋体" w:hAnsi="宋体" w:cs="宋体"/>
          <w:color w:val="auto"/>
          <w:sz w:val="24"/>
          <w:highlight w:val="none"/>
        </w:rPr>
      </w:pPr>
    </w:p>
    <w:p w14:paraId="5A7258B5">
      <w:pPr>
        <w:pStyle w:val="49"/>
        <w:rPr>
          <w:rFonts w:hint="eastAsia" w:ascii="宋体" w:hAnsi="宋体" w:cs="宋体"/>
          <w:color w:val="auto"/>
          <w:sz w:val="24"/>
          <w:highlight w:val="none"/>
        </w:rPr>
      </w:pPr>
    </w:p>
    <w:p w14:paraId="1ED525E1">
      <w:pPr>
        <w:pStyle w:val="38"/>
        <w:ind w:firstLine="523"/>
        <w:rPr>
          <w:color w:val="auto"/>
          <w:highlight w:val="none"/>
        </w:rPr>
      </w:pPr>
      <w:bookmarkStart w:id="954" w:name="_Toc490832334"/>
      <w:bookmarkStart w:id="955" w:name="_Toc486685948"/>
      <w:bookmarkStart w:id="956" w:name="_Toc463799055"/>
      <w:bookmarkStart w:id="957" w:name="_Toc487653227"/>
      <w:bookmarkStart w:id="958" w:name="_Toc18240"/>
    </w:p>
    <w:p w14:paraId="72B3A53B">
      <w:pPr>
        <w:widowControl/>
        <w:tabs>
          <w:tab w:val="left" w:pos="4200"/>
        </w:tabs>
        <w:spacing w:before="158" w:beforeLines="50" w:line="400" w:lineRule="exact"/>
        <w:jc w:val="center"/>
        <w:rPr>
          <w:rFonts w:ascii="宋体" w:hAnsi="宋体" w:cs="宋体"/>
          <w:color w:val="auto"/>
          <w:sz w:val="24"/>
          <w:highlight w:val="none"/>
        </w:rPr>
      </w:pPr>
    </w:p>
    <w:p w14:paraId="5B0A6D54">
      <w:pPr>
        <w:widowControl/>
        <w:tabs>
          <w:tab w:val="left" w:pos="4200"/>
        </w:tabs>
        <w:spacing w:before="158" w:beforeLines="50" w:line="400" w:lineRule="exact"/>
        <w:jc w:val="center"/>
        <w:rPr>
          <w:rFonts w:ascii="宋体" w:hAnsi="宋体" w:cs="宋体"/>
          <w:color w:val="auto"/>
          <w:sz w:val="24"/>
          <w:highlight w:val="none"/>
        </w:rPr>
      </w:pPr>
    </w:p>
    <w:p w14:paraId="2DFEA26F">
      <w:pPr>
        <w:widowControl/>
        <w:tabs>
          <w:tab w:val="left" w:pos="4200"/>
        </w:tabs>
        <w:spacing w:before="158" w:beforeLines="50" w:line="400" w:lineRule="exact"/>
        <w:jc w:val="center"/>
        <w:rPr>
          <w:rFonts w:ascii="宋体" w:hAnsi="宋体" w:cs="宋体"/>
          <w:color w:val="auto"/>
          <w:sz w:val="24"/>
          <w:highlight w:val="none"/>
        </w:rPr>
      </w:pPr>
    </w:p>
    <w:p w14:paraId="0DD0F7BF">
      <w:pPr>
        <w:widowControl/>
        <w:tabs>
          <w:tab w:val="left" w:pos="4200"/>
        </w:tabs>
        <w:spacing w:before="158" w:beforeLines="50" w:line="400" w:lineRule="exact"/>
        <w:jc w:val="center"/>
        <w:rPr>
          <w:rFonts w:ascii="宋体" w:hAnsi="宋体" w:cs="宋体"/>
          <w:color w:val="auto"/>
          <w:sz w:val="24"/>
          <w:highlight w:val="none"/>
        </w:rPr>
      </w:pPr>
    </w:p>
    <w:p w14:paraId="4A6F5AD3">
      <w:pPr>
        <w:widowControl/>
        <w:tabs>
          <w:tab w:val="left" w:pos="4200"/>
        </w:tabs>
        <w:spacing w:before="158" w:beforeLines="50" w:line="400" w:lineRule="exact"/>
        <w:jc w:val="center"/>
        <w:rPr>
          <w:rFonts w:ascii="宋体" w:hAnsi="宋体" w:cs="宋体"/>
          <w:color w:val="auto"/>
          <w:sz w:val="24"/>
          <w:highlight w:val="none"/>
        </w:rPr>
      </w:pPr>
    </w:p>
    <w:p w14:paraId="02B22BB7">
      <w:pPr>
        <w:widowControl/>
        <w:tabs>
          <w:tab w:val="left" w:pos="4200"/>
        </w:tabs>
        <w:spacing w:before="158" w:beforeLines="50" w:line="400" w:lineRule="exact"/>
        <w:jc w:val="center"/>
        <w:rPr>
          <w:rFonts w:ascii="宋体" w:hAnsi="宋体" w:cs="宋体"/>
          <w:color w:val="auto"/>
          <w:sz w:val="24"/>
          <w:highlight w:val="none"/>
        </w:rPr>
      </w:pPr>
    </w:p>
    <w:p w14:paraId="2C5483E0">
      <w:pPr>
        <w:widowControl/>
        <w:tabs>
          <w:tab w:val="left" w:pos="4200"/>
        </w:tabs>
        <w:spacing w:before="158" w:beforeLines="50" w:line="400" w:lineRule="exact"/>
        <w:jc w:val="center"/>
        <w:rPr>
          <w:rFonts w:ascii="宋体" w:hAnsi="宋体" w:cs="宋体"/>
          <w:color w:val="auto"/>
          <w:sz w:val="24"/>
          <w:highlight w:val="none"/>
        </w:rPr>
      </w:pPr>
    </w:p>
    <w:p w14:paraId="44F284C8">
      <w:pPr>
        <w:widowControl/>
        <w:tabs>
          <w:tab w:val="left" w:pos="4200"/>
        </w:tabs>
        <w:spacing w:before="158" w:beforeLines="50" w:line="400" w:lineRule="exact"/>
        <w:jc w:val="center"/>
        <w:rPr>
          <w:rFonts w:ascii="宋体" w:hAnsi="宋体" w:cs="宋体"/>
          <w:color w:val="auto"/>
          <w:sz w:val="24"/>
          <w:highlight w:val="none"/>
        </w:rPr>
      </w:pPr>
    </w:p>
    <w:p w14:paraId="196D988D">
      <w:pPr>
        <w:widowControl/>
        <w:tabs>
          <w:tab w:val="left" w:pos="4200"/>
        </w:tabs>
        <w:spacing w:before="158" w:beforeLines="50" w:line="400" w:lineRule="exact"/>
        <w:jc w:val="center"/>
        <w:rPr>
          <w:rFonts w:ascii="宋体" w:hAnsi="宋体" w:cs="宋体"/>
          <w:color w:val="auto"/>
          <w:sz w:val="24"/>
          <w:highlight w:val="none"/>
        </w:rPr>
      </w:pPr>
    </w:p>
    <w:p w14:paraId="0DA434E8">
      <w:pPr>
        <w:widowControl/>
        <w:tabs>
          <w:tab w:val="left" w:pos="4200"/>
        </w:tabs>
        <w:spacing w:before="158" w:beforeLines="50" w:line="400" w:lineRule="exact"/>
        <w:jc w:val="center"/>
        <w:rPr>
          <w:rFonts w:ascii="宋体" w:hAnsi="宋体" w:cs="宋体"/>
          <w:color w:val="auto"/>
          <w:sz w:val="24"/>
          <w:highlight w:val="none"/>
        </w:rPr>
      </w:pPr>
    </w:p>
    <w:p w14:paraId="24F49CA6">
      <w:pPr>
        <w:widowControl/>
        <w:tabs>
          <w:tab w:val="left" w:pos="4200"/>
        </w:tabs>
        <w:spacing w:before="158" w:beforeLines="50" w:line="400" w:lineRule="exact"/>
        <w:jc w:val="center"/>
        <w:rPr>
          <w:rFonts w:ascii="宋体" w:hAnsi="宋体" w:cs="宋体"/>
          <w:color w:val="auto"/>
          <w:sz w:val="24"/>
          <w:highlight w:val="none"/>
        </w:rPr>
      </w:pPr>
    </w:p>
    <w:p w14:paraId="75FE1A80">
      <w:pPr>
        <w:spacing w:before="82" w:line="300" w:lineRule="auto"/>
        <w:ind w:left="472"/>
        <w:jc w:val="center"/>
        <w:rPr>
          <w:rFonts w:ascii="黑体" w:eastAsia="黑体"/>
          <w:color w:val="auto"/>
          <w:highlight w:val="none"/>
        </w:rPr>
      </w:pPr>
    </w:p>
    <w:p w14:paraId="5BAD0D74">
      <w:pPr>
        <w:spacing w:before="82" w:line="300" w:lineRule="auto"/>
        <w:ind w:left="472"/>
        <w:jc w:val="center"/>
        <w:rPr>
          <w:rFonts w:ascii="黑体" w:eastAsia="黑体"/>
          <w:color w:val="auto"/>
          <w:highlight w:val="none"/>
        </w:rPr>
      </w:pPr>
    </w:p>
    <w:p w14:paraId="73EE6282">
      <w:pPr>
        <w:spacing w:before="82" w:line="300" w:lineRule="auto"/>
        <w:ind w:left="472"/>
        <w:jc w:val="center"/>
        <w:rPr>
          <w:rFonts w:ascii="黑体" w:eastAsia="黑体"/>
          <w:color w:val="auto"/>
          <w:highlight w:val="none"/>
        </w:rPr>
      </w:pPr>
    </w:p>
    <w:p w14:paraId="07A72E3A">
      <w:pPr>
        <w:spacing w:before="82" w:line="300" w:lineRule="auto"/>
        <w:ind w:left="472"/>
        <w:jc w:val="center"/>
        <w:rPr>
          <w:rFonts w:ascii="黑体" w:eastAsia="黑体"/>
          <w:color w:val="auto"/>
          <w:highlight w:val="none"/>
        </w:rPr>
      </w:pPr>
    </w:p>
    <w:p w14:paraId="222E34A2">
      <w:pPr>
        <w:spacing w:before="82" w:line="300" w:lineRule="auto"/>
        <w:rPr>
          <w:rFonts w:ascii="黑体" w:eastAsia="黑体"/>
          <w:color w:val="auto"/>
          <w:highlight w:val="none"/>
        </w:rPr>
      </w:pPr>
    </w:p>
    <w:bookmarkEnd w:id="954"/>
    <w:bookmarkEnd w:id="955"/>
    <w:bookmarkEnd w:id="956"/>
    <w:bookmarkEnd w:id="957"/>
    <w:bookmarkEnd w:id="958"/>
    <w:p w14:paraId="728A8035">
      <w:pPr>
        <w:spacing w:line="360" w:lineRule="auto"/>
        <w:rPr>
          <w:rFonts w:ascii="宋体" w:hAnsi="宋体"/>
          <w:b/>
          <w:color w:val="auto"/>
          <w:szCs w:val="21"/>
          <w:highlight w:val="none"/>
        </w:rPr>
      </w:pPr>
      <w:r>
        <w:rPr>
          <w:rFonts w:ascii="宋体" w:hAnsi="宋体"/>
          <w:color w:val="auto"/>
          <w:highlight w:val="none"/>
        </w:rPr>
        <w:br w:type="page"/>
      </w:r>
    </w:p>
    <w:p w14:paraId="48574CF3">
      <w:pPr>
        <w:tabs>
          <w:tab w:val="left" w:pos="4200"/>
        </w:tabs>
        <w:spacing w:line="400" w:lineRule="exact"/>
        <w:rPr>
          <w:rFonts w:ascii="宋体" w:hAnsi="宋体"/>
          <w:color w:val="auto"/>
          <w:highlight w:val="none"/>
        </w:rPr>
      </w:pPr>
    </w:p>
    <w:p w14:paraId="1EF187B3">
      <w:pPr>
        <w:tabs>
          <w:tab w:val="left" w:pos="4200"/>
        </w:tabs>
        <w:spacing w:line="400" w:lineRule="exact"/>
        <w:rPr>
          <w:rFonts w:ascii="宋体" w:hAnsi="宋体"/>
          <w:color w:val="auto"/>
          <w:highlight w:val="none"/>
        </w:rPr>
      </w:pPr>
    </w:p>
    <w:p w14:paraId="4E2933D7">
      <w:pPr>
        <w:tabs>
          <w:tab w:val="left" w:pos="4200"/>
        </w:tabs>
        <w:spacing w:line="400" w:lineRule="exact"/>
        <w:rPr>
          <w:rFonts w:ascii="宋体" w:hAnsi="宋体"/>
          <w:color w:val="auto"/>
          <w:highlight w:val="none"/>
        </w:rPr>
      </w:pPr>
    </w:p>
    <w:p w14:paraId="6B0481D1">
      <w:pPr>
        <w:tabs>
          <w:tab w:val="left" w:pos="4200"/>
        </w:tabs>
        <w:spacing w:line="400" w:lineRule="exact"/>
        <w:rPr>
          <w:rFonts w:ascii="宋体" w:hAnsi="宋体"/>
          <w:color w:val="auto"/>
          <w:highlight w:val="none"/>
        </w:rPr>
      </w:pPr>
    </w:p>
    <w:p w14:paraId="466374AD">
      <w:pPr>
        <w:pStyle w:val="3"/>
        <w:numPr>
          <w:ilvl w:val="0"/>
          <w:numId w:val="9"/>
        </w:numPr>
        <w:wordWrap w:val="0"/>
        <w:spacing w:before="400" w:after="400" w:line="240" w:lineRule="auto"/>
        <w:rPr>
          <w:rFonts w:ascii="黑体" w:hAnsi="黑体" w:eastAsia="黑体" w:cs="宋体"/>
          <w:color w:val="auto"/>
          <w:kern w:val="1"/>
          <w:sz w:val="44"/>
          <w:szCs w:val="44"/>
          <w:highlight w:val="none"/>
        </w:rPr>
      </w:pPr>
      <w:r>
        <w:rPr>
          <w:rFonts w:hint="eastAsia" w:ascii="黑体" w:hAnsi="黑体" w:eastAsia="黑体" w:cs="宋体"/>
          <w:color w:val="auto"/>
          <w:kern w:val="1"/>
          <w:sz w:val="44"/>
          <w:szCs w:val="44"/>
          <w:highlight w:val="none"/>
        </w:rPr>
        <w:t>定标方案</w:t>
      </w:r>
    </w:p>
    <w:p w14:paraId="05754668">
      <w:pPr>
        <w:rPr>
          <w:color w:val="auto"/>
          <w:highlight w:val="none"/>
        </w:rPr>
      </w:pPr>
    </w:p>
    <w:p w14:paraId="352266FF">
      <w:pPr>
        <w:rPr>
          <w:color w:val="auto"/>
          <w:highlight w:val="none"/>
        </w:rPr>
      </w:pPr>
    </w:p>
    <w:p w14:paraId="3627906F">
      <w:pPr>
        <w:rPr>
          <w:color w:val="auto"/>
          <w:highlight w:val="none"/>
        </w:rPr>
      </w:pPr>
    </w:p>
    <w:p w14:paraId="241373C8">
      <w:pPr>
        <w:rPr>
          <w:color w:val="auto"/>
          <w:highlight w:val="none"/>
        </w:rPr>
      </w:pPr>
    </w:p>
    <w:p w14:paraId="6C47E49F">
      <w:pPr>
        <w:rPr>
          <w:color w:val="auto"/>
          <w:highlight w:val="none"/>
        </w:rPr>
      </w:pPr>
    </w:p>
    <w:p w14:paraId="4167AD29">
      <w:pPr>
        <w:rPr>
          <w:color w:val="auto"/>
          <w:highlight w:val="none"/>
        </w:rPr>
      </w:pPr>
    </w:p>
    <w:p w14:paraId="58DA9DE3">
      <w:pPr>
        <w:rPr>
          <w:color w:val="auto"/>
          <w:highlight w:val="none"/>
        </w:rPr>
      </w:pPr>
    </w:p>
    <w:p w14:paraId="25C651FB">
      <w:pPr>
        <w:rPr>
          <w:color w:val="auto"/>
          <w:highlight w:val="none"/>
        </w:rPr>
      </w:pPr>
    </w:p>
    <w:p w14:paraId="312E084F">
      <w:pPr>
        <w:rPr>
          <w:color w:val="auto"/>
          <w:highlight w:val="none"/>
        </w:rPr>
      </w:pPr>
    </w:p>
    <w:p w14:paraId="2B1902B0">
      <w:pPr>
        <w:rPr>
          <w:color w:val="auto"/>
          <w:highlight w:val="none"/>
        </w:rPr>
      </w:pPr>
    </w:p>
    <w:p w14:paraId="687692BA">
      <w:pPr>
        <w:rPr>
          <w:color w:val="auto"/>
          <w:highlight w:val="none"/>
        </w:rPr>
      </w:pPr>
    </w:p>
    <w:p w14:paraId="3F6AFBFB">
      <w:pPr>
        <w:rPr>
          <w:color w:val="auto"/>
          <w:highlight w:val="none"/>
        </w:rPr>
      </w:pPr>
    </w:p>
    <w:p w14:paraId="6EF59335">
      <w:pPr>
        <w:rPr>
          <w:color w:val="auto"/>
          <w:highlight w:val="none"/>
        </w:rPr>
      </w:pPr>
    </w:p>
    <w:p w14:paraId="236DBF9F">
      <w:pPr>
        <w:rPr>
          <w:color w:val="auto"/>
          <w:highlight w:val="none"/>
        </w:rPr>
      </w:pPr>
    </w:p>
    <w:p w14:paraId="1A04A382">
      <w:pPr>
        <w:rPr>
          <w:color w:val="auto"/>
          <w:highlight w:val="none"/>
        </w:rPr>
      </w:pPr>
    </w:p>
    <w:p w14:paraId="5C2F360E">
      <w:pPr>
        <w:rPr>
          <w:color w:val="auto"/>
          <w:highlight w:val="none"/>
        </w:rPr>
      </w:pPr>
    </w:p>
    <w:p w14:paraId="41C8E051">
      <w:pPr>
        <w:rPr>
          <w:color w:val="auto"/>
          <w:highlight w:val="none"/>
        </w:rPr>
      </w:pPr>
    </w:p>
    <w:p w14:paraId="4BC683B0">
      <w:pPr>
        <w:rPr>
          <w:color w:val="auto"/>
          <w:highlight w:val="none"/>
        </w:rPr>
      </w:pPr>
    </w:p>
    <w:p w14:paraId="01538889">
      <w:pPr>
        <w:rPr>
          <w:color w:val="auto"/>
          <w:highlight w:val="none"/>
        </w:rPr>
      </w:pPr>
    </w:p>
    <w:p w14:paraId="338A9753">
      <w:pPr>
        <w:rPr>
          <w:color w:val="auto"/>
          <w:highlight w:val="none"/>
        </w:rPr>
      </w:pPr>
    </w:p>
    <w:p w14:paraId="3C4DABCB">
      <w:pPr>
        <w:rPr>
          <w:color w:val="auto"/>
          <w:highlight w:val="none"/>
        </w:rPr>
      </w:pPr>
    </w:p>
    <w:p w14:paraId="05DFE60B">
      <w:pPr>
        <w:rPr>
          <w:color w:val="auto"/>
          <w:highlight w:val="none"/>
        </w:rPr>
      </w:pPr>
    </w:p>
    <w:p w14:paraId="026E115C">
      <w:pPr>
        <w:rPr>
          <w:color w:val="auto"/>
          <w:highlight w:val="none"/>
        </w:rPr>
      </w:pPr>
    </w:p>
    <w:p w14:paraId="681599EF">
      <w:pPr>
        <w:rPr>
          <w:color w:val="auto"/>
          <w:highlight w:val="none"/>
        </w:rPr>
      </w:pPr>
    </w:p>
    <w:p w14:paraId="220F282F">
      <w:pPr>
        <w:rPr>
          <w:color w:val="auto"/>
          <w:highlight w:val="none"/>
        </w:rPr>
      </w:pPr>
    </w:p>
    <w:p w14:paraId="32BD9CFE">
      <w:pPr>
        <w:rPr>
          <w:color w:val="auto"/>
          <w:highlight w:val="none"/>
        </w:rPr>
      </w:pPr>
    </w:p>
    <w:p w14:paraId="230440F3">
      <w:pPr>
        <w:rPr>
          <w:color w:val="auto"/>
          <w:highlight w:val="none"/>
        </w:rPr>
      </w:pPr>
    </w:p>
    <w:p w14:paraId="564A93F2">
      <w:pPr>
        <w:rPr>
          <w:color w:val="auto"/>
          <w:highlight w:val="none"/>
        </w:rPr>
      </w:pPr>
    </w:p>
    <w:p w14:paraId="33DAA92B">
      <w:pPr>
        <w:rPr>
          <w:color w:val="auto"/>
          <w:highlight w:val="none"/>
        </w:rPr>
      </w:pPr>
    </w:p>
    <w:p w14:paraId="2C302B69">
      <w:pPr>
        <w:rPr>
          <w:color w:val="auto"/>
          <w:highlight w:val="none"/>
        </w:rPr>
      </w:pPr>
    </w:p>
    <w:p w14:paraId="4ABC42FF">
      <w:pPr>
        <w:rPr>
          <w:color w:val="auto"/>
          <w:highlight w:val="none"/>
        </w:rPr>
      </w:pPr>
    </w:p>
    <w:p w14:paraId="1591822B">
      <w:pPr>
        <w:rPr>
          <w:color w:val="auto"/>
          <w:highlight w:val="none"/>
        </w:rPr>
        <w:sectPr>
          <w:pgSz w:w="11905" w:h="16838"/>
          <w:pgMar w:top="1440" w:right="1417" w:bottom="1440" w:left="1417" w:header="850" w:footer="992" w:gutter="0"/>
          <w:cols w:space="720" w:num="1"/>
          <w:docGrid w:type="lines" w:linePitch="317" w:charSpace="0"/>
        </w:sectPr>
      </w:pPr>
    </w:p>
    <w:p w14:paraId="1AFA5EF2">
      <w:pPr>
        <w:pStyle w:val="3"/>
        <w:spacing w:after="240"/>
        <w:rPr>
          <w:color w:val="auto"/>
          <w:sz w:val="32"/>
          <w:highlight w:val="none"/>
          <w:lang w:bidi="zh-CN"/>
        </w:rPr>
      </w:pPr>
      <w:r>
        <w:rPr>
          <w:rFonts w:hint="eastAsia"/>
          <w:color w:val="auto"/>
          <w:sz w:val="32"/>
          <w:highlight w:val="none"/>
          <w:lang w:bidi="zh-CN"/>
        </w:rPr>
        <w:t>第四章 定标方案</w:t>
      </w:r>
    </w:p>
    <w:p w14:paraId="20910318">
      <w:pPr>
        <w:pStyle w:val="4"/>
        <w:spacing w:after="120"/>
        <w:rPr>
          <w:color w:val="auto"/>
          <w:sz w:val="21"/>
          <w:szCs w:val="21"/>
          <w:highlight w:val="none"/>
        </w:rPr>
      </w:pPr>
      <w:bookmarkStart w:id="959" w:name="_Toc5771"/>
      <w:bookmarkStart w:id="960" w:name="_Toc61877311"/>
      <w:bookmarkStart w:id="961" w:name="_Toc52112968"/>
      <w:bookmarkStart w:id="962" w:name="_Toc27350"/>
      <w:bookmarkStart w:id="963" w:name="_Toc12143"/>
      <w:bookmarkStart w:id="964" w:name="_Toc15158"/>
      <w:bookmarkStart w:id="965" w:name="_Toc17250"/>
      <w:r>
        <w:rPr>
          <w:rFonts w:hint="eastAsia"/>
          <w:color w:val="auto"/>
          <w:sz w:val="21"/>
          <w:szCs w:val="21"/>
          <w:highlight w:val="none"/>
        </w:rPr>
        <w:t>定标方案前附表</w:t>
      </w:r>
      <w:bookmarkEnd w:id="959"/>
      <w:bookmarkEnd w:id="960"/>
      <w:bookmarkEnd w:id="961"/>
      <w:bookmarkEnd w:id="962"/>
      <w:bookmarkEnd w:id="963"/>
      <w:bookmarkEnd w:id="964"/>
      <w:bookmarkEnd w:id="965"/>
      <w:r>
        <w:rPr>
          <w:rStyle w:val="48"/>
          <w:rFonts w:hint="eastAsia"/>
          <w:color w:val="auto"/>
          <w:sz w:val="21"/>
          <w:szCs w:val="21"/>
          <w:highlight w:val="none"/>
        </w:rPr>
        <w:footnoteReference w:id="8"/>
      </w:r>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10"/>
        <w:gridCol w:w="2097"/>
        <w:gridCol w:w="3373"/>
        <w:gridCol w:w="3654"/>
        <w:gridCol w:w="1681"/>
      </w:tblGrid>
      <w:tr w14:paraId="58E79B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79" w:hRule="atLeast"/>
        </w:trPr>
        <w:tc>
          <w:tcPr>
            <w:tcW w:w="684" w:type="dxa"/>
            <w:tcBorders>
              <w:bottom w:val="single" w:color="auto" w:sz="4" w:space="0"/>
            </w:tcBorders>
            <w:vAlign w:val="center"/>
          </w:tcPr>
          <w:p w14:paraId="0F810558">
            <w:pPr>
              <w:spacing w:line="300" w:lineRule="auto"/>
              <w:jc w:val="center"/>
              <w:rPr>
                <w:rFonts w:cs="宋体"/>
                <w:b/>
                <w:color w:val="auto"/>
                <w:kern w:val="1"/>
                <w:szCs w:val="21"/>
                <w:highlight w:val="none"/>
              </w:rPr>
            </w:pPr>
            <w:r>
              <w:rPr>
                <w:rFonts w:hint="eastAsia" w:cs="宋体"/>
                <w:b/>
                <w:color w:val="auto"/>
                <w:kern w:val="1"/>
                <w:szCs w:val="21"/>
                <w:highlight w:val="none"/>
              </w:rPr>
              <w:t>项</w:t>
            </w:r>
            <w:r>
              <w:rPr>
                <w:rFonts w:cs="宋体"/>
                <w:b/>
                <w:color w:val="auto"/>
                <w:kern w:val="1"/>
                <w:szCs w:val="21"/>
                <w:highlight w:val="none"/>
              </w:rPr>
              <w:t>号</w:t>
            </w:r>
          </w:p>
        </w:tc>
        <w:tc>
          <w:tcPr>
            <w:tcW w:w="905" w:type="dxa"/>
            <w:tcBorders>
              <w:bottom w:val="single" w:color="auto" w:sz="4" w:space="0"/>
            </w:tcBorders>
            <w:vAlign w:val="center"/>
          </w:tcPr>
          <w:p w14:paraId="2635D9AD">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3607" w:type="dxa"/>
            <w:gridSpan w:val="2"/>
            <w:tcBorders>
              <w:bottom w:val="single" w:color="auto" w:sz="4" w:space="0"/>
              <w:right w:val="single" w:color="auto" w:sz="4" w:space="0"/>
            </w:tcBorders>
            <w:vAlign w:val="center"/>
          </w:tcPr>
          <w:p w14:paraId="52F12C14">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定标要素</w:t>
            </w:r>
          </w:p>
        </w:tc>
        <w:tc>
          <w:tcPr>
            <w:tcW w:w="8708" w:type="dxa"/>
            <w:gridSpan w:val="3"/>
            <w:tcBorders>
              <w:left w:val="single" w:color="auto" w:sz="4" w:space="0"/>
            </w:tcBorders>
            <w:vAlign w:val="center"/>
          </w:tcPr>
          <w:p w14:paraId="09F2AB0D">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评审标准及权重</w:t>
            </w:r>
            <w:r>
              <w:rPr>
                <w:rStyle w:val="48"/>
                <w:rFonts w:hint="eastAsia" w:cs="宋体"/>
                <w:b/>
                <w:color w:val="auto"/>
                <w:kern w:val="1"/>
                <w:szCs w:val="21"/>
                <w:highlight w:val="none"/>
              </w:rPr>
              <w:footnoteReference w:id="9"/>
            </w:r>
          </w:p>
        </w:tc>
      </w:tr>
      <w:tr w14:paraId="3675954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14:paraId="733FE1F1">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1</w:t>
            </w:r>
          </w:p>
        </w:tc>
        <w:tc>
          <w:tcPr>
            <w:tcW w:w="905" w:type="dxa"/>
            <w:vMerge w:val="restart"/>
            <w:vAlign w:val="center"/>
          </w:tcPr>
          <w:p w14:paraId="3123490F">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vMerge w:val="restart"/>
            <w:vAlign w:val="center"/>
          </w:tcPr>
          <w:p w14:paraId="1D585090">
            <w:pPr>
              <w:autoSpaceDE w:val="0"/>
              <w:autoSpaceDN w:val="0"/>
              <w:spacing w:line="300" w:lineRule="auto"/>
              <w:jc w:val="center"/>
              <w:rPr>
                <w:color w:val="auto"/>
                <w:szCs w:val="21"/>
                <w:highlight w:val="none"/>
              </w:rPr>
            </w:pPr>
            <w:r>
              <w:rPr>
                <w:rFonts w:hint="eastAsia" w:cs="宋体"/>
                <w:color w:val="auto"/>
                <w:kern w:val="1"/>
                <w:szCs w:val="21"/>
                <w:highlight w:val="none"/>
              </w:rPr>
              <w:t>信用</w:t>
            </w:r>
            <w:r>
              <w:rPr>
                <w:rFonts w:cs="宋体"/>
                <w:color w:val="auto"/>
                <w:kern w:val="1"/>
                <w:szCs w:val="21"/>
                <w:highlight w:val="none"/>
              </w:rPr>
              <w:t>要素</w:t>
            </w:r>
            <w:r>
              <w:rPr>
                <w:rStyle w:val="48"/>
                <w:rFonts w:cs="宋体"/>
                <w:color w:val="auto"/>
                <w:kern w:val="1"/>
                <w:szCs w:val="21"/>
                <w:highlight w:val="none"/>
              </w:rPr>
              <w:footnoteReference w:id="10"/>
            </w:r>
          </w:p>
        </w:tc>
        <w:tc>
          <w:tcPr>
            <w:tcW w:w="2097" w:type="dxa"/>
            <w:tcBorders>
              <w:bottom w:val="single" w:color="auto" w:sz="4" w:space="0"/>
              <w:right w:val="single" w:color="auto" w:sz="4" w:space="0"/>
            </w:tcBorders>
            <w:vAlign w:val="center"/>
          </w:tcPr>
          <w:p w14:paraId="1FA6A556">
            <w:pPr>
              <w:autoSpaceDE w:val="0"/>
              <w:autoSpaceDN w:val="0"/>
              <w:spacing w:line="360" w:lineRule="auto"/>
              <w:jc w:val="center"/>
              <w:rPr>
                <w:color w:val="auto"/>
                <w:szCs w:val="21"/>
                <w:highlight w:val="none"/>
              </w:rPr>
            </w:pPr>
            <w:r>
              <w:rPr>
                <w:rFonts w:hint="eastAsia"/>
                <w:color w:val="auto"/>
                <w:szCs w:val="21"/>
                <w:highlight w:val="none"/>
              </w:rPr>
              <w:t>子要素内容</w:t>
            </w:r>
          </w:p>
        </w:tc>
        <w:tc>
          <w:tcPr>
            <w:tcW w:w="3373" w:type="dxa"/>
            <w:tcBorders>
              <w:left w:val="single" w:color="auto" w:sz="4" w:space="0"/>
              <w:bottom w:val="single" w:color="auto" w:sz="4" w:space="0"/>
              <w:right w:val="single" w:color="auto" w:sz="4" w:space="0"/>
            </w:tcBorders>
            <w:vAlign w:val="center"/>
          </w:tcPr>
          <w:p w14:paraId="5BF0A232">
            <w:pPr>
              <w:autoSpaceDE w:val="0"/>
              <w:autoSpaceDN w:val="0"/>
              <w:spacing w:line="360" w:lineRule="auto"/>
              <w:jc w:val="center"/>
              <w:rPr>
                <w:color w:val="auto"/>
                <w:szCs w:val="21"/>
                <w:highlight w:val="none"/>
              </w:rPr>
            </w:pPr>
            <w:r>
              <w:rPr>
                <w:rFonts w:hint="eastAsia"/>
                <w:color w:val="auto"/>
                <w:szCs w:val="21"/>
                <w:highlight w:val="none"/>
              </w:rPr>
              <w:t>证明材料要求</w:t>
            </w:r>
          </w:p>
        </w:tc>
        <w:tc>
          <w:tcPr>
            <w:tcW w:w="3654" w:type="dxa"/>
            <w:tcBorders>
              <w:left w:val="single" w:color="auto" w:sz="4" w:space="0"/>
              <w:bottom w:val="single" w:color="auto" w:sz="4" w:space="0"/>
              <w:right w:val="single" w:color="auto" w:sz="4" w:space="0"/>
            </w:tcBorders>
            <w:vAlign w:val="center"/>
          </w:tcPr>
          <w:p w14:paraId="1BF621EC">
            <w:pPr>
              <w:autoSpaceDE w:val="0"/>
              <w:autoSpaceDN w:val="0"/>
              <w:spacing w:line="360" w:lineRule="auto"/>
              <w:jc w:val="center"/>
              <w:rPr>
                <w:color w:val="auto"/>
                <w:szCs w:val="21"/>
                <w:highlight w:val="none"/>
              </w:rPr>
            </w:pPr>
            <w:r>
              <w:rPr>
                <w:rFonts w:hint="eastAsia"/>
                <w:color w:val="auto"/>
                <w:szCs w:val="21"/>
                <w:highlight w:val="none"/>
              </w:rPr>
              <w:t>评审标准</w:t>
            </w:r>
          </w:p>
        </w:tc>
        <w:tc>
          <w:tcPr>
            <w:tcW w:w="1681" w:type="dxa"/>
            <w:tcBorders>
              <w:left w:val="single" w:color="auto" w:sz="4" w:space="0"/>
              <w:bottom w:val="single" w:color="auto" w:sz="4" w:space="0"/>
            </w:tcBorders>
            <w:vAlign w:val="center"/>
          </w:tcPr>
          <w:p w14:paraId="29A47790">
            <w:pPr>
              <w:autoSpaceDE w:val="0"/>
              <w:autoSpaceDN w:val="0"/>
              <w:spacing w:line="360" w:lineRule="auto"/>
              <w:jc w:val="center"/>
              <w:rPr>
                <w:color w:val="auto"/>
                <w:szCs w:val="21"/>
                <w:highlight w:val="none"/>
              </w:rPr>
            </w:pPr>
            <w:r>
              <w:rPr>
                <w:rFonts w:hint="eastAsia"/>
                <w:color w:val="auto"/>
                <w:szCs w:val="21"/>
                <w:highlight w:val="none"/>
              </w:rPr>
              <w:t>权重</w:t>
            </w:r>
          </w:p>
        </w:tc>
      </w:tr>
      <w:tr w14:paraId="20E9043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81" w:hRule="atLeast"/>
        </w:trPr>
        <w:tc>
          <w:tcPr>
            <w:tcW w:w="684" w:type="dxa"/>
            <w:vMerge w:val="continue"/>
            <w:vAlign w:val="center"/>
          </w:tcPr>
          <w:p w14:paraId="3BC5F0DC">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446CD113">
            <w:pPr>
              <w:autoSpaceDE w:val="0"/>
              <w:autoSpaceDN w:val="0"/>
              <w:spacing w:line="300" w:lineRule="auto"/>
              <w:jc w:val="center"/>
              <w:rPr>
                <w:rFonts w:cs="宋体"/>
                <w:color w:val="auto"/>
                <w:kern w:val="1"/>
                <w:szCs w:val="21"/>
                <w:highlight w:val="none"/>
              </w:rPr>
            </w:pPr>
          </w:p>
        </w:tc>
        <w:tc>
          <w:tcPr>
            <w:tcW w:w="1510" w:type="dxa"/>
            <w:vMerge w:val="continue"/>
            <w:vAlign w:val="center"/>
          </w:tcPr>
          <w:p w14:paraId="02D84C8C">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14:paraId="7E01BF4D">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792CA3DF">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14:paraId="3BE03109">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14:paraId="447E943D">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14:paraId="59BB1BB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81" w:hRule="atLeast"/>
        </w:trPr>
        <w:tc>
          <w:tcPr>
            <w:tcW w:w="684" w:type="dxa"/>
            <w:vMerge w:val="continue"/>
            <w:vAlign w:val="center"/>
          </w:tcPr>
          <w:p w14:paraId="3CB0EACE">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5D335C03">
            <w:pPr>
              <w:autoSpaceDE w:val="0"/>
              <w:autoSpaceDN w:val="0"/>
              <w:spacing w:line="300" w:lineRule="auto"/>
              <w:jc w:val="center"/>
              <w:rPr>
                <w:rFonts w:cs="宋体"/>
                <w:color w:val="auto"/>
                <w:kern w:val="1"/>
                <w:szCs w:val="21"/>
                <w:highlight w:val="none"/>
              </w:rPr>
            </w:pPr>
          </w:p>
        </w:tc>
        <w:tc>
          <w:tcPr>
            <w:tcW w:w="1510" w:type="dxa"/>
            <w:vMerge w:val="continue"/>
            <w:vAlign w:val="center"/>
          </w:tcPr>
          <w:p w14:paraId="1A6F57EC">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14:paraId="4D1E9A45">
            <w:pPr>
              <w:autoSpaceDE w:val="0"/>
              <w:autoSpaceDN w:val="0"/>
              <w:spacing w:line="360" w:lineRule="auto"/>
              <w:jc w:val="center"/>
              <w:rPr>
                <w:color w:val="auto"/>
                <w:szCs w:val="21"/>
                <w:highlight w:val="none"/>
              </w:rPr>
            </w:pPr>
            <w:r>
              <w:rPr>
                <w:rFonts w:hint="eastAsia"/>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14:paraId="2B4F09E0">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14:paraId="1E3C6E6D">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14:paraId="7D9DC237">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14:paraId="691EE7F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vAlign w:val="center"/>
          </w:tcPr>
          <w:p w14:paraId="09E149F6">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2</w:t>
            </w:r>
          </w:p>
        </w:tc>
        <w:tc>
          <w:tcPr>
            <w:tcW w:w="905" w:type="dxa"/>
            <w:vMerge w:val="restart"/>
            <w:vAlign w:val="center"/>
          </w:tcPr>
          <w:p w14:paraId="640CEE51">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vMerge w:val="restart"/>
            <w:vAlign w:val="center"/>
          </w:tcPr>
          <w:p w14:paraId="7BDC4B7E">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实力要素</w:t>
            </w:r>
          </w:p>
        </w:tc>
        <w:tc>
          <w:tcPr>
            <w:tcW w:w="2097" w:type="dxa"/>
            <w:tcBorders>
              <w:bottom w:val="single" w:color="auto" w:sz="4" w:space="0"/>
              <w:right w:val="single" w:color="auto" w:sz="4" w:space="0"/>
            </w:tcBorders>
            <w:vAlign w:val="center"/>
          </w:tcPr>
          <w:p w14:paraId="0F2C5EB4">
            <w:pPr>
              <w:autoSpaceDE w:val="0"/>
              <w:autoSpaceDN w:val="0"/>
              <w:spacing w:line="360" w:lineRule="auto"/>
              <w:jc w:val="center"/>
              <w:rPr>
                <w:color w:val="auto"/>
                <w:szCs w:val="21"/>
                <w:highlight w:val="none"/>
              </w:rPr>
            </w:pPr>
            <w:r>
              <w:rPr>
                <w:rFonts w:hint="eastAsia"/>
                <w:color w:val="auto"/>
                <w:szCs w:val="21"/>
                <w:highlight w:val="none"/>
              </w:rPr>
              <w:t>子要素内容</w:t>
            </w:r>
          </w:p>
        </w:tc>
        <w:tc>
          <w:tcPr>
            <w:tcW w:w="3373" w:type="dxa"/>
            <w:tcBorders>
              <w:left w:val="single" w:color="auto" w:sz="4" w:space="0"/>
              <w:bottom w:val="single" w:color="auto" w:sz="4" w:space="0"/>
              <w:right w:val="single" w:color="auto" w:sz="4" w:space="0"/>
            </w:tcBorders>
            <w:vAlign w:val="center"/>
          </w:tcPr>
          <w:p w14:paraId="46376D5A">
            <w:pPr>
              <w:autoSpaceDE w:val="0"/>
              <w:autoSpaceDN w:val="0"/>
              <w:spacing w:line="360" w:lineRule="auto"/>
              <w:jc w:val="center"/>
              <w:rPr>
                <w:color w:val="auto"/>
                <w:szCs w:val="21"/>
                <w:highlight w:val="none"/>
              </w:rPr>
            </w:pPr>
            <w:r>
              <w:rPr>
                <w:rFonts w:hint="eastAsia"/>
                <w:color w:val="auto"/>
                <w:szCs w:val="21"/>
                <w:highlight w:val="none"/>
              </w:rPr>
              <w:t>证明材料要求</w:t>
            </w:r>
          </w:p>
        </w:tc>
        <w:tc>
          <w:tcPr>
            <w:tcW w:w="3654" w:type="dxa"/>
            <w:tcBorders>
              <w:left w:val="single" w:color="auto" w:sz="4" w:space="0"/>
              <w:bottom w:val="single" w:color="auto" w:sz="4" w:space="0"/>
              <w:right w:val="single" w:color="auto" w:sz="4" w:space="0"/>
            </w:tcBorders>
            <w:vAlign w:val="center"/>
          </w:tcPr>
          <w:p w14:paraId="191E8E79">
            <w:pPr>
              <w:autoSpaceDE w:val="0"/>
              <w:autoSpaceDN w:val="0"/>
              <w:spacing w:line="360" w:lineRule="auto"/>
              <w:jc w:val="center"/>
              <w:rPr>
                <w:color w:val="auto"/>
                <w:szCs w:val="21"/>
                <w:highlight w:val="none"/>
              </w:rPr>
            </w:pPr>
            <w:r>
              <w:rPr>
                <w:rFonts w:hint="eastAsia"/>
                <w:color w:val="auto"/>
                <w:szCs w:val="21"/>
                <w:highlight w:val="none"/>
              </w:rPr>
              <w:t>评审标准</w:t>
            </w:r>
          </w:p>
        </w:tc>
        <w:tc>
          <w:tcPr>
            <w:tcW w:w="1681" w:type="dxa"/>
            <w:tcBorders>
              <w:left w:val="single" w:color="auto" w:sz="4" w:space="0"/>
              <w:bottom w:val="single" w:color="auto" w:sz="4" w:space="0"/>
            </w:tcBorders>
            <w:vAlign w:val="center"/>
          </w:tcPr>
          <w:p w14:paraId="66B8930F">
            <w:pPr>
              <w:autoSpaceDE w:val="0"/>
              <w:autoSpaceDN w:val="0"/>
              <w:spacing w:line="360" w:lineRule="auto"/>
              <w:jc w:val="center"/>
              <w:rPr>
                <w:color w:val="auto"/>
                <w:szCs w:val="21"/>
                <w:highlight w:val="none"/>
              </w:rPr>
            </w:pPr>
            <w:r>
              <w:rPr>
                <w:rFonts w:hint="eastAsia"/>
                <w:color w:val="auto"/>
                <w:szCs w:val="21"/>
                <w:highlight w:val="none"/>
              </w:rPr>
              <w:t>权重</w:t>
            </w:r>
          </w:p>
        </w:tc>
      </w:tr>
      <w:tr w14:paraId="2765EC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6" w:hRule="atLeast"/>
        </w:trPr>
        <w:tc>
          <w:tcPr>
            <w:tcW w:w="684" w:type="dxa"/>
            <w:vMerge w:val="continue"/>
            <w:vAlign w:val="center"/>
          </w:tcPr>
          <w:p w14:paraId="03C449D0">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18C27662">
            <w:pPr>
              <w:autoSpaceDE w:val="0"/>
              <w:autoSpaceDN w:val="0"/>
              <w:spacing w:line="300" w:lineRule="auto"/>
              <w:jc w:val="center"/>
              <w:rPr>
                <w:rFonts w:cs="宋体"/>
                <w:color w:val="auto"/>
                <w:kern w:val="1"/>
                <w:szCs w:val="21"/>
                <w:highlight w:val="none"/>
              </w:rPr>
            </w:pPr>
          </w:p>
        </w:tc>
        <w:tc>
          <w:tcPr>
            <w:tcW w:w="1510" w:type="dxa"/>
            <w:vMerge w:val="continue"/>
            <w:vAlign w:val="center"/>
          </w:tcPr>
          <w:p w14:paraId="47B668D2">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14:paraId="699541C4">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5F78362C">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14:paraId="1494958A">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14:paraId="04025D71">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14:paraId="56788C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3" w:hRule="atLeast"/>
        </w:trPr>
        <w:tc>
          <w:tcPr>
            <w:tcW w:w="684" w:type="dxa"/>
            <w:vMerge w:val="continue"/>
            <w:vAlign w:val="center"/>
          </w:tcPr>
          <w:p w14:paraId="36A8A02B">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55AA89D5">
            <w:pPr>
              <w:autoSpaceDE w:val="0"/>
              <w:autoSpaceDN w:val="0"/>
              <w:spacing w:line="300" w:lineRule="auto"/>
              <w:jc w:val="center"/>
              <w:rPr>
                <w:rFonts w:cs="宋体"/>
                <w:color w:val="auto"/>
                <w:kern w:val="1"/>
                <w:szCs w:val="21"/>
                <w:highlight w:val="none"/>
              </w:rPr>
            </w:pPr>
          </w:p>
        </w:tc>
        <w:tc>
          <w:tcPr>
            <w:tcW w:w="1510" w:type="dxa"/>
            <w:vMerge w:val="continue"/>
            <w:vAlign w:val="center"/>
          </w:tcPr>
          <w:p w14:paraId="5E8F7E49">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14:paraId="72B42DB7">
            <w:pPr>
              <w:autoSpaceDE w:val="0"/>
              <w:autoSpaceDN w:val="0"/>
              <w:spacing w:line="360" w:lineRule="auto"/>
              <w:jc w:val="center"/>
              <w:rPr>
                <w:color w:val="auto"/>
                <w:szCs w:val="21"/>
                <w:highlight w:val="none"/>
              </w:rPr>
            </w:pPr>
          </w:p>
        </w:tc>
        <w:tc>
          <w:tcPr>
            <w:tcW w:w="3373" w:type="dxa"/>
            <w:tcBorders>
              <w:top w:val="single" w:color="auto" w:sz="4" w:space="0"/>
              <w:left w:val="single" w:color="auto" w:sz="4" w:space="0"/>
              <w:bottom w:val="single" w:color="auto" w:sz="4" w:space="0"/>
              <w:right w:val="single" w:color="auto" w:sz="4" w:space="0"/>
            </w:tcBorders>
            <w:vAlign w:val="center"/>
          </w:tcPr>
          <w:p w14:paraId="26867F66">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14:paraId="339B5574">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14:paraId="5920CC97">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14:paraId="531009A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31" w:hRule="atLeast"/>
        </w:trPr>
        <w:tc>
          <w:tcPr>
            <w:tcW w:w="684" w:type="dxa"/>
            <w:vMerge w:val="continue"/>
            <w:vAlign w:val="center"/>
          </w:tcPr>
          <w:p w14:paraId="44E9E7FF">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75D45FE7">
            <w:pPr>
              <w:autoSpaceDE w:val="0"/>
              <w:autoSpaceDN w:val="0"/>
              <w:spacing w:line="300" w:lineRule="auto"/>
              <w:jc w:val="center"/>
              <w:rPr>
                <w:rFonts w:cs="宋体"/>
                <w:color w:val="auto"/>
                <w:kern w:val="1"/>
                <w:szCs w:val="21"/>
                <w:highlight w:val="none"/>
              </w:rPr>
            </w:pPr>
          </w:p>
        </w:tc>
        <w:tc>
          <w:tcPr>
            <w:tcW w:w="1510" w:type="dxa"/>
            <w:vMerge w:val="continue"/>
            <w:vAlign w:val="center"/>
          </w:tcPr>
          <w:p w14:paraId="7D10E730">
            <w:pPr>
              <w:autoSpaceDE w:val="0"/>
              <w:autoSpaceDN w:val="0"/>
              <w:spacing w:line="300" w:lineRule="auto"/>
              <w:jc w:val="center"/>
              <w:rPr>
                <w:rFonts w:cs="宋体"/>
                <w:color w:val="auto"/>
                <w:kern w:val="1"/>
                <w:szCs w:val="21"/>
                <w:highlight w:val="none"/>
              </w:rPr>
            </w:pPr>
          </w:p>
        </w:tc>
        <w:tc>
          <w:tcPr>
            <w:tcW w:w="2097" w:type="dxa"/>
            <w:tcBorders>
              <w:top w:val="single" w:color="auto" w:sz="4" w:space="0"/>
              <w:bottom w:val="single" w:color="auto" w:sz="4" w:space="0"/>
              <w:right w:val="single" w:color="auto" w:sz="4" w:space="0"/>
            </w:tcBorders>
            <w:vAlign w:val="center"/>
          </w:tcPr>
          <w:p w14:paraId="34B939F4">
            <w:pPr>
              <w:autoSpaceDE w:val="0"/>
              <w:autoSpaceDN w:val="0"/>
              <w:spacing w:line="360" w:lineRule="auto"/>
              <w:jc w:val="center"/>
              <w:rPr>
                <w:color w:val="auto"/>
                <w:szCs w:val="21"/>
                <w:highlight w:val="none"/>
              </w:rPr>
            </w:pPr>
            <w:r>
              <w:rPr>
                <w:rFonts w:hint="eastAsia"/>
                <w:color w:val="auto"/>
                <w:szCs w:val="21"/>
                <w:highlight w:val="none"/>
              </w:rPr>
              <w:t>……</w:t>
            </w:r>
          </w:p>
        </w:tc>
        <w:tc>
          <w:tcPr>
            <w:tcW w:w="3373" w:type="dxa"/>
            <w:tcBorders>
              <w:top w:val="single" w:color="auto" w:sz="4" w:space="0"/>
              <w:left w:val="single" w:color="auto" w:sz="4" w:space="0"/>
              <w:bottom w:val="single" w:color="auto" w:sz="4" w:space="0"/>
              <w:right w:val="single" w:color="auto" w:sz="4" w:space="0"/>
            </w:tcBorders>
            <w:vAlign w:val="center"/>
          </w:tcPr>
          <w:p w14:paraId="1377F7DD">
            <w:pPr>
              <w:autoSpaceDE w:val="0"/>
              <w:autoSpaceDN w:val="0"/>
              <w:spacing w:line="360" w:lineRule="auto"/>
              <w:jc w:val="center"/>
              <w:rPr>
                <w:color w:val="auto"/>
                <w:szCs w:val="21"/>
                <w:highlight w:val="none"/>
              </w:rPr>
            </w:pPr>
          </w:p>
        </w:tc>
        <w:tc>
          <w:tcPr>
            <w:tcW w:w="3654" w:type="dxa"/>
            <w:tcBorders>
              <w:top w:val="single" w:color="auto" w:sz="4" w:space="0"/>
              <w:left w:val="single" w:color="auto" w:sz="4" w:space="0"/>
              <w:bottom w:val="single" w:color="auto" w:sz="4" w:space="0"/>
              <w:right w:val="single" w:color="auto" w:sz="4" w:space="0"/>
            </w:tcBorders>
            <w:vAlign w:val="center"/>
          </w:tcPr>
          <w:p w14:paraId="4A149E74">
            <w:pPr>
              <w:autoSpaceDE w:val="0"/>
              <w:autoSpaceDN w:val="0"/>
              <w:spacing w:line="360" w:lineRule="auto"/>
              <w:jc w:val="center"/>
              <w:rPr>
                <w:color w:val="auto"/>
                <w:szCs w:val="21"/>
                <w:highlight w:val="none"/>
              </w:rPr>
            </w:pPr>
          </w:p>
        </w:tc>
        <w:tc>
          <w:tcPr>
            <w:tcW w:w="1681" w:type="dxa"/>
            <w:tcBorders>
              <w:top w:val="single" w:color="auto" w:sz="4" w:space="0"/>
              <w:left w:val="single" w:color="auto" w:sz="4" w:space="0"/>
              <w:bottom w:val="single" w:color="auto" w:sz="4" w:space="0"/>
            </w:tcBorders>
            <w:vAlign w:val="center"/>
          </w:tcPr>
          <w:p w14:paraId="0F63576D">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w:t>
            </w:r>
          </w:p>
        </w:tc>
      </w:tr>
      <w:tr w14:paraId="4436D94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62" w:hRule="atLeast"/>
        </w:trPr>
        <w:tc>
          <w:tcPr>
            <w:tcW w:w="684" w:type="dxa"/>
            <w:vMerge w:val="continue"/>
            <w:tcBorders>
              <w:bottom w:val="single" w:color="auto" w:sz="4" w:space="0"/>
            </w:tcBorders>
            <w:vAlign w:val="center"/>
          </w:tcPr>
          <w:p w14:paraId="59A5756D">
            <w:pPr>
              <w:autoSpaceDE w:val="0"/>
              <w:autoSpaceDN w:val="0"/>
              <w:spacing w:line="300" w:lineRule="auto"/>
              <w:jc w:val="center"/>
              <w:rPr>
                <w:rFonts w:cs="宋体"/>
                <w:color w:val="auto"/>
                <w:kern w:val="1"/>
                <w:szCs w:val="21"/>
                <w:highlight w:val="none"/>
              </w:rPr>
            </w:pPr>
          </w:p>
        </w:tc>
        <w:tc>
          <w:tcPr>
            <w:tcW w:w="905" w:type="dxa"/>
            <w:vMerge w:val="continue"/>
            <w:tcBorders>
              <w:bottom w:val="single" w:color="auto" w:sz="4" w:space="0"/>
            </w:tcBorders>
            <w:vAlign w:val="center"/>
          </w:tcPr>
          <w:p w14:paraId="12386AC1">
            <w:pPr>
              <w:autoSpaceDE w:val="0"/>
              <w:autoSpaceDN w:val="0"/>
              <w:spacing w:line="300" w:lineRule="auto"/>
              <w:jc w:val="center"/>
              <w:rPr>
                <w:rFonts w:cs="宋体"/>
                <w:color w:val="auto"/>
                <w:kern w:val="1"/>
                <w:szCs w:val="21"/>
                <w:highlight w:val="none"/>
              </w:rPr>
            </w:pPr>
          </w:p>
        </w:tc>
        <w:tc>
          <w:tcPr>
            <w:tcW w:w="1510" w:type="dxa"/>
            <w:vMerge w:val="continue"/>
            <w:tcBorders>
              <w:bottom w:val="single" w:color="auto" w:sz="4" w:space="0"/>
            </w:tcBorders>
            <w:vAlign w:val="center"/>
          </w:tcPr>
          <w:p w14:paraId="19CF6AA5">
            <w:pPr>
              <w:autoSpaceDE w:val="0"/>
              <w:autoSpaceDN w:val="0"/>
              <w:spacing w:line="300" w:lineRule="auto"/>
              <w:jc w:val="center"/>
              <w:rPr>
                <w:rFonts w:cs="宋体"/>
                <w:color w:val="auto"/>
                <w:kern w:val="1"/>
                <w:szCs w:val="21"/>
                <w:highlight w:val="none"/>
              </w:rPr>
            </w:pPr>
          </w:p>
        </w:tc>
        <w:tc>
          <w:tcPr>
            <w:tcW w:w="2097" w:type="dxa"/>
            <w:tcBorders>
              <w:top w:val="single" w:color="auto" w:sz="4" w:space="0"/>
              <w:right w:val="single" w:color="auto" w:sz="4" w:space="0"/>
            </w:tcBorders>
            <w:vAlign w:val="center"/>
          </w:tcPr>
          <w:p w14:paraId="16B19204">
            <w:pPr>
              <w:pStyle w:val="98"/>
              <w:ind w:right="21" w:rightChars="10"/>
              <w:jc w:val="center"/>
              <w:rPr>
                <w:rFonts w:hAnsi="Calibri"/>
                <w:color w:val="auto"/>
                <w:szCs w:val="21"/>
                <w:highlight w:val="none"/>
                <w:lang w:val="en-US"/>
              </w:rPr>
            </w:pPr>
            <w:r>
              <w:rPr>
                <w:rFonts w:hint="eastAsia" w:cs="Times New Roman"/>
                <w:color w:val="auto"/>
                <w:kern w:val="0"/>
                <w:szCs w:val="21"/>
                <w:highlight w:val="none"/>
                <w:lang w:val="en-US" w:bidi="ar-SA"/>
              </w:rPr>
              <w:t>项目负责人陈述答辩</w:t>
            </w:r>
          </w:p>
        </w:tc>
        <w:tc>
          <w:tcPr>
            <w:tcW w:w="7027" w:type="dxa"/>
            <w:gridSpan w:val="2"/>
            <w:tcBorders>
              <w:top w:val="single" w:color="auto" w:sz="4" w:space="0"/>
              <w:left w:val="single" w:color="auto" w:sz="4" w:space="0"/>
              <w:right w:val="single" w:color="auto" w:sz="4" w:space="0"/>
            </w:tcBorders>
            <w:vAlign w:val="center"/>
          </w:tcPr>
          <w:p w14:paraId="76CC803B">
            <w:pPr>
              <w:pStyle w:val="99"/>
              <w:spacing w:line="300" w:lineRule="auto"/>
              <w:jc w:val="left"/>
              <w:rPr>
                <w:rFonts w:ascii="Calibri" w:hAnsi="Calibri" w:eastAsia="宋体" w:cs="Times New Roman"/>
                <w:color w:val="auto"/>
                <w:kern w:val="0"/>
                <w:sz w:val="21"/>
                <w:szCs w:val="21"/>
                <w:highlight w:val="none"/>
              </w:rPr>
            </w:pPr>
            <w:r>
              <w:rPr>
                <w:rFonts w:hint="eastAsia" w:ascii="Calibri" w:hAnsi="Calibri" w:eastAsia="宋体" w:cs="Times New Roman"/>
                <w:color w:val="auto"/>
                <w:kern w:val="0"/>
                <w:sz w:val="21"/>
                <w:szCs w:val="21"/>
                <w:highlight w:val="none"/>
                <w:lang w:val="zh-CN"/>
              </w:rPr>
              <w:t>□否；</w:t>
            </w:r>
          </w:p>
          <w:p w14:paraId="1507FE3C">
            <w:pPr>
              <w:pStyle w:val="98"/>
              <w:spacing w:line="300" w:lineRule="auto"/>
              <w:ind w:right="21" w:rightChars="10"/>
              <w:rPr>
                <w:rFonts w:ascii="Calibri" w:hAnsi="Calibri" w:cs="Times New Roman"/>
                <w:color w:val="auto"/>
                <w:kern w:val="0"/>
                <w:szCs w:val="21"/>
                <w:highlight w:val="none"/>
                <w:lang w:val="en-US" w:bidi="ar-SA"/>
              </w:rPr>
            </w:pPr>
            <w:r>
              <w:rPr>
                <w:rFonts w:hint="eastAsia" w:ascii="Calibri" w:hAnsi="Calibri" w:cs="Times New Roman"/>
                <w:color w:val="auto"/>
                <w:kern w:val="0"/>
                <w:szCs w:val="21"/>
                <w:highlight w:val="none"/>
                <w:lang w:val="en-US" w:bidi="ar-SA"/>
              </w:rPr>
              <w:t>□是：招标人选择</w:t>
            </w:r>
            <w:r>
              <w:rPr>
                <w:rFonts w:hint="eastAsia" w:cs="Times New Roman"/>
                <w:color w:val="auto"/>
                <w:kern w:val="0"/>
                <w:szCs w:val="21"/>
                <w:highlight w:val="none"/>
                <w:lang w:val="en-US" w:bidi="ar-SA"/>
              </w:rPr>
              <w:t>项目负责人陈述答辩</w:t>
            </w:r>
            <w:r>
              <w:rPr>
                <w:rFonts w:hint="eastAsia" w:ascii="Calibri" w:hAnsi="Calibri" w:cs="Times New Roman"/>
                <w:color w:val="auto"/>
                <w:kern w:val="0"/>
                <w:szCs w:val="21"/>
                <w:highlight w:val="none"/>
                <w:lang w:val="en-US" w:bidi="ar-SA"/>
              </w:rPr>
              <w:t>的，</w:t>
            </w:r>
            <w:r>
              <w:rPr>
                <w:rFonts w:hint="eastAsia" w:cs="Times New Roman"/>
                <w:color w:val="auto"/>
                <w:kern w:val="0"/>
                <w:szCs w:val="21"/>
                <w:highlight w:val="none"/>
                <w:lang w:val="en-US" w:bidi="ar-SA"/>
              </w:rPr>
              <w:t>有关</w:t>
            </w:r>
            <w:r>
              <w:rPr>
                <w:rFonts w:hint="eastAsia" w:ascii="Calibri" w:hAnsi="Calibri" w:cs="Times New Roman"/>
                <w:color w:val="auto"/>
                <w:kern w:val="0"/>
                <w:szCs w:val="21"/>
                <w:highlight w:val="none"/>
                <w:lang w:val="en-US" w:bidi="ar-SA"/>
              </w:rPr>
              <w:t>标准和程序执行定标方案附件“</w:t>
            </w:r>
            <w:r>
              <w:rPr>
                <w:rFonts w:hint="eastAsia" w:cs="Times New Roman"/>
                <w:color w:val="auto"/>
                <w:kern w:val="0"/>
                <w:szCs w:val="21"/>
                <w:highlight w:val="none"/>
                <w:lang w:val="en-US" w:bidi="ar-SA"/>
              </w:rPr>
              <w:t>项目负责人陈述答辩</w:t>
            </w:r>
            <w:r>
              <w:rPr>
                <w:rFonts w:hint="eastAsia" w:ascii="Calibri" w:hAnsi="Calibri" w:cs="Times New Roman"/>
                <w:color w:val="auto"/>
                <w:kern w:val="0"/>
                <w:szCs w:val="21"/>
                <w:highlight w:val="none"/>
                <w:lang w:val="en-US" w:bidi="ar-SA"/>
              </w:rPr>
              <w:t>工作方案”规定</w:t>
            </w:r>
            <w:r>
              <w:rPr>
                <w:rFonts w:hint="eastAsia" w:cs="Times New Roman"/>
                <w:color w:val="auto"/>
                <w:kern w:val="0"/>
                <w:szCs w:val="21"/>
                <w:highlight w:val="none"/>
                <w:lang w:val="en-US" w:bidi="ar-SA"/>
              </w:rPr>
              <w:t>。</w:t>
            </w:r>
          </w:p>
        </w:tc>
        <w:tc>
          <w:tcPr>
            <w:tcW w:w="1681" w:type="dxa"/>
            <w:tcBorders>
              <w:top w:val="single" w:color="auto" w:sz="4" w:space="0"/>
              <w:left w:val="single" w:color="auto" w:sz="4" w:space="0"/>
            </w:tcBorders>
            <w:vAlign w:val="center"/>
          </w:tcPr>
          <w:p w14:paraId="5FEBA950">
            <w:pPr>
              <w:autoSpaceDE w:val="0"/>
              <w:autoSpaceDN w:val="0"/>
              <w:spacing w:line="360" w:lineRule="auto"/>
              <w:jc w:val="center"/>
              <w:rPr>
                <w:color w:val="auto"/>
                <w:szCs w:val="21"/>
                <w:highlight w:val="none"/>
              </w:rPr>
            </w:pPr>
            <w:r>
              <w:rPr>
                <w:rFonts w:hint="eastAsia"/>
                <w:color w:val="auto"/>
                <w:szCs w:val="21"/>
                <w:highlight w:val="none"/>
                <w:u w:val="single"/>
              </w:rPr>
              <w:t xml:space="preserve">   </w:t>
            </w:r>
            <w:r>
              <w:rPr>
                <w:rFonts w:hint="eastAsia"/>
                <w:color w:val="auto"/>
                <w:szCs w:val="21"/>
                <w:highlight w:val="none"/>
              </w:rPr>
              <w:t>%，其中项目应急保证能力部分的陈述权重</w:t>
            </w:r>
            <w:r>
              <w:rPr>
                <w:rFonts w:hint="eastAsia"/>
                <w:color w:val="auto"/>
                <w:szCs w:val="21"/>
                <w:highlight w:val="none"/>
                <w:u w:val="single"/>
              </w:rPr>
              <w:t xml:space="preserve">   </w:t>
            </w:r>
            <w:r>
              <w:rPr>
                <w:rFonts w:hint="eastAsia"/>
                <w:color w:val="auto"/>
                <w:szCs w:val="21"/>
                <w:highlight w:val="none"/>
              </w:rPr>
              <w:t>%</w:t>
            </w:r>
          </w:p>
        </w:tc>
      </w:tr>
      <w:tr w14:paraId="5E3ABD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4" w:hRule="atLeast"/>
        </w:trPr>
        <w:tc>
          <w:tcPr>
            <w:tcW w:w="684" w:type="dxa"/>
            <w:tcBorders>
              <w:top w:val="single" w:color="auto" w:sz="4" w:space="0"/>
            </w:tcBorders>
            <w:vAlign w:val="center"/>
          </w:tcPr>
          <w:p w14:paraId="2C38BE3A">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w:t>
            </w:r>
          </w:p>
        </w:tc>
        <w:tc>
          <w:tcPr>
            <w:tcW w:w="905" w:type="dxa"/>
            <w:tcBorders>
              <w:top w:val="single" w:color="auto" w:sz="4" w:space="0"/>
            </w:tcBorders>
            <w:vAlign w:val="center"/>
          </w:tcPr>
          <w:p w14:paraId="49897FD1">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510" w:type="dxa"/>
            <w:tcBorders>
              <w:top w:val="single" w:color="auto" w:sz="4" w:space="0"/>
              <w:right w:val="single" w:color="auto" w:sz="4" w:space="0"/>
            </w:tcBorders>
            <w:vAlign w:val="center"/>
          </w:tcPr>
          <w:p w14:paraId="52F2BE0E">
            <w:pPr>
              <w:autoSpaceDE w:val="0"/>
              <w:autoSpaceDN w:val="0"/>
              <w:spacing w:line="360" w:lineRule="auto"/>
              <w:jc w:val="center"/>
              <w:rPr>
                <w:color w:val="auto"/>
                <w:szCs w:val="21"/>
                <w:highlight w:val="none"/>
              </w:rPr>
            </w:pPr>
            <w:r>
              <w:rPr>
                <w:rFonts w:hint="eastAsia" w:cs="宋体"/>
                <w:color w:val="auto"/>
                <w:kern w:val="1"/>
                <w:szCs w:val="21"/>
                <w:highlight w:val="none"/>
              </w:rPr>
              <w:t>报价要素</w:t>
            </w:r>
          </w:p>
        </w:tc>
        <w:tc>
          <w:tcPr>
            <w:tcW w:w="2097" w:type="dxa"/>
            <w:tcBorders>
              <w:top w:val="single" w:color="auto" w:sz="4" w:space="0"/>
              <w:left w:val="single" w:color="auto" w:sz="4" w:space="0"/>
              <w:right w:val="single" w:color="auto" w:sz="4" w:space="0"/>
            </w:tcBorders>
            <w:vAlign w:val="center"/>
          </w:tcPr>
          <w:p w14:paraId="6457E560">
            <w:pPr>
              <w:autoSpaceDE w:val="0"/>
              <w:autoSpaceDN w:val="0"/>
              <w:spacing w:line="360" w:lineRule="auto"/>
              <w:jc w:val="center"/>
              <w:rPr>
                <w:rFonts w:cs="宋体"/>
                <w:color w:val="auto"/>
                <w:kern w:val="1"/>
                <w:szCs w:val="21"/>
                <w:highlight w:val="none"/>
              </w:rPr>
            </w:pPr>
            <w:r>
              <w:rPr>
                <w:rFonts w:hint="eastAsia" w:cs="宋体"/>
                <w:color w:val="auto"/>
                <w:kern w:val="1"/>
                <w:szCs w:val="21"/>
                <w:highlight w:val="none"/>
              </w:rPr>
              <w:t>报价下浮率</w:t>
            </w:r>
          </w:p>
        </w:tc>
        <w:tc>
          <w:tcPr>
            <w:tcW w:w="7027" w:type="dxa"/>
            <w:gridSpan w:val="2"/>
            <w:tcBorders>
              <w:top w:val="single" w:color="auto" w:sz="4" w:space="0"/>
              <w:left w:val="single" w:color="auto" w:sz="4" w:space="0"/>
              <w:right w:val="single" w:color="auto" w:sz="4" w:space="0"/>
            </w:tcBorders>
            <w:vAlign w:val="center"/>
          </w:tcPr>
          <w:p w14:paraId="1ECF3848">
            <w:pPr>
              <w:widowControl/>
              <w:autoSpaceDE w:val="0"/>
              <w:autoSpaceDN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按照以下程序和标准计算</w:t>
            </w:r>
            <w:r>
              <w:rPr>
                <w:rFonts w:hint="eastAsia" w:cs="宋体"/>
                <w:color w:val="auto"/>
                <w:kern w:val="0"/>
                <w:szCs w:val="21"/>
                <w:highlight w:val="none"/>
              </w:rPr>
              <w:t>报价</w:t>
            </w:r>
            <w:r>
              <w:rPr>
                <w:rFonts w:hint="eastAsia" w:ascii="宋体" w:hAnsi="宋体" w:cs="宋体"/>
                <w:color w:val="auto"/>
                <w:kern w:val="0"/>
                <w:szCs w:val="21"/>
                <w:highlight w:val="none"/>
              </w:rPr>
              <w:t>下浮率得分：</w:t>
            </w:r>
          </w:p>
          <w:p w14:paraId="52D93F07">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1．随机抽取报价下浮率满分区间中值K </w:t>
            </w:r>
          </w:p>
          <w:p w14:paraId="082EC48A">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清标小组在清标工作开始时，在</w:t>
            </w:r>
            <w:r>
              <w:rPr>
                <w:rFonts w:hint="eastAsia" w:cs="宋体"/>
                <w:color w:val="auto"/>
                <w:kern w:val="0"/>
                <w:szCs w:val="21"/>
                <w:highlight w:val="none"/>
              </w:rPr>
              <w:t>定标方案附件“报价下浮率满分区间”所规定</w:t>
            </w:r>
            <w:r>
              <w:rPr>
                <w:rFonts w:hint="eastAsia" w:ascii="宋体" w:hAnsi="宋体" w:cs="宋体"/>
                <w:color w:val="auto"/>
                <w:kern w:val="0"/>
                <w:szCs w:val="21"/>
                <w:highlight w:val="none"/>
              </w:rPr>
              <w:t>的区间中随机抽取中值K。抽取方法如下：</w:t>
            </w:r>
          </w:p>
          <w:p w14:paraId="39B8968F">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分三次抽取K值，首先抽取整数位，其次抽取小数点后第一位，最后抽取小数点后第二位。抽取程序如下：</w:t>
            </w:r>
          </w:p>
          <w:p w14:paraId="6CF8AC1B">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 抽取整数位</w:t>
            </w:r>
          </w:p>
          <w:p w14:paraId="211E4943">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14:paraId="3C3CCC58">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14:paraId="393F341F">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（3）第一次抽取的号码球对应的数值为K值区间整数位最小值，第二次抽取的号码球对应的数值为K值整数位最小值+1，依次抽取号码球，直到产生K值整数位最大值的号码球；</w:t>
            </w:r>
          </w:p>
          <w:p w14:paraId="36D6028E">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（4）将整数位数字所代表的球号放入抽取机中抽取，抽取出的号码球代表整位数；</w:t>
            </w:r>
          </w:p>
          <w:p w14:paraId="5A2C6753">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 抽取小数点后第一位数值</w:t>
            </w:r>
          </w:p>
          <w:p w14:paraId="0CE99C9F">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14:paraId="477B304D">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14:paraId="4407F235">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（3）第一次抽取的号码球对应的数值为K值区间小数点后第一位最小值，第二次抽取的号码球对应的数值为K值小数点后第一位最小值+1，依次抽取号码球，直到产生K值小数点后第一位最大值的号码球；</w:t>
            </w:r>
          </w:p>
          <w:p w14:paraId="668843C1">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（4）将小数点后第一位所代表的球号放入抽取机中抽取，抽取出的号码球代表小数点后第一位；</w:t>
            </w:r>
          </w:p>
          <w:p w14:paraId="4853EBB1">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 抽取小数点后第二位数值</w:t>
            </w:r>
          </w:p>
          <w:p w14:paraId="195EF14A">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（1）向抽取机中任意放入30个不重复号码的号码球；</w:t>
            </w:r>
          </w:p>
          <w:p w14:paraId="1721FF4D">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（2）进行随机抽取；</w:t>
            </w:r>
          </w:p>
          <w:p w14:paraId="21EA0299">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（3）第一次抽取的号码球对应的数值为K值区间小数点后第二位最小值，第二次抽取的号码球对应的数值为K值小数点后第二位最小值+1，依次抽取号码球，直到产生K值小数点后第二位最大值的号码球；</w:t>
            </w:r>
          </w:p>
          <w:p w14:paraId="4D89D63F">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（4）将小数点后第二位所代表的球号放入抽取机中抽取，抽取出的号码球代表小数点后第二位。</w:t>
            </w:r>
          </w:p>
          <w:p w14:paraId="47EAA81B">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2.确定报价下浮率分档得分区间</w:t>
            </w:r>
          </w:p>
          <w:p w14:paraId="2BAD2739">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①下浮率满分区间：抽取的K值前后各0.5%范围（区间起点含起点本数，区间终点不含终点本数）为满分区间【例如：抽取报价满分区间中值K为7.78%，则K值前后各0.5%即〔</w:t>
            </w:r>
            <w:r>
              <w:rPr>
                <w:rFonts w:hint="eastAsia" w:cs="宋体"/>
                <w:color w:val="auto"/>
                <w:kern w:val="0"/>
                <w:szCs w:val="21"/>
                <w:highlight w:val="none"/>
              </w:rPr>
              <w:t>K-0.5</w:t>
            </w:r>
            <w:r>
              <w:rPr>
                <w:rFonts w:hint="eastAsia" w:ascii="宋体" w:hAnsi="宋体" w:cs="宋体"/>
                <w:color w:val="auto"/>
                <w:kern w:val="0"/>
                <w:szCs w:val="21"/>
                <w:highlight w:val="none"/>
              </w:rPr>
              <w:t>%（含）-</w:t>
            </w:r>
            <w:r>
              <w:rPr>
                <w:rFonts w:hint="eastAsia" w:cs="宋体"/>
                <w:color w:val="auto"/>
                <w:kern w:val="0"/>
                <w:szCs w:val="21"/>
                <w:highlight w:val="none"/>
              </w:rPr>
              <w:t xml:space="preserve"> K+0.5</w:t>
            </w:r>
            <w:r>
              <w:rPr>
                <w:rFonts w:hint="eastAsia" w:ascii="宋体" w:hAnsi="宋体" w:cs="宋体"/>
                <w:color w:val="auto"/>
                <w:kern w:val="0"/>
                <w:szCs w:val="21"/>
                <w:highlight w:val="none"/>
              </w:rPr>
              <w:t>%（不含）〕为满分区间】；</w:t>
            </w:r>
          </w:p>
          <w:p w14:paraId="49E0D914">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②第二档得分区间：下浮率满分区间前后各递增或递减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%为第二档得分区间【</w:t>
            </w:r>
            <w:r>
              <w:rPr>
                <w:rFonts w:hint="eastAsia" w:cs="宋体"/>
                <w:color w:val="auto"/>
                <w:kern w:val="0"/>
                <w:szCs w:val="21"/>
                <w:highlight w:val="none"/>
              </w:rPr>
              <w:t>以</w:t>
            </w:r>
            <w:r>
              <w:rPr>
                <w:rFonts w:hint="eastAsia" w:ascii="宋体" w:hAnsi="宋体" w:cs="宋体"/>
                <w:color w:val="auto"/>
                <w:kern w:val="0"/>
                <w:szCs w:val="21"/>
                <w:highlight w:val="none"/>
              </w:rPr>
              <w:t>各递增或递减</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为例，即</w:t>
            </w:r>
            <w:r>
              <w:rPr>
                <w:rFonts w:hint="eastAsia" w:ascii="宋体" w:hAnsi="宋体" w:cs="宋体"/>
                <w:color w:val="auto"/>
                <w:kern w:val="0"/>
                <w:szCs w:val="21"/>
                <w:highlight w:val="none"/>
              </w:rPr>
              <w:t>K-1.5%</w:t>
            </w:r>
            <w:r>
              <w:rPr>
                <w:rFonts w:hint="eastAsia" w:ascii="宋体" w:hAnsi="宋体" w:cs="宋体"/>
                <w:color w:val="auto"/>
                <w:szCs w:val="21"/>
                <w:highlight w:val="none"/>
              </w:rPr>
              <w:t>（含）</w:t>
            </w:r>
            <w:r>
              <w:rPr>
                <w:rFonts w:hint="eastAsia" w:ascii="宋体" w:hAnsi="宋体" w:cs="宋体"/>
                <w:color w:val="auto"/>
                <w:kern w:val="0"/>
                <w:szCs w:val="21"/>
                <w:highlight w:val="none"/>
              </w:rPr>
              <w:t>— K-0.5%</w:t>
            </w:r>
            <w:r>
              <w:rPr>
                <w:rFonts w:hint="eastAsia" w:ascii="宋体" w:hAnsi="宋体" w:cs="宋体"/>
                <w:color w:val="auto"/>
                <w:szCs w:val="21"/>
                <w:highlight w:val="none"/>
              </w:rPr>
              <w:t>（不含）或</w:t>
            </w:r>
            <w:r>
              <w:rPr>
                <w:rFonts w:hint="eastAsia" w:ascii="宋体" w:hAnsi="宋体" w:cs="宋体"/>
                <w:color w:val="auto"/>
                <w:kern w:val="0"/>
                <w:szCs w:val="21"/>
                <w:highlight w:val="none"/>
              </w:rPr>
              <w:t>K+0.5%</w:t>
            </w:r>
            <w:r>
              <w:rPr>
                <w:rFonts w:hint="eastAsia" w:ascii="宋体" w:hAnsi="宋体" w:cs="宋体"/>
                <w:color w:val="auto"/>
                <w:szCs w:val="21"/>
                <w:highlight w:val="none"/>
              </w:rPr>
              <w:t>（含）</w:t>
            </w:r>
            <w:r>
              <w:rPr>
                <w:rFonts w:hint="eastAsia" w:ascii="宋体" w:hAnsi="宋体" w:cs="宋体"/>
                <w:color w:val="auto"/>
                <w:kern w:val="0"/>
                <w:szCs w:val="21"/>
                <w:highlight w:val="none"/>
              </w:rPr>
              <w:t>— K+1.5%</w:t>
            </w:r>
            <w:r>
              <w:rPr>
                <w:rFonts w:hint="eastAsia" w:ascii="宋体" w:hAnsi="宋体" w:cs="宋体"/>
                <w:color w:val="auto"/>
                <w:szCs w:val="21"/>
                <w:highlight w:val="none"/>
              </w:rPr>
              <w:t>（不含）</w:t>
            </w:r>
            <w:r>
              <w:rPr>
                <w:rFonts w:hint="eastAsia" w:cs="宋体"/>
                <w:color w:val="auto"/>
                <w:szCs w:val="21"/>
                <w:highlight w:val="none"/>
              </w:rPr>
              <w:t>为第二档得分区间</w:t>
            </w:r>
            <w:r>
              <w:rPr>
                <w:rFonts w:hint="eastAsia" w:ascii="宋体" w:hAnsi="宋体" w:cs="宋体"/>
                <w:color w:val="auto"/>
                <w:kern w:val="0"/>
                <w:szCs w:val="21"/>
                <w:highlight w:val="none"/>
              </w:rPr>
              <w:t>】；</w:t>
            </w:r>
          </w:p>
          <w:p w14:paraId="18A7C11C">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③第三档得分区间：第二档得分区间前后各递增或递减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%为第三档得分区间【</w:t>
            </w:r>
            <w:r>
              <w:rPr>
                <w:rFonts w:hint="eastAsia" w:cs="宋体"/>
                <w:color w:val="auto"/>
                <w:kern w:val="0"/>
                <w:szCs w:val="21"/>
                <w:highlight w:val="none"/>
              </w:rPr>
              <w:t>以再</w:t>
            </w:r>
            <w:r>
              <w:rPr>
                <w:rFonts w:hint="eastAsia" w:ascii="宋体" w:hAnsi="宋体" w:cs="宋体"/>
                <w:color w:val="auto"/>
                <w:kern w:val="0"/>
                <w:szCs w:val="21"/>
                <w:highlight w:val="none"/>
              </w:rPr>
              <w:t>各递增或递减</w:t>
            </w:r>
            <w:r>
              <w:rPr>
                <w:rFonts w:hint="eastAsia" w:cs="宋体"/>
                <w:color w:val="auto"/>
                <w:kern w:val="0"/>
                <w:szCs w:val="21"/>
                <w:highlight w:val="none"/>
              </w:rPr>
              <w:t>1</w:t>
            </w:r>
            <w:r>
              <w:rPr>
                <w:rFonts w:hint="eastAsia" w:ascii="宋体" w:hAnsi="宋体" w:cs="宋体"/>
                <w:color w:val="auto"/>
                <w:kern w:val="0"/>
                <w:szCs w:val="21"/>
                <w:highlight w:val="none"/>
              </w:rPr>
              <w:t>%</w:t>
            </w:r>
            <w:r>
              <w:rPr>
                <w:rFonts w:hint="eastAsia" w:cs="宋体"/>
                <w:color w:val="auto"/>
                <w:kern w:val="0"/>
                <w:szCs w:val="21"/>
                <w:highlight w:val="none"/>
              </w:rPr>
              <w:t>为例，即</w:t>
            </w:r>
            <w:r>
              <w:rPr>
                <w:rFonts w:hint="eastAsia" w:ascii="宋体" w:hAnsi="宋体" w:cs="宋体"/>
                <w:color w:val="auto"/>
                <w:kern w:val="0"/>
                <w:szCs w:val="21"/>
                <w:highlight w:val="none"/>
              </w:rPr>
              <w:t>K-</w:t>
            </w:r>
            <w:r>
              <w:rPr>
                <w:rFonts w:hint="eastAsia" w:cs="宋体"/>
                <w:color w:val="auto"/>
                <w:kern w:val="0"/>
                <w:szCs w:val="21"/>
                <w:highlight w:val="none"/>
              </w:rPr>
              <w:t>2</w:t>
            </w:r>
            <w:r>
              <w:rPr>
                <w:rFonts w:hint="eastAsia" w:ascii="宋体" w:hAnsi="宋体" w:cs="宋体"/>
                <w:color w:val="auto"/>
                <w:kern w:val="0"/>
                <w:szCs w:val="21"/>
                <w:highlight w:val="none"/>
              </w:rPr>
              <w:t>.5%</w:t>
            </w:r>
            <w:r>
              <w:rPr>
                <w:rFonts w:hint="eastAsia" w:ascii="宋体" w:hAnsi="宋体" w:cs="宋体"/>
                <w:color w:val="auto"/>
                <w:szCs w:val="21"/>
                <w:highlight w:val="none"/>
              </w:rPr>
              <w:t>（含）</w:t>
            </w:r>
            <w:r>
              <w:rPr>
                <w:rFonts w:hint="eastAsia" w:ascii="宋体" w:hAnsi="宋体" w:cs="宋体"/>
                <w:color w:val="auto"/>
                <w:kern w:val="0"/>
                <w:szCs w:val="21"/>
                <w:highlight w:val="none"/>
              </w:rPr>
              <w:t>— K-</w:t>
            </w:r>
            <w:r>
              <w:rPr>
                <w:rFonts w:hint="eastAsia" w:cs="宋体"/>
                <w:color w:val="auto"/>
                <w:kern w:val="0"/>
                <w:szCs w:val="21"/>
                <w:highlight w:val="none"/>
              </w:rPr>
              <w:t>1</w:t>
            </w:r>
            <w:r>
              <w:rPr>
                <w:rFonts w:hint="eastAsia" w:ascii="宋体" w:hAnsi="宋体" w:cs="宋体"/>
                <w:color w:val="auto"/>
                <w:kern w:val="0"/>
                <w:szCs w:val="21"/>
                <w:highlight w:val="none"/>
              </w:rPr>
              <w:t>.5%</w:t>
            </w:r>
            <w:r>
              <w:rPr>
                <w:rFonts w:hint="eastAsia" w:ascii="宋体" w:hAnsi="宋体" w:cs="宋体"/>
                <w:color w:val="auto"/>
                <w:szCs w:val="21"/>
                <w:highlight w:val="none"/>
              </w:rPr>
              <w:t>（不含）或</w:t>
            </w:r>
            <w:r>
              <w:rPr>
                <w:rFonts w:hint="eastAsia" w:ascii="宋体" w:hAnsi="宋体" w:cs="宋体"/>
                <w:color w:val="auto"/>
                <w:kern w:val="0"/>
                <w:szCs w:val="21"/>
                <w:highlight w:val="none"/>
              </w:rPr>
              <w:t>K+</w:t>
            </w:r>
            <w:r>
              <w:rPr>
                <w:rFonts w:hint="eastAsia" w:cs="宋体"/>
                <w:color w:val="auto"/>
                <w:kern w:val="0"/>
                <w:szCs w:val="21"/>
                <w:highlight w:val="none"/>
              </w:rPr>
              <w:t>1</w:t>
            </w:r>
            <w:r>
              <w:rPr>
                <w:rFonts w:hint="eastAsia" w:ascii="宋体" w:hAnsi="宋体" w:cs="宋体"/>
                <w:color w:val="auto"/>
                <w:kern w:val="0"/>
                <w:szCs w:val="21"/>
                <w:highlight w:val="none"/>
              </w:rPr>
              <w:t>.5%</w:t>
            </w:r>
            <w:r>
              <w:rPr>
                <w:rFonts w:hint="eastAsia" w:ascii="宋体" w:hAnsi="宋体" w:cs="宋体"/>
                <w:color w:val="auto"/>
                <w:szCs w:val="21"/>
                <w:highlight w:val="none"/>
              </w:rPr>
              <w:t>（含）</w:t>
            </w:r>
            <w:r>
              <w:rPr>
                <w:rFonts w:hint="eastAsia" w:ascii="宋体" w:hAnsi="宋体" w:cs="宋体"/>
                <w:color w:val="auto"/>
                <w:kern w:val="0"/>
                <w:szCs w:val="21"/>
                <w:highlight w:val="none"/>
              </w:rPr>
              <w:t>— K+</w:t>
            </w:r>
            <w:r>
              <w:rPr>
                <w:rFonts w:hint="eastAsia" w:cs="宋体"/>
                <w:color w:val="auto"/>
                <w:kern w:val="0"/>
                <w:szCs w:val="21"/>
                <w:highlight w:val="none"/>
              </w:rPr>
              <w:t>2</w:t>
            </w:r>
            <w:r>
              <w:rPr>
                <w:rFonts w:hint="eastAsia" w:ascii="宋体" w:hAnsi="宋体" w:cs="宋体"/>
                <w:color w:val="auto"/>
                <w:kern w:val="0"/>
                <w:szCs w:val="21"/>
                <w:highlight w:val="none"/>
              </w:rPr>
              <w:t>.5%</w:t>
            </w:r>
            <w:r>
              <w:rPr>
                <w:rFonts w:hint="eastAsia" w:ascii="宋体" w:hAnsi="宋体" w:cs="宋体"/>
                <w:color w:val="auto"/>
                <w:szCs w:val="21"/>
                <w:highlight w:val="none"/>
              </w:rPr>
              <w:t>（不含）</w:t>
            </w:r>
            <w:r>
              <w:rPr>
                <w:rFonts w:hint="eastAsia" w:cs="宋体"/>
                <w:color w:val="auto"/>
                <w:szCs w:val="21"/>
                <w:highlight w:val="none"/>
              </w:rPr>
              <w:t>为第三档得分区间</w:t>
            </w:r>
            <w:r>
              <w:rPr>
                <w:rFonts w:hint="eastAsia" w:ascii="宋体" w:hAnsi="宋体" w:cs="宋体"/>
                <w:color w:val="auto"/>
                <w:kern w:val="0"/>
                <w:szCs w:val="21"/>
                <w:highlight w:val="none"/>
              </w:rPr>
              <w:t>】；</w:t>
            </w:r>
          </w:p>
          <w:p w14:paraId="696CDE82">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④其余档次得分区间：</w:t>
            </w:r>
            <w:r>
              <w:rPr>
                <w:rFonts w:hint="eastAsia" w:ascii="宋体" w:hAnsi="宋体" w:cs="宋体"/>
                <w:color w:val="auto"/>
                <w:kern w:val="0"/>
                <w:szCs w:val="21"/>
                <w:highlight w:val="none"/>
                <w:u w:val="single"/>
              </w:rPr>
              <w:t xml:space="preserve">                         （以此类推）</w:t>
            </w:r>
            <w:r>
              <w:rPr>
                <w:rFonts w:hint="eastAsia" w:ascii="宋体" w:hAnsi="宋体" w:cs="宋体"/>
                <w:color w:val="auto"/>
                <w:kern w:val="0"/>
                <w:szCs w:val="21"/>
                <w:highlight w:val="none"/>
              </w:rPr>
              <w:t>。</w:t>
            </w:r>
          </w:p>
          <w:p w14:paraId="23887A99">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3．计算报价下浮率得分</w:t>
            </w:r>
          </w:p>
          <w:p w14:paraId="06FADD16">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①下浮率=[1-(投标报价-暂列金额-专业工程暂估价)÷(最高投标报价限价-暂列金额-专业工程暂估价)]×100%，计算结果保留小数点后两位，第三位“四舍五入”，第四位及以后不计。</w:t>
            </w:r>
          </w:p>
          <w:p w14:paraId="4CF8AC73">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②根据下浮率计算结果和在上述第2项规定的分档得分区间计算得分：</w:t>
            </w:r>
          </w:p>
          <w:p w14:paraId="3F8D9537">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满分区间的得100分：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14:paraId="344BE333">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第二档得分区间的得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14:paraId="4E435A37">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第三档得分区间的得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cs="宋体"/>
                <w:color w:val="auto"/>
                <w:kern w:val="0"/>
                <w:szCs w:val="21"/>
                <w:highlight w:val="none"/>
                <w:u w:val="single"/>
              </w:rPr>
              <w:t xml:space="preserve">    （具体区间）    </w:t>
            </w:r>
            <w:r>
              <w:rPr>
                <w:rFonts w:hint="eastAsia" w:ascii="宋体" w:hAnsi="宋体" w:cs="宋体"/>
                <w:color w:val="auto"/>
                <w:kern w:val="0"/>
                <w:szCs w:val="21"/>
                <w:highlight w:val="none"/>
              </w:rPr>
              <w:t>；</w:t>
            </w:r>
          </w:p>
          <w:p w14:paraId="1880419B">
            <w:pPr>
              <w:autoSpaceDE w:val="0"/>
              <w:autoSpaceDN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其余档次得分区间均为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u w:val="single"/>
              </w:rPr>
              <w:t xml:space="preserve">    （具体区间）    </w:t>
            </w:r>
            <w:r>
              <w:rPr>
                <w:rFonts w:hint="eastAsia" w:ascii="宋体" w:hAnsi="宋体" w:cs="宋体"/>
                <w:color w:val="auto"/>
                <w:kern w:val="0"/>
                <w:szCs w:val="21"/>
                <w:highlight w:val="none"/>
              </w:rPr>
              <w:t>。</w:t>
            </w:r>
          </w:p>
        </w:tc>
        <w:tc>
          <w:tcPr>
            <w:tcW w:w="1681" w:type="dxa"/>
            <w:tcBorders>
              <w:top w:val="single" w:color="auto" w:sz="4" w:space="0"/>
              <w:left w:val="single" w:color="auto" w:sz="4" w:space="0"/>
              <w:bottom w:val="single" w:color="auto" w:sz="4" w:space="0"/>
            </w:tcBorders>
            <w:vAlign w:val="center"/>
          </w:tcPr>
          <w:p w14:paraId="4D14F3F9">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14:paraId="6A997B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64" w:hRule="atLeast"/>
        </w:trPr>
        <w:tc>
          <w:tcPr>
            <w:tcW w:w="684" w:type="dxa"/>
            <w:tcBorders>
              <w:top w:val="single" w:color="auto" w:sz="4" w:space="0"/>
            </w:tcBorders>
            <w:vAlign w:val="center"/>
          </w:tcPr>
          <w:p w14:paraId="3E4F6C47">
            <w:pPr>
              <w:autoSpaceDE w:val="0"/>
              <w:autoSpaceDN w:val="0"/>
              <w:spacing w:line="300" w:lineRule="auto"/>
              <w:jc w:val="center"/>
              <w:rPr>
                <w:rFonts w:cs="宋体"/>
                <w:color w:val="auto"/>
                <w:kern w:val="1"/>
                <w:szCs w:val="21"/>
                <w:highlight w:val="none"/>
              </w:rPr>
            </w:pPr>
          </w:p>
        </w:tc>
        <w:tc>
          <w:tcPr>
            <w:tcW w:w="905" w:type="dxa"/>
            <w:tcBorders>
              <w:top w:val="single" w:color="auto" w:sz="4" w:space="0"/>
            </w:tcBorders>
            <w:vAlign w:val="center"/>
          </w:tcPr>
          <w:p w14:paraId="0BC97158">
            <w:pPr>
              <w:autoSpaceDE w:val="0"/>
              <w:autoSpaceDN w:val="0"/>
              <w:spacing w:line="300" w:lineRule="auto"/>
              <w:jc w:val="center"/>
              <w:rPr>
                <w:rFonts w:cs="宋体"/>
                <w:color w:val="auto"/>
                <w:kern w:val="1"/>
                <w:szCs w:val="21"/>
                <w:highlight w:val="none"/>
              </w:rPr>
            </w:pPr>
          </w:p>
        </w:tc>
        <w:tc>
          <w:tcPr>
            <w:tcW w:w="1510" w:type="dxa"/>
            <w:tcBorders>
              <w:top w:val="single" w:color="auto" w:sz="4" w:space="0"/>
              <w:right w:val="single" w:color="auto" w:sz="4" w:space="0"/>
            </w:tcBorders>
            <w:vAlign w:val="center"/>
          </w:tcPr>
          <w:p w14:paraId="4F98B5D2">
            <w:pPr>
              <w:autoSpaceDE w:val="0"/>
              <w:autoSpaceDN w:val="0"/>
              <w:spacing w:line="360" w:lineRule="auto"/>
              <w:jc w:val="center"/>
              <w:rPr>
                <w:rFonts w:cs="宋体"/>
                <w:color w:val="auto"/>
                <w:kern w:val="1"/>
                <w:szCs w:val="21"/>
                <w:highlight w:val="none"/>
              </w:rPr>
            </w:pPr>
          </w:p>
        </w:tc>
        <w:tc>
          <w:tcPr>
            <w:tcW w:w="2097" w:type="dxa"/>
            <w:tcBorders>
              <w:top w:val="single" w:color="auto" w:sz="4" w:space="0"/>
              <w:left w:val="single" w:color="auto" w:sz="4" w:space="0"/>
              <w:right w:val="single" w:color="auto" w:sz="4" w:space="0"/>
            </w:tcBorders>
            <w:vAlign w:val="center"/>
          </w:tcPr>
          <w:p w14:paraId="057DD497">
            <w:pPr>
              <w:autoSpaceDE w:val="0"/>
              <w:autoSpaceDN w:val="0"/>
              <w:spacing w:line="360" w:lineRule="auto"/>
              <w:jc w:val="center"/>
              <w:rPr>
                <w:rFonts w:cs="宋体"/>
                <w:color w:val="auto"/>
                <w:kern w:val="1"/>
                <w:szCs w:val="21"/>
                <w:highlight w:val="none"/>
              </w:rPr>
            </w:pPr>
            <w:r>
              <w:rPr>
                <w:rFonts w:hint="eastAsia" w:cs="宋体"/>
                <w:color w:val="auto"/>
                <w:kern w:val="1"/>
                <w:szCs w:val="21"/>
                <w:highlight w:val="none"/>
              </w:rPr>
              <w:t>……</w:t>
            </w:r>
          </w:p>
        </w:tc>
        <w:tc>
          <w:tcPr>
            <w:tcW w:w="7027" w:type="dxa"/>
            <w:gridSpan w:val="2"/>
            <w:tcBorders>
              <w:top w:val="single" w:color="auto" w:sz="4" w:space="0"/>
              <w:left w:val="single" w:color="auto" w:sz="4" w:space="0"/>
              <w:right w:val="single" w:color="auto" w:sz="4" w:space="0"/>
            </w:tcBorders>
            <w:vAlign w:val="center"/>
          </w:tcPr>
          <w:p w14:paraId="13353772">
            <w:pPr>
              <w:autoSpaceDE w:val="0"/>
              <w:autoSpaceDN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81" w:type="dxa"/>
            <w:tcBorders>
              <w:top w:val="single" w:color="auto" w:sz="4" w:space="0"/>
              <w:left w:val="single" w:color="auto" w:sz="4" w:space="0"/>
              <w:bottom w:val="single" w:color="auto" w:sz="4" w:space="0"/>
            </w:tcBorders>
            <w:vAlign w:val="center"/>
          </w:tcPr>
          <w:p w14:paraId="7B0E8459">
            <w:pPr>
              <w:autoSpaceDE w:val="0"/>
              <w:autoSpaceDN w:val="0"/>
              <w:spacing w:line="360" w:lineRule="auto"/>
              <w:jc w:val="center"/>
              <w:rPr>
                <w:color w:val="auto"/>
                <w:szCs w:val="21"/>
                <w:highlight w:val="none"/>
                <w:u w:val="single"/>
              </w:rPr>
            </w:pPr>
            <w:r>
              <w:rPr>
                <w:rFonts w:hint="eastAsia"/>
                <w:color w:val="auto"/>
                <w:szCs w:val="21"/>
                <w:highlight w:val="none"/>
                <w:u w:val="single"/>
              </w:rPr>
              <w:t xml:space="preserve">   </w:t>
            </w:r>
            <w:r>
              <w:rPr>
                <w:rFonts w:hint="eastAsia"/>
                <w:color w:val="auto"/>
                <w:szCs w:val="21"/>
                <w:highlight w:val="none"/>
              </w:rPr>
              <w:t>%</w:t>
            </w:r>
          </w:p>
        </w:tc>
      </w:tr>
      <w:tr w14:paraId="24C5C6F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vAlign w:val="center"/>
          </w:tcPr>
          <w:p w14:paraId="0D50D9DC">
            <w:pPr>
              <w:spacing w:line="300" w:lineRule="auto"/>
              <w:jc w:val="center"/>
              <w:rPr>
                <w:rFonts w:cs="宋体"/>
                <w:b/>
                <w:color w:val="auto"/>
                <w:kern w:val="1"/>
                <w:szCs w:val="21"/>
                <w:highlight w:val="none"/>
              </w:rPr>
            </w:pPr>
            <w:r>
              <w:rPr>
                <w:rFonts w:hint="eastAsia" w:cs="宋体"/>
                <w:b/>
                <w:color w:val="auto"/>
                <w:kern w:val="1"/>
                <w:szCs w:val="21"/>
                <w:highlight w:val="none"/>
              </w:rPr>
              <w:t>项</w:t>
            </w:r>
            <w:r>
              <w:rPr>
                <w:rFonts w:cs="宋体"/>
                <w:b/>
                <w:color w:val="auto"/>
                <w:kern w:val="1"/>
                <w:szCs w:val="21"/>
                <w:highlight w:val="none"/>
              </w:rPr>
              <w:t>号</w:t>
            </w:r>
          </w:p>
        </w:tc>
        <w:tc>
          <w:tcPr>
            <w:tcW w:w="905" w:type="dxa"/>
            <w:tcBorders>
              <w:bottom w:val="single" w:color="auto" w:sz="4" w:space="0"/>
            </w:tcBorders>
            <w:vAlign w:val="center"/>
          </w:tcPr>
          <w:p w14:paraId="78E7861C">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510" w:type="dxa"/>
            <w:tcBorders>
              <w:bottom w:val="single" w:color="auto" w:sz="4" w:space="0"/>
              <w:right w:val="single" w:color="auto" w:sz="4" w:space="0"/>
            </w:tcBorders>
            <w:vAlign w:val="center"/>
          </w:tcPr>
          <w:p w14:paraId="6BE99941">
            <w:pPr>
              <w:spacing w:line="300" w:lineRule="auto"/>
              <w:jc w:val="center"/>
              <w:rPr>
                <w:rFonts w:cs="宋体"/>
                <w:b/>
                <w:color w:val="auto"/>
                <w:kern w:val="1"/>
                <w:szCs w:val="21"/>
                <w:highlight w:val="none"/>
              </w:rPr>
            </w:pPr>
            <w:r>
              <w:rPr>
                <w:rFonts w:hint="eastAsia" w:cs="宋体"/>
                <w:b/>
                <w:color w:val="auto"/>
                <w:kern w:val="1"/>
                <w:szCs w:val="21"/>
                <w:highlight w:val="none"/>
              </w:rPr>
              <w:t>定标方法</w:t>
            </w:r>
            <w:r>
              <w:rPr>
                <w:rStyle w:val="48"/>
                <w:rFonts w:hint="eastAsia" w:cs="宋体"/>
                <w:b/>
                <w:color w:val="auto"/>
                <w:kern w:val="1"/>
                <w:szCs w:val="21"/>
                <w:highlight w:val="none"/>
              </w:rPr>
              <w:footnoteReference w:id="11"/>
            </w:r>
          </w:p>
        </w:tc>
        <w:tc>
          <w:tcPr>
            <w:tcW w:w="10805" w:type="dxa"/>
            <w:gridSpan w:val="4"/>
            <w:tcBorders>
              <w:left w:val="single" w:color="auto" w:sz="4" w:space="0"/>
            </w:tcBorders>
            <w:vAlign w:val="center"/>
          </w:tcPr>
          <w:p w14:paraId="60069CC9">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编列内容</w:t>
            </w:r>
          </w:p>
        </w:tc>
      </w:tr>
      <w:tr w14:paraId="27A23C4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684" w:type="dxa"/>
            <w:vMerge w:val="restart"/>
            <w:vAlign w:val="center"/>
          </w:tcPr>
          <w:p w14:paraId="20B7F8AC">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4</w:t>
            </w:r>
          </w:p>
        </w:tc>
        <w:tc>
          <w:tcPr>
            <w:tcW w:w="905" w:type="dxa"/>
            <w:vMerge w:val="restart"/>
            <w:vAlign w:val="center"/>
          </w:tcPr>
          <w:p w14:paraId="7141C06C">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4.3.2</w:t>
            </w:r>
          </w:p>
        </w:tc>
        <w:tc>
          <w:tcPr>
            <w:tcW w:w="1510" w:type="dxa"/>
            <w:vAlign w:val="center"/>
          </w:tcPr>
          <w:p w14:paraId="78CBB7F5">
            <w:pPr>
              <w:autoSpaceDE w:val="0"/>
              <w:autoSpaceDN w:val="0"/>
              <w:spacing w:line="300" w:lineRule="auto"/>
              <w:jc w:val="center"/>
              <w:rPr>
                <w:color w:val="auto"/>
                <w:szCs w:val="21"/>
                <w:highlight w:val="none"/>
              </w:rPr>
            </w:pPr>
            <w:r>
              <w:rPr>
                <w:rFonts w:hint="eastAsia"/>
                <w:color w:val="auto"/>
                <w:kern w:val="0"/>
                <w:szCs w:val="21"/>
                <w:highlight w:val="none"/>
                <w:lang w:val="zh-CN"/>
              </w:rPr>
              <w:t>□</w:t>
            </w:r>
            <w:r>
              <w:rPr>
                <w:rFonts w:hint="eastAsia" w:cs="宋体"/>
                <w:color w:val="auto"/>
                <w:kern w:val="1"/>
                <w:szCs w:val="21"/>
                <w:highlight w:val="none"/>
              </w:rPr>
              <w:t>高分低价法</w:t>
            </w:r>
          </w:p>
        </w:tc>
        <w:tc>
          <w:tcPr>
            <w:tcW w:w="10805" w:type="dxa"/>
            <w:gridSpan w:val="4"/>
            <w:vAlign w:val="center"/>
          </w:tcPr>
          <w:p w14:paraId="6696A1E5">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1.确定中标候选人</w:t>
            </w:r>
          </w:p>
          <w:p w14:paraId="3C7AA771">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14:paraId="37A2515C">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（2）当两个或两个以上定标候选人的综合得分相同时且影响中标候选人数量的确定时，在此类定标候选人范围中依次按下列规则确定中标候选人：</w:t>
            </w:r>
          </w:p>
          <w:p w14:paraId="1E4C4ED3">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①投标报价低的定标候选人优先；</w:t>
            </w:r>
          </w:p>
          <w:p w14:paraId="5358711A">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②投标报价相同时，随机抽取确定，随机抽取工作</w:t>
            </w:r>
            <w:r>
              <w:rPr>
                <w:rFonts w:hint="eastAsia" w:cs="宋体"/>
                <w:color w:val="auto"/>
                <w:szCs w:val="21"/>
                <w:highlight w:val="none"/>
              </w:rPr>
              <w:t>规则如下：</w:t>
            </w:r>
          </w:p>
          <w:p w14:paraId="243D7E03">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14:paraId="21799BA2">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14:paraId="5697B0F0">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r>
              <w:rPr>
                <w:rFonts w:hint="eastAsia" w:ascii="宋体" w:hAnsi="宋体" w:eastAsia="宋体" w:cs="宋体"/>
                <w:color w:val="auto"/>
                <w:kern w:val="1"/>
                <w:szCs w:val="21"/>
                <w:highlight w:val="none"/>
              </w:rPr>
              <w:t>。</w:t>
            </w:r>
          </w:p>
          <w:p w14:paraId="2711D197">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2.推荐中标人</w:t>
            </w:r>
          </w:p>
          <w:p w14:paraId="7DDD8F75">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定标委员会推荐投标报价最低</w:t>
            </w:r>
            <w:r>
              <w:rPr>
                <w:rFonts w:hint="eastAsia" w:cs="宋体"/>
                <w:color w:val="auto"/>
                <w:szCs w:val="21"/>
                <w:highlight w:val="none"/>
              </w:rPr>
              <w:t>（投标报价如有修正，以修正后投标报价为准）</w:t>
            </w:r>
            <w:r>
              <w:rPr>
                <w:rFonts w:hint="eastAsia" w:ascii="宋体" w:hAnsi="宋体" w:cs="宋体"/>
                <w:color w:val="auto"/>
                <w:kern w:val="1"/>
                <w:szCs w:val="21"/>
                <w:highlight w:val="none"/>
              </w:rPr>
              <w:t>的中标候选人为中标人。</w:t>
            </w:r>
          </w:p>
          <w:p w14:paraId="671873B5">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出现最低投标报价相同情形时，在最低投标报价相同的投标人中，采用随机抽取方式</w:t>
            </w:r>
            <w:r>
              <w:rPr>
                <w:rFonts w:hint="eastAsia" w:cs="宋体"/>
                <w:color w:val="auto"/>
                <w:kern w:val="1"/>
                <w:szCs w:val="21"/>
                <w:highlight w:val="none"/>
              </w:rPr>
              <w:t>推荐</w:t>
            </w:r>
            <w:r>
              <w:rPr>
                <w:rFonts w:hint="eastAsia" w:ascii="宋体" w:hAnsi="宋体" w:cs="宋体"/>
                <w:color w:val="auto"/>
                <w:kern w:val="1"/>
                <w:szCs w:val="21"/>
                <w:highlight w:val="none"/>
              </w:rPr>
              <w:t>中标人。随机抽取工作</w:t>
            </w:r>
            <w:r>
              <w:rPr>
                <w:rFonts w:hint="eastAsia" w:cs="宋体"/>
                <w:color w:val="auto"/>
                <w:szCs w:val="21"/>
                <w:highlight w:val="none"/>
              </w:rPr>
              <w:t>规则如下：</w:t>
            </w:r>
          </w:p>
          <w:p w14:paraId="1FF7096B">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cs="宋体"/>
                <w:color w:val="auto"/>
                <w:kern w:val="1"/>
                <w:szCs w:val="21"/>
                <w:highlight w:val="none"/>
              </w:rPr>
              <w:t>1</w:t>
            </w:r>
            <w:r>
              <w:rPr>
                <w:rFonts w:hint="eastAsia" w:ascii="宋体" w:hAnsi="宋体" w:cs="宋体"/>
                <w:color w:val="auto"/>
                <w:kern w:val="1"/>
                <w:szCs w:val="21"/>
                <w:highlight w:val="none"/>
                <w:lang w:val="zh-CN"/>
              </w:rPr>
              <w:t>）</w:t>
            </w:r>
            <w:r>
              <w:rPr>
                <w:rFonts w:hint="eastAsia" w:cs="宋体"/>
                <w:color w:val="auto"/>
                <w:kern w:val="1"/>
                <w:szCs w:val="21"/>
                <w:highlight w:val="none"/>
              </w:rPr>
              <w:t>中标</w:t>
            </w:r>
            <w:r>
              <w:rPr>
                <w:rFonts w:hint="eastAsia" w:cs="宋体"/>
                <w:color w:val="auto"/>
                <w:kern w:val="1"/>
                <w:szCs w:val="21"/>
                <w:highlight w:val="none"/>
                <w:lang w:val="zh-CN"/>
              </w:rPr>
              <w:t>候选人的投标人代表号即为候选人代表球号；</w:t>
            </w:r>
          </w:p>
          <w:p w14:paraId="462A8106">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cs="宋体"/>
                <w:color w:val="auto"/>
                <w:kern w:val="1"/>
                <w:szCs w:val="21"/>
                <w:highlight w:val="none"/>
              </w:rPr>
              <w:t>2</w:t>
            </w:r>
            <w:r>
              <w:rPr>
                <w:rFonts w:hint="eastAsia" w:ascii="宋体" w:hAnsi="宋体" w:cs="宋体"/>
                <w:color w:val="auto"/>
                <w:kern w:val="1"/>
                <w:szCs w:val="21"/>
                <w:highlight w:val="none"/>
                <w:lang w:val="zh-CN"/>
              </w:rPr>
              <w:t>）</w:t>
            </w:r>
            <w:r>
              <w:rPr>
                <w:rFonts w:hint="eastAsia"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cs="宋体"/>
                <w:color w:val="auto"/>
                <w:kern w:val="1"/>
                <w:szCs w:val="21"/>
                <w:highlight w:val="none"/>
                <w:lang w:val="zh-CN"/>
              </w:rPr>
              <w:t>在市公共资源交易中心开标区抽取机中放入所有</w:t>
            </w:r>
            <w:r>
              <w:rPr>
                <w:rFonts w:hint="eastAsia" w:cs="宋体"/>
                <w:color w:val="auto"/>
                <w:kern w:val="1"/>
                <w:szCs w:val="21"/>
                <w:highlight w:val="none"/>
              </w:rPr>
              <w:t>中标</w:t>
            </w:r>
            <w:r>
              <w:rPr>
                <w:rFonts w:hint="eastAsia" w:cs="宋体"/>
                <w:color w:val="auto"/>
                <w:kern w:val="1"/>
                <w:szCs w:val="21"/>
                <w:highlight w:val="none"/>
                <w:lang w:val="zh-CN"/>
              </w:rPr>
              <w:t>候选人代表球号，第1次抽取出的球号对应的</w:t>
            </w:r>
            <w:r>
              <w:rPr>
                <w:rFonts w:hint="eastAsia" w:cs="宋体"/>
                <w:color w:val="auto"/>
                <w:kern w:val="1"/>
                <w:szCs w:val="21"/>
                <w:highlight w:val="none"/>
              </w:rPr>
              <w:t>中标</w:t>
            </w:r>
            <w:r>
              <w:rPr>
                <w:rFonts w:hint="eastAsia" w:cs="宋体"/>
                <w:color w:val="auto"/>
                <w:kern w:val="1"/>
                <w:szCs w:val="21"/>
                <w:highlight w:val="none"/>
                <w:lang w:val="zh-CN"/>
              </w:rPr>
              <w:t>候选人</w:t>
            </w:r>
            <w:r>
              <w:rPr>
                <w:rFonts w:hint="eastAsia" w:cs="宋体"/>
                <w:color w:val="auto"/>
                <w:kern w:val="1"/>
                <w:szCs w:val="21"/>
                <w:highlight w:val="none"/>
              </w:rPr>
              <w:t>推荐</w:t>
            </w:r>
            <w:r>
              <w:rPr>
                <w:rFonts w:hint="eastAsia" w:cs="宋体"/>
                <w:color w:val="auto"/>
                <w:kern w:val="1"/>
                <w:szCs w:val="21"/>
                <w:highlight w:val="none"/>
                <w:lang w:val="zh-CN"/>
              </w:rPr>
              <w:t>为中标人；</w:t>
            </w:r>
          </w:p>
          <w:p w14:paraId="7CEA96E5">
            <w:pPr>
              <w:autoSpaceDE w:val="0"/>
              <w:autoSpaceDN w:val="0"/>
              <w:spacing w:line="320" w:lineRule="exact"/>
              <w:ind w:firstLine="420" w:firstLineChars="200"/>
              <w:jc w:val="left"/>
              <w:rPr>
                <w:color w:val="auto"/>
                <w:szCs w:val="21"/>
                <w:highlight w:val="none"/>
              </w:rPr>
            </w:pPr>
            <w:r>
              <w:rPr>
                <w:rFonts w:hint="eastAsia" w:cs="宋体"/>
                <w:color w:val="auto"/>
                <w:kern w:val="1"/>
                <w:szCs w:val="21"/>
                <w:highlight w:val="none"/>
                <w:lang w:val="zh-CN"/>
              </w:rPr>
              <w:t>（</w:t>
            </w:r>
            <w:r>
              <w:rPr>
                <w:rFonts w:hint="eastAsia" w:cs="宋体"/>
                <w:color w:val="auto"/>
                <w:kern w:val="1"/>
                <w:szCs w:val="21"/>
                <w:highlight w:val="none"/>
              </w:rPr>
              <w:t>3</w:t>
            </w:r>
            <w:r>
              <w:rPr>
                <w:rFonts w:hint="eastAsia" w:cs="宋体"/>
                <w:color w:val="auto"/>
                <w:kern w:val="1"/>
                <w:szCs w:val="21"/>
                <w:highlight w:val="none"/>
                <w:lang w:val="zh-CN"/>
              </w:rPr>
              <w:t>）在抽取过程中，如出现由于工作失误或设备故障影响抽取结果的，抽取</w:t>
            </w:r>
            <w:r>
              <w:rPr>
                <w:rFonts w:hint="eastAsia" w:cs="宋体"/>
                <w:color w:val="auto"/>
                <w:kern w:val="1"/>
                <w:szCs w:val="21"/>
                <w:highlight w:val="none"/>
              </w:rPr>
              <w:t>结果</w:t>
            </w:r>
            <w:r>
              <w:rPr>
                <w:rFonts w:hint="eastAsia" w:cs="宋体"/>
                <w:color w:val="auto"/>
                <w:kern w:val="1"/>
                <w:szCs w:val="21"/>
                <w:highlight w:val="none"/>
                <w:lang w:val="zh-CN"/>
              </w:rPr>
              <w:t>无效，应当重新抽取。所有抽球过程实行全程录音录像监控。</w:t>
            </w:r>
          </w:p>
        </w:tc>
      </w:tr>
      <w:tr w14:paraId="2137708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14:paraId="45456726">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3BC19EB9">
            <w:pPr>
              <w:autoSpaceDE w:val="0"/>
              <w:autoSpaceDN w:val="0"/>
              <w:spacing w:line="300" w:lineRule="auto"/>
              <w:jc w:val="center"/>
              <w:rPr>
                <w:rFonts w:cs="宋体"/>
                <w:color w:val="auto"/>
                <w:kern w:val="1"/>
                <w:szCs w:val="21"/>
                <w:highlight w:val="none"/>
              </w:rPr>
            </w:pPr>
          </w:p>
        </w:tc>
        <w:tc>
          <w:tcPr>
            <w:tcW w:w="1510" w:type="dxa"/>
            <w:vAlign w:val="center"/>
          </w:tcPr>
          <w:p w14:paraId="49D63670">
            <w:pPr>
              <w:autoSpaceDE w:val="0"/>
              <w:autoSpaceDN w:val="0"/>
              <w:spacing w:line="300" w:lineRule="auto"/>
              <w:jc w:val="center"/>
              <w:rPr>
                <w:color w:val="auto"/>
                <w:kern w:val="0"/>
                <w:szCs w:val="21"/>
                <w:highlight w:val="none"/>
                <w:lang w:val="zh-CN"/>
              </w:rPr>
            </w:pPr>
            <w:r>
              <w:rPr>
                <w:rFonts w:hint="eastAsia"/>
                <w:color w:val="auto"/>
                <w:kern w:val="0"/>
                <w:szCs w:val="21"/>
                <w:highlight w:val="none"/>
                <w:lang w:val="zh-CN"/>
              </w:rPr>
              <w:t>□</w:t>
            </w:r>
            <w:r>
              <w:rPr>
                <w:rFonts w:hint="eastAsia" w:cs="宋体"/>
                <w:color w:val="auto"/>
                <w:kern w:val="1"/>
                <w:szCs w:val="21"/>
                <w:highlight w:val="none"/>
              </w:rPr>
              <w:t>高分随机法</w:t>
            </w:r>
          </w:p>
        </w:tc>
        <w:tc>
          <w:tcPr>
            <w:tcW w:w="10805" w:type="dxa"/>
            <w:gridSpan w:val="4"/>
            <w:vAlign w:val="center"/>
          </w:tcPr>
          <w:p w14:paraId="22CD78E6">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1.确定中标候选人</w:t>
            </w:r>
          </w:p>
          <w:p w14:paraId="1A8083D1">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1）评标委员会推荐的定标候选人数量小于20家时，定标委员会确定综合得分由高往低排序在前的3家定标候选人为中标候选人；评标委员会推荐的定标候选人数量大于等于20家时，定标委员会确定综合得分由高往低排序在前的5家定标候选人为中标候选人。</w:t>
            </w:r>
          </w:p>
          <w:p w14:paraId="1C34B144">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（2）当两个或两个以上定标候选人的综合得分相同时且影响中标候选人数量的确定时，在此类定标候选人范围中依次按下列规则确定中标候选人：</w:t>
            </w:r>
          </w:p>
          <w:p w14:paraId="71D8826C">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①投标报价低的定标候选人优先；</w:t>
            </w:r>
          </w:p>
          <w:p w14:paraId="1799208F">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②投标报价相同时，随机抽取确定，随机抽取工作</w:t>
            </w:r>
            <w:r>
              <w:rPr>
                <w:rFonts w:hint="eastAsia" w:cs="宋体"/>
                <w:color w:val="auto"/>
                <w:szCs w:val="21"/>
                <w:highlight w:val="none"/>
              </w:rPr>
              <w:t>规则如下：</w:t>
            </w:r>
          </w:p>
          <w:p w14:paraId="550D81C0">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14:paraId="4D41DBBE">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14:paraId="2557ED23">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r>
              <w:rPr>
                <w:rFonts w:hint="eastAsia" w:ascii="宋体" w:hAnsi="宋体" w:eastAsia="宋体" w:cs="宋体"/>
                <w:color w:val="auto"/>
                <w:kern w:val="1"/>
                <w:szCs w:val="21"/>
                <w:highlight w:val="none"/>
              </w:rPr>
              <w:t>。</w:t>
            </w:r>
          </w:p>
          <w:p w14:paraId="769D3110">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2.推荐中标人</w:t>
            </w:r>
          </w:p>
          <w:p w14:paraId="42221FD8">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定标委员会在中标候选人范围中，根据随机抽取结果推荐中标人。</w:t>
            </w:r>
          </w:p>
          <w:p w14:paraId="2A8D86B0">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随机抽取工作</w:t>
            </w:r>
            <w:r>
              <w:rPr>
                <w:rFonts w:hint="eastAsia" w:cs="宋体"/>
                <w:color w:val="auto"/>
                <w:szCs w:val="21"/>
                <w:highlight w:val="none"/>
              </w:rPr>
              <w:t>规则如下：</w:t>
            </w:r>
          </w:p>
          <w:p w14:paraId="40558A9D">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zh-CN"/>
              </w:rPr>
              <w:t>）</w:t>
            </w:r>
            <w:r>
              <w:rPr>
                <w:rFonts w:hint="eastAsia" w:cs="宋体"/>
                <w:color w:val="auto"/>
                <w:kern w:val="1"/>
                <w:szCs w:val="21"/>
                <w:highlight w:val="none"/>
              </w:rPr>
              <w:t>中标</w:t>
            </w:r>
            <w:r>
              <w:rPr>
                <w:rFonts w:hint="eastAsia" w:cs="宋体"/>
                <w:color w:val="auto"/>
                <w:kern w:val="1"/>
                <w:szCs w:val="21"/>
                <w:highlight w:val="none"/>
                <w:lang w:val="zh-CN"/>
              </w:rPr>
              <w:t>候选人的投标人代表号即为候选人代表球号；</w:t>
            </w:r>
          </w:p>
          <w:p w14:paraId="61735FC8">
            <w:pPr>
              <w:autoSpaceDE w:val="0"/>
              <w:autoSpaceDN w:val="0"/>
              <w:spacing w:line="300" w:lineRule="auto"/>
              <w:ind w:firstLine="420" w:firstLineChars="200"/>
              <w:jc w:val="left"/>
              <w:rPr>
                <w:rFonts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2</w:t>
            </w:r>
            <w:r>
              <w:rPr>
                <w:rFonts w:hint="eastAsia" w:ascii="宋体" w:hAnsi="宋体" w:cs="宋体"/>
                <w:color w:val="auto"/>
                <w:kern w:val="1"/>
                <w:szCs w:val="21"/>
                <w:highlight w:val="none"/>
                <w:lang w:val="zh-CN"/>
              </w:rPr>
              <w:t>）</w:t>
            </w:r>
            <w:r>
              <w:rPr>
                <w:rFonts w:hint="eastAsia"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cs="宋体"/>
                <w:color w:val="auto"/>
                <w:kern w:val="1"/>
                <w:szCs w:val="21"/>
                <w:highlight w:val="none"/>
                <w:lang w:val="zh-CN"/>
              </w:rPr>
              <w:t>在市公共资源交易中心开标区抽取机中放入所有</w:t>
            </w:r>
            <w:r>
              <w:rPr>
                <w:rFonts w:hint="eastAsia" w:cs="宋体"/>
                <w:color w:val="auto"/>
                <w:kern w:val="1"/>
                <w:szCs w:val="21"/>
                <w:highlight w:val="none"/>
              </w:rPr>
              <w:t>中标</w:t>
            </w:r>
            <w:r>
              <w:rPr>
                <w:rFonts w:hint="eastAsia" w:cs="宋体"/>
                <w:color w:val="auto"/>
                <w:kern w:val="1"/>
                <w:szCs w:val="21"/>
                <w:highlight w:val="none"/>
                <w:lang w:val="zh-CN"/>
              </w:rPr>
              <w:t>候选人代表球号，第1次抽取出的球号对应的</w:t>
            </w:r>
            <w:r>
              <w:rPr>
                <w:rFonts w:hint="eastAsia" w:cs="宋体"/>
                <w:color w:val="auto"/>
                <w:kern w:val="1"/>
                <w:szCs w:val="21"/>
                <w:highlight w:val="none"/>
              </w:rPr>
              <w:t>中标</w:t>
            </w:r>
            <w:r>
              <w:rPr>
                <w:rFonts w:hint="eastAsia" w:cs="宋体"/>
                <w:color w:val="auto"/>
                <w:kern w:val="1"/>
                <w:szCs w:val="21"/>
                <w:highlight w:val="none"/>
                <w:lang w:val="zh-CN"/>
              </w:rPr>
              <w:t>候选人</w:t>
            </w:r>
            <w:r>
              <w:rPr>
                <w:rFonts w:hint="eastAsia" w:cs="宋体"/>
                <w:color w:val="auto"/>
                <w:kern w:val="1"/>
                <w:szCs w:val="21"/>
                <w:highlight w:val="none"/>
              </w:rPr>
              <w:t>推荐</w:t>
            </w:r>
            <w:r>
              <w:rPr>
                <w:rFonts w:hint="eastAsia" w:cs="宋体"/>
                <w:color w:val="auto"/>
                <w:kern w:val="1"/>
                <w:szCs w:val="21"/>
                <w:highlight w:val="none"/>
                <w:lang w:val="zh-CN"/>
              </w:rPr>
              <w:t>为中标人；</w:t>
            </w:r>
          </w:p>
          <w:p w14:paraId="7363BE67">
            <w:pPr>
              <w:autoSpaceDE w:val="0"/>
              <w:autoSpaceDN w:val="0"/>
              <w:spacing w:line="300" w:lineRule="auto"/>
              <w:ind w:firstLine="420" w:firstLineChars="200"/>
              <w:jc w:val="left"/>
              <w:rPr>
                <w:rFonts w:ascii="宋体" w:hAnsi="宋体" w:cs="宋体"/>
                <w:color w:val="auto"/>
                <w:kern w:val="1"/>
                <w:szCs w:val="21"/>
                <w:highlight w:val="none"/>
              </w:rPr>
            </w:pPr>
            <w:r>
              <w:rPr>
                <w:rFonts w:hint="eastAsia" w:cs="宋体"/>
                <w:color w:val="auto"/>
                <w:kern w:val="1"/>
                <w:szCs w:val="21"/>
                <w:highlight w:val="none"/>
                <w:lang w:val="zh-CN"/>
              </w:rPr>
              <w:t>（</w:t>
            </w:r>
            <w:r>
              <w:rPr>
                <w:rFonts w:hint="eastAsia" w:cs="宋体"/>
                <w:color w:val="auto"/>
                <w:kern w:val="1"/>
                <w:szCs w:val="21"/>
                <w:highlight w:val="none"/>
              </w:rPr>
              <w:t>3</w:t>
            </w:r>
            <w:r>
              <w:rPr>
                <w:rFonts w:hint="eastAsia" w:cs="宋体"/>
                <w:color w:val="auto"/>
                <w:kern w:val="1"/>
                <w:szCs w:val="21"/>
                <w:highlight w:val="none"/>
                <w:lang w:val="zh-CN"/>
              </w:rPr>
              <w:t>）在抽取过程中，如出现由于工作失误或设备故障影响抽取结果的，抽取</w:t>
            </w:r>
            <w:r>
              <w:rPr>
                <w:rFonts w:hint="eastAsia" w:cs="宋体"/>
                <w:color w:val="auto"/>
                <w:kern w:val="1"/>
                <w:szCs w:val="21"/>
                <w:highlight w:val="none"/>
              </w:rPr>
              <w:t>结果</w:t>
            </w:r>
            <w:r>
              <w:rPr>
                <w:rFonts w:hint="eastAsia" w:cs="宋体"/>
                <w:color w:val="auto"/>
                <w:kern w:val="1"/>
                <w:szCs w:val="21"/>
                <w:highlight w:val="none"/>
                <w:lang w:val="zh-CN"/>
              </w:rPr>
              <w:t>无效，应当重新抽取。所有抽球过程实行全程录音录像监控。</w:t>
            </w:r>
          </w:p>
        </w:tc>
      </w:tr>
      <w:tr w14:paraId="313FB2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restart"/>
            <w:vAlign w:val="center"/>
          </w:tcPr>
          <w:p w14:paraId="544C5E3F">
            <w:pPr>
              <w:autoSpaceDE w:val="0"/>
              <w:autoSpaceDN w:val="0"/>
              <w:spacing w:line="300" w:lineRule="auto"/>
              <w:jc w:val="center"/>
              <w:rPr>
                <w:rFonts w:cs="宋体"/>
                <w:color w:val="auto"/>
                <w:kern w:val="1"/>
                <w:szCs w:val="21"/>
                <w:highlight w:val="none"/>
              </w:rPr>
            </w:pPr>
          </w:p>
        </w:tc>
        <w:tc>
          <w:tcPr>
            <w:tcW w:w="905" w:type="dxa"/>
            <w:vMerge w:val="restart"/>
            <w:vAlign w:val="center"/>
          </w:tcPr>
          <w:p w14:paraId="57AD98F3">
            <w:pPr>
              <w:autoSpaceDE w:val="0"/>
              <w:autoSpaceDN w:val="0"/>
              <w:spacing w:line="300" w:lineRule="auto"/>
              <w:jc w:val="center"/>
              <w:rPr>
                <w:rFonts w:cs="宋体"/>
                <w:color w:val="auto"/>
                <w:kern w:val="1"/>
                <w:szCs w:val="21"/>
                <w:highlight w:val="none"/>
              </w:rPr>
            </w:pPr>
          </w:p>
        </w:tc>
        <w:tc>
          <w:tcPr>
            <w:tcW w:w="1510" w:type="dxa"/>
            <w:vAlign w:val="center"/>
          </w:tcPr>
          <w:p w14:paraId="0FDF5E16">
            <w:pPr>
              <w:autoSpaceDE w:val="0"/>
              <w:autoSpaceDN w:val="0"/>
              <w:spacing w:line="300" w:lineRule="auto"/>
              <w:jc w:val="center"/>
              <w:rPr>
                <w:color w:val="auto"/>
                <w:kern w:val="0"/>
                <w:szCs w:val="21"/>
                <w:highlight w:val="none"/>
                <w:lang w:val="zh-CN"/>
              </w:rPr>
            </w:pPr>
            <w:r>
              <w:rPr>
                <w:rFonts w:hint="eastAsia"/>
                <w:color w:val="auto"/>
                <w:kern w:val="0"/>
                <w:szCs w:val="21"/>
                <w:highlight w:val="none"/>
                <w:lang w:val="zh-CN"/>
              </w:rPr>
              <w:t>□</w:t>
            </w:r>
            <w:r>
              <w:rPr>
                <w:rFonts w:hint="eastAsia" w:cs="宋体"/>
                <w:color w:val="auto"/>
                <w:kern w:val="1"/>
                <w:szCs w:val="21"/>
                <w:highlight w:val="none"/>
              </w:rPr>
              <w:t>低价随机法</w:t>
            </w:r>
          </w:p>
        </w:tc>
        <w:tc>
          <w:tcPr>
            <w:tcW w:w="10805" w:type="dxa"/>
            <w:gridSpan w:val="4"/>
            <w:vAlign w:val="center"/>
          </w:tcPr>
          <w:p w14:paraId="2C665894">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1.确定定标范围</w:t>
            </w:r>
          </w:p>
          <w:p w14:paraId="4038F847">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14:paraId="557E8D59">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2.确定中标候选人</w:t>
            </w:r>
          </w:p>
          <w:p w14:paraId="58D9A3CB">
            <w:pPr>
              <w:spacing w:line="300" w:lineRule="auto"/>
              <w:ind w:firstLine="420" w:firstLineChars="200"/>
              <w:rPr>
                <w:rFonts w:ascii="宋体" w:hAnsi="宋体" w:cs="宋体"/>
                <w:color w:val="auto"/>
                <w:kern w:val="1"/>
                <w:szCs w:val="21"/>
                <w:highlight w:val="none"/>
              </w:rPr>
            </w:pPr>
            <w:r>
              <w:rPr>
                <w:rFonts w:hint="eastAsia" w:ascii="宋体" w:hAnsi="宋体" w:cs="宋体"/>
                <w:color w:val="auto"/>
                <w:kern w:val="1"/>
                <w:szCs w:val="21"/>
                <w:highlight w:val="none"/>
              </w:rPr>
              <w:t>评标委员会推荐的定标候选人数量小于20家时，定标委员会确定在定标范围内评审报价（等于投标报价）由低往高排序在前的3家定标候选人为中标候选人；评标委员会推荐的定标候选人数量大于等于20家时，定标委员会确定在定标范围内评审报价由低往高排序在前的5家定标候选人为中标候选人</w:t>
            </w:r>
          </w:p>
          <w:p w14:paraId="4B5AD24E">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（2）当两个或两个以上定标候选人的评审报价相同时且影响中标候选人数量的确定时，在此类定标候选人范围中依次按下列规则确定中标候选人：</w:t>
            </w:r>
          </w:p>
          <w:p w14:paraId="23AE280A">
            <w:pPr>
              <w:pStyle w:val="49"/>
              <w:spacing w:line="300" w:lineRule="auto"/>
              <w:ind w:firstLine="420" w:firstLineChars="20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①综合得分高的定标候选人优先；</w:t>
            </w:r>
          </w:p>
          <w:p w14:paraId="6641EA2D">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②综合得分相同时，随机抽取确定，随机抽取工作</w:t>
            </w:r>
            <w:r>
              <w:rPr>
                <w:rFonts w:hint="eastAsia" w:cs="宋体"/>
                <w:color w:val="auto"/>
                <w:szCs w:val="21"/>
                <w:highlight w:val="none"/>
              </w:rPr>
              <w:t>规则如下：</w:t>
            </w:r>
          </w:p>
          <w:p w14:paraId="1E4BBF59">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候选人的投标人代表号即为代表球号；</w:t>
            </w:r>
          </w:p>
          <w:p w14:paraId="6EF23AE7">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在市公共资源交易中心开标区抽取机中放入所有代表球号，</w:t>
            </w:r>
            <w:r>
              <w:rPr>
                <w:rFonts w:hint="eastAsia" w:ascii="宋体" w:hAnsi="宋体" w:cs="宋体"/>
                <w:color w:val="auto"/>
                <w:kern w:val="1"/>
                <w:szCs w:val="21"/>
                <w:highlight w:val="none"/>
              </w:rPr>
              <w:t>根据需要确定的中标候选人数量依次</w:t>
            </w:r>
            <w:r>
              <w:rPr>
                <w:rFonts w:hint="eastAsia" w:ascii="宋体" w:hAnsi="宋体" w:cs="宋体"/>
                <w:color w:val="auto"/>
                <w:kern w:val="1"/>
                <w:szCs w:val="21"/>
                <w:highlight w:val="none"/>
                <w:lang w:val="zh-CN"/>
              </w:rPr>
              <w:t>抽取球号，</w:t>
            </w:r>
            <w:r>
              <w:rPr>
                <w:rFonts w:hint="eastAsia" w:ascii="宋体" w:hAnsi="宋体" w:cs="宋体"/>
                <w:color w:val="auto"/>
                <w:kern w:val="1"/>
                <w:szCs w:val="21"/>
                <w:highlight w:val="none"/>
              </w:rPr>
              <w:t>所抽取球号</w:t>
            </w:r>
            <w:r>
              <w:rPr>
                <w:rFonts w:hint="eastAsia" w:ascii="宋体" w:hAnsi="宋体" w:cs="宋体"/>
                <w:color w:val="auto"/>
                <w:kern w:val="1"/>
                <w:szCs w:val="21"/>
                <w:highlight w:val="none"/>
                <w:lang w:val="zh-CN"/>
              </w:rPr>
              <w:t>对应的</w:t>
            </w:r>
            <w:r>
              <w:rPr>
                <w:rFonts w:hint="eastAsia" w:ascii="宋体" w:hAnsi="宋体" w:cs="宋体"/>
                <w:color w:val="auto"/>
                <w:kern w:val="1"/>
                <w:szCs w:val="21"/>
                <w:highlight w:val="none"/>
              </w:rPr>
              <w:t>定标</w:t>
            </w:r>
            <w:r>
              <w:rPr>
                <w:rFonts w:hint="eastAsia" w:ascii="宋体" w:hAnsi="宋体" w:cs="宋体"/>
                <w:color w:val="auto"/>
                <w:kern w:val="1"/>
                <w:szCs w:val="21"/>
                <w:highlight w:val="none"/>
                <w:lang w:val="zh-CN"/>
              </w:rPr>
              <w:t>候选人为</w:t>
            </w:r>
            <w:r>
              <w:rPr>
                <w:rFonts w:hint="eastAsia" w:ascii="宋体" w:hAnsi="宋体" w:cs="宋体"/>
                <w:color w:val="auto"/>
                <w:kern w:val="1"/>
                <w:szCs w:val="21"/>
                <w:highlight w:val="none"/>
              </w:rPr>
              <w:t>中标候选人</w:t>
            </w:r>
            <w:r>
              <w:rPr>
                <w:rFonts w:hint="eastAsia" w:ascii="宋体" w:hAnsi="宋体" w:cs="宋体"/>
                <w:color w:val="auto"/>
                <w:kern w:val="1"/>
                <w:szCs w:val="21"/>
                <w:highlight w:val="none"/>
                <w:lang w:val="zh-CN"/>
              </w:rPr>
              <w:t>；</w:t>
            </w:r>
          </w:p>
          <w:p w14:paraId="507EF0D4">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在抽取过程中，如出现由于工作失误或设备故障影响抽取结果的，抽取</w:t>
            </w:r>
            <w:r>
              <w:rPr>
                <w:rFonts w:hint="eastAsia" w:ascii="宋体" w:hAnsi="宋体" w:cs="宋体"/>
                <w:color w:val="auto"/>
                <w:kern w:val="1"/>
                <w:szCs w:val="21"/>
                <w:highlight w:val="none"/>
              </w:rPr>
              <w:t>结果</w:t>
            </w:r>
            <w:r>
              <w:rPr>
                <w:rFonts w:hint="eastAsia" w:ascii="宋体" w:hAnsi="宋体" w:cs="宋体"/>
                <w:color w:val="auto"/>
                <w:kern w:val="1"/>
                <w:szCs w:val="21"/>
                <w:highlight w:val="none"/>
                <w:lang w:val="zh-CN"/>
              </w:rPr>
              <w:t>无效，应当重新抽取。所有抽球过程实行全程录音录像监控</w:t>
            </w:r>
            <w:r>
              <w:rPr>
                <w:rFonts w:hint="eastAsia" w:ascii="宋体" w:hAnsi="宋体" w:cs="宋体"/>
                <w:color w:val="auto"/>
                <w:kern w:val="1"/>
                <w:szCs w:val="21"/>
                <w:highlight w:val="none"/>
              </w:rPr>
              <w:t>。</w:t>
            </w:r>
          </w:p>
          <w:p w14:paraId="311B4D68">
            <w:pPr>
              <w:autoSpaceDE w:val="0"/>
              <w:autoSpaceDN w:val="0"/>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3.推荐中标人</w:t>
            </w:r>
          </w:p>
          <w:p w14:paraId="4D3FA2FA">
            <w:pPr>
              <w:autoSpaceDE w:val="0"/>
              <w:autoSpaceDN w:val="0"/>
              <w:spacing w:line="300" w:lineRule="auto"/>
              <w:ind w:firstLine="420" w:firstLineChars="200"/>
              <w:jc w:val="left"/>
              <w:rPr>
                <w:rFonts w:ascii="宋体" w:hAnsi="宋体" w:cs="宋体"/>
                <w:color w:val="auto"/>
                <w:kern w:val="1"/>
                <w:szCs w:val="21"/>
                <w:highlight w:val="none"/>
              </w:rPr>
            </w:pPr>
            <w:r>
              <w:rPr>
                <w:rFonts w:hint="eastAsia" w:ascii="宋体" w:hAnsi="宋体" w:cs="宋体"/>
                <w:color w:val="auto"/>
                <w:kern w:val="1"/>
                <w:szCs w:val="21"/>
                <w:highlight w:val="none"/>
              </w:rPr>
              <w:t>定标委员会在中标候选人范围中，根据随机抽取结果推荐中标人。</w:t>
            </w:r>
          </w:p>
          <w:p w14:paraId="4D1C7A4E">
            <w:pPr>
              <w:autoSpaceDE w:val="0"/>
              <w:autoSpaceDN w:val="0"/>
              <w:spacing w:line="300" w:lineRule="auto"/>
              <w:ind w:firstLine="420" w:firstLineChars="200"/>
              <w:jc w:val="left"/>
              <w:rPr>
                <w:rFonts w:cs="宋体"/>
                <w:b/>
                <w:color w:val="auto"/>
                <w:szCs w:val="21"/>
                <w:highlight w:val="none"/>
              </w:rPr>
            </w:pPr>
            <w:r>
              <w:rPr>
                <w:rFonts w:hint="eastAsia" w:ascii="宋体" w:hAnsi="宋体" w:cs="宋体"/>
                <w:color w:val="auto"/>
                <w:kern w:val="1"/>
                <w:szCs w:val="21"/>
                <w:highlight w:val="none"/>
              </w:rPr>
              <w:t>随机抽取工作</w:t>
            </w:r>
            <w:r>
              <w:rPr>
                <w:rFonts w:hint="eastAsia" w:cs="宋体"/>
                <w:color w:val="auto"/>
                <w:szCs w:val="21"/>
                <w:highlight w:val="none"/>
              </w:rPr>
              <w:t>规则如下：</w:t>
            </w:r>
          </w:p>
          <w:p w14:paraId="26358D21">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1</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候选人的投标人代表号即为候选人代表球号；</w:t>
            </w:r>
          </w:p>
          <w:p w14:paraId="17A2EFCD">
            <w:pPr>
              <w:autoSpaceDE w:val="0"/>
              <w:autoSpaceDN w:val="0"/>
              <w:spacing w:line="300" w:lineRule="auto"/>
              <w:ind w:firstLine="420" w:firstLineChars="20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rPr>
              <w:t>2</w:t>
            </w:r>
            <w:r>
              <w:rPr>
                <w:rFonts w:hint="eastAsia" w:ascii="宋体" w:hAnsi="宋体" w:cs="宋体"/>
                <w:color w:val="auto"/>
                <w:kern w:val="1"/>
                <w:szCs w:val="21"/>
                <w:highlight w:val="none"/>
                <w:lang w:val="zh-CN"/>
              </w:rPr>
              <w:t>）由</w:t>
            </w:r>
            <w:r>
              <w:rPr>
                <w:rFonts w:hint="eastAsia" w:ascii="宋体" w:hAnsi="宋体" w:cs="宋体"/>
                <w:color w:val="auto"/>
                <w:kern w:val="1"/>
                <w:szCs w:val="21"/>
                <w:highlight w:val="none"/>
              </w:rPr>
              <w:t>建设单位代表（除定标委员会成员以外）或代建单位代表</w:t>
            </w:r>
            <w:r>
              <w:rPr>
                <w:rFonts w:hint="eastAsia" w:ascii="宋体" w:hAnsi="宋体" w:cs="宋体"/>
                <w:color w:val="auto"/>
                <w:kern w:val="1"/>
                <w:szCs w:val="21"/>
                <w:highlight w:val="none"/>
                <w:lang w:val="zh-CN"/>
              </w:rPr>
              <w:t>在市公共资源交易中心开标区抽取机中放入所有</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候选人代表球号，第1次抽取出的球号对应的</w:t>
            </w:r>
            <w:r>
              <w:rPr>
                <w:rFonts w:hint="eastAsia" w:ascii="宋体" w:hAnsi="宋体" w:cs="宋体"/>
                <w:color w:val="auto"/>
                <w:kern w:val="1"/>
                <w:szCs w:val="21"/>
                <w:highlight w:val="none"/>
              </w:rPr>
              <w:t>中标</w:t>
            </w:r>
            <w:r>
              <w:rPr>
                <w:rFonts w:hint="eastAsia" w:ascii="宋体" w:hAnsi="宋体" w:cs="宋体"/>
                <w:color w:val="auto"/>
                <w:kern w:val="1"/>
                <w:szCs w:val="21"/>
                <w:highlight w:val="none"/>
                <w:lang w:val="zh-CN"/>
              </w:rPr>
              <w:t>候选人为中标人；</w:t>
            </w:r>
          </w:p>
          <w:p w14:paraId="6DA17D62">
            <w:pPr>
              <w:autoSpaceDE w:val="0"/>
              <w:autoSpaceDN w:val="0"/>
              <w:spacing w:line="300" w:lineRule="auto"/>
              <w:ind w:firstLine="420" w:firstLineChars="200"/>
              <w:jc w:val="left"/>
              <w:rPr>
                <w:color w:val="auto"/>
                <w:highlight w:val="none"/>
              </w:rPr>
            </w:pPr>
            <w:r>
              <w:rPr>
                <w:rFonts w:hint="eastAsia" w:ascii="宋体" w:hAnsi="宋体" w:eastAsia="宋体" w:cs="宋体"/>
                <w:color w:val="auto"/>
                <w:kern w:val="1"/>
                <w:szCs w:val="21"/>
                <w:highlight w:val="none"/>
                <w:lang w:val="zh-CN"/>
              </w:rPr>
              <w:t>（</w:t>
            </w:r>
            <w:r>
              <w:rPr>
                <w:rFonts w:hint="eastAsia" w:ascii="宋体" w:hAnsi="宋体" w:eastAsia="宋体" w:cs="宋体"/>
                <w:color w:val="auto"/>
                <w:kern w:val="1"/>
                <w:szCs w:val="21"/>
                <w:highlight w:val="none"/>
              </w:rPr>
              <w:t>3</w:t>
            </w:r>
            <w:r>
              <w:rPr>
                <w:rFonts w:hint="eastAsia" w:ascii="宋体" w:hAnsi="宋体" w:eastAsia="宋体" w:cs="宋体"/>
                <w:color w:val="auto"/>
                <w:kern w:val="1"/>
                <w:szCs w:val="21"/>
                <w:highlight w:val="none"/>
                <w:lang w:val="zh-CN"/>
              </w:rPr>
              <w:t>）在抽取过程中，如出现由于工作失误或设备故障影响抽取结果的，抽取</w:t>
            </w:r>
            <w:r>
              <w:rPr>
                <w:rFonts w:hint="eastAsia" w:ascii="宋体" w:hAnsi="宋体" w:eastAsia="宋体" w:cs="宋体"/>
                <w:color w:val="auto"/>
                <w:kern w:val="1"/>
                <w:szCs w:val="21"/>
                <w:highlight w:val="none"/>
              </w:rPr>
              <w:t>结果</w:t>
            </w:r>
            <w:r>
              <w:rPr>
                <w:rFonts w:hint="eastAsia" w:ascii="宋体" w:hAnsi="宋体" w:eastAsia="宋体" w:cs="宋体"/>
                <w:color w:val="auto"/>
                <w:kern w:val="1"/>
                <w:szCs w:val="21"/>
                <w:highlight w:val="none"/>
                <w:lang w:val="zh-CN"/>
              </w:rPr>
              <w:t>无效，应当重新抽取。所有抽球过程实行全程录音录像监控。</w:t>
            </w:r>
          </w:p>
        </w:tc>
      </w:tr>
      <w:tr w14:paraId="5130E6F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vAlign w:val="center"/>
          </w:tcPr>
          <w:p w14:paraId="05E0E263">
            <w:pPr>
              <w:autoSpaceDE w:val="0"/>
              <w:autoSpaceDN w:val="0"/>
              <w:spacing w:line="300" w:lineRule="auto"/>
              <w:jc w:val="center"/>
              <w:rPr>
                <w:rFonts w:cs="宋体"/>
                <w:color w:val="auto"/>
                <w:kern w:val="1"/>
                <w:szCs w:val="21"/>
                <w:highlight w:val="none"/>
              </w:rPr>
            </w:pPr>
          </w:p>
        </w:tc>
        <w:tc>
          <w:tcPr>
            <w:tcW w:w="905" w:type="dxa"/>
            <w:vMerge w:val="continue"/>
            <w:vAlign w:val="center"/>
          </w:tcPr>
          <w:p w14:paraId="640388F5">
            <w:pPr>
              <w:autoSpaceDE w:val="0"/>
              <w:autoSpaceDN w:val="0"/>
              <w:spacing w:line="300" w:lineRule="auto"/>
              <w:jc w:val="center"/>
              <w:rPr>
                <w:rFonts w:cs="宋体"/>
                <w:color w:val="auto"/>
                <w:kern w:val="1"/>
                <w:szCs w:val="21"/>
                <w:highlight w:val="none"/>
              </w:rPr>
            </w:pPr>
          </w:p>
        </w:tc>
        <w:tc>
          <w:tcPr>
            <w:tcW w:w="1510" w:type="dxa"/>
            <w:vAlign w:val="center"/>
          </w:tcPr>
          <w:p w14:paraId="352067AC">
            <w:pPr>
              <w:autoSpaceDE w:val="0"/>
              <w:autoSpaceDN w:val="0"/>
              <w:spacing w:line="300" w:lineRule="auto"/>
              <w:jc w:val="center"/>
              <w:rPr>
                <w:color w:val="auto"/>
                <w:kern w:val="0"/>
                <w:szCs w:val="21"/>
                <w:highlight w:val="none"/>
                <w:lang w:val="zh-CN"/>
              </w:rPr>
            </w:pPr>
            <w:r>
              <w:rPr>
                <w:rFonts w:hint="eastAsia" w:ascii="宋体" w:hAnsi="宋体" w:cs="宋体"/>
                <w:color w:val="auto"/>
                <w:szCs w:val="21"/>
                <w:highlight w:val="none"/>
                <w:lang w:val="zh-CN" w:bidi="zh-CN"/>
              </w:rPr>
              <w:t>□</w:t>
            </w:r>
            <w:r>
              <w:rPr>
                <w:rFonts w:hint="eastAsia" w:cs="宋体"/>
                <w:color w:val="auto"/>
                <w:szCs w:val="21"/>
                <w:highlight w:val="none"/>
                <w:lang w:bidi="zh-CN"/>
              </w:rPr>
              <w:t>在“</w:t>
            </w:r>
            <w:r>
              <w:rPr>
                <w:rFonts w:hint="eastAsia" w:ascii="宋体" w:hAnsi="宋体" w:cs="宋体"/>
                <w:color w:val="auto"/>
                <w:szCs w:val="21"/>
                <w:highlight w:val="none"/>
              </w:rPr>
              <w:t>高分低价法</w:t>
            </w:r>
            <w:r>
              <w:rPr>
                <w:rFonts w:hint="eastAsia" w:cs="宋体"/>
                <w:color w:val="auto"/>
                <w:szCs w:val="21"/>
                <w:highlight w:val="none"/>
                <w:lang w:bidi="zh-CN"/>
              </w:rPr>
              <w:t>”、“</w:t>
            </w:r>
            <w:r>
              <w:rPr>
                <w:rFonts w:hint="eastAsia" w:ascii="宋体" w:hAnsi="宋体" w:cs="宋体"/>
                <w:color w:val="auto"/>
                <w:szCs w:val="21"/>
                <w:highlight w:val="none"/>
              </w:rPr>
              <w:t>高分随机法</w:t>
            </w:r>
            <w:r>
              <w:rPr>
                <w:rFonts w:hint="eastAsia" w:cs="宋体"/>
                <w:color w:val="auto"/>
                <w:szCs w:val="21"/>
                <w:highlight w:val="none"/>
                <w:lang w:bidi="zh-CN"/>
              </w:rPr>
              <w:t>”、“</w:t>
            </w:r>
            <w:r>
              <w:rPr>
                <w:rFonts w:hint="eastAsia" w:ascii="宋体" w:hAnsi="宋体" w:cs="宋体"/>
                <w:color w:val="auto"/>
                <w:szCs w:val="21"/>
                <w:highlight w:val="none"/>
              </w:rPr>
              <w:t>低价随机法</w:t>
            </w:r>
            <w:r>
              <w:rPr>
                <w:rFonts w:hint="eastAsia" w:cs="宋体"/>
                <w:color w:val="auto"/>
                <w:szCs w:val="21"/>
                <w:highlight w:val="none"/>
                <w:lang w:bidi="zh-CN"/>
              </w:rPr>
              <w:t>”</w:t>
            </w:r>
            <w:r>
              <w:rPr>
                <w:rFonts w:hint="eastAsia" w:cs="宋体"/>
                <w:color w:val="auto"/>
                <w:szCs w:val="21"/>
                <w:highlight w:val="none"/>
              </w:rPr>
              <w:t>中</w:t>
            </w:r>
            <w:r>
              <w:rPr>
                <w:rFonts w:hint="eastAsia" w:ascii="宋体" w:hAnsi="宋体" w:cs="宋体"/>
                <w:color w:val="auto"/>
                <w:szCs w:val="21"/>
                <w:highlight w:val="none"/>
              </w:rPr>
              <w:t>随机抽取</w:t>
            </w:r>
          </w:p>
        </w:tc>
        <w:tc>
          <w:tcPr>
            <w:tcW w:w="10805" w:type="dxa"/>
            <w:gridSpan w:val="4"/>
            <w:tcBorders>
              <w:bottom w:val="single" w:color="auto" w:sz="4" w:space="0"/>
            </w:tcBorders>
            <w:vAlign w:val="center"/>
          </w:tcPr>
          <w:p w14:paraId="6B64B85D">
            <w:pPr>
              <w:autoSpaceDE w:val="0"/>
              <w:autoSpaceDN w:val="0"/>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随机抽取工作规则如下：</w:t>
            </w:r>
          </w:p>
          <w:p w14:paraId="2781C67E">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w:t>
            </w:r>
            <w:r>
              <w:rPr>
                <w:rFonts w:hint="eastAsia" w:ascii="宋体" w:hAnsi="宋体" w:cs="宋体"/>
                <w:color w:val="auto"/>
                <w:szCs w:val="21"/>
                <w:highlight w:val="none"/>
              </w:rPr>
              <w:t>“高分低价法”、“高分随机法”、“低价随机法”</w:t>
            </w:r>
            <w:r>
              <w:rPr>
                <w:rFonts w:hint="eastAsia" w:ascii="宋体" w:hAnsi="宋体" w:cs="宋体"/>
                <w:color w:val="auto"/>
                <w:szCs w:val="21"/>
                <w:highlight w:val="none"/>
                <w:lang w:val="zh-CN"/>
              </w:rPr>
              <w:t>代表球号</w:t>
            </w:r>
            <w:r>
              <w:rPr>
                <w:rFonts w:hint="eastAsia" w:ascii="宋体" w:hAnsi="宋体" w:cs="宋体"/>
                <w:color w:val="auto"/>
                <w:szCs w:val="21"/>
                <w:highlight w:val="none"/>
              </w:rPr>
              <w:t>分别为1、2、3</w:t>
            </w:r>
            <w:r>
              <w:rPr>
                <w:rFonts w:hint="eastAsia" w:ascii="宋体" w:hAnsi="宋体" w:cs="宋体"/>
                <w:color w:val="auto"/>
                <w:szCs w:val="21"/>
                <w:highlight w:val="none"/>
                <w:lang w:val="zh-CN"/>
              </w:rPr>
              <w:t>；</w:t>
            </w:r>
          </w:p>
          <w:p w14:paraId="09E0F91A">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）由</w:t>
            </w:r>
            <w:r>
              <w:rPr>
                <w:rFonts w:hint="eastAsia" w:ascii="宋体" w:hAnsi="宋体" w:cs="宋体"/>
                <w:color w:val="auto"/>
                <w:szCs w:val="21"/>
                <w:highlight w:val="none"/>
              </w:rPr>
              <w:t>建设单位代表（除定标委员会成员以外）或代建单位代表</w:t>
            </w:r>
            <w:r>
              <w:rPr>
                <w:rFonts w:hint="eastAsia" w:ascii="宋体" w:hAnsi="宋体" w:cs="宋体"/>
                <w:color w:val="auto"/>
                <w:szCs w:val="21"/>
                <w:highlight w:val="none"/>
                <w:lang w:val="zh-CN"/>
              </w:rPr>
              <w:t>在市公共资源交易中心开标区抽取机中放入所有</w:t>
            </w:r>
            <w:r>
              <w:rPr>
                <w:rFonts w:hint="eastAsia" w:ascii="宋体" w:hAnsi="宋体" w:cs="宋体"/>
                <w:color w:val="auto"/>
                <w:szCs w:val="21"/>
                <w:highlight w:val="none"/>
              </w:rPr>
              <w:t>定标方法</w:t>
            </w:r>
            <w:r>
              <w:rPr>
                <w:rFonts w:hint="eastAsia" w:ascii="宋体" w:hAnsi="宋体" w:cs="宋体"/>
                <w:color w:val="auto"/>
                <w:szCs w:val="21"/>
                <w:highlight w:val="none"/>
                <w:lang w:val="zh-CN"/>
              </w:rPr>
              <w:t>代表球号，第1次抽取出的球号对应的</w:t>
            </w:r>
            <w:r>
              <w:rPr>
                <w:rFonts w:hint="eastAsia" w:ascii="宋体" w:hAnsi="宋体" w:cs="宋体"/>
                <w:color w:val="auto"/>
                <w:szCs w:val="21"/>
                <w:highlight w:val="none"/>
              </w:rPr>
              <w:t>定标方法即为定标委员会应当使用的定标方法</w:t>
            </w:r>
            <w:r>
              <w:rPr>
                <w:rFonts w:hint="eastAsia" w:ascii="宋体" w:hAnsi="宋体" w:cs="宋体"/>
                <w:color w:val="auto"/>
                <w:szCs w:val="21"/>
                <w:highlight w:val="none"/>
                <w:lang w:val="zh-CN"/>
              </w:rPr>
              <w:t>；</w:t>
            </w:r>
          </w:p>
          <w:p w14:paraId="1E07A79C">
            <w:pPr>
              <w:autoSpaceDE w:val="0"/>
              <w:autoSpaceDN w:val="0"/>
              <w:spacing w:line="300" w:lineRule="auto"/>
              <w:ind w:firstLine="420" w:firstLineChars="200"/>
              <w:jc w:val="left"/>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）在抽取过程中，如出现由于工作失误或设备故障影响抽取结果的，抽取</w:t>
            </w:r>
            <w:r>
              <w:rPr>
                <w:rFonts w:hint="eastAsia" w:ascii="宋体" w:hAnsi="宋体" w:cs="宋体"/>
                <w:color w:val="auto"/>
                <w:szCs w:val="21"/>
                <w:highlight w:val="none"/>
              </w:rPr>
              <w:t>结果</w:t>
            </w:r>
            <w:r>
              <w:rPr>
                <w:rFonts w:hint="eastAsia" w:ascii="宋体" w:hAnsi="宋体" w:cs="宋体"/>
                <w:color w:val="auto"/>
                <w:szCs w:val="21"/>
                <w:highlight w:val="none"/>
                <w:lang w:val="zh-CN"/>
              </w:rPr>
              <w:t>无效，应当重新抽取。所有抽球过程实行全程录音录像监控。</w:t>
            </w:r>
          </w:p>
          <w:p w14:paraId="334B4013">
            <w:pPr>
              <w:pStyle w:val="49"/>
              <w:rPr>
                <w:color w:val="auto"/>
                <w:highlight w:val="none"/>
              </w:rPr>
            </w:pPr>
            <w:r>
              <w:rPr>
                <w:rFonts w:hint="eastAsia" w:ascii="宋体" w:hAnsi="宋体" w:eastAsia="宋体" w:cs="宋体"/>
                <w:color w:val="auto"/>
                <w:szCs w:val="21"/>
                <w:highlight w:val="none"/>
              </w:rPr>
              <w:t xml:space="preserve">    （4）“高分低价法”、“高分随机法”、“低价随机法”具体内容详见定标方案前附表第4项规定。</w:t>
            </w:r>
          </w:p>
        </w:tc>
      </w:tr>
    </w:tbl>
    <w:p w14:paraId="040F4A49">
      <w:pPr>
        <w:keepNext/>
        <w:keepLines/>
        <w:widowControl/>
        <w:spacing w:before="317" w:beforeLines="100" w:after="317" w:afterLines="100" w:line="360" w:lineRule="auto"/>
        <w:outlineLvl w:val="1"/>
        <w:rPr>
          <w:rFonts w:ascii="黑体" w:hAnsi="黑体" w:eastAsia="黑体"/>
          <w:color w:val="auto"/>
          <w:kern w:val="1"/>
          <w:szCs w:val="21"/>
          <w:highlight w:val="none"/>
        </w:rPr>
        <w:sectPr>
          <w:pgSz w:w="16838" w:h="11905" w:orient="landscape"/>
          <w:pgMar w:top="1417" w:right="1440" w:bottom="1417" w:left="1440" w:header="850" w:footer="992" w:gutter="0"/>
          <w:cols w:space="720" w:num="1"/>
          <w:docGrid w:type="lines" w:linePitch="317" w:charSpace="0"/>
        </w:sectPr>
      </w:pPr>
    </w:p>
    <w:p w14:paraId="5DAE6F09">
      <w:pPr>
        <w:pStyle w:val="38"/>
        <w:ind w:firstLine="523"/>
        <w:rPr>
          <w:color w:val="auto"/>
          <w:highlight w:val="none"/>
        </w:rPr>
      </w:pPr>
    </w:p>
    <w:p w14:paraId="73A93907">
      <w:pPr>
        <w:keepNext/>
        <w:keepLines/>
        <w:widowControl/>
        <w:spacing w:before="240" w:beforeLines="100" w:after="240" w:afterLines="100" w:line="360" w:lineRule="auto"/>
        <w:outlineLvl w:val="1"/>
        <w:rPr>
          <w:rFonts w:cs="宋体"/>
          <w:b/>
          <w:color w:val="auto"/>
          <w:highlight w:val="none"/>
        </w:rPr>
      </w:pPr>
      <w:bookmarkStart w:id="966" w:name="_Toc22027"/>
      <w:r>
        <w:rPr>
          <w:rFonts w:hint="eastAsia" w:ascii="黑体" w:hAnsi="黑体" w:eastAsia="黑体"/>
          <w:color w:val="auto"/>
          <w:kern w:val="1"/>
          <w:szCs w:val="21"/>
          <w:highlight w:val="none"/>
        </w:rPr>
        <w:t>定标方案附件：</w:t>
      </w:r>
      <w:r>
        <w:rPr>
          <w:rFonts w:hint="eastAsia" w:cs="宋体"/>
          <w:color w:val="auto"/>
          <w:kern w:val="0"/>
          <w:szCs w:val="21"/>
          <w:highlight w:val="none"/>
        </w:rPr>
        <w:t>报价下浮率满分区间</w:t>
      </w:r>
      <w:bookmarkEnd w:id="966"/>
    </w:p>
    <w:tbl>
      <w:tblPr>
        <w:tblStyle w:val="39"/>
        <w:tblW w:w="0" w:type="auto"/>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55"/>
        <w:gridCol w:w="1359"/>
        <w:gridCol w:w="1503"/>
        <w:gridCol w:w="7300"/>
        <w:gridCol w:w="2822"/>
      </w:tblGrid>
      <w:tr w14:paraId="56E1E79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2" w:hRule="atLeast"/>
        </w:trPr>
        <w:tc>
          <w:tcPr>
            <w:tcW w:w="955" w:type="dxa"/>
            <w:tcBorders>
              <w:bottom w:val="single" w:color="auto" w:sz="4" w:space="0"/>
            </w:tcBorders>
            <w:vAlign w:val="center"/>
          </w:tcPr>
          <w:p w14:paraId="27EBECAB">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359" w:type="dxa"/>
            <w:tcBorders>
              <w:bottom w:val="single" w:color="auto" w:sz="4" w:space="0"/>
            </w:tcBorders>
            <w:vAlign w:val="center"/>
          </w:tcPr>
          <w:p w14:paraId="030CDDAE">
            <w:pPr>
              <w:spacing w:line="300" w:lineRule="auto"/>
              <w:jc w:val="center"/>
              <w:rPr>
                <w:rFonts w:cs="宋体"/>
                <w:b/>
                <w:color w:val="auto"/>
                <w:kern w:val="1"/>
                <w:szCs w:val="21"/>
                <w:highlight w:val="none"/>
              </w:rPr>
            </w:pPr>
            <w:r>
              <w:rPr>
                <w:rFonts w:hint="eastAsia" w:cs="宋体"/>
                <w:b/>
                <w:color w:val="auto"/>
                <w:kern w:val="1"/>
                <w:szCs w:val="21"/>
                <w:highlight w:val="none"/>
              </w:rPr>
              <w:t>定标要素</w:t>
            </w:r>
          </w:p>
        </w:tc>
        <w:tc>
          <w:tcPr>
            <w:tcW w:w="1503" w:type="dxa"/>
            <w:tcBorders>
              <w:right w:val="single" w:color="auto" w:sz="4" w:space="0"/>
            </w:tcBorders>
            <w:vAlign w:val="center"/>
          </w:tcPr>
          <w:p w14:paraId="47ACEE2A">
            <w:pPr>
              <w:spacing w:line="300" w:lineRule="auto"/>
              <w:jc w:val="center"/>
              <w:rPr>
                <w:rFonts w:cs="宋体"/>
                <w:b/>
                <w:color w:val="auto"/>
                <w:kern w:val="1"/>
                <w:szCs w:val="21"/>
                <w:highlight w:val="none"/>
              </w:rPr>
            </w:pPr>
            <w:r>
              <w:rPr>
                <w:rFonts w:hint="eastAsia" w:cs="宋体"/>
                <w:b/>
                <w:color w:val="auto"/>
                <w:kern w:val="1"/>
                <w:szCs w:val="21"/>
                <w:highlight w:val="none"/>
              </w:rPr>
              <w:t>子要素内容</w:t>
            </w:r>
          </w:p>
        </w:tc>
        <w:tc>
          <w:tcPr>
            <w:tcW w:w="7300" w:type="dxa"/>
            <w:tcBorders>
              <w:left w:val="single" w:color="auto" w:sz="4" w:space="0"/>
              <w:right w:val="single" w:color="auto" w:sz="4" w:space="0"/>
            </w:tcBorders>
            <w:vAlign w:val="center"/>
          </w:tcPr>
          <w:p w14:paraId="040C4B4B">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w:t>
            </w:r>
          </w:p>
        </w:tc>
        <w:tc>
          <w:tcPr>
            <w:tcW w:w="2822" w:type="dxa"/>
            <w:tcBorders>
              <w:left w:val="single" w:color="auto" w:sz="4" w:space="0"/>
            </w:tcBorders>
            <w:vAlign w:val="center"/>
          </w:tcPr>
          <w:p w14:paraId="5F859FD4">
            <w:pPr>
              <w:spacing w:line="300" w:lineRule="auto"/>
              <w:jc w:val="center"/>
              <w:rPr>
                <w:rFonts w:cs="宋体"/>
                <w:b/>
                <w:color w:val="auto"/>
                <w:kern w:val="1"/>
                <w:szCs w:val="21"/>
                <w:highlight w:val="none"/>
              </w:rPr>
            </w:pPr>
            <w:r>
              <w:rPr>
                <w:rFonts w:hint="eastAsia" w:ascii="宋体" w:hAnsi="宋体" w:cs="宋体"/>
                <w:b/>
                <w:color w:val="auto"/>
                <w:kern w:val="1"/>
                <w:szCs w:val="21"/>
                <w:highlight w:val="none"/>
              </w:rPr>
              <w:t>设置理由</w:t>
            </w:r>
          </w:p>
        </w:tc>
      </w:tr>
      <w:tr w14:paraId="7C6430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31" w:hRule="atLeast"/>
        </w:trPr>
        <w:tc>
          <w:tcPr>
            <w:tcW w:w="955" w:type="dxa"/>
            <w:vAlign w:val="center"/>
          </w:tcPr>
          <w:p w14:paraId="30A1F05B">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359" w:type="dxa"/>
            <w:vAlign w:val="center"/>
          </w:tcPr>
          <w:p w14:paraId="16DF71FE">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报价要素</w:t>
            </w:r>
          </w:p>
        </w:tc>
        <w:tc>
          <w:tcPr>
            <w:tcW w:w="1503" w:type="dxa"/>
            <w:tcBorders>
              <w:right w:val="single" w:color="auto" w:sz="4" w:space="0"/>
            </w:tcBorders>
            <w:vAlign w:val="center"/>
          </w:tcPr>
          <w:p w14:paraId="4745CB8E">
            <w:pPr>
              <w:autoSpaceDE w:val="0"/>
              <w:autoSpaceDN w:val="0"/>
              <w:spacing w:line="360" w:lineRule="auto"/>
              <w:jc w:val="center"/>
              <w:rPr>
                <w:color w:val="auto"/>
                <w:sz w:val="18"/>
                <w:szCs w:val="18"/>
                <w:highlight w:val="none"/>
              </w:rPr>
            </w:pPr>
            <w:r>
              <w:rPr>
                <w:rFonts w:hint="eastAsia" w:ascii="宋体"/>
                <w:color w:val="auto"/>
                <w:szCs w:val="21"/>
                <w:highlight w:val="none"/>
              </w:rPr>
              <w:t>报价下浮率：</w:t>
            </w:r>
          </w:p>
        </w:tc>
        <w:tc>
          <w:tcPr>
            <w:tcW w:w="7300" w:type="dxa"/>
            <w:tcBorders>
              <w:left w:val="single" w:color="auto" w:sz="4" w:space="0"/>
              <w:right w:val="single" w:color="auto" w:sz="4" w:space="0"/>
            </w:tcBorders>
            <w:vAlign w:val="center"/>
          </w:tcPr>
          <w:p w14:paraId="67A5115E">
            <w:pPr>
              <w:autoSpaceDE w:val="0"/>
              <w:autoSpaceDN w:val="0"/>
              <w:ind w:firstLine="420" w:firstLineChars="200"/>
              <w:jc w:val="left"/>
              <w:rPr>
                <w:color w:val="auto"/>
                <w:sz w:val="18"/>
                <w:szCs w:val="18"/>
                <w:highlight w:val="none"/>
              </w:rPr>
            </w:pPr>
            <w:r>
              <w:rPr>
                <w:rFonts w:hint="eastAsia" w:asciiTheme="minorEastAsia" w:hAnsiTheme="minorEastAsia" w:eastAsiaTheme="minorEastAsia" w:cstheme="minorEastAsia"/>
                <w:color w:val="auto"/>
                <w:kern w:val="0"/>
                <w:szCs w:val="21"/>
                <w:highlight w:val="none"/>
              </w:rPr>
              <w:t>在</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%（含）-</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%（不含）区间随机抽取报价下浮率满分区间中值K。</w:t>
            </w:r>
          </w:p>
        </w:tc>
        <w:tc>
          <w:tcPr>
            <w:tcW w:w="2822" w:type="dxa"/>
            <w:tcBorders>
              <w:left w:val="single" w:color="auto" w:sz="4" w:space="0"/>
              <w:bottom w:val="single" w:color="auto" w:sz="4" w:space="0"/>
            </w:tcBorders>
            <w:vAlign w:val="center"/>
          </w:tcPr>
          <w:p w14:paraId="46406A7D">
            <w:pPr>
              <w:autoSpaceDE w:val="0"/>
              <w:autoSpaceDN w:val="0"/>
              <w:spacing w:line="360" w:lineRule="auto"/>
              <w:jc w:val="center"/>
              <w:rPr>
                <w:color w:val="auto"/>
                <w:sz w:val="18"/>
                <w:szCs w:val="18"/>
                <w:highlight w:val="none"/>
              </w:rPr>
            </w:pPr>
          </w:p>
        </w:tc>
      </w:tr>
    </w:tbl>
    <w:p w14:paraId="096F3A4D">
      <w:pPr>
        <w:keepNext/>
        <w:keepLines/>
        <w:widowControl/>
        <w:spacing w:before="240" w:beforeLines="100" w:after="240" w:afterLines="100" w:line="360" w:lineRule="auto"/>
        <w:outlineLvl w:val="1"/>
        <w:rPr>
          <w:rFonts w:ascii="黑体" w:hAnsi="黑体" w:eastAsia="黑体"/>
          <w:color w:val="auto"/>
          <w:kern w:val="1"/>
          <w:szCs w:val="21"/>
          <w:highlight w:val="none"/>
        </w:rPr>
        <w:sectPr>
          <w:footnotePr>
            <w:numFmt w:val="decimalEnclosedCircleChinese"/>
            <w:numRestart w:val="eachPage"/>
          </w:footnotePr>
          <w:pgSz w:w="16838" w:h="11906" w:orient="landscape"/>
          <w:pgMar w:top="1134" w:right="1440" w:bottom="992" w:left="1440" w:header="850" w:footer="992" w:gutter="0"/>
          <w:cols w:space="0" w:num="1"/>
          <w:docGrid w:linePitch="312" w:charSpace="0"/>
        </w:sectPr>
      </w:pPr>
    </w:p>
    <w:p w14:paraId="0A27CC48">
      <w:pPr>
        <w:keepNext/>
        <w:keepLines/>
        <w:widowControl/>
        <w:spacing w:before="317" w:beforeLines="100" w:after="317" w:afterLines="100" w:line="360" w:lineRule="auto"/>
        <w:outlineLvl w:val="1"/>
        <w:rPr>
          <w:rFonts w:cs="宋体"/>
          <w:b/>
          <w:color w:val="auto"/>
          <w:highlight w:val="none"/>
        </w:rPr>
      </w:pPr>
      <w:r>
        <w:rPr>
          <w:rFonts w:hint="eastAsia" w:ascii="黑体" w:hAnsi="黑体" w:eastAsia="黑体"/>
          <w:color w:val="auto"/>
          <w:kern w:val="1"/>
          <w:szCs w:val="21"/>
          <w:highlight w:val="none"/>
        </w:rPr>
        <w:t>定标方案附件</w:t>
      </w:r>
      <w:r>
        <w:rPr>
          <w:rFonts w:hint="eastAsia" w:ascii="宋体" w:hAnsi="宋体" w:cs="宋体"/>
          <w:color w:val="auto"/>
          <w:szCs w:val="21"/>
          <w:highlight w:val="none"/>
        </w:rPr>
        <w:t>：陈述答辩</w:t>
      </w:r>
      <w:r>
        <w:rPr>
          <w:rFonts w:hint="eastAsia" w:ascii="宋体" w:hAnsi="宋体" w:cs="宋体"/>
          <w:color w:val="auto"/>
          <w:szCs w:val="21"/>
          <w:highlight w:val="none"/>
          <w:lang w:val="en-US" w:eastAsia="zh-CN"/>
        </w:rPr>
        <w:t>考核方案</w:t>
      </w:r>
    </w:p>
    <w:tbl>
      <w:tblPr>
        <w:tblStyle w:val="39"/>
        <w:tblW w:w="9311"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1426"/>
        <w:gridCol w:w="5352"/>
        <w:gridCol w:w="1588"/>
      </w:tblGrid>
      <w:tr w14:paraId="43A353E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2" w:hRule="atLeast"/>
        </w:trPr>
        <w:tc>
          <w:tcPr>
            <w:tcW w:w="945" w:type="dxa"/>
            <w:tcBorders>
              <w:bottom w:val="single" w:color="auto" w:sz="4" w:space="0"/>
            </w:tcBorders>
            <w:vAlign w:val="center"/>
          </w:tcPr>
          <w:p w14:paraId="483A527C">
            <w:pPr>
              <w:spacing w:line="300" w:lineRule="auto"/>
              <w:jc w:val="center"/>
              <w:rPr>
                <w:rFonts w:cs="宋体"/>
                <w:b/>
                <w:color w:val="auto"/>
                <w:kern w:val="1"/>
                <w:szCs w:val="21"/>
                <w:highlight w:val="none"/>
              </w:rPr>
            </w:pPr>
            <w:r>
              <w:rPr>
                <w:rFonts w:hint="eastAsia" w:cs="宋体"/>
                <w:b/>
                <w:color w:val="auto"/>
                <w:kern w:val="1"/>
                <w:szCs w:val="21"/>
                <w:highlight w:val="none"/>
              </w:rPr>
              <w:t>条款号</w:t>
            </w:r>
          </w:p>
        </w:tc>
        <w:tc>
          <w:tcPr>
            <w:tcW w:w="1426" w:type="dxa"/>
            <w:tcBorders>
              <w:bottom w:val="single" w:color="auto" w:sz="4" w:space="0"/>
            </w:tcBorders>
            <w:vAlign w:val="center"/>
          </w:tcPr>
          <w:p w14:paraId="67CCA165">
            <w:pPr>
              <w:spacing w:line="300" w:lineRule="auto"/>
              <w:jc w:val="center"/>
              <w:rPr>
                <w:rFonts w:cs="宋体"/>
                <w:b/>
                <w:color w:val="auto"/>
                <w:kern w:val="1"/>
                <w:szCs w:val="21"/>
                <w:highlight w:val="none"/>
              </w:rPr>
            </w:pPr>
            <w:r>
              <w:rPr>
                <w:rFonts w:hint="eastAsia" w:cs="宋体"/>
                <w:b/>
                <w:color w:val="auto"/>
                <w:kern w:val="1"/>
                <w:szCs w:val="21"/>
                <w:highlight w:val="none"/>
              </w:rPr>
              <w:t>定标要素</w:t>
            </w:r>
          </w:p>
        </w:tc>
        <w:tc>
          <w:tcPr>
            <w:tcW w:w="5352" w:type="dxa"/>
            <w:tcBorders>
              <w:left w:val="single" w:color="auto" w:sz="4" w:space="0"/>
              <w:right w:val="single" w:color="auto" w:sz="4" w:space="0"/>
            </w:tcBorders>
            <w:vAlign w:val="center"/>
          </w:tcPr>
          <w:p w14:paraId="04D358F0">
            <w:pPr>
              <w:spacing w:line="300" w:lineRule="auto"/>
              <w:ind w:firstLine="340"/>
              <w:jc w:val="center"/>
              <w:rPr>
                <w:rFonts w:cs="宋体"/>
                <w:b/>
                <w:color w:val="auto"/>
                <w:kern w:val="1"/>
                <w:szCs w:val="21"/>
                <w:highlight w:val="none"/>
              </w:rPr>
            </w:pPr>
            <w:r>
              <w:rPr>
                <w:rFonts w:hint="eastAsia" w:cs="宋体"/>
                <w:b/>
                <w:color w:val="auto"/>
                <w:kern w:val="1"/>
                <w:szCs w:val="21"/>
                <w:highlight w:val="none"/>
              </w:rPr>
              <w:t>评审标准</w:t>
            </w:r>
          </w:p>
        </w:tc>
        <w:tc>
          <w:tcPr>
            <w:tcW w:w="1588" w:type="dxa"/>
            <w:tcBorders>
              <w:left w:val="single" w:color="auto" w:sz="4" w:space="0"/>
              <w:right w:val="single" w:color="auto" w:sz="4" w:space="0"/>
            </w:tcBorders>
            <w:vAlign w:val="center"/>
          </w:tcPr>
          <w:p w14:paraId="4AE16F5E">
            <w:pPr>
              <w:spacing w:line="300" w:lineRule="auto"/>
              <w:jc w:val="center"/>
              <w:rPr>
                <w:rFonts w:cs="宋体"/>
                <w:b/>
                <w:color w:val="auto"/>
                <w:kern w:val="1"/>
                <w:szCs w:val="21"/>
                <w:highlight w:val="none"/>
              </w:rPr>
            </w:pPr>
            <w:r>
              <w:rPr>
                <w:rFonts w:hint="eastAsia" w:cs="宋体"/>
                <w:b/>
                <w:color w:val="auto"/>
                <w:kern w:val="1"/>
                <w:szCs w:val="21"/>
                <w:highlight w:val="none"/>
              </w:rPr>
              <w:t>权重</w:t>
            </w:r>
            <w:r>
              <w:rPr>
                <w:rStyle w:val="48"/>
                <w:rFonts w:hint="eastAsia" w:cs="宋体"/>
                <w:b/>
                <w:color w:val="auto"/>
                <w:kern w:val="1"/>
                <w:szCs w:val="21"/>
                <w:highlight w:val="none"/>
              </w:rPr>
              <w:footnoteReference w:id="12"/>
            </w:r>
          </w:p>
        </w:tc>
      </w:tr>
      <w:tr w14:paraId="2E60AF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408" w:hRule="atLeast"/>
        </w:trPr>
        <w:tc>
          <w:tcPr>
            <w:tcW w:w="945" w:type="dxa"/>
            <w:vMerge w:val="restart"/>
            <w:vAlign w:val="center"/>
          </w:tcPr>
          <w:p w14:paraId="2028A0AB">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3.2.2</w:t>
            </w:r>
          </w:p>
        </w:tc>
        <w:tc>
          <w:tcPr>
            <w:tcW w:w="1426" w:type="dxa"/>
            <w:vMerge w:val="restart"/>
            <w:vAlign w:val="center"/>
          </w:tcPr>
          <w:p w14:paraId="4BEDC66E">
            <w:pPr>
              <w:autoSpaceDE w:val="0"/>
              <w:autoSpaceDN w:val="0"/>
              <w:spacing w:line="300" w:lineRule="auto"/>
              <w:jc w:val="center"/>
              <w:rPr>
                <w:rFonts w:cs="宋体"/>
                <w:color w:val="auto"/>
                <w:kern w:val="1"/>
                <w:szCs w:val="21"/>
                <w:highlight w:val="none"/>
              </w:rPr>
            </w:pPr>
            <w:r>
              <w:rPr>
                <w:rFonts w:hint="eastAsia" w:cs="宋体"/>
                <w:color w:val="auto"/>
                <w:kern w:val="1"/>
                <w:szCs w:val="21"/>
                <w:highlight w:val="none"/>
              </w:rPr>
              <w:t>项目负责人陈述答辩</w:t>
            </w:r>
          </w:p>
        </w:tc>
        <w:tc>
          <w:tcPr>
            <w:tcW w:w="5352" w:type="dxa"/>
            <w:tcBorders>
              <w:left w:val="single" w:color="auto" w:sz="4" w:space="0"/>
              <w:right w:val="single" w:color="auto" w:sz="4" w:space="0"/>
            </w:tcBorders>
            <w:vAlign w:val="center"/>
          </w:tcPr>
          <w:p w14:paraId="2F4C1725">
            <w:pPr>
              <w:autoSpaceDE w:val="0"/>
              <w:autoSpaceDN w:val="0"/>
              <w:spacing w:before="158" w:beforeLines="50" w:after="158" w:afterLines="50"/>
              <w:ind w:firstLine="420" w:firstLineChars="200"/>
              <w:jc w:val="left"/>
              <w:rPr>
                <w:rFonts w:ascii="宋体" w:hAnsi="宋体" w:cs="宋体"/>
                <w:color w:val="auto"/>
                <w:kern w:val="0"/>
                <w:szCs w:val="21"/>
                <w:highlight w:val="none"/>
              </w:rPr>
            </w:pPr>
            <w:r>
              <w:rPr>
                <w:rFonts w:hint="eastAsia" w:ascii="黑体" w:hAnsi="黑体" w:eastAsia="黑体" w:cs="黑体"/>
                <w:color w:val="auto"/>
                <w:kern w:val="0"/>
                <w:szCs w:val="21"/>
                <w:highlight w:val="none"/>
              </w:rPr>
              <w:t>1.重难点的把握及解决方案陈述</w:t>
            </w:r>
          </w:p>
          <w:p w14:paraId="60A78BB2">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rPr>
              <w:t>评审标准：</w:t>
            </w:r>
            <w:r>
              <w:rPr>
                <w:rFonts w:hint="eastAsia" w:ascii="宋体" w:hAnsi="宋体" w:cs="宋体"/>
                <w:color w:val="auto"/>
                <w:kern w:val="0"/>
                <w:sz w:val="21"/>
                <w:szCs w:val="21"/>
                <w:highlight w:val="none"/>
                <w:u w:val="single"/>
              </w:rPr>
              <w:t xml:space="preserve">                                                                                      </w:t>
            </w:r>
          </w:p>
          <w:p w14:paraId="3BC903BC">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14:paraId="502A128D">
            <w:pPr>
              <w:autoSpaceDE w:val="0"/>
              <w:autoSpaceDN w:val="0"/>
              <w:spacing w:line="360" w:lineRule="auto"/>
              <w:jc w:val="left"/>
              <w:rPr>
                <w:color w:val="auto"/>
                <w:sz w:val="18"/>
                <w:szCs w:val="18"/>
                <w:highlight w:val="none"/>
              </w:rPr>
            </w:pPr>
          </w:p>
        </w:tc>
        <w:tc>
          <w:tcPr>
            <w:tcW w:w="1588" w:type="dxa"/>
            <w:tcBorders>
              <w:left w:val="single" w:color="auto" w:sz="4" w:space="0"/>
              <w:right w:val="single" w:color="auto" w:sz="4" w:space="0"/>
            </w:tcBorders>
            <w:vAlign w:val="center"/>
          </w:tcPr>
          <w:p w14:paraId="649E8D0D">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p>
        </w:tc>
      </w:tr>
      <w:tr w14:paraId="7C69FBB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958" w:hRule="atLeast"/>
        </w:trPr>
        <w:tc>
          <w:tcPr>
            <w:tcW w:w="945" w:type="dxa"/>
            <w:vMerge w:val="continue"/>
            <w:vAlign w:val="center"/>
          </w:tcPr>
          <w:p w14:paraId="47F14BF0">
            <w:pPr>
              <w:autoSpaceDE w:val="0"/>
              <w:autoSpaceDN w:val="0"/>
              <w:spacing w:line="300" w:lineRule="auto"/>
              <w:jc w:val="center"/>
              <w:rPr>
                <w:rFonts w:cs="宋体"/>
                <w:color w:val="auto"/>
                <w:kern w:val="1"/>
                <w:szCs w:val="21"/>
                <w:highlight w:val="none"/>
              </w:rPr>
            </w:pPr>
          </w:p>
        </w:tc>
        <w:tc>
          <w:tcPr>
            <w:tcW w:w="1426" w:type="dxa"/>
            <w:vMerge w:val="continue"/>
            <w:vAlign w:val="center"/>
          </w:tcPr>
          <w:p w14:paraId="0119210E">
            <w:pPr>
              <w:autoSpaceDE w:val="0"/>
              <w:autoSpaceDN w:val="0"/>
              <w:spacing w:line="300" w:lineRule="auto"/>
              <w:jc w:val="center"/>
              <w:rPr>
                <w:rFonts w:cs="宋体"/>
                <w:color w:val="auto"/>
                <w:kern w:val="1"/>
                <w:szCs w:val="21"/>
                <w:highlight w:val="none"/>
              </w:rPr>
            </w:pPr>
          </w:p>
        </w:tc>
        <w:tc>
          <w:tcPr>
            <w:tcW w:w="5352" w:type="dxa"/>
            <w:tcBorders>
              <w:left w:val="single" w:color="auto" w:sz="4" w:space="0"/>
              <w:right w:val="single" w:color="auto" w:sz="4" w:space="0"/>
            </w:tcBorders>
            <w:vAlign w:val="center"/>
          </w:tcPr>
          <w:p w14:paraId="1E69AD70">
            <w:pPr>
              <w:autoSpaceDE w:val="0"/>
              <w:autoSpaceDN w:val="0"/>
              <w:spacing w:before="158" w:beforeLines="50" w:after="158" w:afterLines="50"/>
              <w:ind w:firstLine="420" w:firstLineChars="200"/>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2.项目应急保障能力陈述</w:t>
            </w:r>
          </w:p>
          <w:p w14:paraId="583AFE5E">
            <w:pPr>
              <w:pStyle w:val="4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评审标准：</w:t>
            </w:r>
            <w:r>
              <w:rPr>
                <w:rFonts w:hint="eastAsia" w:ascii="宋体" w:hAnsi="宋体" w:eastAsia="宋体" w:cs="宋体"/>
                <w:color w:val="auto"/>
                <w:kern w:val="0"/>
                <w:szCs w:val="21"/>
                <w:highlight w:val="none"/>
                <w:u w:val="single"/>
              </w:rPr>
              <w:t xml:space="preserve">                                                                                                      </w:t>
            </w:r>
          </w:p>
          <w:p w14:paraId="6A8049D4">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14:paraId="4DE679F6">
            <w:pPr>
              <w:autoSpaceDE w:val="0"/>
              <w:autoSpaceDN w:val="0"/>
              <w:spacing w:line="360" w:lineRule="auto"/>
              <w:jc w:val="left"/>
              <w:rPr>
                <w:rFonts w:ascii="黑体" w:hAnsi="黑体" w:eastAsia="黑体" w:cs="黑体"/>
                <w:color w:val="auto"/>
                <w:kern w:val="0"/>
                <w:szCs w:val="21"/>
                <w:highlight w:val="none"/>
              </w:rPr>
            </w:pPr>
            <w:r>
              <w:rPr>
                <w:rFonts w:hint="eastAsia" w:ascii="宋体" w:hAnsi="宋体" w:cs="宋体"/>
                <w:color w:val="auto"/>
                <w:kern w:val="0"/>
                <w:szCs w:val="21"/>
                <w:highlight w:val="none"/>
                <w:u w:val="single"/>
              </w:rPr>
              <w:t xml:space="preserve">                                                 </w:t>
            </w:r>
          </w:p>
        </w:tc>
        <w:tc>
          <w:tcPr>
            <w:tcW w:w="1588" w:type="dxa"/>
            <w:tcBorders>
              <w:left w:val="single" w:color="auto" w:sz="4" w:space="0"/>
              <w:right w:val="single" w:color="auto" w:sz="4" w:space="0"/>
            </w:tcBorders>
            <w:vAlign w:val="center"/>
          </w:tcPr>
          <w:p w14:paraId="40CA5115">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r>
              <w:rPr>
                <w:rStyle w:val="48"/>
                <w:rFonts w:hint="eastAsia" w:hAnsi="宋体" w:cs="宋体"/>
                <w:color w:val="auto"/>
                <w:szCs w:val="21"/>
                <w:highlight w:val="none"/>
              </w:rPr>
              <w:footnoteReference w:id="13"/>
            </w:r>
          </w:p>
        </w:tc>
      </w:tr>
      <w:tr w14:paraId="3438C6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527" w:hRule="atLeast"/>
        </w:trPr>
        <w:tc>
          <w:tcPr>
            <w:tcW w:w="945" w:type="dxa"/>
            <w:vMerge w:val="continue"/>
            <w:tcBorders>
              <w:bottom w:val="single" w:color="auto" w:sz="4" w:space="0"/>
            </w:tcBorders>
            <w:vAlign w:val="center"/>
          </w:tcPr>
          <w:p w14:paraId="3322747F">
            <w:pPr>
              <w:autoSpaceDE w:val="0"/>
              <w:autoSpaceDN w:val="0"/>
              <w:spacing w:line="300" w:lineRule="auto"/>
              <w:jc w:val="center"/>
              <w:rPr>
                <w:rFonts w:cs="宋体"/>
                <w:color w:val="auto"/>
                <w:kern w:val="1"/>
                <w:szCs w:val="21"/>
                <w:highlight w:val="none"/>
              </w:rPr>
            </w:pPr>
          </w:p>
        </w:tc>
        <w:tc>
          <w:tcPr>
            <w:tcW w:w="1426" w:type="dxa"/>
            <w:vMerge w:val="continue"/>
            <w:tcBorders>
              <w:bottom w:val="single" w:color="auto" w:sz="4" w:space="0"/>
            </w:tcBorders>
            <w:vAlign w:val="center"/>
          </w:tcPr>
          <w:p w14:paraId="0BF666C3">
            <w:pPr>
              <w:autoSpaceDE w:val="0"/>
              <w:autoSpaceDN w:val="0"/>
              <w:spacing w:line="300" w:lineRule="auto"/>
              <w:jc w:val="center"/>
              <w:rPr>
                <w:rFonts w:cs="宋体"/>
                <w:color w:val="auto"/>
                <w:kern w:val="1"/>
                <w:szCs w:val="21"/>
                <w:highlight w:val="none"/>
              </w:rPr>
            </w:pPr>
          </w:p>
        </w:tc>
        <w:tc>
          <w:tcPr>
            <w:tcW w:w="5352" w:type="dxa"/>
            <w:tcBorders>
              <w:left w:val="single" w:color="auto" w:sz="4" w:space="0"/>
              <w:bottom w:val="single" w:color="auto" w:sz="4" w:space="0"/>
              <w:right w:val="single" w:color="auto" w:sz="4" w:space="0"/>
            </w:tcBorders>
            <w:vAlign w:val="center"/>
          </w:tcPr>
          <w:p w14:paraId="5F86EA6B">
            <w:pPr>
              <w:autoSpaceDE w:val="0"/>
              <w:autoSpaceDN w:val="0"/>
              <w:spacing w:before="158" w:beforeLines="50" w:after="158" w:afterLines="50"/>
              <w:ind w:firstLine="420" w:firstLineChars="200"/>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3.答辩</w:t>
            </w:r>
          </w:p>
          <w:p w14:paraId="1E6FA7BC">
            <w:pPr>
              <w:pStyle w:val="4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评审标准：</w:t>
            </w:r>
            <w:r>
              <w:rPr>
                <w:rFonts w:hint="eastAsia" w:ascii="宋体" w:hAnsi="宋体" w:eastAsia="宋体" w:cs="宋体"/>
                <w:color w:val="auto"/>
                <w:kern w:val="0"/>
                <w:szCs w:val="21"/>
                <w:highlight w:val="none"/>
                <w:u w:val="single"/>
              </w:rPr>
              <w:t xml:space="preserve">                                                                                                     </w:t>
            </w:r>
          </w:p>
          <w:p w14:paraId="74698CCB">
            <w:pPr>
              <w:pStyle w:val="24"/>
              <w:tabs>
                <w:tab w:val="right" w:pos="8305"/>
                <w:tab w:val="clear" w:pos="8306"/>
              </w:tabs>
              <w:jc w:val="both"/>
              <w:rPr>
                <w:rFonts w:ascii="宋体" w:hAnsi="宋体" w:cs="宋体"/>
                <w:color w:val="auto"/>
                <w:kern w:val="0"/>
                <w:sz w:val="21"/>
                <w:szCs w:val="21"/>
                <w:highlight w:val="none"/>
                <w:u w:val="single"/>
              </w:rPr>
            </w:pPr>
            <w:r>
              <w:rPr>
                <w:rFonts w:hint="eastAsia" w:ascii="宋体" w:hAnsi="宋体" w:cs="宋体"/>
                <w:color w:val="auto"/>
                <w:kern w:val="0"/>
                <w:sz w:val="21"/>
                <w:szCs w:val="21"/>
                <w:highlight w:val="none"/>
                <w:u w:val="single"/>
              </w:rPr>
              <w:t xml:space="preserve">                                                                                                      </w:t>
            </w:r>
          </w:p>
          <w:p w14:paraId="4194849B">
            <w:pPr>
              <w:autoSpaceDE w:val="0"/>
              <w:autoSpaceDN w:val="0"/>
              <w:spacing w:line="360" w:lineRule="auto"/>
              <w:jc w:val="left"/>
              <w:rPr>
                <w:rFonts w:ascii="黑体" w:hAnsi="黑体" w:eastAsia="黑体" w:cs="黑体"/>
                <w:color w:val="auto"/>
                <w:kern w:val="0"/>
                <w:szCs w:val="21"/>
                <w:highlight w:val="none"/>
              </w:rPr>
            </w:pPr>
          </w:p>
          <w:p w14:paraId="088F9944">
            <w:pPr>
              <w:autoSpaceDE w:val="0"/>
              <w:autoSpaceDN w:val="0"/>
              <w:spacing w:line="360" w:lineRule="auto"/>
              <w:jc w:val="left"/>
              <w:rPr>
                <w:rFonts w:ascii="宋体" w:hAnsi="宋体" w:cs="宋体"/>
                <w:color w:val="auto"/>
                <w:kern w:val="0"/>
                <w:szCs w:val="21"/>
                <w:highlight w:val="none"/>
                <w:u w:val="single"/>
              </w:rPr>
            </w:pPr>
          </w:p>
        </w:tc>
        <w:tc>
          <w:tcPr>
            <w:tcW w:w="1588" w:type="dxa"/>
            <w:tcBorders>
              <w:left w:val="single" w:color="auto" w:sz="4" w:space="0"/>
              <w:right w:val="single" w:color="auto" w:sz="4" w:space="0"/>
            </w:tcBorders>
            <w:vAlign w:val="center"/>
          </w:tcPr>
          <w:p w14:paraId="6E084EF4">
            <w:pPr>
              <w:autoSpaceDE w:val="0"/>
              <w:autoSpaceDN w:val="0"/>
              <w:spacing w:line="360" w:lineRule="auto"/>
              <w:jc w:val="right"/>
              <w:rPr>
                <w:rFonts w:ascii="黑体" w:hAnsi="黑体" w:eastAsia="黑体" w:cs="黑体"/>
                <w:color w:val="auto"/>
                <w:kern w:val="0"/>
                <w:szCs w:val="21"/>
                <w:highlight w:val="none"/>
              </w:rPr>
            </w:pPr>
            <w:r>
              <w:rPr>
                <w:rFonts w:hint="eastAsia" w:hAnsi="宋体" w:cs="宋体"/>
                <w:color w:val="auto"/>
                <w:szCs w:val="21"/>
                <w:highlight w:val="none"/>
                <w:u w:val="single"/>
              </w:rPr>
              <w:t xml:space="preserve">   </w:t>
            </w:r>
            <w:r>
              <w:rPr>
                <w:rFonts w:hint="eastAsia" w:hAnsi="宋体" w:cs="宋体"/>
                <w:color w:val="auto"/>
                <w:szCs w:val="21"/>
                <w:highlight w:val="none"/>
              </w:rPr>
              <w:t>%</w:t>
            </w:r>
          </w:p>
        </w:tc>
      </w:tr>
      <w:tr w14:paraId="61F5B6E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55" w:hRule="atLeast"/>
        </w:trPr>
        <w:tc>
          <w:tcPr>
            <w:tcW w:w="9311" w:type="dxa"/>
            <w:gridSpan w:val="4"/>
            <w:tcBorders>
              <w:top w:val="single" w:color="auto" w:sz="4" w:space="0"/>
              <w:right w:val="single" w:color="auto" w:sz="4" w:space="0"/>
            </w:tcBorders>
            <w:vAlign w:val="center"/>
          </w:tcPr>
          <w:p w14:paraId="6062CF1C">
            <w:pPr>
              <w:autoSpaceDE w:val="0"/>
              <w:autoSpaceDN w:val="0"/>
              <w:spacing w:line="360" w:lineRule="auto"/>
              <w:jc w:val="left"/>
              <w:rPr>
                <w:rFonts w:ascii="黑体" w:hAnsi="黑体" w:eastAsia="黑体" w:cs="黑体"/>
                <w:color w:val="auto"/>
                <w:kern w:val="0"/>
                <w:szCs w:val="21"/>
                <w:highlight w:val="none"/>
              </w:rPr>
            </w:pPr>
            <w:r>
              <w:rPr>
                <w:rFonts w:hint="eastAsia" w:ascii="黑体" w:hAnsi="黑体" w:eastAsia="黑体" w:cs="黑体"/>
                <w:color w:val="auto"/>
                <w:kern w:val="0"/>
                <w:szCs w:val="21"/>
                <w:highlight w:val="none"/>
              </w:rPr>
              <w:t>注：</w:t>
            </w:r>
          </w:p>
          <w:p w14:paraId="0C272A73">
            <w:pPr>
              <w:autoSpaceDE w:val="0"/>
              <w:autoSpaceDN w:val="0"/>
              <w:spacing w:line="27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1.陈述答辩考核工作方案详见投标人须知前附表，定标委员会不得以任何形式询问项目负责人姓名以及投标人名称。</w:t>
            </w:r>
          </w:p>
          <w:p w14:paraId="27A0D6C3">
            <w:pPr>
              <w:autoSpaceDE w:val="0"/>
              <w:autoSpaceDN w:val="0"/>
              <w:spacing w:line="276"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2.“重难点的把握及解决方案陈述”、“项目应急保障能力陈述”、“答辩”评审标准均采用“百分制评分”进行评审。</w:t>
            </w:r>
          </w:p>
          <w:p w14:paraId="70A84494">
            <w:pPr>
              <w:autoSpaceDE w:val="0"/>
              <w:autoSpaceDN w:val="0"/>
              <w:spacing w:line="276" w:lineRule="auto"/>
              <w:ind w:firstLine="420" w:firstLineChars="200"/>
              <w:jc w:val="left"/>
              <w:rPr>
                <w:rFonts w:ascii="宋体" w:hAnsi="宋体" w:cs="宋体"/>
                <w:color w:val="auto"/>
                <w:szCs w:val="21"/>
                <w:highlight w:val="none"/>
                <w:lang w:bidi="zh-CN"/>
              </w:rPr>
            </w:pPr>
            <w:r>
              <w:rPr>
                <w:rFonts w:hint="eastAsia" w:ascii="宋体" w:hAnsi="宋体" w:cs="宋体"/>
                <w:color w:val="auto"/>
                <w:kern w:val="0"/>
                <w:szCs w:val="21"/>
                <w:highlight w:val="none"/>
              </w:rPr>
              <w:t>3.定标委员会对某定标候选人陈述、答辩评分高于满分标准的90%（含）或低于50%（不含）时，必须详细阐述具体理由（字数不少于50字）。</w:t>
            </w:r>
            <w:r>
              <w:rPr>
                <w:rFonts w:hint="eastAsia" w:ascii="宋体" w:hAnsi="宋体" w:cs="宋体"/>
                <w:color w:val="auto"/>
                <w:szCs w:val="21"/>
                <w:highlight w:val="none"/>
                <w:lang w:bidi="zh-CN"/>
              </w:rPr>
              <w:t>陈述答辩人员不得以任何形式向定标委员会透露姓名以及所属投标人名称，否则陈述答辩不得分。</w:t>
            </w:r>
          </w:p>
          <w:p w14:paraId="056E485C">
            <w:pPr>
              <w:autoSpaceDE w:val="0"/>
              <w:autoSpaceDN w:val="0"/>
              <w:spacing w:line="360" w:lineRule="auto"/>
              <w:ind w:firstLine="420" w:firstLineChars="200"/>
              <w:jc w:val="left"/>
              <w:rPr>
                <w:rFonts w:ascii="黑体" w:hAnsi="黑体" w:eastAsia="黑体" w:cs="黑体"/>
                <w:color w:val="auto"/>
                <w:kern w:val="0"/>
                <w:szCs w:val="21"/>
                <w:highlight w:val="none"/>
              </w:rPr>
            </w:pPr>
            <w:r>
              <w:rPr>
                <w:rFonts w:hint="eastAsia" w:ascii="宋体" w:hAnsi="宋体" w:cs="宋体"/>
                <w:color w:val="auto"/>
                <w:szCs w:val="21"/>
                <w:highlight w:val="none"/>
                <w:lang w:bidi="zh-CN"/>
              </w:rPr>
              <w:t>4.为保障招投标交易顺利进行，鼓励制定备选答辩评审标准，供重新陈述答辩考核时使用。</w:t>
            </w:r>
          </w:p>
        </w:tc>
      </w:tr>
    </w:tbl>
    <w:p w14:paraId="28F34391">
      <w:pPr>
        <w:keepNext/>
        <w:keepLines/>
        <w:widowControl/>
        <w:spacing w:before="317" w:beforeLines="100" w:after="317" w:afterLines="100" w:line="360" w:lineRule="auto"/>
        <w:ind w:firstLine="458"/>
        <w:jc w:val="left"/>
        <w:outlineLvl w:val="1"/>
        <w:rPr>
          <w:color w:val="auto"/>
          <w:highlight w:val="none"/>
        </w:rPr>
        <w:sectPr>
          <w:pgSz w:w="11905" w:h="16838"/>
          <w:pgMar w:top="1440" w:right="1417" w:bottom="1440" w:left="1417" w:header="850" w:footer="992" w:gutter="0"/>
          <w:cols w:space="720" w:num="1"/>
          <w:docGrid w:type="lines" w:linePitch="317" w:charSpace="0"/>
        </w:sectPr>
      </w:pPr>
    </w:p>
    <w:p w14:paraId="289AE782">
      <w:pPr>
        <w:pStyle w:val="38"/>
        <w:ind w:firstLine="523"/>
        <w:rPr>
          <w:color w:val="auto"/>
          <w:highlight w:val="none"/>
        </w:rPr>
      </w:pPr>
    </w:p>
    <w:p w14:paraId="3AC50A71">
      <w:pPr>
        <w:keepNext/>
        <w:keepLines/>
        <w:widowControl/>
        <w:spacing w:before="240" w:beforeLines="100" w:after="240" w:afterLines="100" w:line="360" w:lineRule="auto"/>
        <w:outlineLvl w:val="1"/>
        <w:rPr>
          <w:rFonts w:eastAsia="黑体" w:cs="黑体"/>
          <w:b/>
          <w:color w:val="auto"/>
          <w:kern w:val="1"/>
          <w:sz w:val="28"/>
          <w:szCs w:val="28"/>
          <w:highlight w:val="none"/>
          <w:lang w:val="zh-CN"/>
        </w:rPr>
      </w:pPr>
      <w:r>
        <w:rPr>
          <w:rFonts w:hint="eastAsia" w:ascii="黑体" w:eastAsia="黑体" w:cs="黑体"/>
          <w:color w:val="auto"/>
          <w:kern w:val="1"/>
          <w:sz w:val="28"/>
          <w:szCs w:val="28"/>
          <w:highlight w:val="none"/>
          <w:lang w:val="zh-CN"/>
        </w:rPr>
        <w:t>定标</w:t>
      </w:r>
      <w:r>
        <w:rPr>
          <w:rFonts w:hint="eastAsia" w:ascii="黑体" w:eastAsia="黑体" w:cs="黑体"/>
          <w:color w:val="auto"/>
          <w:kern w:val="1"/>
          <w:sz w:val="28"/>
          <w:szCs w:val="28"/>
          <w:highlight w:val="none"/>
        </w:rPr>
        <w:t>方案</w:t>
      </w:r>
      <w:r>
        <w:rPr>
          <w:rFonts w:hint="eastAsia" w:ascii="黑体" w:eastAsia="黑体" w:cs="黑体"/>
          <w:color w:val="auto"/>
          <w:kern w:val="1"/>
          <w:sz w:val="28"/>
          <w:szCs w:val="28"/>
          <w:highlight w:val="none"/>
          <w:lang w:val="zh-CN"/>
        </w:rPr>
        <w:t>正文</w:t>
      </w:r>
    </w:p>
    <w:p w14:paraId="599FE269">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lang w:val="zh-CN"/>
        </w:rPr>
      </w:pPr>
      <w:bookmarkStart w:id="967" w:name="_Toc11606"/>
      <w:bookmarkStart w:id="968" w:name="_Toc9316"/>
      <w:bookmarkStart w:id="969" w:name="_Toc5297"/>
      <w:bookmarkStart w:id="970" w:name="_Toc61877313"/>
      <w:bookmarkStart w:id="971" w:name="_Toc17150"/>
      <w:bookmarkStart w:id="972" w:name="_Toc70273129"/>
      <w:bookmarkStart w:id="973" w:name="_Toc29213"/>
      <w:r>
        <w:rPr>
          <w:rFonts w:hint="eastAsia" w:ascii="黑体" w:eastAsia="黑体" w:cs="黑体"/>
          <w:color w:val="auto"/>
          <w:kern w:val="1"/>
          <w:sz w:val="28"/>
          <w:szCs w:val="28"/>
          <w:highlight w:val="none"/>
          <w:lang w:val="zh-CN"/>
        </w:rPr>
        <w:t>1.</w:t>
      </w:r>
      <w:bookmarkEnd w:id="967"/>
      <w:bookmarkEnd w:id="968"/>
      <w:bookmarkEnd w:id="969"/>
      <w:bookmarkEnd w:id="970"/>
      <w:bookmarkEnd w:id="971"/>
      <w:bookmarkEnd w:id="972"/>
      <w:r>
        <w:rPr>
          <w:rFonts w:hint="eastAsia" w:ascii="黑体" w:eastAsia="黑体" w:cs="黑体"/>
          <w:color w:val="auto"/>
          <w:kern w:val="1"/>
          <w:sz w:val="28"/>
          <w:szCs w:val="28"/>
          <w:highlight w:val="none"/>
        </w:rPr>
        <w:t>总则</w:t>
      </w:r>
      <w:bookmarkEnd w:id="973"/>
    </w:p>
    <w:p w14:paraId="2176153A">
      <w:pPr>
        <w:autoSpaceDE w:val="0"/>
        <w:autoSpaceDN w:val="0"/>
        <w:adjustRightInd w:val="0"/>
        <w:snapToGrid w:val="0"/>
        <w:spacing w:beforeLines="0" w:afterLines="0" w:line="360" w:lineRule="auto"/>
        <w:ind w:firstLine="394" w:firstLineChars="188"/>
        <w:jc w:val="left"/>
        <w:rPr>
          <w:rFonts w:hint="default" w:ascii="方正公文小标宋" w:hAnsi="方正公文小标宋" w:eastAsia="方正公文小标宋" w:cs="方正公文小标宋"/>
          <w:color w:val="auto"/>
          <w:sz w:val="21"/>
          <w:szCs w:val="21"/>
          <w:highlight w:val="none"/>
          <w:lang w:val="en-US" w:eastAsia="zh-CN"/>
        </w:rPr>
      </w:pPr>
      <w:r>
        <w:rPr>
          <w:rFonts w:hint="eastAsia" w:cs="宋体"/>
          <w:color w:val="auto"/>
          <w:sz w:val="21"/>
          <w:szCs w:val="21"/>
          <w:highlight w:val="none"/>
        </w:rPr>
        <w:t>1.1</w:t>
      </w:r>
      <w:r>
        <w:rPr>
          <w:rFonts w:hint="eastAsia" w:cs="宋体"/>
          <w:color w:val="auto"/>
          <w:sz w:val="21"/>
          <w:szCs w:val="21"/>
          <w:highlight w:val="none"/>
          <w:lang w:val="en-US" w:eastAsia="zh-CN"/>
        </w:rPr>
        <w:t xml:space="preserve"> 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14:paraId="2DFD8909">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1.2 定标方案由正文、前附表以及附件组成。定标方案附件共二个独立附件，分别为</w:t>
      </w:r>
      <w:r>
        <w:rPr>
          <w:rFonts w:hint="eastAsia" w:cs="宋体"/>
          <w:color w:val="auto"/>
          <w:kern w:val="0"/>
          <w:sz w:val="21"/>
          <w:szCs w:val="21"/>
          <w:highlight w:val="none"/>
          <w:lang w:val="en-US" w:eastAsia="zh-CN"/>
        </w:rPr>
        <w:t>报价下浮率满分区间</w:t>
      </w:r>
      <w:r>
        <w:rPr>
          <w:rFonts w:hint="eastAsia" w:cs="宋体"/>
          <w:color w:val="auto"/>
          <w:sz w:val="21"/>
          <w:szCs w:val="21"/>
          <w:highlight w:val="none"/>
          <w:lang w:val="en-US" w:eastAsia="zh-CN"/>
        </w:rPr>
        <w:t>附件和陈述答辩考核方案附件，前述二个定标方案附件均由建设单位在投标截止时间前使用CA证书加密上传</w:t>
      </w:r>
      <w:r>
        <w:rPr>
          <w:rFonts w:hint="eastAsia" w:cs="宋体"/>
          <w:color w:val="auto"/>
          <w:kern w:val="0"/>
          <w:sz w:val="21"/>
          <w:szCs w:val="21"/>
          <w:highlight w:val="none"/>
          <w:lang w:val="en-US" w:eastAsia="zh-CN"/>
        </w:rPr>
        <w:t>公共资源</w:t>
      </w:r>
      <w:r>
        <w:rPr>
          <w:rFonts w:hint="eastAsia" w:cs="宋体"/>
          <w:color w:val="auto"/>
          <w:sz w:val="21"/>
          <w:szCs w:val="21"/>
          <w:highlight w:val="none"/>
          <w:lang w:val="en-US" w:eastAsia="zh-CN"/>
        </w:rPr>
        <w:t>电子交易平台。</w:t>
      </w:r>
    </w:p>
    <w:p w14:paraId="03EE5A6E">
      <w:pPr>
        <w:autoSpaceDE w:val="0"/>
        <w:autoSpaceDN w:val="0"/>
        <w:adjustRightInd w:val="0"/>
        <w:snapToGrid w:val="0"/>
        <w:spacing w:beforeLines="0" w:afterLines="0" w:line="360" w:lineRule="auto"/>
        <w:ind w:firstLine="394" w:firstLineChars="188"/>
        <w:jc w:val="left"/>
        <w:rPr>
          <w:color w:val="auto"/>
          <w:highlight w:val="none"/>
        </w:rPr>
      </w:pPr>
      <w:r>
        <w:rPr>
          <w:rFonts w:hint="eastAsia" w:cs="宋体"/>
          <w:color w:val="auto"/>
          <w:sz w:val="21"/>
          <w:szCs w:val="21"/>
          <w:highlight w:val="none"/>
          <w:lang w:val="en-US" w:eastAsia="zh-CN"/>
        </w:rPr>
        <w:t xml:space="preserve">1.3 </w:t>
      </w:r>
      <w:r>
        <w:rPr>
          <w:rFonts w:hint="eastAsia" w:cs="宋体"/>
          <w:color w:val="auto"/>
          <w:sz w:val="21"/>
          <w:szCs w:val="21"/>
          <w:highlight w:val="none"/>
        </w:rPr>
        <w:t>自</w:t>
      </w:r>
      <w:r>
        <w:rPr>
          <w:rFonts w:hint="eastAsia" w:cs="宋体"/>
          <w:color w:val="auto"/>
          <w:sz w:val="21"/>
          <w:szCs w:val="21"/>
          <w:highlight w:val="none"/>
          <w:lang w:val="en-US" w:eastAsia="zh-CN"/>
        </w:rPr>
        <w:t>评标工作结束后5</w:t>
      </w:r>
      <w:r>
        <w:rPr>
          <w:rFonts w:hint="eastAsia" w:cs="宋体"/>
          <w:color w:val="auto"/>
          <w:sz w:val="21"/>
          <w:szCs w:val="21"/>
          <w:highlight w:val="none"/>
        </w:rPr>
        <w:t>日内</w:t>
      </w:r>
      <w:r>
        <w:rPr>
          <w:rFonts w:hint="eastAsia" w:cs="宋体"/>
          <w:color w:val="auto"/>
          <w:sz w:val="21"/>
          <w:szCs w:val="21"/>
          <w:highlight w:val="none"/>
          <w:lang w:eastAsia="zh-CN"/>
        </w:rPr>
        <w:t>（</w:t>
      </w:r>
      <w:r>
        <w:rPr>
          <w:rFonts w:hint="eastAsia" w:cs="宋体"/>
          <w:color w:val="auto"/>
          <w:sz w:val="21"/>
          <w:szCs w:val="21"/>
          <w:highlight w:val="none"/>
          <w:lang w:val="en-US" w:eastAsia="zh-CN"/>
        </w:rPr>
        <w:t>如遇法定节假日，可顺延至节后第二个工作日</w:t>
      </w:r>
      <w:r>
        <w:rPr>
          <w:rFonts w:hint="eastAsia" w:cs="宋体"/>
          <w:color w:val="auto"/>
          <w:sz w:val="21"/>
          <w:szCs w:val="21"/>
          <w:highlight w:val="none"/>
          <w:lang w:eastAsia="zh-CN"/>
        </w:rPr>
        <w:t>），</w:t>
      </w:r>
      <w:r>
        <w:rPr>
          <w:rFonts w:hint="eastAsia" w:cs="宋体"/>
          <w:color w:val="auto"/>
          <w:sz w:val="21"/>
          <w:szCs w:val="21"/>
          <w:highlight w:val="none"/>
          <w:lang w:val="en-US" w:eastAsia="zh-CN"/>
        </w:rPr>
        <w:t>建设单位</w:t>
      </w:r>
      <w:r>
        <w:rPr>
          <w:rFonts w:hint="eastAsia" w:cs="宋体"/>
          <w:color w:val="auto"/>
          <w:sz w:val="21"/>
          <w:szCs w:val="21"/>
          <w:highlight w:val="none"/>
        </w:rPr>
        <w:t>组织</w:t>
      </w:r>
      <w:r>
        <w:rPr>
          <w:rFonts w:hint="eastAsia" w:cs="宋体"/>
          <w:color w:val="auto"/>
          <w:sz w:val="21"/>
          <w:szCs w:val="21"/>
          <w:highlight w:val="none"/>
          <w:lang w:val="en-US" w:eastAsia="zh-CN"/>
        </w:rPr>
        <w:t>清标小组和</w:t>
      </w:r>
      <w:r>
        <w:rPr>
          <w:rFonts w:hint="eastAsia" w:cs="宋体"/>
          <w:color w:val="auto"/>
          <w:sz w:val="21"/>
          <w:szCs w:val="21"/>
          <w:highlight w:val="none"/>
        </w:rPr>
        <w:t>定标委员会进入市公共资源交易中心进行</w:t>
      </w:r>
      <w:r>
        <w:rPr>
          <w:rFonts w:hint="eastAsia" w:cs="宋体"/>
          <w:color w:val="auto"/>
          <w:sz w:val="21"/>
          <w:szCs w:val="21"/>
          <w:highlight w:val="none"/>
          <w:lang w:val="en-US" w:eastAsia="zh-CN"/>
        </w:rPr>
        <w:t>清标、</w:t>
      </w:r>
      <w:r>
        <w:rPr>
          <w:rFonts w:hint="eastAsia" w:cs="宋体"/>
          <w:color w:val="auto"/>
          <w:sz w:val="21"/>
          <w:szCs w:val="21"/>
          <w:highlight w:val="none"/>
        </w:rPr>
        <w:t>定标</w:t>
      </w:r>
      <w:r>
        <w:rPr>
          <w:rFonts w:hint="eastAsia" w:cs="宋体"/>
          <w:color w:val="auto"/>
          <w:sz w:val="21"/>
          <w:szCs w:val="21"/>
          <w:highlight w:val="none"/>
          <w:lang w:val="en-US" w:eastAsia="zh-CN"/>
        </w:rPr>
        <w:t>工作</w:t>
      </w:r>
      <w:r>
        <w:rPr>
          <w:rFonts w:hint="eastAsia" w:cs="宋体"/>
          <w:color w:val="auto"/>
          <w:sz w:val="21"/>
          <w:szCs w:val="21"/>
          <w:highlight w:val="none"/>
        </w:rPr>
        <w:t>。不能按时定标的，应当通过市公共资源交易网公示延期原因和定标时间。</w:t>
      </w:r>
    </w:p>
    <w:p w14:paraId="4421D859">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lang w:val="zh-CN"/>
        </w:rPr>
      </w:pPr>
      <w:bookmarkStart w:id="974" w:name="_Toc20163"/>
      <w:bookmarkStart w:id="975" w:name="_Toc61877314"/>
      <w:bookmarkStart w:id="976" w:name="_Toc70273130"/>
      <w:bookmarkStart w:id="977" w:name="_Toc11258"/>
      <w:bookmarkStart w:id="978" w:name="_Toc25914"/>
      <w:bookmarkStart w:id="979" w:name="_Toc25223"/>
      <w:r>
        <w:rPr>
          <w:rFonts w:hint="eastAsia" w:ascii="黑体" w:eastAsia="黑体" w:cs="黑体"/>
          <w:color w:val="auto"/>
          <w:kern w:val="1"/>
          <w:sz w:val="28"/>
          <w:szCs w:val="28"/>
          <w:highlight w:val="none"/>
          <w:lang w:val="zh-CN"/>
        </w:rPr>
        <w:t>2.定标程序</w:t>
      </w:r>
      <w:bookmarkEnd w:id="974"/>
      <w:bookmarkEnd w:id="975"/>
      <w:bookmarkEnd w:id="976"/>
      <w:bookmarkEnd w:id="977"/>
      <w:bookmarkEnd w:id="978"/>
      <w:bookmarkEnd w:id="979"/>
    </w:p>
    <w:p w14:paraId="00762799">
      <w:pPr>
        <w:adjustRightInd w:val="0"/>
        <w:snapToGrid w:val="0"/>
        <w:spacing w:before="0" w:beforeLines="0" w:after="0" w:afterLines="0" w:line="360" w:lineRule="auto"/>
        <w:ind w:firstLine="420" w:firstLineChars="200"/>
        <w:rPr>
          <w:rFonts w:cs="宋体"/>
          <w:color w:val="auto"/>
          <w:szCs w:val="21"/>
          <w:highlight w:val="none"/>
        </w:rPr>
      </w:pPr>
      <w:r>
        <w:rPr>
          <w:rFonts w:hint="eastAsia" w:cs="宋体"/>
          <w:color w:val="auto"/>
          <w:szCs w:val="21"/>
          <w:highlight w:val="none"/>
        </w:rPr>
        <w:t>定标按以下程序进行。</w:t>
      </w:r>
    </w:p>
    <w:p w14:paraId="7290F910">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2.1清标</w:t>
      </w:r>
    </w:p>
    <w:p w14:paraId="7C1E282A">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（1）</w:t>
      </w:r>
      <w:r>
        <w:rPr>
          <w:rFonts w:hint="eastAsia" w:cs="宋体"/>
          <w:color w:val="auto"/>
          <w:kern w:val="1"/>
          <w:szCs w:val="21"/>
          <w:highlight w:val="none"/>
        </w:rPr>
        <w:t>组建清标小组</w:t>
      </w:r>
    </w:p>
    <w:p w14:paraId="14A8CF9B">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（2）清标</w:t>
      </w:r>
    </w:p>
    <w:p w14:paraId="7EAFEE9C">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（3）编制清标报告</w:t>
      </w:r>
    </w:p>
    <w:p w14:paraId="7DFD6916">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2.2定标</w:t>
      </w:r>
    </w:p>
    <w:p w14:paraId="2C2627AD">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（1）</w:t>
      </w:r>
      <w:r>
        <w:rPr>
          <w:rFonts w:hint="eastAsia" w:cs="宋体"/>
          <w:color w:val="auto"/>
          <w:kern w:val="1"/>
          <w:szCs w:val="21"/>
          <w:highlight w:val="none"/>
        </w:rPr>
        <w:t>组建定标委员会</w:t>
      </w:r>
    </w:p>
    <w:p w14:paraId="0E7BC0E0">
      <w:pPr>
        <w:adjustRightInd w:val="0"/>
        <w:snapToGrid w:val="0"/>
        <w:spacing w:beforeLines="0" w:afterLines="0" w:line="360" w:lineRule="auto"/>
        <w:ind w:firstLine="420" w:firstLineChars="200"/>
        <w:rPr>
          <w:rFonts w:cs="宋体"/>
          <w:color w:val="auto"/>
          <w:szCs w:val="21"/>
          <w:highlight w:val="none"/>
        </w:rPr>
      </w:pPr>
      <w:r>
        <w:rPr>
          <w:rFonts w:hint="eastAsia" w:cs="宋体"/>
          <w:color w:val="auto"/>
          <w:szCs w:val="21"/>
          <w:highlight w:val="none"/>
        </w:rPr>
        <w:t>（2）项目负责人陈述答辩考核（如有）</w:t>
      </w:r>
    </w:p>
    <w:p w14:paraId="7389D511">
      <w:pPr>
        <w:adjustRightInd w:val="0"/>
        <w:snapToGrid w:val="0"/>
        <w:spacing w:beforeLines="0" w:afterLines="0" w:line="360" w:lineRule="auto"/>
        <w:ind w:firstLine="420" w:firstLineChars="200"/>
        <w:rPr>
          <w:color w:val="auto"/>
          <w:highlight w:val="none"/>
        </w:rPr>
      </w:pPr>
      <w:r>
        <w:rPr>
          <w:rFonts w:hint="eastAsia" w:cs="宋体"/>
          <w:color w:val="auto"/>
          <w:szCs w:val="21"/>
          <w:highlight w:val="none"/>
        </w:rPr>
        <w:t>（3）定标，推荐中标人</w:t>
      </w:r>
    </w:p>
    <w:p w14:paraId="68CB2F56">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rPr>
      </w:pPr>
      <w:bookmarkStart w:id="980" w:name="_Toc28881"/>
      <w:bookmarkStart w:id="981" w:name="_Toc7320"/>
      <w:bookmarkStart w:id="982" w:name="_Toc2024"/>
      <w:bookmarkStart w:id="983" w:name="_Toc61877315"/>
      <w:bookmarkStart w:id="984" w:name="_Toc70273131"/>
      <w:bookmarkStart w:id="985" w:name="_Toc28372"/>
      <w:bookmarkStart w:id="986" w:name="_Toc22229"/>
      <w:r>
        <w:rPr>
          <w:rFonts w:hint="eastAsia" w:ascii="黑体" w:eastAsia="黑体" w:cs="黑体"/>
          <w:color w:val="auto"/>
          <w:kern w:val="1"/>
          <w:sz w:val="28"/>
          <w:szCs w:val="28"/>
          <w:highlight w:val="none"/>
          <w:lang w:val="zh-CN"/>
        </w:rPr>
        <w:t>3.</w:t>
      </w:r>
      <w:bookmarkEnd w:id="980"/>
      <w:bookmarkEnd w:id="981"/>
      <w:bookmarkEnd w:id="982"/>
      <w:bookmarkEnd w:id="983"/>
      <w:bookmarkEnd w:id="984"/>
      <w:bookmarkEnd w:id="985"/>
      <w:r>
        <w:rPr>
          <w:rFonts w:hint="eastAsia" w:ascii="黑体" w:eastAsia="黑体" w:cs="黑体"/>
          <w:color w:val="auto"/>
          <w:kern w:val="1"/>
          <w:sz w:val="28"/>
          <w:szCs w:val="28"/>
          <w:highlight w:val="none"/>
        </w:rPr>
        <w:t>清标</w:t>
      </w:r>
      <w:bookmarkEnd w:id="986"/>
    </w:p>
    <w:p w14:paraId="5E2F446D">
      <w:pPr>
        <w:autoSpaceDE w:val="0"/>
        <w:autoSpaceDN w:val="0"/>
        <w:adjustRightInd w:val="0"/>
        <w:snapToGrid w:val="0"/>
        <w:spacing w:before="0" w:beforeLines="0" w:after="0" w:afterLines="0" w:line="360" w:lineRule="auto"/>
        <w:ind w:firstLine="394" w:firstLineChars="188"/>
        <w:jc w:val="left"/>
        <w:rPr>
          <w:rFonts w:cs="宋体"/>
          <w:color w:val="auto"/>
          <w:szCs w:val="21"/>
          <w:highlight w:val="none"/>
        </w:rPr>
      </w:pPr>
      <w:r>
        <w:rPr>
          <w:rFonts w:hint="eastAsia" w:cs="宋体"/>
          <w:color w:val="auto"/>
          <w:szCs w:val="21"/>
          <w:highlight w:val="none"/>
        </w:rPr>
        <w:t>3.1 组建清标小组</w:t>
      </w:r>
    </w:p>
    <w:p w14:paraId="538865DB">
      <w:pPr>
        <w:autoSpaceDE w:val="0"/>
        <w:autoSpaceDN w:val="0"/>
        <w:adjustRightInd w:val="0"/>
        <w:snapToGrid w:val="0"/>
        <w:spacing w:before="0" w:beforeLines="0" w:after="0" w:afterLines="0" w:line="360" w:lineRule="auto"/>
        <w:ind w:firstLine="394" w:firstLineChars="188"/>
        <w:jc w:val="left"/>
        <w:rPr>
          <w:rFonts w:cs="宋体"/>
          <w:color w:val="auto"/>
          <w:szCs w:val="21"/>
          <w:highlight w:val="none"/>
        </w:rPr>
      </w:pPr>
      <w:r>
        <w:rPr>
          <w:rFonts w:hint="eastAsia" w:cs="宋体"/>
          <w:color w:val="auto"/>
          <w:sz w:val="21"/>
          <w:szCs w:val="21"/>
          <w:highlight w:val="none"/>
          <w:lang w:val="en-US" w:eastAsia="zh-CN"/>
        </w:rPr>
        <w:t>清标小组由建设单位组建，主要由建设单位、代建单位和招标代理机构具备工程建设类中级及以上技术职称或相关注册执业资格的人员组成，成员人数为3人或以上单数。若满足上述要求的人员确实不足的，经招投标监管部门同意，也可委托其他具备丰富评定分离项目招标代理经验的招标代理单位中满足上述资格要求的人员。</w:t>
      </w:r>
    </w:p>
    <w:p w14:paraId="0152DB28">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3.2 清标</w:t>
      </w:r>
    </w:p>
    <w:p w14:paraId="59B0E859">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3.2.1清标小组使用建设单位加密定标方案附件的CA证书，解密</w:t>
      </w:r>
      <w:r>
        <w:rPr>
          <w:rFonts w:hint="eastAsia" w:cs="宋体"/>
          <w:color w:val="auto"/>
          <w:kern w:val="0"/>
          <w:sz w:val="21"/>
          <w:szCs w:val="21"/>
          <w:highlight w:val="none"/>
          <w:lang w:val="en-US" w:eastAsia="zh-CN"/>
        </w:rPr>
        <w:t>报价下浮率满分区间</w:t>
      </w:r>
      <w:r>
        <w:rPr>
          <w:rFonts w:hint="eastAsia" w:cs="宋体"/>
          <w:color w:val="auto"/>
          <w:sz w:val="21"/>
          <w:szCs w:val="21"/>
          <w:highlight w:val="none"/>
          <w:lang w:val="en-US" w:eastAsia="zh-CN"/>
        </w:rPr>
        <w:t>附件，根据该附件以及定标方案规定抽取报价评审参数K值。</w:t>
      </w:r>
    </w:p>
    <w:p w14:paraId="1BEF2E91">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3.2.2清标小组根据定标方案前附表第1项、第2项、第3项规定的定标要素（除</w:t>
      </w:r>
      <w:r>
        <w:rPr>
          <w:rFonts w:hint="eastAsia" w:eastAsia="宋体" w:cs="Times New Roman"/>
          <w:color w:val="auto"/>
          <w:kern w:val="0"/>
          <w:sz w:val="21"/>
          <w:szCs w:val="21"/>
          <w:highlight w:val="none"/>
          <w:u w:val="none"/>
          <w:lang w:val="en-US" w:eastAsia="zh-CN" w:bidi="ar-SA"/>
        </w:rPr>
        <w:t>项目负责人陈述答辩子要素以外</w:t>
      </w:r>
      <w:r>
        <w:rPr>
          <w:rFonts w:hint="eastAsia" w:cs="宋体"/>
          <w:color w:val="auto"/>
          <w:sz w:val="21"/>
          <w:szCs w:val="21"/>
          <w:highlight w:val="none"/>
          <w:lang w:val="en-US" w:eastAsia="zh-CN"/>
        </w:rPr>
        <w:t>）评审标准，按照百分制计算得分乘以相应权重后汇总为各定标候选人清标得分。</w:t>
      </w:r>
    </w:p>
    <w:p w14:paraId="4E6FC572">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firstLine="394" w:firstLineChars="188"/>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3.2.3清标小组对同一定标候选人同一定标子要素的评审结果均应一致。</w:t>
      </w:r>
    </w:p>
    <w:p w14:paraId="54EA9729">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360" w:lineRule="auto"/>
        <w:ind w:left="281" w:leftChars="122" w:hanging="25" w:hangingChars="12"/>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3.3 编制清标报告</w:t>
      </w:r>
    </w:p>
    <w:p w14:paraId="2647AF89">
      <w:pPr>
        <w:keepNext/>
        <w:keepLines/>
        <w:widowControl/>
        <w:adjustRightInd w:val="0"/>
        <w:snapToGrid w:val="0"/>
        <w:spacing w:before="0" w:beforeLines="0" w:after="0" w:afterLines="0" w:line="360" w:lineRule="auto"/>
        <w:ind w:firstLine="420" w:firstLineChars="200"/>
        <w:outlineLvl w:val="1"/>
        <w:rPr>
          <w:rFonts w:hint="eastAsia" w:ascii="黑体" w:eastAsia="黑体" w:cs="黑体"/>
          <w:color w:val="auto"/>
          <w:kern w:val="1"/>
          <w:sz w:val="28"/>
          <w:szCs w:val="28"/>
          <w:highlight w:val="none"/>
        </w:rPr>
      </w:pPr>
      <w:r>
        <w:rPr>
          <w:rFonts w:hint="eastAsia" w:cs="宋体"/>
          <w:color w:val="auto"/>
          <w:sz w:val="21"/>
          <w:szCs w:val="21"/>
          <w:highlight w:val="none"/>
          <w:lang w:val="en-US" w:eastAsia="zh-CN"/>
        </w:rPr>
        <w:t>清标小组根据3.2项规定完成清标工作后，应当编制清标报告并加密上传至</w:t>
      </w:r>
      <w:r>
        <w:rPr>
          <w:rFonts w:hint="eastAsia" w:cs="宋体"/>
          <w:color w:val="auto"/>
          <w:kern w:val="1"/>
          <w:sz w:val="21"/>
          <w:szCs w:val="21"/>
          <w:highlight w:val="none"/>
          <w:lang w:val="en-US" w:eastAsia="zh-CN"/>
        </w:rPr>
        <w:t>公共资源</w:t>
      </w:r>
      <w:r>
        <w:rPr>
          <w:rFonts w:hint="eastAsia" w:cs="宋体"/>
          <w:color w:val="auto"/>
          <w:sz w:val="21"/>
          <w:szCs w:val="21"/>
          <w:highlight w:val="none"/>
          <w:lang w:val="en-US" w:eastAsia="zh-CN"/>
        </w:rPr>
        <w:t>电子交易平台，定标时启用。</w:t>
      </w:r>
      <w:bookmarkStart w:id="987" w:name="_Toc27513"/>
    </w:p>
    <w:p w14:paraId="58B8AB5A">
      <w:pPr>
        <w:keepNext/>
        <w:keepLines/>
        <w:widowControl/>
        <w:adjustRightInd w:val="0"/>
        <w:snapToGrid w:val="0"/>
        <w:spacing w:before="0" w:beforeLines="0" w:after="0" w:afterLines="0" w:line="360" w:lineRule="auto"/>
        <w:outlineLvl w:val="1"/>
        <w:rPr>
          <w:color w:val="auto"/>
          <w:highlight w:val="none"/>
        </w:rPr>
      </w:pPr>
      <w:r>
        <w:rPr>
          <w:rFonts w:hint="eastAsia" w:ascii="黑体" w:eastAsia="黑体" w:cs="黑体"/>
          <w:color w:val="auto"/>
          <w:kern w:val="1"/>
          <w:sz w:val="28"/>
          <w:szCs w:val="28"/>
          <w:highlight w:val="none"/>
        </w:rPr>
        <w:t>4</w:t>
      </w:r>
      <w:r>
        <w:rPr>
          <w:rFonts w:hint="eastAsia" w:ascii="黑体" w:eastAsia="黑体" w:cs="黑体"/>
          <w:color w:val="auto"/>
          <w:kern w:val="1"/>
          <w:sz w:val="28"/>
          <w:szCs w:val="28"/>
          <w:highlight w:val="none"/>
          <w:lang w:val="zh-CN"/>
        </w:rPr>
        <w:t>.</w:t>
      </w:r>
      <w:r>
        <w:rPr>
          <w:rFonts w:hint="eastAsia" w:ascii="黑体" w:eastAsia="黑体" w:cs="黑体"/>
          <w:color w:val="auto"/>
          <w:kern w:val="1"/>
          <w:sz w:val="28"/>
          <w:szCs w:val="28"/>
          <w:highlight w:val="none"/>
        </w:rPr>
        <w:t>定标</w:t>
      </w:r>
      <w:bookmarkEnd w:id="987"/>
    </w:p>
    <w:p w14:paraId="6C9C7CB5">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.1组建定标委员会</w:t>
      </w:r>
    </w:p>
    <w:p w14:paraId="49777E0B">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.1.1定标委员会需由建设单位的法定代表人负责组建</w:t>
      </w:r>
      <w:r>
        <w:rPr>
          <w:rFonts w:hint="eastAsia" w:cs="宋体"/>
          <w:color w:val="auto"/>
          <w:sz w:val="21"/>
          <w:szCs w:val="21"/>
          <w:highlight w:val="none"/>
          <w:lang w:eastAsia="zh-CN"/>
        </w:rPr>
        <w:t>，</w:t>
      </w:r>
      <w:r>
        <w:rPr>
          <w:rFonts w:hint="eastAsia" w:cs="宋体"/>
          <w:color w:val="auto"/>
          <w:sz w:val="21"/>
          <w:szCs w:val="21"/>
          <w:highlight w:val="none"/>
        </w:rPr>
        <w:t>成员总数为</w:t>
      </w:r>
      <w:r>
        <w:rPr>
          <w:rFonts w:hint="eastAsia" w:cs="宋体"/>
          <w:color w:val="auto"/>
          <w:sz w:val="21"/>
          <w:szCs w:val="21"/>
          <w:highlight w:val="none"/>
          <w:lang w:val="en-US" w:eastAsia="zh-CN"/>
        </w:rPr>
        <w:t>5</w:t>
      </w:r>
      <w:r>
        <w:rPr>
          <w:rFonts w:hint="eastAsia" w:cs="宋体"/>
          <w:color w:val="auto"/>
          <w:sz w:val="21"/>
          <w:szCs w:val="21"/>
          <w:highlight w:val="none"/>
        </w:rPr>
        <w:t>人及以上单数</w:t>
      </w:r>
      <w:r>
        <w:rPr>
          <w:rFonts w:hint="eastAsia" w:cs="宋体"/>
          <w:color w:val="auto"/>
          <w:sz w:val="21"/>
          <w:szCs w:val="21"/>
          <w:highlight w:val="none"/>
          <w:lang w:eastAsia="zh-CN"/>
        </w:rPr>
        <w:t>。</w:t>
      </w:r>
      <w:r>
        <w:rPr>
          <w:rFonts w:hint="eastAsia" w:cs="宋体"/>
          <w:color w:val="auto"/>
          <w:sz w:val="21"/>
          <w:szCs w:val="21"/>
          <w:highlight w:val="none"/>
          <w:lang w:val="en-US" w:eastAsia="zh-CN"/>
        </w:rPr>
        <w:t>招标</w:t>
      </w:r>
      <w:r>
        <w:rPr>
          <w:rFonts w:hint="eastAsia" w:cs="宋体"/>
          <w:color w:val="auto"/>
          <w:sz w:val="21"/>
          <w:szCs w:val="21"/>
          <w:highlight w:val="none"/>
        </w:rPr>
        <w:t>项目实行代建的且代建单位作为招标人的，建设单位可以委托代建单位的法定代表人组建，代建单位应将定标委员会组建方案报建设单位批准同意。</w:t>
      </w:r>
    </w:p>
    <w:p w14:paraId="3D9925AB">
      <w:p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lang w:val="en-US" w:eastAsia="zh-CN"/>
        </w:rPr>
      </w:pPr>
      <w:r>
        <w:rPr>
          <w:rFonts w:hint="eastAsia" w:cs="宋体"/>
          <w:color w:val="auto"/>
          <w:sz w:val="21"/>
          <w:szCs w:val="21"/>
          <w:highlight w:val="none"/>
          <w:lang w:val="en-US" w:eastAsia="zh-CN"/>
        </w:rPr>
        <w:t>4</w:t>
      </w:r>
      <w:r>
        <w:rPr>
          <w:rFonts w:hint="eastAsia" w:cs="宋体"/>
          <w:color w:val="auto"/>
          <w:sz w:val="21"/>
          <w:szCs w:val="21"/>
          <w:highlight w:val="none"/>
        </w:rPr>
        <w:t>.1.2</w:t>
      </w:r>
      <w:r>
        <w:rPr>
          <w:rFonts w:hint="eastAsia" w:cs="宋体"/>
          <w:color w:val="auto"/>
          <w:sz w:val="21"/>
          <w:szCs w:val="21"/>
          <w:highlight w:val="none"/>
          <w:lang w:val="en-US" w:eastAsia="zh-CN"/>
        </w:rPr>
        <w:t>建设单位可以授权下列人员作为定标委员会成员，行使定标权：</w:t>
      </w:r>
    </w:p>
    <w:p w14:paraId="1C378ED5">
      <w:pPr>
        <w:numPr>
          <w:ilvl w:val="0"/>
          <w:numId w:val="10"/>
        </w:numPr>
        <w:autoSpaceDE w:val="0"/>
        <w:autoSpaceDN w:val="0"/>
        <w:adjustRightInd w:val="0"/>
        <w:snapToGrid w:val="0"/>
        <w:spacing w:beforeLines="0" w:afterLines="0" w:line="360" w:lineRule="auto"/>
        <w:ind w:firstLine="394" w:firstLineChars="188"/>
        <w:jc w:val="left"/>
        <w:rPr>
          <w:rFonts w:hint="eastAsia" w:cs="宋体"/>
          <w:color w:val="auto"/>
          <w:sz w:val="21"/>
          <w:szCs w:val="21"/>
          <w:highlight w:val="none"/>
        </w:rPr>
      </w:pPr>
      <w:r>
        <w:rPr>
          <w:rFonts w:hint="eastAsia" w:cs="宋体"/>
          <w:color w:val="auto"/>
          <w:sz w:val="21"/>
          <w:szCs w:val="21"/>
          <w:highlight w:val="none"/>
        </w:rPr>
        <w:t>定标委员会成员原则上从建设单位</w:t>
      </w:r>
      <w:r>
        <w:rPr>
          <w:rFonts w:hint="eastAsia" w:cs="宋体"/>
          <w:color w:val="auto"/>
          <w:sz w:val="21"/>
          <w:szCs w:val="21"/>
          <w:highlight w:val="none"/>
          <w:lang w:val="en-US" w:eastAsia="zh-CN"/>
        </w:rPr>
        <w:t>或</w:t>
      </w:r>
      <w:r>
        <w:rPr>
          <w:rFonts w:hint="eastAsia" w:cs="宋体"/>
          <w:color w:val="auto"/>
          <w:sz w:val="21"/>
          <w:szCs w:val="21"/>
          <w:highlight w:val="none"/>
        </w:rPr>
        <w:t>代建单位的领导班子成员、经营管理人员、具有工程建设类技术职称或注册执业资格的人员中产生</w:t>
      </w:r>
      <w:r>
        <w:rPr>
          <w:rFonts w:hint="eastAsia" w:cs="宋体"/>
          <w:color w:val="auto"/>
          <w:sz w:val="21"/>
          <w:szCs w:val="21"/>
          <w:highlight w:val="none"/>
          <w:lang w:eastAsia="zh-CN"/>
        </w:rPr>
        <w:t>，</w:t>
      </w:r>
      <w:r>
        <w:rPr>
          <w:rFonts w:hint="eastAsia" w:cs="宋体"/>
          <w:color w:val="auto"/>
          <w:sz w:val="21"/>
          <w:szCs w:val="21"/>
          <w:highlight w:val="none"/>
          <w:lang w:val="en-US" w:eastAsia="zh-CN"/>
        </w:rPr>
        <w:t>其中至少1人必须</w:t>
      </w:r>
      <w:r>
        <w:rPr>
          <w:rFonts w:hint="eastAsia" w:cs="宋体"/>
          <w:color w:val="auto"/>
          <w:sz w:val="21"/>
          <w:szCs w:val="21"/>
          <w:highlight w:val="none"/>
        </w:rPr>
        <w:t>具有工程建设类技术职称或注册执业资格。</w:t>
      </w:r>
    </w:p>
    <w:p w14:paraId="1D9EEB1B">
      <w:pPr>
        <w:numPr>
          <w:ilvl w:val="0"/>
          <w:numId w:val="10"/>
        </w:num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rPr>
        <w:t>本单位人员不足的，可以从</w:t>
      </w:r>
      <w:r>
        <w:rPr>
          <w:rFonts w:hint="eastAsia" w:cs="宋体"/>
          <w:color w:val="auto"/>
          <w:sz w:val="21"/>
          <w:szCs w:val="21"/>
          <w:highlight w:val="none"/>
          <w:lang w:val="en-US" w:eastAsia="zh-CN"/>
        </w:rPr>
        <w:t>上级单位</w:t>
      </w:r>
      <w:r>
        <w:rPr>
          <w:rFonts w:hint="eastAsia" w:cs="宋体"/>
          <w:color w:val="auto"/>
          <w:sz w:val="21"/>
          <w:szCs w:val="21"/>
          <w:highlight w:val="none"/>
        </w:rPr>
        <w:t>、下属单位或关联企业中选取符合条件的人员作为定标委员会成员。招标项目对技术、商务</w:t>
      </w:r>
      <w:r>
        <w:rPr>
          <w:rFonts w:hint="eastAsia" w:cs="宋体"/>
          <w:color w:val="auto"/>
          <w:sz w:val="21"/>
          <w:szCs w:val="21"/>
          <w:highlight w:val="none"/>
          <w:lang w:val="en-US" w:eastAsia="zh-CN"/>
        </w:rPr>
        <w:t>等</w:t>
      </w:r>
      <w:r>
        <w:rPr>
          <w:rFonts w:hint="eastAsia" w:cs="宋体"/>
          <w:color w:val="auto"/>
          <w:sz w:val="21"/>
          <w:szCs w:val="21"/>
          <w:highlight w:val="none"/>
        </w:rPr>
        <w:t>有特别要求的，可以邀请与投标人无利害关系的专家，专家人数为1～2名且不超过定标委员会成员总数的1/3。</w:t>
      </w:r>
    </w:p>
    <w:p w14:paraId="3BEC2CB6">
      <w:pPr>
        <w:autoSpaceDE w:val="0"/>
        <w:autoSpaceDN w:val="0"/>
        <w:adjustRightInd w:val="0"/>
        <w:snapToGrid w:val="0"/>
        <w:spacing w:beforeLines="0" w:afterLines="0" w:line="360" w:lineRule="auto"/>
        <w:ind w:firstLine="394" w:firstLineChars="188"/>
        <w:jc w:val="left"/>
        <w:rPr>
          <w:rFonts w:cs="宋体"/>
          <w:color w:val="auto"/>
          <w:sz w:val="21"/>
          <w:szCs w:val="21"/>
          <w:highlight w:val="none"/>
        </w:rPr>
      </w:pPr>
      <w:r>
        <w:rPr>
          <w:rFonts w:hint="eastAsia" w:cs="宋体"/>
          <w:color w:val="auto"/>
          <w:sz w:val="21"/>
          <w:szCs w:val="21"/>
          <w:highlight w:val="none"/>
          <w:lang w:val="en-US" w:eastAsia="zh-CN"/>
        </w:rPr>
        <w:t>4</w:t>
      </w:r>
      <w:r>
        <w:rPr>
          <w:rFonts w:hint="eastAsia" w:cs="宋体"/>
          <w:color w:val="auto"/>
          <w:sz w:val="21"/>
          <w:szCs w:val="21"/>
          <w:highlight w:val="none"/>
        </w:rPr>
        <w:t>.1.3各区、各行业主管部门及有条件的建设单位建立定标委员会成员名录库的，建设单位可以在相应的定标委员会成员名录库中采取随机抽签的方式</w:t>
      </w:r>
      <w:r>
        <w:rPr>
          <w:rFonts w:hint="eastAsia" w:cs="宋体"/>
          <w:color w:val="auto"/>
          <w:sz w:val="21"/>
          <w:szCs w:val="21"/>
          <w:highlight w:val="none"/>
          <w:lang w:val="en-US" w:eastAsia="zh-CN"/>
        </w:rPr>
        <w:t>确定定标委员会成员</w:t>
      </w:r>
      <w:r>
        <w:rPr>
          <w:rFonts w:hint="eastAsia" w:cs="宋体"/>
          <w:color w:val="auto"/>
          <w:sz w:val="21"/>
          <w:szCs w:val="21"/>
          <w:highlight w:val="none"/>
        </w:rPr>
        <w:t>。</w:t>
      </w:r>
    </w:p>
    <w:p w14:paraId="22883B6D">
      <w:pPr>
        <w:keepNext w:val="0"/>
        <w:keepLines w:val="0"/>
        <w:pageBreakBefore w:val="0"/>
        <w:widowControl/>
        <w:kinsoku/>
        <w:wordWrap/>
        <w:overflowPunct/>
        <w:topLinePunct w:val="0"/>
        <w:autoSpaceDE/>
        <w:autoSpaceDN/>
        <w:bidi w:val="0"/>
        <w:adjustRightInd w:val="0"/>
        <w:snapToGrid w:val="0"/>
        <w:spacing w:before="0" w:beforeLines="0" w:afterLines="0" w:line="360" w:lineRule="auto"/>
        <w:ind w:firstLine="420" w:firstLineChars="200"/>
        <w:jc w:val="left"/>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4.2陈述答辩考核（如有）</w:t>
      </w:r>
    </w:p>
    <w:p w14:paraId="76C7C6AA">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4.2.1</w:t>
      </w:r>
      <w:r>
        <w:rPr>
          <w:rFonts w:hint="eastAsia" w:cs="Times New Roman"/>
          <w:color w:val="auto"/>
          <w:kern w:val="0"/>
          <w:sz w:val="21"/>
          <w:szCs w:val="21"/>
          <w:highlight w:val="none"/>
          <w:u w:val="none"/>
          <w:lang w:val="en-US" w:eastAsia="zh-CN" w:bidi="ar-SA"/>
        </w:rPr>
        <w:t>考核工作与清标工作同步开展。</w:t>
      </w:r>
    </w:p>
    <w:p w14:paraId="1558BCD4">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4.2.2定标委员会使用建设单位加密定标方案附件的CA证书，解密陈述答辩考核方案附件。</w:t>
      </w:r>
    </w:p>
    <w:p w14:paraId="7818A2BE">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20" w:firstLineChars="200"/>
        <w:jc w:val="left"/>
        <w:textAlignment w:val="auto"/>
        <w:rPr>
          <w:rFonts w:hint="default" w:cs="宋体"/>
          <w:color w:val="auto"/>
          <w:sz w:val="21"/>
          <w:szCs w:val="21"/>
          <w:highlight w:val="none"/>
          <w:lang w:val="en-US" w:eastAsia="zh-CN"/>
        </w:rPr>
      </w:pPr>
      <w:r>
        <w:rPr>
          <w:rFonts w:hint="eastAsia" w:cs="宋体"/>
          <w:color w:val="auto"/>
          <w:sz w:val="21"/>
          <w:szCs w:val="21"/>
          <w:highlight w:val="none"/>
          <w:lang w:val="en-US" w:eastAsia="zh-CN"/>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14:paraId="40545B59">
      <w:pPr>
        <w:keepNext w:val="0"/>
        <w:keepLines w:val="0"/>
        <w:pageBreakBefore w:val="0"/>
        <w:widowControl/>
        <w:tabs>
          <w:tab w:val="left" w:pos="8218"/>
        </w:tabs>
        <w:kinsoku/>
        <w:wordWrap/>
        <w:overflowPunct/>
        <w:topLinePunct w:val="0"/>
        <w:autoSpaceDE/>
        <w:autoSpaceDN/>
        <w:bidi w:val="0"/>
        <w:adjustRightInd w:val="0"/>
        <w:snapToGrid w:val="0"/>
        <w:spacing w:before="0" w:beforeLines="0" w:afterLines="0" w:line="360" w:lineRule="auto"/>
        <w:ind w:firstLine="420" w:firstLineChars="200"/>
        <w:jc w:val="left"/>
        <w:textAlignment w:val="auto"/>
        <w:rPr>
          <w:rFonts w:hint="default" w:eastAsia="宋体" w:cs="宋体"/>
          <w:color w:val="auto"/>
          <w:sz w:val="21"/>
          <w:szCs w:val="21"/>
          <w:highlight w:val="none"/>
          <w:lang w:val="en-US" w:eastAsia="zh-CN"/>
        </w:rPr>
      </w:pPr>
      <w:r>
        <w:rPr>
          <w:rFonts w:hint="eastAsia" w:cs="宋体"/>
          <w:color w:val="auto"/>
          <w:sz w:val="21"/>
          <w:szCs w:val="21"/>
          <w:highlight w:val="none"/>
          <w:lang w:val="en-US" w:eastAsia="zh-CN"/>
        </w:rPr>
        <w:t>4.3定标，推荐中标人</w:t>
      </w:r>
      <w:r>
        <w:rPr>
          <w:rFonts w:hint="eastAsia" w:cs="宋体"/>
          <w:color w:val="auto"/>
          <w:sz w:val="21"/>
          <w:szCs w:val="21"/>
          <w:highlight w:val="none"/>
          <w:lang w:val="en-US" w:eastAsia="zh-CN"/>
        </w:rPr>
        <w:tab/>
      </w:r>
    </w:p>
    <w:p w14:paraId="79DDD572">
      <w:pPr>
        <w:widowControl/>
        <w:adjustRightInd w:val="0"/>
        <w:snapToGrid w:val="0"/>
        <w:spacing w:beforeLines="0" w:afterLines="0" w:line="360" w:lineRule="auto"/>
        <w:ind w:firstLine="420" w:firstLineChars="200"/>
        <w:jc w:val="left"/>
        <w:rPr>
          <w:rFonts w:hint="eastAsia" w:cs="Times New Roman"/>
          <w:color w:val="auto"/>
          <w:kern w:val="0"/>
          <w:sz w:val="21"/>
          <w:szCs w:val="21"/>
          <w:highlight w:val="none"/>
          <w:u w:val="none"/>
          <w:lang w:val="en-US" w:eastAsia="zh-CN" w:bidi="ar-SA"/>
        </w:rPr>
      </w:pPr>
      <w:r>
        <w:rPr>
          <w:rFonts w:hint="eastAsia" w:cs="Times New Roman"/>
          <w:color w:val="auto"/>
          <w:kern w:val="0"/>
          <w:sz w:val="21"/>
          <w:szCs w:val="21"/>
          <w:highlight w:val="none"/>
          <w:u w:val="none"/>
          <w:lang w:val="en-US" w:eastAsia="zh-CN" w:bidi="ar-SA"/>
        </w:rPr>
        <w:t>4.3.1定标委员会可在清标工作结束后随即开展定标工作或按规定择期定标。招标项目存在陈述答辩考核工作的，定标委员会应在完成4.2项规定的陈述答辩考核评审工作后立即开展定标工作。</w:t>
      </w:r>
    </w:p>
    <w:p w14:paraId="6646213C">
      <w:pPr>
        <w:widowControl/>
        <w:adjustRightInd w:val="0"/>
        <w:snapToGrid w:val="0"/>
        <w:spacing w:beforeLines="0" w:afterLines="0" w:line="360" w:lineRule="auto"/>
        <w:ind w:firstLine="420" w:firstLineChars="200"/>
        <w:jc w:val="left"/>
        <w:rPr>
          <w:rFonts w:hint="default" w:eastAsia="宋体" w:cs="Times New Roman"/>
          <w:color w:val="auto"/>
          <w:kern w:val="0"/>
          <w:sz w:val="21"/>
          <w:szCs w:val="21"/>
          <w:highlight w:val="none"/>
          <w:u w:val="none"/>
          <w:lang w:val="en-US" w:eastAsia="zh-CN" w:bidi="ar-SA"/>
        </w:rPr>
      </w:pPr>
      <w:r>
        <w:rPr>
          <w:rFonts w:hint="eastAsia" w:cs="Times New Roman"/>
          <w:color w:val="auto"/>
          <w:kern w:val="0"/>
          <w:sz w:val="21"/>
          <w:szCs w:val="21"/>
          <w:highlight w:val="none"/>
          <w:u w:val="none"/>
          <w:lang w:val="en-US" w:eastAsia="zh-CN" w:bidi="ar-SA"/>
        </w:rPr>
        <w:t>4.3.2</w:t>
      </w:r>
      <w:r>
        <w:rPr>
          <w:rFonts w:hint="eastAsia" w:cs="宋体"/>
          <w:color w:val="auto"/>
          <w:sz w:val="21"/>
          <w:szCs w:val="21"/>
          <w:highlight w:val="none"/>
          <w:lang w:val="en-US" w:eastAsia="zh-CN"/>
        </w:rPr>
        <w:t>投标人须知前附表第7.3项以及定标方案前附表第4项规定随机抽取定标方法的，根据定标方案前附表第4项规定进行随机抽取。</w:t>
      </w:r>
    </w:p>
    <w:p w14:paraId="2E26A78A">
      <w:pPr>
        <w:widowControl/>
        <w:adjustRightInd w:val="0"/>
        <w:snapToGrid w:val="0"/>
        <w:spacing w:beforeLines="0" w:afterLines="0" w:line="360" w:lineRule="auto"/>
        <w:ind w:firstLine="420" w:firstLineChars="200"/>
        <w:jc w:val="left"/>
        <w:rPr>
          <w:rFonts w:hint="default" w:eastAsia="宋体" w:cs="宋体"/>
          <w:color w:val="auto"/>
          <w:sz w:val="21"/>
          <w:szCs w:val="21"/>
          <w:highlight w:val="none"/>
          <w:lang w:val="en-US" w:eastAsia="zh-CN"/>
        </w:rPr>
      </w:pPr>
      <w:r>
        <w:rPr>
          <w:rFonts w:hint="eastAsia" w:cs="Times New Roman"/>
          <w:color w:val="auto"/>
          <w:kern w:val="0"/>
          <w:sz w:val="21"/>
          <w:szCs w:val="21"/>
          <w:highlight w:val="none"/>
          <w:u w:val="none"/>
          <w:lang w:val="en-US" w:eastAsia="zh-CN" w:bidi="ar-SA"/>
        </w:rPr>
        <w:t>4.3.3</w:t>
      </w:r>
      <w:r>
        <w:rPr>
          <w:rFonts w:hint="eastAsia" w:cs="宋体"/>
          <w:color w:val="auto"/>
          <w:sz w:val="21"/>
          <w:szCs w:val="21"/>
          <w:highlight w:val="none"/>
        </w:rPr>
        <w:t>定标委员</w:t>
      </w:r>
      <w:r>
        <w:rPr>
          <w:rFonts w:hint="eastAsia" w:cs="宋体"/>
          <w:color w:val="auto"/>
          <w:sz w:val="21"/>
          <w:szCs w:val="21"/>
          <w:highlight w:val="none"/>
          <w:lang w:val="en-US" w:eastAsia="zh-CN"/>
        </w:rPr>
        <w:t>会解密</w:t>
      </w:r>
      <w:r>
        <w:rPr>
          <w:rFonts w:hint="eastAsia" w:cs="宋体"/>
          <w:color w:val="auto"/>
          <w:sz w:val="21"/>
          <w:szCs w:val="21"/>
          <w:highlight w:val="none"/>
        </w:rPr>
        <w:t>清标报告中各定标候选人的清标得分，</w:t>
      </w:r>
      <w:r>
        <w:rPr>
          <w:rFonts w:hint="eastAsia" w:cs="宋体"/>
          <w:color w:val="auto"/>
          <w:sz w:val="21"/>
          <w:szCs w:val="21"/>
          <w:highlight w:val="none"/>
          <w:lang w:val="en-US" w:eastAsia="zh-CN"/>
        </w:rPr>
        <w:t>根据</w:t>
      </w:r>
      <w:r>
        <w:rPr>
          <w:rFonts w:hint="eastAsia" w:cs="宋体"/>
          <w:color w:val="auto"/>
          <w:sz w:val="21"/>
          <w:szCs w:val="21"/>
          <w:highlight w:val="none"/>
        </w:rPr>
        <w:t>各定标候选人</w:t>
      </w:r>
      <w:r>
        <w:rPr>
          <w:rFonts w:hint="eastAsia" w:cs="宋体"/>
          <w:color w:val="auto"/>
          <w:sz w:val="21"/>
          <w:szCs w:val="21"/>
          <w:highlight w:val="none"/>
          <w:lang w:val="en-US" w:eastAsia="zh-CN"/>
        </w:rPr>
        <w:t>项目负责人陈述答辩得分（如有）汇总</w:t>
      </w:r>
      <w:r>
        <w:rPr>
          <w:rFonts w:hint="eastAsia" w:cs="宋体"/>
          <w:color w:val="auto"/>
          <w:sz w:val="21"/>
          <w:szCs w:val="21"/>
          <w:highlight w:val="none"/>
        </w:rPr>
        <w:t>计算定标候选人的综合得分</w:t>
      </w:r>
      <w:r>
        <w:rPr>
          <w:rFonts w:hint="eastAsia" w:cs="宋体"/>
          <w:color w:val="auto"/>
          <w:sz w:val="21"/>
          <w:szCs w:val="21"/>
          <w:highlight w:val="none"/>
          <w:lang w:val="en-US" w:eastAsia="zh-CN"/>
        </w:rPr>
        <w:t>并由高往低排序</w:t>
      </w:r>
      <w:r>
        <w:rPr>
          <w:rFonts w:hint="eastAsia" w:cs="宋体"/>
          <w:color w:val="auto"/>
          <w:sz w:val="21"/>
          <w:szCs w:val="21"/>
          <w:highlight w:val="none"/>
        </w:rPr>
        <w:t>。</w:t>
      </w:r>
      <w:r>
        <w:rPr>
          <w:rFonts w:hint="eastAsia" w:cs="宋体"/>
          <w:color w:val="auto"/>
          <w:sz w:val="21"/>
          <w:szCs w:val="21"/>
          <w:highlight w:val="none"/>
          <w:lang w:val="en-US" w:eastAsia="zh-CN"/>
        </w:rPr>
        <w:t>定标委员会还需复核清标结果，如发现清标结果有误，应及时纠正并经定标委员会所有成员签字确认，纠正情况应纳入定标报告。</w:t>
      </w:r>
    </w:p>
    <w:p w14:paraId="73F2CF45">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lang w:val="en-US" w:eastAsia="zh-CN"/>
        </w:rPr>
        <w:t>4.3.4</w:t>
      </w:r>
      <w:r>
        <w:rPr>
          <w:rFonts w:hint="eastAsia" w:cs="宋体"/>
          <w:color w:val="auto"/>
          <w:sz w:val="21"/>
          <w:szCs w:val="21"/>
          <w:highlight w:val="none"/>
        </w:rPr>
        <w:t>定标委员会根据</w:t>
      </w:r>
      <w:r>
        <w:rPr>
          <w:rFonts w:hint="eastAsia" w:cs="宋体"/>
          <w:color w:val="auto"/>
          <w:sz w:val="21"/>
          <w:szCs w:val="21"/>
          <w:highlight w:val="none"/>
          <w:lang w:val="en-US" w:eastAsia="zh-CN"/>
        </w:rPr>
        <w:t>投标人须知前附表第7.3项以及</w:t>
      </w:r>
      <w:r>
        <w:rPr>
          <w:rFonts w:hint="eastAsia" w:cs="宋体"/>
          <w:color w:val="auto"/>
          <w:sz w:val="21"/>
          <w:szCs w:val="21"/>
          <w:highlight w:val="none"/>
        </w:rPr>
        <w:t>定标方案</w:t>
      </w:r>
      <w:r>
        <w:rPr>
          <w:rFonts w:hint="eastAsia" w:cs="宋体"/>
          <w:color w:val="auto"/>
          <w:sz w:val="21"/>
          <w:szCs w:val="21"/>
          <w:highlight w:val="none"/>
          <w:lang w:val="en-US" w:eastAsia="zh-CN"/>
        </w:rPr>
        <w:t>前附表第4项</w:t>
      </w:r>
      <w:r>
        <w:rPr>
          <w:rFonts w:hint="eastAsia" w:cs="宋体"/>
          <w:color w:val="auto"/>
          <w:sz w:val="21"/>
          <w:szCs w:val="21"/>
          <w:highlight w:val="none"/>
        </w:rPr>
        <w:t>规定的</w:t>
      </w:r>
      <w:r>
        <w:rPr>
          <w:rFonts w:hint="eastAsia" w:cs="宋体"/>
          <w:color w:val="auto"/>
          <w:sz w:val="21"/>
          <w:szCs w:val="21"/>
          <w:highlight w:val="none"/>
          <w:lang w:val="en-US" w:eastAsia="zh-CN"/>
        </w:rPr>
        <w:t>定标方法</w:t>
      </w:r>
      <w:r>
        <w:rPr>
          <w:rFonts w:hint="eastAsia" w:cs="宋体"/>
          <w:color w:val="auto"/>
          <w:sz w:val="21"/>
          <w:szCs w:val="21"/>
          <w:highlight w:val="none"/>
        </w:rPr>
        <w:t>，</w:t>
      </w:r>
      <w:r>
        <w:rPr>
          <w:rFonts w:hint="eastAsia" w:cs="宋体"/>
          <w:color w:val="auto"/>
          <w:sz w:val="21"/>
          <w:szCs w:val="21"/>
          <w:highlight w:val="none"/>
          <w:lang w:val="en-US" w:eastAsia="zh-CN"/>
        </w:rPr>
        <w:t>确定中标</w:t>
      </w:r>
      <w:r>
        <w:rPr>
          <w:rFonts w:hint="eastAsia" w:cs="宋体"/>
          <w:color w:val="auto"/>
          <w:sz w:val="21"/>
          <w:szCs w:val="21"/>
          <w:highlight w:val="none"/>
        </w:rPr>
        <w:t>候选人</w:t>
      </w:r>
      <w:r>
        <w:rPr>
          <w:rFonts w:hint="eastAsia" w:cs="宋体"/>
          <w:color w:val="auto"/>
          <w:sz w:val="21"/>
          <w:szCs w:val="21"/>
          <w:highlight w:val="none"/>
          <w:lang w:val="en-US" w:eastAsia="zh-CN"/>
        </w:rPr>
        <w:t>并推荐中标人</w:t>
      </w:r>
      <w:r>
        <w:rPr>
          <w:rFonts w:hint="eastAsia" w:cs="宋体"/>
          <w:color w:val="auto"/>
          <w:sz w:val="21"/>
          <w:szCs w:val="21"/>
          <w:highlight w:val="none"/>
        </w:rPr>
        <w:t>。</w:t>
      </w:r>
    </w:p>
    <w:p w14:paraId="116EB4DF">
      <w:pPr>
        <w:widowControl/>
        <w:adjustRightInd w:val="0"/>
        <w:snapToGrid w:val="0"/>
        <w:spacing w:beforeLines="0" w:afterLines="0" w:line="360" w:lineRule="auto"/>
        <w:ind w:firstLine="420" w:firstLineChars="200"/>
        <w:jc w:val="left"/>
        <w:rPr>
          <w:rFonts w:cs="宋体"/>
          <w:color w:val="auto"/>
          <w:szCs w:val="21"/>
          <w:highlight w:val="none"/>
        </w:rPr>
      </w:pPr>
      <w:r>
        <w:rPr>
          <w:rFonts w:hint="eastAsia" w:cs="宋体"/>
          <w:color w:val="auto"/>
          <w:sz w:val="21"/>
          <w:szCs w:val="21"/>
          <w:highlight w:val="none"/>
          <w:lang w:val="en-US" w:eastAsia="zh-CN"/>
        </w:rPr>
        <w:t>4.3.5</w:t>
      </w:r>
      <w:r>
        <w:rPr>
          <w:rFonts w:hint="eastAsia" w:cs="宋体"/>
          <w:color w:val="auto"/>
          <w:sz w:val="21"/>
          <w:szCs w:val="21"/>
          <w:highlight w:val="none"/>
        </w:rPr>
        <w:t>定标完成后，定标委员会应当编制定标报告，定标报告完整载明定标过程。</w:t>
      </w:r>
    </w:p>
    <w:p w14:paraId="73ED235B">
      <w:pPr>
        <w:keepNext/>
        <w:keepLines/>
        <w:widowControl/>
        <w:adjustRightInd w:val="0"/>
        <w:snapToGrid w:val="0"/>
        <w:spacing w:before="0" w:beforeLines="0" w:after="0" w:afterLines="0" w:line="360" w:lineRule="auto"/>
        <w:outlineLvl w:val="1"/>
        <w:rPr>
          <w:rFonts w:ascii="黑体" w:eastAsia="黑体" w:cs="黑体"/>
          <w:color w:val="auto"/>
          <w:kern w:val="1"/>
          <w:sz w:val="28"/>
          <w:szCs w:val="28"/>
          <w:highlight w:val="none"/>
        </w:rPr>
      </w:pPr>
      <w:bookmarkStart w:id="988" w:name="_Toc21070"/>
      <w:bookmarkStart w:id="989" w:name="_Toc11344"/>
      <w:bookmarkStart w:id="990" w:name="_Toc12744"/>
      <w:bookmarkStart w:id="991" w:name="_Toc61877316"/>
      <w:bookmarkStart w:id="992" w:name="_Toc21865"/>
      <w:bookmarkStart w:id="993" w:name="_Toc7037"/>
      <w:bookmarkStart w:id="994" w:name="_Toc70273132"/>
      <w:r>
        <w:rPr>
          <w:rFonts w:hint="eastAsia" w:ascii="黑体" w:eastAsia="黑体" w:cs="黑体"/>
          <w:color w:val="auto"/>
          <w:kern w:val="1"/>
          <w:sz w:val="28"/>
          <w:szCs w:val="28"/>
          <w:highlight w:val="none"/>
        </w:rPr>
        <w:t>5</w:t>
      </w:r>
      <w:r>
        <w:rPr>
          <w:rFonts w:hint="eastAsia" w:ascii="黑体" w:eastAsia="黑体" w:cs="黑体"/>
          <w:color w:val="auto"/>
          <w:kern w:val="1"/>
          <w:sz w:val="28"/>
          <w:szCs w:val="28"/>
          <w:highlight w:val="none"/>
          <w:lang w:val="zh-CN"/>
        </w:rPr>
        <w:t>.重新定标</w:t>
      </w:r>
      <w:bookmarkEnd w:id="988"/>
      <w:bookmarkEnd w:id="989"/>
      <w:bookmarkEnd w:id="990"/>
      <w:bookmarkEnd w:id="991"/>
      <w:bookmarkEnd w:id="992"/>
      <w:bookmarkEnd w:id="993"/>
      <w:bookmarkEnd w:id="994"/>
      <w:r>
        <w:rPr>
          <w:rFonts w:hint="eastAsia" w:ascii="黑体" w:eastAsia="黑体" w:cs="黑体"/>
          <w:color w:val="auto"/>
          <w:kern w:val="1"/>
          <w:sz w:val="28"/>
          <w:szCs w:val="28"/>
          <w:highlight w:val="none"/>
        </w:rPr>
        <w:t>与重新招标</w:t>
      </w:r>
    </w:p>
    <w:p w14:paraId="0BF3CBCB">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定标后有下列情形之一的，建设单位</w:t>
      </w:r>
      <w:r>
        <w:rPr>
          <w:rFonts w:hint="eastAsia" w:cs="宋体"/>
          <w:color w:val="auto"/>
          <w:sz w:val="21"/>
          <w:szCs w:val="21"/>
          <w:highlight w:val="none"/>
          <w:lang w:val="en-US" w:eastAsia="zh-CN"/>
        </w:rPr>
        <w:t>组织</w:t>
      </w:r>
      <w:r>
        <w:rPr>
          <w:rFonts w:hint="eastAsia" w:cs="宋体"/>
          <w:color w:val="auto"/>
          <w:sz w:val="21"/>
          <w:szCs w:val="21"/>
          <w:highlight w:val="none"/>
        </w:rPr>
        <w:t>原定标委员会</w:t>
      </w:r>
      <w:r>
        <w:rPr>
          <w:rFonts w:hint="eastAsia" w:cs="宋体"/>
          <w:color w:val="auto"/>
          <w:sz w:val="21"/>
          <w:szCs w:val="21"/>
          <w:highlight w:val="none"/>
          <w:lang w:val="en-US" w:eastAsia="zh-CN"/>
        </w:rPr>
        <w:t>按原定标方案</w:t>
      </w:r>
      <w:r>
        <w:rPr>
          <w:rFonts w:hint="eastAsia" w:cs="宋体"/>
          <w:color w:val="auto"/>
          <w:sz w:val="21"/>
          <w:szCs w:val="21"/>
          <w:highlight w:val="none"/>
        </w:rPr>
        <w:t>重新确定中标人</w:t>
      </w:r>
      <w:r>
        <w:rPr>
          <w:rFonts w:hint="eastAsia" w:cs="宋体"/>
          <w:color w:val="auto"/>
          <w:sz w:val="21"/>
          <w:szCs w:val="21"/>
          <w:highlight w:val="none"/>
          <w:lang w:val="en-US" w:eastAsia="zh-CN"/>
        </w:rPr>
        <w:t>或重新招标，其中，除重新招标以外，已完成的</w:t>
      </w:r>
      <w:r>
        <w:rPr>
          <w:rFonts w:hint="eastAsia" w:ascii="宋体" w:hAnsi="宋体" w:eastAsia="宋体" w:cs="宋体"/>
          <w:color w:val="auto"/>
          <w:kern w:val="0"/>
          <w:sz w:val="21"/>
          <w:szCs w:val="21"/>
          <w:highlight w:val="none"/>
          <w:lang w:val="en-US" w:eastAsia="zh-CN"/>
        </w:rPr>
        <w:t>报价</w:t>
      </w:r>
      <w:r>
        <w:rPr>
          <w:rFonts w:hint="eastAsia" w:ascii="宋体" w:hAnsi="宋体" w:eastAsia="宋体" w:cs="宋体"/>
          <w:color w:val="auto"/>
          <w:kern w:val="0"/>
          <w:sz w:val="21"/>
          <w:szCs w:val="21"/>
          <w:highlight w:val="none"/>
        </w:rPr>
        <w:t>下浮率满分区间中值K</w:t>
      </w:r>
      <w:r>
        <w:rPr>
          <w:rFonts w:hint="eastAsia" w:cs="宋体"/>
          <w:color w:val="auto"/>
          <w:sz w:val="21"/>
          <w:szCs w:val="21"/>
          <w:highlight w:val="none"/>
          <w:lang w:val="en-US" w:eastAsia="zh-CN"/>
        </w:rPr>
        <w:t>抽取结果、定标方法抽取结果以及项目负责人陈述答辩评分（根据实际情况需要采用备选答辩评审标准重新陈述答辩考核的除外），后续无论出现何种情况都不再改变</w:t>
      </w:r>
      <w:r>
        <w:rPr>
          <w:rFonts w:hint="eastAsia" w:cs="宋体"/>
          <w:color w:val="auto"/>
          <w:sz w:val="21"/>
          <w:szCs w:val="21"/>
          <w:highlight w:val="none"/>
        </w:rPr>
        <w:t>：</w:t>
      </w:r>
    </w:p>
    <w:p w14:paraId="2044EB38">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（1）中标人放弃中标或者拒不签订合同的；</w:t>
      </w:r>
    </w:p>
    <w:p w14:paraId="5513E3D0">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rPr>
        <w:t>（2）中标人不按照招标文件要求提交履约担保的；</w:t>
      </w:r>
    </w:p>
    <w:p w14:paraId="26D050FC">
      <w:pPr>
        <w:widowControl/>
        <w:adjustRightInd w:val="0"/>
        <w:snapToGrid w:val="0"/>
        <w:spacing w:beforeLines="0" w:afterLines="0" w:line="360" w:lineRule="auto"/>
        <w:ind w:firstLine="420" w:firstLineChars="200"/>
        <w:jc w:val="left"/>
        <w:rPr>
          <w:rFonts w:hint="default" w:eastAsia="宋体" w:cs="宋体"/>
          <w:color w:val="auto"/>
          <w:sz w:val="21"/>
          <w:szCs w:val="21"/>
          <w:highlight w:val="none"/>
          <w:lang w:val="en-US" w:eastAsia="zh-CN"/>
        </w:rPr>
      </w:pPr>
      <w:r>
        <w:rPr>
          <w:rFonts w:hint="eastAsia" w:cs="宋体"/>
          <w:color w:val="auto"/>
          <w:sz w:val="21"/>
          <w:szCs w:val="21"/>
          <w:highlight w:val="none"/>
        </w:rPr>
        <w:t>（3）</w:t>
      </w:r>
      <w:r>
        <w:rPr>
          <w:rFonts w:hint="eastAsia" w:cs="宋体"/>
          <w:color w:val="auto"/>
          <w:sz w:val="21"/>
          <w:szCs w:val="21"/>
          <w:highlight w:val="none"/>
          <w:lang w:val="en-US" w:eastAsia="zh-CN"/>
        </w:rPr>
        <w:t>未按照定标方案定标并影响中标结果的；</w:t>
      </w:r>
    </w:p>
    <w:p w14:paraId="5C1533FF">
      <w:pPr>
        <w:widowControl/>
        <w:adjustRightInd w:val="0"/>
        <w:snapToGrid w:val="0"/>
        <w:spacing w:beforeLines="0" w:afterLines="0" w:line="360" w:lineRule="auto"/>
        <w:ind w:firstLine="420" w:firstLineChars="200"/>
        <w:jc w:val="left"/>
        <w:rPr>
          <w:rFonts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cs="宋体"/>
          <w:color w:val="auto"/>
          <w:sz w:val="21"/>
          <w:szCs w:val="21"/>
          <w:highlight w:val="none"/>
          <w:lang w:eastAsia="zh-CN"/>
        </w:rPr>
        <w:t>）</w:t>
      </w:r>
      <w:r>
        <w:rPr>
          <w:rFonts w:hint="eastAsia" w:cs="宋体"/>
          <w:color w:val="auto"/>
          <w:sz w:val="21"/>
          <w:szCs w:val="21"/>
          <w:highlight w:val="none"/>
          <w:lang w:val="en-US" w:eastAsia="zh-CN"/>
        </w:rPr>
        <w:t>经异议或投诉处理，</w:t>
      </w:r>
      <w:r>
        <w:rPr>
          <w:rFonts w:hint="eastAsia" w:cs="宋体"/>
          <w:color w:val="auto"/>
          <w:sz w:val="21"/>
          <w:szCs w:val="21"/>
          <w:highlight w:val="none"/>
        </w:rPr>
        <w:t>被查实</w:t>
      </w:r>
      <w:r>
        <w:rPr>
          <w:rFonts w:hint="eastAsia" w:cs="宋体"/>
          <w:color w:val="auto"/>
          <w:sz w:val="21"/>
          <w:szCs w:val="21"/>
          <w:highlight w:val="none"/>
          <w:lang w:val="en-US" w:eastAsia="zh-CN"/>
        </w:rPr>
        <w:t>并</w:t>
      </w:r>
      <w:r>
        <w:rPr>
          <w:rFonts w:hint="eastAsia" w:cs="宋体"/>
          <w:color w:val="auto"/>
          <w:sz w:val="21"/>
          <w:szCs w:val="21"/>
          <w:highlight w:val="none"/>
        </w:rPr>
        <w:t>影响中标结果的；</w:t>
      </w:r>
    </w:p>
    <w:p w14:paraId="19B02CF8">
      <w:pPr>
        <w:tabs>
          <w:tab w:val="left" w:pos="4200"/>
        </w:tabs>
        <w:adjustRightInd w:val="0"/>
        <w:snapToGrid w:val="0"/>
        <w:spacing w:beforeLines="0" w:afterLines="0" w:line="360" w:lineRule="auto"/>
        <w:ind w:firstLine="420" w:firstLineChars="200"/>
        <w:rPr>
          <w:rFonts w:ascii="宋体" w:hAnsi="宋体"/>
          <w:color w:val="auto"/>
          <w:highlight w:val="none"/>
        </w:rPr>
      </w:pPr>
      <w:r>
        <w:rPr>
          <w:rFonts w:hint="eastAsia" w:cs="宋体"/>
          <w:color w:val="auto"/>
          <w:sz w:val="21"/>
          <w:szCs w:val="21"/>
          <w:highlight w:val="none"/>
        </w:rPr>
        <w:t>（</w:t>
      </w:r>
      <w:r>
        <w:rPr>
          <w:rFonts w:hint="eastAsia" w:cs="宋体"/>
          <w:color w:val="auto"/>
          <w:sz w:val="21"/>
          <w:szCs w:val="21"/>
          <w:highlight w:val="none"/>
          <w:lang w:val="en-US" w:eastAsia="zh-CN"/>
        </w:rPr>
        <w:t>5</w:t>
      </w:r>
      <w:r>
        <w:rPr>
          <w:rFonts w:hint="eastAsia" w:cs="宋体"/>
          <w:color w:val="auto"/>
          <w:sz w:val="21"/>
          <w:szCs w:val="21"/>
          <w:highlight w:val="none"/>
        </w:rPr>
        <w:t>）法律法规规定的其他情形。</w:t>
      </w:r>
    </w:p>
    <w:p w14:paraId="14B60515">
      <w:pPr>
        <w:pStyle w:val="38"/>
        <w:ind w:firstLine="523"/>
        <w:rPr>
          <w:color w:val="auto"/>
          <w:highlight w:val="none"/>
        </w:rPr>
      </w:pPr>
    </w:p>
    <w:p w14:paraId="6F32E76F">
      <w:pPr>
        <w:tabs>
          <w:tab w:val="left" w:pos="4200"/>
        </w:tabs>
        <w:spacing w:line="400" w:lineRule="exact"/>
        <w:rPr>
          <w:rFonts w:ascii="宋体" w:hAnsi="宋体"/>
          <w:color w:val="auto"/>
          <w:highlight w:val="none"/>
        </w:rPr>
      </w:pPr>
    </w:p>
    <w:p w14:paraId="6D0A6118">
      <w:pPr>
        <w:tabs>
          <w:tab w:val="left" w:pos="4200"/>
        </w:tabs>
        <w:spacing w:line="400" w:lineRule="exact"/>
        <w:rPr>
          <w:rFonts w:ascii="宋体" w:hAnsi="宋体"/>
          <w:color w:val="auto"/>
          <w:highlight w:val="none"/>
        </w:rPr>
      </w:pPr>
    </w:p>
    <w:p w14:paraId="79F60670">
      <w:pPr>
        <w:tabs>
          <w:tab w:val="left" w:pos="4200"/>
        </w:tabs>
        <w:spacing w:line="400" w:lineRule="exact"/>
        <w:rPr>
          <w:rFonts w:ascii="宋体" w:hAnsi="宋体"/>
          <w:color w:val="auto"/>
          <w:highlight w:val="none"/>
        </w:rPr>
      </w:pPr>
    </w:p>
    <w:p w14:paraId="23442F4F">
      <w:pPr>
        <w:tabs>
          <w:tab w:val="left" w:pos="4200"/>
        </w:tabs>
        <w:spacing w:line="400" w:lineRule="exact"/>
        <w:rPr>
          <w:rFonts w:ascii="宋体" w:hAnsi="宋体"/>
          <w:color w:val="auto"/>
          <w:highlight w:val="none"/>
        </w:rPr>
      </w:pPr>
    </w:p>
    <w:p w14:paraId="2DECFA77">
      <w:pPr>
        <w:tabs>
          <w:tab w:val="left" w:pos="4200"/>
        </w:tabs>
        <w:spacing w:line="400" w:lineRule="exact"/>
        <w:rPr>
          <w:rFonts w:ascii="宋体" w:hAnsi="宋体"/>
          <w:color w:val="auto"/>
          <w:highlight w:val="none"/>
        </w:rPr>
      </w:pPr>
    </w:p>
    <w:p w14:paraId="33778A99">
      <w:pPr>
        <w:tabs>
          <w:tab w:val="left" w:pos="4200"/>
        </w:tabs>
        <w:spacing w:line="400" w:lineRule="exact"/>
        <w:rPr>
          <w:rFonts w:ascii="宋体" w:hAnsi="宋体"/>
          <w:color w:val="auto"/>
          <w:highlight w:val="none"/>
        </w:rPr>
      </w:pPr>
    </w:p>
    <w:p w14:paraId="3CA849BF">
      <w:pPr>
        <w:tabs>
          <w:tab w:val="left" w:pos="4200"/>
        </w:tabs>
        <w:spacing w:line="400" w:lineRule="exact"/>
        <w:rPr>
          <w:rFonts w:ascii="宋体" w:hAnsi="宋体"/>
          <w:color w:val="auto"/>
          <w:highlight w:val="none"/>
        </w:rPr>
      </w:pPr>
    </w:p>
    <w:p w14:paraId="6E9816F7">
      <w:pPr>
        <w:tabs>
          <w:tab w:val="left" w:pos="4200"/>
        </w:tabs>
        <w:spacing w:line="400" w:lineRule="exact"/>
        <w:rPr>
          <w:rFonts w:ascii="宋体" w:hAnsi="宋体"/>
          <w:color w:val="auto"/>
          <w:highlight w:val="none"/>
        </w:rPr>
      </w:pPr>
    </w:p>
    <w:p w14:paraId="1C93CA5E">
      <w:pPr>
        <w:tabs>
          <w:tab w:val="left" w:pos="4200"/>
        </w:tabs>
        <w:spacing w:line="400" w:lineRule="exact"/>
        <w:rPr>
          <w:rFonts w:ascii="宋体" w:hAnsi="宋体"/>
          <w:color w:val="auto"/>
          <w:highlight w:val="none"/>
        </w:rPr>
      </w:pPr>
    </w:p>
    <w:p w14:paraId="25BEA53A">
      <w:pPr>
        <w:tabs>
          <w:tab w:val="left" w:pos="4200"/>
        </w:tabs>
        <w:spacing w:line="400" w:lineRule="exact"/>
        <w:rPr>
          <w:rFonts w:ascii="宋体" w:hAnsi="宋体"/>
          <w:color w:val="auto"/>
          <w:highlight w:val="none"/>
        </w:rPr>
      </w:pPr>
    </w:p>
    <w:p w14:paraId="6D7CC9A9">
      <w:pPr>
        <w:tabs>
          <w:tab w:val="left" w:pos="4200"/>
        </w:tabs>
        <w:spacing w:line="400" w:lineRule="exact"/>
        <w:rPr>
          <w:rFonts w:ascii="宋体" w:hAnsi="宋体"/>
          <w:color w:val="auto"/>
          <w:highlight w:val="none"/>
        </w:rPr>
      </w:pPr>
    </w:p>
    <w:p w14:paraId="02501FA2">
      <w:pPr>
        <w:tabs>
          <w:tab w:val="left" w:pos="4200"/>
        </w:tabs>
        <w:spacing w:line="400" w:lineRule="exact"/>
        <w:rPr>
          <w:rFonts w:ascii="宋体" w:hAnsi="宋体"/>
          <w:color w:val="auto"/>
          <w:highlight w:val="none"/>
        </w:rPr>
      </w:pPr>
    </w:p>
    <w:p w14:paraId="06E36369">
      <w:pPr>
        <w:tabs>
          <w:tab w:val="left" w:pos="4200"/>
        </w:tabs>
        <w:spacing w:line="400" w:lineRule="exact"/>
        <w:ind w:firstLine="482"/>
        <w:rPr>
          <w:rFonts w:ascii="宋体" w:hAnsi="宋体"/>
          <w:b/>
          <w:bCs/>
          <w:color w:val="auto"/>
          <w:sz w:val="24"/>
          <w:highlight w:val="none"/>
        </w:rPr>
        <w:sectPr>
          <w:pgSz w:w="11905" w:h="16838"/>
          <w:pgMar w:top="1440" w:right="1417" w:bottom="1440" w:left="1417" w:header="850" w:footer="992" w:gutter="0"/>
          <w:cols w:space="720" w:num="1"/>
          <w:docGrid w:type="lines" w:linePitch="317" w:charSpace="0"/>
        </w:sectPr>
      </w:pPr>
    </w:p>
    <w:p w14:paraId="695D7C65">
      <w:pPr>
        <w:pStyle w:val="49"/>
        <w:rPr>
          <w:color w:val="auto"/>
          <w:highlight w:val="none"/>
        </w:rPr>
      </w:pPr>
    </w:p>
    <w:p w14:paraId="74BD4272">
      <w:pPr>
        <w:pStyle w:val="49"/>
        <w:rPr>
          <w:color w:val="auto"/>
          <w:highlight w:val="none"/>
        </w:rPr>
      </w:pPr>
    </w:p>
    <w:p w14:paraId="399AF241">
      <w:pPr>
        <w:pStyle w:val="49"/>
        <w:rPr>
          <w:color w:val="auto"/>
          <w:highlight w:val="none"/>
        </w:rPr>
      </w:pPr>
    </w:p>
    <w:p w14:paraId="408E7248">
      <w:pPr>
        <w:pStyle w:val="49"/>
        <w:rPr>
          <w:color w:val="auto"/>
          <w:highlight w:val="none"/>
        </w:rPr>
      </w:pPr>
    </w:p>
    <w:p w14:paraId="313596E7">
      <w:pPr>
        <w:pStyle w:val="49"/>
        <w:rPr>
          <w:color w:val="auto"/>
          <w:highlight w:val="none"/>
        </w:rPr>
      </w:pPr>
    </w:p>
    <w:p w14:paraId="71160951">
      <w:pPr>
        <w:pStyle w:val="49"/>
        <w:rPr>
          <w:color w:val="auto"/>
          <w:highlight w:val="none"/>
        </w:rPr>
      </w:pPr>
    </w:p>
    <w:p w14:paraId="7A4D45D8">
      <w:pPr>
        <w:pStyle w:val="49"/>
        <w:rPr>
          <w:color w:val="auto"/>
          <w:highlight w:val="none"/>
        </w:rPr>
      </w:pPr>
    </w:p>
    <w:p w14:paraId="0AC84F4E">
      <w:pPr>
        <w:pStyle w:val="2"/>
        <w:rPr>
          <w:rFonts w:ascii="宋体" w:hAnsi="宋体" w:cs="黑体"/>
          <w:color w:val="auto"/>
          <w:highlight w:val="none"/>
        </w:rPr>
      </w:pPr>
      <w:bookmarkStart w:id="995" w:name="_Toc10943"/>
      <w:bookmarkStart w:id="996" w:name="_Toc152042387"/>
      <w:bookmarkStart w:id="997" w:name="_Toc152045609"/>
      <w:bookmarkStart w:id="998" w:name="_Toc144974577"/>
      <w:bookmarkStart w:id="999" w:name="_Toc3479"/>
      <w:bookmarkStart w:id="1000" w:name="_Toc179632627"/>
      <w:bookmarkStart w:id="1001" w:name="_Toc334648761"/>
      <w:bookmarkStart w:id="1002" w:name="_Toc490832335"/>
      <w:r>
        <w:rPr>
          <w:rFonts w:hint="eastAsia" w:ascii="宋体" w:hAnsi="宋体" w:cs="黑体"/>
          <w:color w:val="auto"/>
          <w:highlight w:val="none"/>
        </w:rPr>
        <w:t>第五章 合同条款及格式</w:t>
      </w:r>
      <w:bookmarkEnd w:id="995"/>
      <w:bookmarkEnd w:id="996"/>
      <w:bookmarkEnd w:id="997"/>
      <w:bookmarkEnd w:id="998"/>
      <w:bookmarkEnd w:id="999"/>
      <w:bookmarkEnd w:id="1000"/>
      <w:bookmarkEnd w:id="1001"/>
      <w:bookmarkEnd w:id="1002"/>
    </w:p>
    <w:p w14:paraId="289C13FA">
      <w:pPr>
        <w:rPr>
          <w:rFonts w:ascii="宋体" w:hAnsi="宋体"/>
          <w:color w:val="auto"/>
          <w:highlight w:val="none"/>
        </w:rPr>
      </w:pPr>
    </w:p>
    <w:p w14:paraId="25B79F93">
      <w:pPr>
        <w:rPr>
          <w:rFonts w:ascii="宋体" w:hAnsi="宋体"/>
          <w:color w:val="auto"/>
          <w:highlight w:val="none"/>
        </w:rPr>
      </w:pPr>
    </w:p>
    <w:p w14:paraId="0DE45EA4">
      <w:pPr>
        <w:rPr>
          <w:rFonts w:ascii="宋体" w:hAnsi="宋体"/>
          <w:color w:val="auto"/>
          <w:highlight w:val="none"/>
        </w:rPr>
      </w:pPr>
    </w:p>
    <w:p w14:paraId="50B7B4C1">
      <w:pPr>
        <w:rPr>
          <w:rFonts w:ascii="宋体" w:hAnsi="宋体"/>
          <w:color w:val="auto"/>
          <w:highlight w:val="none"/>
        </w:rPr>
      </w:pPr>
    </w:p>
    <w:p w14:paraId="38B932A1">
      <w:pPr>
        <w:rPr>
          <w:rFonts w:ascii="宋体" w:hAnsi="宋体"/>
          <w:color w:val="auto"/>
          <w:highlight w:val="none"/>
        </w:rPr>
      </w:pPr>
    </w:p>
    <w:p w14:paraId="4425ED1E">
      <w:pPr>
        <w:rPr>
          <w:rFonts w:ascii="宋体" w:hAnsi="宋体"/>
          <w:color w:val="auto"/>
          <w:highlight w:val="none"/>
        </w:rPr>
      </w:pPr>
    </w:p>
    <w:p w14:paraId="6F432F05">
      <w:pPr>
        <w:rPr>
          <w:rFonts w:ascii="宋体" w:hAnsi="宋体"/>
          <w:color w:val="auto"/>
          <w:highlight w:val="none"/>
        </w:rPr>
      </w:pPr>
    </w:p>
    <w:p w14:paraId="6851FDB7">
      <w:pPr>
        <w:rPr>
          <w:rFonts w:ascii="宋体" w:hAnsi="宋体"/>
          <w:color w:val="auto"/>
          <w:highlight w:val="none"/>
        </w:rPr>
      </w:pPr>
    </w:p>
    <w:p w14:paraId="07671602">
      <w:pPr>
        <w:rPr>
          <w:rFonts w:ascii="宋体" w:hAnsi="宋体"/>
          <w:color w:val="auto"/>
          <w:highlight w:val="none"/>
        </w:rPr>
      </w:pPr>
    </w:p>
    <w:p w14:paraId="1F549CB8">
      <w:pPr>
        <w:rPr>
          <w:rFonts w:ascii="宋体" w:hAnsi="宋体"/>
          <w:color w:val="auto"/>
          <w:highlight w:val="none"/>
        </w:rPr>
      </w:pPr>
    </w:p>
    <w:p w14:paraId="7D074154">
      <w:pPr>
        <w:rPr>
          <w:rFonts w:ascii="宋体" w:hAnsi="宋体"/>
          <w:color w:val="auto"/>
          <w:highlight w:val="none"/>
        </w:rPr>
      </w:pPr>
    </w:p>
    <w:p w14:paraId="395CEC6E">
      <w:pPr>
        <w:rPr>
          <w:rFonts w:ascii="宋体" w:hAnsi="宋体"/>
          <w:color w:val="auto"/>
          <w:highlight w:val="none"/>
        </w:rPr>
      </w:pPr>
    </w:p>
    <w:p w14:paraId="3B0F1454">
      <w:pPr>
        <w:rPr>
          <w:rFonts w:ascii="宋体" w:hAnsi="宋体"/>
          <w:color w:val="auto"/>
          <w:highlight w:val="none"/>
        </w:rPr>
      </w:pPr>
    </w:p>
    <w:p w14:paraId="38E7822E">
      <w:pPr>
        <w:rPr>
          <w:rFonts w:ascii="宋体" w:hAnsi="宋体"/>
          <w:color w:val="auto"/>
          <w:highlight w:val="none"/>
        </w:rPr>
      </w:pPr>
    </w:p>
    <w:p w14:paraId="6062D850">
      <w:pPr>
        <w:rPr>
          <w:rFonts w:ascii="宋体" w:hAnsi="宋体"/>
          <w:color w:val="auto"/>
          <w:highlight w:val="none"/>
        </w:rPr>
      </w:pPr>
    </w:p>
    <w:p w14:paraId="0A6A16E2">
      <w:pPr>
        <w:rPr>
          <w:rFonts w:ascii="宋体" w:hAnsi="宋体"/>
          <w:color w:val="auto"/>
          <w:highlight w:val="none"/>
        </w:rPr>
      </w:pPr>
    </w:p>
    <w:p w14:paraId="706329DC">
      <w:pPr>
        <w:rPr>
          <w:rFonts w:ascii="宋体" w:hAnsi="宋体"/>
          <w:color w:val="auto"/>
          <w:highlight w:val="none"/>
        </w:rPr>
      </w:pPr>
    </w:p>
    <w:p w14:paraId="25320333">
      <w:pPr>
        <w:jc w:val="center"/>
        <w:rPr>
          <w:rFonts w:ascii="宋体" w:hAnsi="宋体"/>
          <w:b/>
          <w:bCs/>
          <w:color w:val="auto"/>
          <w:sz w:val="32"/>
          <w:szCs w:val="32"/>
          <w:highlight w:val="none"/>
        </w:rPr>
      </w:pPr>
      <w:bookmarkStart w:id="1003" w:name="_Toc152045610"/>
      <w:bookmarkStart w:id="1004" w:name="_Toc334648763"/>
      <w:bookmarkStart w:id="1005" w:name="_Toc144974578"/>
      <w:bookmarkStart w:id="1006" w:name="_Toc152042388"/>
      <w:bookmarkStart w:id="1007" w:name="_Toc179632628"/>
    </w:p>
    <w:bookmarkEnd w:id="1003"/>
    <w:bookmarkEnd w:id="1004"/>
    <w:bookmarkEnd w:id="1005"/>
    <w:bookmarkEnd w:id="1006"/>
    <w:bookmarkEnd w:id="1007"/>
    <w:p w14:paraId="782F8FCA">
      <w:pPr>
        <w:pStyle w:val="4"/>
        <w:jc w:val="center"/>
        <w:rPr>
          <w:rFonts w:ascii="宋体" w:hAnsi="宋体"/>
          <w:color w:val="auto"/>
          <w:highlight w:val="none"/>
        </w:rPr>
        <w:sectPr>
          <w:pgSz w:w="11905" w:h="16838"/>
          <w:pgMar w:top="1440" w:right="1417" w:bottom="1440" w:left="1417" w:header="850" w:footer="992" w:gutter="0"/>
          <w:cols w:space="720" w:num="1"/>
          <w:docGrid w:type="lines" w:linePitch="317" w:charSpace="0"/>
        </w:sectPr>
      </w:pPr>
      <w:bookmarkStart w:id="1008" w:name="_Toc490832336"/>
    </w:p>
    <w:p w14:paraId="44E652D4">
      <w:pPr>
        <w:pStyle w:val="4"/>
        <w:jc w:val="center"/>
        <w:rPr>
          <w:rFonts w:ascii="宋体" w:hAnsi="宋体"/>
          <w:color w:val="auto"/>
          <w:highlight w:val="none"/>
        </w:rPr>
      </w:pPr>
      <w:r>
        <w:rPr>
          <w:rFonts w:hint="eastAsia" w:ascii="宋体" w:hAnsi="宋体"/>
          <w:color w:val="auto"/>
          <w:highlight w:val="none"/>
        </w:rPr>
        <w:t>第一节 通用合同条款</w:t>
      </w:r>
      <w:bookmarkEnd w:id="1008"/>
    </w:p>
    <w:p w14:paraId="2F717504">
      <w:pPr>
        <w:jc w:val="center"/>
        <w:rPr>
          <w:rFonts w:ascii="宋体" w:hAnsi="宋体"/>
          <w:color w:val="auto"/>
          <w:szCs w:val="21"/>
          <w:highlight w:val="none"/>
        </w:rPr>
      </w:pPr>
    </w:p>
    <w:p w14:paraId="71567FA7">
      <w:pPr>
        <w:pStyle w:val="4"/>
        <w:spacing w:before="0" w:after="0" w:line="360" w:lineRule="exact"/>
        <w:ind w:firstLine="422" w:firstLineChars="200"/>
        <w:rPr>
          <w:rFonts w:ascii="宋体" w:hAnsi="宋体" w:cs="宋体"/>
          <w:color w:val="auto"/>
          <w:sz w:val="21"/>
          <w:szCs w:val="21"/>
          <w:highlight w:val="none"/>
        </w:rPr>
      </w:pPr>
      <w:bookmarkStart w:id="1009" w:name="_Toc488483654"/>
      <w:bookmarkStart w:id="1010" w:name="_Toc419825052"/>
      <w:bookmarkStart w:id="1011" w:name="_Toc419825400"/>
      <w:bookmarkStart w:id="1012" w:name="_Toc487653230"/>
      <w:bookmarkStart w:id="1013" w:name="_Toc290198748"/>
      <w:bookmarkStart w:id="1014" w:name="_Toc486685955"/>
      <w:bookmarkStart w:id="1015" w:name="_Toc488492882"/>
      <w:bookmarkStart w:id="1016" w:name="_Toc28776"/>
      <w:bookmarkStart w:id="1017" w:name="_Toc490832337"/>
      <w:bookmarkStart w:id="1018" w:name="_Toc463799058"/>
      <w:r>
        <w:rPr>
          <w:rFonts w:hint="eastAsia" w:ascii="宋体" w:hAnsi="宋体" w:cs="宋体"/>
          <w:color w:val="auto"/>
          <w:sz w:val="21"/>
          <w:szCs w:val="21"/>
          <w:highlight w:val="none"/>
        </w:rPr>
        <w:t>1、一般约定</w:t>
      </w:r>
      <w:bookmarkEnd w:id="1009"/>
      <w:bookmarkEnd w:id="1010"/>
      <w:bookmarkEnd w:id="1011"/>
      <w:bookmarkEnd w:id="1012"/>
      <w:bookmarkEnd w:id="1013"/>
      <w:bookmarkEnd w:id="1014"/>
      <w:bookmarkEnd w:id="1015"/>
      <w:bookmarkEnd w:id="1016"/>
      <w:bookmarkEnd w:id="1017"/>
      <w:bookmarkEnd w:id="1018"/>
    </w:p>
    <w:p w14:paraId="025D58C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5454F63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通用合同条款、专用合同条款中的下列词语应具有本款所赋予的含义。</w:t>
      </w:r>
    </w:p>
    <w:p w14:paraId="24D088D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 合同</w:t>
      </w:r>
    </w:p>
    <w:p w14:paraId="790963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合同文件（或称合同）：指合同协议书、中标通知书、投标函及投标函附录、专用合同条款、通用合同条款、技术标准和要求、图纸、已标价工程量清单，以及其他合同文件。</w:t>
      </w:r>
    </w:p>
    <w:p w14:paraId="72B1714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合同协议书：指第1.5 款所指的合同协议书。</w:t>
      </w:r>
    </w:p>
    <w:p w14:paraId="5E9E0A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中标通知书：指发包人通知承包人中标的函件。</w:t>
      </w:r>
    </w:p>
    <w:p w14:paraId="61C6698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1.1.1.4 投标函：指构成合同文件组成部分的由承包人填写并签署的投标函。</w:t>
      </w:r>
    </w:p>
    <w:p w14:paraId="423B317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1.1.1.5 投标函附录：指附在投标函后构成合同文件的投标函附录。</w:t>
      </w:r>
    </w:p>
    <w:p w14:paraId="3B0CADD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1.1.1.6 技术标准和要求：指构成合同文件组成部分的名为技术标准和要求的文件，包括合同双方当事人约定对其所作的修改或补充。</w:t>
      </w:r>
    </w:p>
    <w:p w14:paraId="7BC8ADD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1.1.1.7 图纸：指包含在合同中的工程图纸，以及由发包人按合同约定提供的任何补充和修改的图纸，包括配套的说明。</w:t>
      </w:r>
    </w:p>
    <w:p w14:paraId="2287D96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1.1.1.8 已标价工程量清单：指构成合同文件组成部分的由承包人按照规定的格式和要求填写并标明价格的工程量清单。</w:t>
      </w:r>
    </w:p>
    <w:p w14:paraId="5F8CE3C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1.1.1.9 其他合同文件：指经合同双方当事人确认构成合同文件的其他文件。</w:t>
      </w:r>
    </w:p>
    <w:p w14:paraId="6FB86D0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 合同当事人和人员</w:t>
      </w:r>
    </w:p>
    <w:p w14:paraId="56AF44D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 合同当事人：指发包人和（或）承包人。</w:t>
      </w:r>
    </w:p>
    <w:p w14:paraId="08E6D63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 发包人：指专用合同条款中指明并与承包人在合同协议书中签字的当事人。</w:t>
      </w:r>
    </w:p>
    <w:p w14:paraId="382DC98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1.1.2.3 承包人：指与发包人签订合同协议书的当事人。</w:t>
      </w:r>
    </w:p>
    <w:p w14:paraId="359850F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1.1.2.4 承包人项目经理：指承包人派驻施工场地的全权负责人。</w:t>
      </w:r>
    </w:p>
    <w:p w14:paraId="7A24E4B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1.1.2.5 分包人：指从承包人处分包合同中某一部分工程，并与其签订分包合同的分包人。</w:t>
      </w:r>
    </w:p>
    <w:p w14:paraId="7A36E3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1.1.2.6 监理人：指在专用合同条款中指明的，受发包人委托对合同履行实施管理的法人或其他组织。</w:t>
      </w:r>
    </w:p>
    <w:p w14:paraId="03C96DD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1.1.2.7 总监理工程师（总监）：指由监理人委派常驻施工场地对合同履行实施管理的全权负责人。</w:t>
      </w:r>
    </w:p>
    <w:p w14:paraId="68C862D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 工程和设备</w:t>
      </w:r>
    </w:p>
    <w:p w14:paraId="7FCDB27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 工程：指永久工程和（或）临时工程。</w:t>
      </w:r>
    </w:p>
    <w:p w14:paraId="580E343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1.1.3.2 永久工程：指按合同约定建造并移交给发包人的工程，包括工程设备。</w:t>
      </w:r>
    </w:p>
    <w:p w14:paraId="78CE474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1.1.3.3 临时工程：指为完成合同约定的永久工程所修建的各类临时性工程，不包括施工设备。</w:t>
      </w:r>
    </w:p>
    <w:p w14:paraId="30E92A6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1.1.3.4 单位工程：指专用合同条款中指明特定范围的永久工程。</w:t>
      </w:r>
    </w:p>
    <w:p w14:paraId="578041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1.1.3.5 工程设备：指构成或计划构成永久工程一部分的机电设备、金属结构设备、仪器装置及其他类似的设备和装置。</w:t>
      </w:r>
    </w:p>
    <w:p w14:paraId="260BBC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1.1.3.6 施工设备：指为完成合同约定的各项工作所需的设备、器具和其他物品，不包括临时工程和材料。</w:t>
      </w:r>
    </w:p>
    <w:p w14:paraId="517F41F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1.1.3.7 临时设施：指为完成合同约定的各项工作所服务的临时性生产和生活设施。</w:t>
      </w:r>
    </w:p>
    <w:p w14:paraId="0FE7A5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1.1.3.8 承包人设备：指承包人自带的施工设备。</w:t>
      </w:r>
    </w:p>
    <w:p w14:paraId="305E016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1.1.3.9 施工场地（或称工地、现场）：指用于合同工程施工的场所，以及在合同中指定作为施工场地组成部分的其他场所，包括永久占地和临时占地。</w:t>
      </w:r>
    </w:p>
    <w:p w14:paraId="0E0C02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1.1.3.10 永久占地：指专用合同条款中指明为实施合同工程需永久占用的土地。</w:t>
      </w:r>
    </w:p>
    <w:p w14:paraId="709083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1.1.3.11 临时占地：指专用合同条款中指明为实施合同工程需临时占用的土地。</w:t>
      </w:r>
    </w:p>
    <w:p w14:paraId="14E0C61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 日期</w:t>
      </w:r>
    </w:p>
    <w:p w14:paraId="7F634BC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1.1.4.1 开工通知：指监理人按第11.1 款通知承包人开工的函件。</w:t>
      </w:r>
    </w:p>
    <w:p w14:paraId="77A2FE7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1.1.4.2 开工日期：指监理人按第11.1 款发出的开工通知中写明的开工日期。</w:t>
      </w:r>
    </w:p>
    <w:p w14:paraId="5999848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1.1.4.3 工期：指承包人在投标函中承诺的完成合同工程所需的期限，包括按第11.3 款、第11.4 款和第11.6 款约定所作的变更。</w:t>
      </w:r>
    </w:p>
    <w:p w14:paraId="185A865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1.1.4.4 竣工日期：指第1.1.4.3 目约定工期届满时的日期。实际竣工日期以工程接收证书中写明的日期为准。</w:t>
      </w:r>
    </w:p>
    <w:p w14:paraId="77752B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1.1.4.5 缺陷责任期：指履行第19.2 款约定的缺陷责任的期限，具体期限由专用合同条款约定，包括根据第19.3 款约定所作的延长。</w:t>
      </w:r>
    </w:p>
    <w:p w14:paraId="32D589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1.1.4.6 基准日期：指投标截止时间前28 天的日期。</w:t>
      </w:r>
    </w:p>
    <w:p w14:paraId="6945A3E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1.1.4.7 天：除特别指明外，指日历天。合同中按天计算时间的，开始当天不计入，从次日开始计算。期限最后一天的截止时间为当天24:00。</w:t>
      </w:r>
    </w:p>
    <w:p w14:paraId="07BDB81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 合同价格和费用</w:t>
      </w:r>
    </w:p>
    <w:p w14:paraId="758B50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1.1.5.1 签约合同价：指签订合同时合同协议书中写明的，包括了暂列金额、暂估价的合同总金额。</w:t>
      </w:r>
    </w:p>
    <w:p w14:paraId="57FECC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1.1.5.2 合同价格：指承包人按合同约定完成了包括缺陷责任期内的全部承包工作后，发包人应付给承包人的金额，包括在履行合同过程中按合同约定进行的变更和调整。</w:t>
      </w:r>
    </w:p>
    <w:p w14:paraId="43B3A2B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1.1.5.3 费用：指为履行合同所发生的或将要发生的所有合理开支，包括管理费和应分摊的其他费用，但不包括利润。</w:t>
      </w:r>
    </w:p>
    <w:p w14:paraId="637E4A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1.1.5.4 暂列金额：指已标价工程量清单中所列的暂列金额，用于在签订协议书时尚未确定或不可预见变更的施工及其所需材料、工程设备、服务等的金额，包括以计日工方式支付的金额。</w:t>
      </w:r>
    </w:p>
    <w:p w14:paraId="48121DC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1.1.5.5 暂估价：指发包人在工程量清单中给定的用于支付必然发生但暂时不能确定价格的材料、设备以及专业工程的金额。</w:t>
      </w:r>
    </w:p>
    <w:p w14:paraId="78848D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1.1.5.6 计日工：指对零星工作采取的一种计价方式，按合同中的计日工子目及其单价计价付款。</w:t>
      </w:r>
    </w:p>
    <w:p w14:paraId="5AD6530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1.1.5.7 质量保证金（或称保留金）：指按第17. 4.1项约定用于保证在缺陷责任期内履行缺陷修复义务的金额。</w:t>
      </w:r>
    </w:p>
    <w:p w14:paraId="68A42B1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 其他</w:t>
      </w:r>
    </w:p>
    <w:p w14:paraId="4CEA0FA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1.1.6.1 书面形式：指合同文件、信函、电报、传真等可以有形地表现所载内容的形式。</w:t>
      </w:r>
    </w:p>
    <w:p w14:paraId="50956AB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 语言文字</w:t>
      </w:r>
    </w:p>
    <w:p w14:paraId="08D2D8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除专用术语外，合同使用的语言文字为中文。必要时专用术语应附有中文注释。</w:t>
      </w:r>
    </w:p>
    <w:p w14:paraId="384B449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 法律</w:t>
      </w:r>
    </w:p>
    <w:p w14:paraId="114722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适用于合同的法律包括中华人民共和国法律、行政法规、部门规章，以及工程所在地的地方法规、自治条例、单行条例和地方政府规章。</w:t>
      </w:r>
    </w:p>
    <w:p w14:paraId="695167E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14:paraId="2752C27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组成合同的各项文件应互相解释，互为说明。除专用合同条款另有约定外，解释合同文件的优先顺序如下：</w:t>
      </w:r>
    </w:p>
    <w:p w14:paraId="25A0E61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(l）合同协议书；</w:t>
      </w:r>
    </w:p>
    <w:p w14:paraId="568CD5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(2）中标通知书；</w:t>
      </w:r>
    </w:p>
    <w:p w14:paraId="5779A2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(3）投标函及投标函附录；</w:t>
      </w:r>
    </w:p>
    <w:p w14:paraId="7B0B287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(4）专用合同条款；</w:t>
      </w:r>
    </w:p>
    <w:p w14:paraId="1F652CB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(5）通用合同条款；</w:t>
      </w:r>
    </w:p>
    <w:p w14:paraId="49229AD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(6）技术标准和要求；</w:t>
      </w:r>
    </w:p>
    <w:p w14:paraId="0382653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(7）图纸；</w:t>
      </w:r>
    </w:p>
    <w:p w14:paraId="09FF0FE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(8）已标价工程量清单；</w:t>
      </w:r>
    </w:p>
    <w:p w14:paraId="588A24E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(9）其他合同文件。</w:t>
      </w:r>
    </w:p>
    <w:p w14:paraId="38DE58E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14:paraId="709859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承包人按中标通知书规定的时间与发包人签订合同协议书。除法律另有规定或合同另有约定外，发包人和承包人的法定代表人或其委托代理人在合同协议书上签字并盖单位章后，合同生效。</w:t>
      </w:r>
    </w:p>
    <w:p w14:paraId="0ABD77F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14:paraId="239F7F8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p>
    <w:p w14:paraId="7CA64CA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除专用合同条款另有约定外，图纸应在合理的期限内按照合同约定的数量提供给承包人。由于发包人未按时提供图纸造成工期延误的，按第11.3 款的约定办理。</w:t>
      </w:r>
    </w:p>
    <w:p w14:paraId="5B3142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 承包人提供的文件</w:t>
      </w:r>
    </w:p>
    <w:p w14:paraId="2E6A35A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按专用合同条款约定由承包人提供的文件，包括部分工程的大样图、加工图等，承包人应按约定的数量和期限报送监理人。监理人应在专用合同条款约定的期限内批复。</w:t>
      </w:r>
    </w:p>
    <w:p w14:paraId="3C51EF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6.3 图纸的修改</w:t>
      </w:r>
    </w:p>
    <w:p w14:paraId="2E22013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图纸需要修改和补充的，应由监理人取得发包人同意后，在该工程或工程相应部位施工前的合理期限内签发图纸修改图给承包人，具体签发期限在专用合同条款中约定。承包人应按修改后的图纸施工。</w:t>
      </w:r>
    </w:p>
    <w:p w14:paraId="00571F9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 图纸的错误</w:t>
      </w:r>
    </w:p>
    <w:p w14:paraId="5F12751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承包人发现发包人提供的图纸存在明显错误或疏忽，应及时通知监理人。</w:t>
      </w:r>
    </w:p>
    <w:p w14:paraId="78C643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1.6.5 图纸和承包人文件的保管</w:t>
      </w:r>
    </w:p>
    <w:p w14:paraId="7178430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监理人和承包人均应在施工场地各保存一套完整的包含第1.6.1 项、第1.6.2 项、第1.6.3 项约定内容的图纸和承包人文件。</w:t>
      </w:r>
    </w:p>
    <w:p w14:paraId="707589C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 联络</w:t>
      </w:r>
    </w:p>
    <w:p w14:paraId="4D9B6B5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 与合同有关的通知、批准、证明、证书、指示、要求、请求、同意、意见、确定和决定等，均应采用书面形式。</w:t>
      </w:r>
    </w:p>
    <w:p w14:paraId="7A42BE5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 第1.7.1 项中的通知、批准、证明、证书、指示、要求、请求、同意、意见、确定和决定等来往函件，均应在合同约定的期限内送达指定地点和接收人，并办理签收手续。</w:t>
      </w:r>
    </w:p>
    <w:p w14:paraId="71DF3E5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 转让</w:t>
      </w:r>
    </w:p>
    <w:p w14:paraId="096D66D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除合同另有约定外，未经对方当事人同意，一方当事人不得将合同权利全部或部分转让给第三人，也不得全部或部分转移合同义务。</w:t>
      </w:r>
    </w:p>
    <w:p w14:paraId="3011294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14:paraId="4FFA6F9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合同双方当事人不得以贿赂或变相贿赂的方式，谋取不当利益或损害对方权益。因贿赂造成对方损失的，行为人应赔偿损失，并承担相应的法律责任。</w:t>
      </w:r>
    </w:p>
    <w:p w14:paraId="74B36D1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1.10 化石、文物</w:t>
      </w:r>
    </w:p>
    <w:p w14:paraId="35FDB40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8B2A6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1.10.2 承包人发现文物后不及时报告或隐瞒不报，致使文物丢失或损坏的，应赔偿损失，并承担相应的法律责任。</w:t>
      </w:r>
    </w:p>
    <w:p w14:paraId="208F0E4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专利技术</w:t>
      </w:r>
    </w:p>
    <w:p w14:paraId="7B3F02A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14:paraId="2CA53C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承包人在投标文件中采用专利技术的，专利技术的使用费包含在投标报价内。</w:t>
      </w:r>
    </w:p>
    <w:p w14:paraId="196AA3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1.11.3 承包人的技术秘密和声明需要保密的资料和信息，发包人和监理人不得为合同以外的目的泄露给他人。</w:t>
      </w:r>
    </w:p>
    <w:p w14:paraId="65252F5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图纸和文件的保密</w:t>
      </w:r>
    </w:p>
    <w:p w14:paraId="7C63592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 发包人提供的图纸和文件，未经发包人同意，承包人不得为合同以外的目的泄露给他人或公开发表与引用。</w:t>
      </w:r>
    </w:p>
    <w:p w14:paraId="51A643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1.12.2 承包人提供的文件，未经承包人同意，发包人和监理人不得为合同以外的目的泄露给他人或公开发表与引用。</w:t>
      </w:r>
    </w:p>
    <w:p w14:paraId="188E3522">
      <w:pPr>
        <w:pStyle w:val="4"/>
        <w:spacing w:before="0" w:after="0" w:line="360" w:lineRule="exact"/>
        <w:ind w:firstLine="422" w:firstLineChars="200"/>
        <w:rPr>
          <w:rFonts w:ascii="宋体" w:hAnsi="宋体" w:cs="宋体"/>
          <w:color w:val="auto"/>
          <w:sz w:val="21"/>
          <w:szCs w:val="21"/>
          <w:highlight w:val="none"/>
        </w:rPr>
      </w:pPr>
      <w:bookmarkStart w:id="1019" w:name="_Toc467"/>
      <w:bookmarkStart w:id="1020" w:name="_Toc490832338"/>
      <w:bookmarkStart w:id="1021" w:name="_Toc290198749"/>
      <w:bookmarkStart w:id="1022" w:name="_Toc419825401"/>
      <w:bookmarkStart w:id="1023" w:name="_Toc419825053"/>
      <w:bookmarkStart w:id="1024" w:name="_Toc488483655"/>
      <w:bookmarkStart w:id="1025" w:name="_Toc488492883"/>
      <w:bookmarkStart w:id="1026" w:name="_Toc463799059"/>
      <w:bookmarkStart w:id="1027" w:name="_Toc486685956"/>
      <w:bookmarkStart w:id="1028" w:name="_Toc487653231"/>
      <w:r>
        <w:rPr>
          <w:rFonts w:hint="eastAsia" w:ascii="宋体" w:hAnsi="宋体" w:cs="宋体"/>
          <w:color w:val="auto"/>
          <w:sz w:val="21"/>
          <w:szCs w:val="21"/>
          <w:highlight w:val="none"/>
        </w:rPr>
        <w:t>2．发包人义务</w:t>
      </w:r>
      <w:bookmarkEnd w:id="1019"/>
      <w:bookmarkEnd w:id="1020"/>
      <w:bookmarkEnd w:id="1021"/>
      <w:bookmarkEnd w:id="1022"/>
      <w:bookmarkEnd w:id="1023"/>
      <w:bookmarkEnd w:id="1024"/>
      <w:bookmarkEnd w:id="1025"/>
      <w:bookmarkEnd w:id="1026"/>
      <w:bookmarkEnd w:id="1027"/>
      <w:bookmarkEnd w:id="1028"/>
    </w:p>
    <w:p w14:paraId="0BD51AF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 遵守法律</w:t>
      </w:r>
    </w:p>
    <w:p w14:paraId="5CC600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发包人在履行合同过程中应遵守法律，并保证承包人免于承担因发包人违反法律而引起的任何责任。</w:t>
      </w:r>
    </w:p>
    <w:p w14:paraId="140F26E8">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 发出开工通知</w:t>
      </w:r>
    </w:p>
    <w:p w14:paraId="6A82F2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发包人应委托监理人按第11.1 款的约定向承包人发出开工通知。</w:t>
      </w:r>
    </w:p>
    <w:p w14:paraId="631FA10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14:paraId="60D1CB7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发包人应按专用合同条款约定向承包人提供施工场地，以及施工场地内地下管线和地下设施等有关资料，并保证资料的真实、准确、完整。</w:t>
      </w:r>
    </w:p>
    <w:p w14:paraId="438CBCB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 协助承包人办理证件和批件</w:t>
      </w:r>
    </w:p>
    <w:p w14:paraId="6403B71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发包人应协助承包人办理法律规定的有关施工证件和批件。</w:t>
      </w:r>
    </w:p>
    <w:p w14:paraId="5E24FBB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 组织设计交底</w:t>
      </w:r>
    </w:p>
    <w:p w14:paraId="59C921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发包人应根据合同进度计划，组织设计单位向承包人进行设计交底。</w:t>
      </w:r>
    </w:p>
    <w:p w14:paraId="102B3E6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14:paraId="2A4AD9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发包人应按合同约定向承包人及时支付合同价款。</w:t>
      </w:r>
    </w:p>
    <w:p w14:paraId="3D69CF96">
      <w:pPr>
        <w:ind w:firstLine="420"/>
        <w:rPr>
          <w:rFonts w:ascii="宋体" w:hAnsi="宋体" w:cs="宋体"/>
          <w:color w:val="auto"/>
          <w:szCs w:val="21"/>
          <w:highlight w:val="none"/>
        </w:rPr>
      </w:pPr>
      <w:r>
        <w:rPr>
          <w:rFonts w:hint="eastAsia" w:ascii="宋体" w:hAnsi="宋体" w:cs="宋体"/>
          <w:color w:val="auto"/>
          <w:szCs w:val="21"/>
          <w:highlight w:val="none"/>
        </w:rPr>
        <w:t>2.7 组织竣工验收</w:t>
      </w:r>
    </w:p>
    <w:p w14:paraId="34DCAC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发包人应按合同约定及时组织竣工验收。</w:t>
      </w:r>
    </w:p>
    <w:p w14:paraId="6FBD60C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 其他义务</w:t>
      </w:r>
    </w:p>
    <w:p w14:paraId="7252824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发包人应履行合同约定的其他义务。</w:t>
      </w:r>
    </w:p>
    <w:p w14:paraId="3DB649D7">
      <w:pPr>
        <w:pStyle w:val="4"/>
        <w:spacing w:before="0" w:after="0" w:line="360" w:lineRule="exact"/>
        <w:ind w:firstLine="422" w:firstLineChars="200"/>
        <w:rPr>
          <w:rFonts w:ascii="宋体" w:hAnsi="宋体" w:cs="宋体"/>
          <w:color w:val="auto"/>
          <w:sz w:val="21"/>
          <w:szCs w:val="21"/>
          <w:highlight w:val="none"/>
        </w:rPr>
      </w:pPr>
      <w:bookmarkStart w:id="1029" w:name="_Toc488483656"/>
      <w:bookmarkStart w:id="1030" w:name="_Toc419825402"/>
      <w:bookmarkStart w:id="1031" w:name="_Toc486685957"/>
      <w:bookmarkStart w:id="1032" w:name="_Toc490832339"/>
      <w:bookmarkStart w:id="1033" w:name="_Toc487653232"/>
      <w:bookmarkStart w:id="1034" w:name="_Toc463799060"/>
      <w:bookmarkStart w:id="1035" w:name="_Toc488492884"/>
      <w:bookmarkStart w:id="1036" w:name="_Toc23794"/>
      <w:bookmarkStart w:id="1037" w:name="_Toc419825054"/>
      <w:bookmarkStart w:id="1038" w:name="_Toc290198750"/>
      <w:r>
        <w:rPr>
          <w:rFonts w:hint="eastAsia" w:ascii="宋体" w:hAnsi="宋体" w:cs="宋体"/>
          <w:color w:val="auto"/>
          <w:sz w:val="21"/>
          <w:szCs w:val="21"/>
          <w:highlight w:val="none"/>
        </w:rPr>
        <w:t>3、监理人</w:t>
      </w:r>
      <w:bookmarkEnd w:id="1029"/>
      <w:bookmarkEnd w:id="1030"/>
      <w:bookmarkEnd w:id="1031"/>
      <w:bookmarkEnd w:id="1032"/>
      <w:bookmarkEnd w:id="1033"/>
      <w:bookmarkEnd w:id="1034"/>
      <w:bookmarkEnd w:id="1035"/>
      <w:bookmarkEnd w:id="1036"/>
      <w:bookmarkEnd w:id="1037"/>
      <w:bookmarkEnd w:id="1038"/>
    </w:p>
    <w:p w14:paraId="6DA14F9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14:paraId="499AEFF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3.1.1 监理人受发包人委托，享有合同约定的权力。监理人在行使某项权力前需要经发包人事先批准而通用合同条款没有指明的，应在专用合同条款中指明。</w:t>
      </w:r>
    </w:p>
    <w:p w14:paraId="7C04BD2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3.1.2 监理人发出的任何指示应视为已得到发包人的批准，但监理人无权免除或变更合同约定的发包人和承包人的权利、义务和责任。</w:t>
      </w:r>
    </w:p>
    <w:p w14:paraId="24124B0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3.1.3 合同约定应由承包人承担的义务和责任，不因监理人对承包人提交文件的审查或批准，对工程、材料和设备的检查和检验，以及为实施监理作出的指示等职务行为而减轻或解除。</w:t>
      </w:r>
    </w:p>
    <w:p w14:paraId="1A9B59F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14:paraId="502372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发包人应在发出开工通知前将总监理工程师的任命通知承包人。总监理工程师更换时，应在调离14 天前通知承包人。总监理工程师短期离开施工场地的，应委派代表代行其职责，并通知承包人。</w:t>
      </w:r>
    </w:p>
    <w:p w14:paraId="4B1276F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 监理人员</w:t>
      </w:r>
    </w:p>
    <w:p w14:paraId="5C12FA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1C373F4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4FCC08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承包人对总监理工程师授权的监理人员发出的指示有疑问的，可向总监理工程师提出书面异议，总监理工程师应在48小时内对该指示予以确认、更改或撤销。</w:t>
      </w:r>
    </w:p>
    <w:p w14:paraId="5387859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3.3.4 除专用合同条款另有约定外，总监理工程师不应将第3.5 款约定应由总监理工程师作出确定的权力授权或委托给其他监理人员。</w:t>
      </w:r>
    </w:p>
    <w:p w14:paraId="79C9BE4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 监理人的指示</w:t>
      </w:r>
    </w:p>
    <w:p w14:paraId="2A70CA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3.4.1 监理人应按第3.1 款的约定向承包人发出指示，监理人的指示应盖有监理人授权的施工场地机构章，并由总监理工程师或总监理工程师按第3.3.1 项约定授权的监理人员签字。</w:t>
      </w:r>
    </w:p>
    <w:p w14:paraId="265BEB2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3.4.2 承包人收到监理人按第3.4.1 项作出的指示后应遵照执行。指示构成变更的，应按第15条处理。</w:t>
      </w:r>
    </w:p>
    <w:p w14:paraId="3D1F733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62E9D7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3.4.4 除合同另有约定外，承包人只从总监理工程师或按第3.3.1 项被授权的监理人员处取得指示。</w:t>
      </w:r>
    </w:p>
    <w:p w14:paraId="538D4C1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3.4.5 由于监理人未能按合同约定发出指示、指示延误或指示错误而导致承包人费用增加和（或）工期延误的，由发包人承担赔偿责任。</w:t>
      </w:r>
    </w:p>
    <w:p w14:paraId="5C612E2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14:paraId="1E5DD2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3.5.1 合同约定总监理工程师应按照本款对任何事项进行商定或确定时，总监理工程师应与合同当事人协商，尽量达成一致。不能达成一致的，总监理工程师应认真研究后审慎确定。</w:t>
      </w:r>
    </w:p>
    <w:p w14:paraId="75FD35E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3.5.2 总监理工程师应将商定或确定的事项通知合同当事人，并附详细依据。对总监理工程师的确定有异议的，构成争议，按照第24 条的约定处理。在争议解决前，双方应暂按总监理工程师的确定执行，按照第24 条的约定对总监理工程师的确定作出修改的，按修改后的结果执行。</w:t>
      </w:r>
    </w:p>
    <w:p w14:paraId="14CAED71">
      <w:pPr>
        <w:pStyle w:val="4"/>
        <w:spacing w:before="0" w:after="0" w:line="360" w:lineRule="exact"/>
        <w:ind w:firstLine="422" w:firstLineChars="200"/>
        <w:rPr>
          <w:rFonts w:ascii="宋体" w:hAnsi="宋体" w:cs="宋体"/>
          <w:color w:val="auto"/>
          <w:sz w:val="21"/>
          <w:szCs w:val="21"/>
          <w:highlight w:val="none"/>
        </w:rPr>
      </w:pPr>
      <w:bookmarkStart w:id="1039" w:name="_Toc419825055"/>
      <w:bookmarkStart w:id="1040" w:name="_Toc487653233"/>
      <w:bookmarkStart w:id="1041" w:name="_Toc488483657"/>
      <w:bookmarkStart w:id="1042" w:name="_Toc486685958"/>
      <w:bookmarkStart w:id="1043" w:name="_Toc463799061"/>
      <w:bookmarkStart w:id="1044" w:name="_Toc490832340"/>
      <w:bookmarkStart w:id="1045" w:name="_Toc419825403"/>
      <w:bookmarkStart w:id="1046" w:name="_Toc5538"/>
      <w:bookmarkStart w:id="1047" w:name="_Toc488492885"/>
      <w:bookmarkStart w:id="1048" w:name="_Toc290198751"/>
      <w:r>
        <w:rPr>
          <w:rFonts w:hint="eastAsia" w:ascii="宋体" w:hAnsi="宋体" w:cs="宋体"/>
          <w:color w:val="auto"/>
          <w:sz w:val="21"/>
          <w:szCs w:val="21"/>
          <w:highlight w:val="none"/>
        </w:rPr>
        <w:t>4、承包人</w:t>
      </w:r>
      <w:bookmarkEnd w:id="1039"/>
      <w:bookmarkEnd w:id="1040"/>
      <w:bookmarkEnd w:id="1041"/>
      <w:bookmarkEnd w:id="1042"/>
      <w:bookmarkEnd w:id="1043"/>
      <w:bookmarkEnd w:id="1044"/>
      <w:bookmarkEnd w:id="1045"/>
      <w:bookmarkEnd w:id="1046"/>
      <w:bookmarkEnd w:id="1047"/>
      <w:bookmarkEnd w:id="1048"/>
    </w:p>
    <w:p w14:paraId="47CDAE4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4EFFC46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 遵守法律</w:t>
      </w:r>
    </w:p>
    <w:p w14:paraId="121501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承包人在履行合同过程中应遵守法律，并保证发包人免于承担因承包人违反法律而引起的任何责任。</w:t>
      </w:r>
    </w:p>
    <w:p w14:paraId="40CE53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4.1.2 依法纳税</w:t>
      </w:r>
    </w:p>
    <w:p w14:paraId="37BAE04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承包人应按有关法律规定纳税，应缴纳的税金包括在合同价格内。</w:t>
      </w:r>
    </w:p>
    <w:p w14:paraId="3F416D6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4.1.3 完成各项承包工作</w:t>
      </w:r>
    </w:p>
    <w:p w14:paraId="0FB06F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承包人应按合同约定以及监理人根据第3.4 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43D4FF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4.1.4 对施工作业和施工方法的完备性负责</w:t>
      </w:r>
    </w:p>
    <w:p w14:paraId="7057F24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承包人应按合同约定的工作内容和施工进度要求，编制施工组织设计和施工措施计划，并对所有施工作业和施工方法的完备性和安全可靠性负责。</w:t>
      </w:r>
    </w:p>
    <w:p w14:paraId="4FF624C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 保证工程施工和人员的安全</w:t>
      </w:r>
    </w:p>
    <w:p w14:paraId="2C8FC41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承包人应按第9.2 款约定采取施工安全措施，确保工程及其人员、材料、设备和设施的安全，防止因工程施工造成的人身伤害和财产损失。</w:t>
      </w:r>
    </w:p>
    <w:p w14:paraId="2A7BEA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4.1.6 负责施工场地及其周边环境与生态的保护工作</w:t>
      </w:r>
    </w:p>
    <w:p w14:paraId="49890F4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承包人应按照第9.4 款约定负责施工场地及其周边环境与生态的保护工作。</w:t>
      </w:r>
    </w:p>
    <w:p w14:paraId="149B986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4.1.7 避免施工对公众与他人的利益造成损害</w:t>
      </w:r>
    </w:p>
    <w:p w14:paraId="6A0C54A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EE3782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4.1.8 为他人提供方便</w:t>
      </w:r>
    </w:p>
    <w:p w14:paraId="0278BC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14:paraId="4BE840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4.1.9 工程的维护和照管</w:t>
      </w:r>
    </w:p>
    <w:p w14:paraId="67C9AB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14:paraId="46E985C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 其他义务</w:t>
      </w:r>
    </w:p>
    <w:p w14:paraId="25E043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承包人应履行合同约定的其他义务。</w:t>
      </w:r>
    </w:p>
    <w:p w14:paraId="04EFC36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14:paraId="03D7B4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承包人应保证其履约担保在发包人颁发工程接收证书前一直有效。发包人应在工程接收证书颁发后28 天内把履约担保退还给承包人。</w:t>
      </w:r>
    </w:p>
    <w:p w14:paraId="06E1D96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14:paraId="24467A4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4.3.1 承包人不得将其承包的全部工程转包给第三人，或将其承包的全部工程肢解后以分包的名义转包给第三人。</w:t>
      </w:r>
    </w:p>
    <w:p w14:paraId="4F8297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4.3.2 承包人不得将工程主体、关键性工作分包给第三人。除专用合同条款另有约定外，未经发包人同意，承包人不得将工程的其他部分或工作分包给第三人。</w:t>
      </w:r>
    </w:p>
    <w:p w14:paraId="65C30B0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4.3.3 分包人的资格能力应与其分包工程的标准和规模相适应。</w:t>
      </w:r>
    </w:p>
    <w:p w14:paraId="22AAAC3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4.3.4 按投标函附录约定分包工程的，承包人应向发包人和监理人提交分包合同副本。</w:t>
      </w:r>
    </w:p>
    <w:p w14:paraId="55F0C6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4.3.5 承包人应与分包人就分包工程向发包人承担连带责任。</w:t>
      </w:r>
    </w:p>
    <w:p w14:paraId="1CE83C4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14:paraId="43CF5D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4.4.1 联合体各方应共同与发包人签订合同协议书。联合体各方应为履行合同承担连带责任。</w:t>
      </w:r>
    </w:p>
    <w:p w14:paraId="25199A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4.4.2 联合体协议经发包人确认后作为合同附件。在履行合同过程中，未经发包人同意，不得修改联合体协议。</w:t>
      </w:r>
    </w:p>
    <w:p w14:paraId="0345C5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4.4.3 联合体牵头人负责与发包人和监理人联系，并接受指示，负责组织联合体各成员全面履行合同。</w:t>
      </w:r>
    </w:p>
    <w:p w14:paraId="0D9879B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14:paraId="5E8978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4.5.1 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58B10D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4.5.2 承包人项目经理应按合同约定以及监理人按第3 . 4 款作出的指示，负责组织合同工程的实施。在情况紧急且无法与监理人取得联系时，可采取保证工程和人员生命财产安全的紧急措施，并在采取措施后24小时内向监理人提交书面报告。</w:t>
      </w:r>
    </w:p>
    <w:p w14:paraId="253F9C1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4.5.3 承包人为履行合同发出的一切函件均应盖有承包人授权的施工场地管理机构章，并由承包人项目经理或其授权代表签字。</w:t>
      </w:r>
    </w:p>
    <w:p w14:paraId="2CC2E5B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4.5.4 承包人项目经理可以授权其下属人员履行其某项职责，但事先应将这些人员的姓名和授权范围通知监理人。</w:t>
      </w:r>
    </w:p>
    <w:p w14:paraId="535F414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14:paraId="3600F1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187E49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4.6.2 为完成合同约定的各项工作，承包人应向施工场地派遣或雇佣足够数量的下列人员：</w:t>
      </w:r>
    </w:p>
    <w:p w14:paraId="632D519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(1）具有相应资格的专业技工和合格的普工；</w:t>
      </w:r>
    </w:p>
    <w:p w14:paraId="70FA750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(2）具有相应施工经验的技术人员；</w:t>
      </w:r>
    </w:p>
    <w:p w14:paraId="0BFAC7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(3）具有相应岗位资格的各级管理人员。</w:t>
      </w:r>
    </w:p>
    <w:p w14:paraId="34F04E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4.6.3 承包人安排在施工场地的主要管理人员和技术骨干应相对稳定。承包人更换主要管理人员和技术骨干时，应取得监理人的同意。</w:t>
      </w:r>
    </w:p>
    <w:p w14:paraId="493475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4.6.4 特殊岗位的工作人员均应持有相应的资格证明，监理人有权随时检查。监理人认为有必要时，可进行现场考核。</w:t>
      </w:r>
    </w:p>
    <w:p w14:paraId="1F4157C2">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4.7 撤换承包人项目经理和其他人员</w:t>
      </w:r>
    </w:p>
    <w:p w14:paraId="398CDA2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承包人应对其项目经理和其他人员进行有效管理。监理人要求撤换不能胜任本职工作、行为不端或玩忽职守的承包人项目经理和其他人员的，承包人应予以撤换。</w:t>
      </w:r>
    </w:p>
    <w:p w14:paraId="40CD3C39">
      <w:pPr>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4.8 保障承包人人员的合法权益</w:t>
      </w:r>
    </w:p>
    <w:p w14:paraId="74A4074B">
      <w:pPr>
        <w:wordWrap w:val="0"/>
        <w:spacing w:before="63" w:beforeLines="20" w:after="63" w:afterLines="20"/>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4.8.1 承包人应与其雇佣的人员签订劳动合同，并按时发放工资。</w:t>
      </w:r>
    </w:p>
    <w:p w14:paraId="115F8B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28AEE7E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4.8.3 承包人应为其雇佣人员提供必要的食宿条件，以及符合环境保护和卫生要求的生活环境，在远离城镇的施工场地，还应配备必要的伤病防治和急救的医务人员与医疗设施。</w:t>
      </w:r>
    </w:p>
    <w:p w14:paraId="4409968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B62F7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4.8.5 承包人应按有关法律规定和合同约定，为其雇佣人员办理保险。</w:t>
      </w:r>
    </w:p>
    <w:p w14:paraId="50AA675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4.8.6 承包人应负责处理其雇佣人员因工伤亡事故的善后事宜。</w:t>
      </w:r>
    </w:p>
    <w:p w14:paraId="130F095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14:paraId="0F8BED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发包人按合同约定支付给承包人的各项价款应专用于合同工程。</w:t>
      </w:r>
    </w:p>
    <w:p w14:paraId="767D349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 承包人现场查勘</w:t>
      </w:r>
    </w:p>
    <w:p w14:paraId="1B9DAF7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4.10.1 发包人应将其持有的现场地质勘探资料、水文气象资料提供给承包人，并对其准确性负责。但承包人应对其阅读上述有关资料后所作出的解释和推断负责。</w:t>
      </w:r>
    </w:p>
    <w:p w14:paraId="34AAB9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505AC1F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1A8707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4.11.1 不利物质条件，除专用合同条款另有约定外，是指承包人在施工场地遇到的不可预见的自然物质条件、非自然的物质障碍和污染物，包括地下和水文条件，但不包括气候条件。</w:t>
      </w:r>
    </w:p>
    <w:p w14:paraId="587E9C7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8E1DBC3">
      <w:pPr>
        <w:pStyle w:val="4"/>
        <w:spacing w:before="0" w:after="0" w:line="360" w:lineRule="exact"/>
        <w:ind w:firstLine="422" w:firstLineChars="200"/>
        <w:rPr>
          <w:rFonts w:ascii="宋体" w:hAnsi="宋体" w:cs="宋体"/>
          <w:color w:val="auto"/>
          <w:sz w:val="21"/>
          <w:szCs w:val="21"/>
          <w:highlight w:val="none"/>
        </w:rPr>
      </w:pPr>
      <w:bookmarkStart w:id="1049" w:name="_Toc490832341"/>
      <w:bookmarkStart w:id="1050" w:name="_Toc290198752"/>
      <w:bookmarkStart w:id="1051" w:name="_Toc419825404"/>
      <w:bookmarkStart w:id="1052" w:name="_Toc486685959"/>
      <w:bookmarkStart w:id="1053" w:name="_Toc25812"/>
      <w:bookmarkStart w:id="1054" w:name="_Toc487653234"/>
      <w:bookmarkStart w:id="1055" w:name="_Toc419825056"/>
      <w:bookmarkStart w:id="1056" w:name="_Toc488483658"/>
      <w:bookmarkStart w:id="1057" w:name="_Toc463799062"/>
      <w:bookmarkStart w:id="1058" w:name="_Toc488492886"/>
      <w:r>
        <w:rPr>
          <w:rFonts w:hint="eastAsia" w:ascii="宋体" w:hAnsi="宋体" w:cs="宋体"/>
          <w:color w:val="auto"/>
          <w:sz w:val="21"/>
          <w:szCs w:val="21"/>
          <w:highlight w:val="none"/>
        </w:rPr>
        <w:t>5．材料和工程设备</w:t>
      </w:r>
      <w:bookmarkEnd w:id="1049"/>
      <w:bookmarkEnd w:id="1050"/>
      <w:bookmarkEnd w:id="1051"/>
      <w:bookmarkEnd w:id="1052"/>
      <w:bookmarkEnd w:id="1053"/>
      <w:bookmarkEnd w:id="1054"/>
      <w:bookmarkEnd w:id="1055"/>
      <w:bookmarkEnd w:id="1056"/>
      <w:bookmarkEnd w:id="1057"/>
      <w:bookmarkEnd w:id="1058"/>
    </w:p>
    <w:p w14:paraId="220BA16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 承包人提供的材料和工程设备</w:t>
      </w:r>
    </w:p>
    <w:p w14:paraId="352C7F9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5.1.1 除专用合同条款另有约定外，承包人提供的材料和工程设备均由承包人负责采购、运输和保管。承包人应对其采购的材料和工程设备负责。</w:t>
      </w:r>
    </w:p>
    <w:p w14:paraId="3174DE9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41B28C5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E5BC39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14:paraId="0CF31E3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5.2.1 发包人提供的材料和工程设备，应在专用合同条款中写明材料和工程设备的名称、规格、数量、价格、交货方式、交货地点和计划交货日期等。</w:t>
      </w:r>
    </w:p>
    <w:p w14:paraId="1E91E90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5.2.2 承包人应根据合同进度计划的安排，向监理人报送要求发包人交货的日期计划。发包人应按照监理人与合同双方当事人商定的交货日期，向承包人提交材料和工程设备。</w:t>
      </w:r>
    </w:p>
    <w:p w14:paraId="3932E0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5.2.3 发包人应在材料和工程设备到货7 天前通知承包人，承包人应会同监理人在约定的时间内，赴交货地点共同进行验收。除专用合同条款另有约定外，发包人提供的材料和工程设备验收后，由承包人负责接收、运输和保管。</w:t>
      </w:r>
    </w:p>
    <w:p w14:paraId="276B04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5.2.4 发包人要求向承包人提前交货的，承包人不得拒绝，但发包人应承担承包人由此增加的费用。</w:t>
      </w:r>
    </w:p>
    <w:p w14:paraId="6C6953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5.2.5 承包人要求更改交货日期或地点的，应事先报请监理人批准。由于承包人要求更改交货时间或地点所增加的费用和（或）工期延误由承包人承担。</w:t>
      </w:r>
    </w:p>
    <w:p w14:paraId="5961025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7F7C631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 材料和工程设备专用于合同工程</w:t>
      </w:r>
    </w:p>
    <w:p w14:paraId="2421CC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5.3.1 运入施工场地的材料、工程设备，包括备品备件、安装专用工器具与随机资料，必须专用于合同工程，未经监理人同意，承包人不得运出施工场地或挪作他用。</w:t>
      </w:r>
    </w:p>
    <w:p w14:paraId="43C0A96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5D8068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 禁止使用不合格的材料和工程设备</w:t>
      </w:r>
    </w:p>
    <w:p w14:paraId="385056C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5.4.1 监理人有权拒绝承包人提供的不合格材料或工程设备，并要求承包人立即进行更换。监理人应在更换后再次进行检查和检验，由此增加的费用和（或）工期延误由承包人承担。</w:t>
      </w:r>
    </w:p>
    <w:p w14:paraId="5EB332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5.4.2 监理人发现承包人使用了不合格的材料和工程设备，应即时发出指示要求承包人立即改正，并禁止在工程中继续使用不合格的材料和工程设备。</w:t>
      </w:r>
    </w:p>
    <w:p w14:paraId="521F78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5.4.3 发包人提供的材料或工程设备不符合合同要求的，承包人有权拒绝，并可要求发包人更换，由此增加的费用和（或）工期延误由发包人承担。</w:t>
      </w:r>
    </w:p>
    <w:p w14:paraId="6B082A37">
      <w:pPr>
        <w:pStyle w:val="4"/>
        <w:spacing w:before="0" w:after="0" w:line="360" w:lineRule="exact"/>
        <w:ind w:firstLine="422" w:firstLineChars="200"/>
        <w:rPr>
          <w:rFonts w:ascii="宋体" w:hAnsi="宋体" w:cs="宋体"/>
          <w:color w:val="auto"/>
          <w:sz w:val="21"/>
          <w:szCs w:val="21"/>
          <w:highlight w:val="none"/>
        </w:rPr>
      </w:pPr>
      <w:bookmarkStart w:id="1059" w:name="_Toc488492887"/>
      <w:bookmarkStart w:id="1060" w:name="_Toc488483659"/>
      <w:bookmarkStart w:id="1061" w:name="_Toc463799063"/>
      <w:bookmarkStart w:id="1062" w:name="_Toc290198753"/>
      <w:bookmarkStart w:id="1063" w:name="_Toc490832342"/>
      <w:bookmarkStart w:id="1064" w:name="_Toc487653235"/>
      <w:bookmarkStart w:id="1065" w:name="_Toc486685960"/>
      <w:bookmarkStart w:id="1066" w:name="_Toc17702"/>
      <w:bookmarkStart w:id="1067" w:name="_Toc419825405"/>
      <w:bookmarkStart w:id="1068" w:name="_Toc419825057"/>
      <w:r>
        <w:rPr>
          <w:rFonts w:hint="eastAsia" w:ascii="宋体" w:hAnsi="宋体" w:cs="宋体"/>
          <w:color w:val="auto"/>
          <w:sz w:val="21"/>
          <w:szCs w:val="21"/>
          <w:highlight w:val="none"/>
        </w:rPr>
        <w:t>6、施工设备和临时设施</w:t>
      </w:r>
      <w:bookmarkEnd w:id="1059"/>
      <w:bookmarkEnd w:id="1060"/>
      <w:bookmarkEnd w:id="1061"/>
      <w:bookmarkEnd w:id="1062"/>
      <w:bookmarkEnd w:id="1063"/>
      <w:bookmarkEnd w:id="1064"/>
      <w:bookmarkEnd w:id="1065"/>
      <w:bookmarkEnd w:id="1066"/>
      <w:bookmarkEnd w:id="1067"/>
      <w:bookmarkEnd w:id="1068"/>
    </w:p>
    <w:p w14:paraId="439626E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14:paraId="6D04C9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3E2C8D9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6.1.2 除专用合同条款另有约定外，承包人应自行承担修建临时设施的费用，需要临时占地的，应由发包人办理申请手续并承担相应费用。</w:t>
      </w:r>
    </w:p>
    <w:p w14:paraId="4BB1282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 发包人提供的施工设备和临时设施</w:t>
      </w:r>
    </w:p>
    <w:p w14:paraId="01F16DE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发包人提供的施工设备或临时设施在专用合同条款中约定。</w:t>
      </w:r>
    </w:p>
    <w:p w14:paraId="19C6DF1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14:paraId="7DB4364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69CB9AB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 施工设备和临时设施专用于合同工程</w:t>
      </w:r>
    </w:p>
    <w:p w14:paraId="083D24C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6.4.1 除合同另有约定外，运入施工场地的所有施工设备以及在施工场地建设的临时设施应专用于合同工程。未经监理人同意，不得将上述施工设备和临时设施中的任何部分运出施工场地或挪作他用。</w:t>
      </w:r>
    </w:p>
    <w:p w14:paraId="482CF61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6.4.2 经监理人同意，承包人可根据合同进度计划撤走闲置的施工设备。</w:t>
      </w:r>
    </w:p>
    <w:p w14:paraId="721BDD58">
      <w:pPr>
        <w:pStyle w:val="4"/>
        <w:spacing w:before="0" w:after="0" w:line="360" w:lineRule="exact"/>
        <w:ind w:firstLine="422" w:firstLineChars="200"/>
        <w:rPr>
          <w:rFonts w:ascii="宋体" w:hAnsi="宋体" w:cs="宋体"/>
          <w:color w:val="auto"/>
          <w:sz w:val="21"/>
          <w:szCs w:val="21"/>
          <w:highlight w:val="none"/>
        </w:rPr>
      </w:pPr>
      <w:bookmarkStart w:id="1069" w:name="_Toc488492888"/>
      <w:bookmarkStart w:id="1070" w:name="_Toc19817"/>
      <w:bookmarkStart w:id="1071" w:name="_Toc419825406"/>
      <w:bookmarkStart w:id="1072" w:name="_Toc487653236"/>
      <w:bookmarkStart w:id="1073" w:name="_Toc290198754"/>
      <w:bookmarkStart w:id="1074" w:name="_Toc463799064"/>
      <w:bookmarkStart w:id="1075" w:name="_Toc490832343"/>
      <w:bookmarkStart w:id="1076" w:name="_Toc419825058"/>
      <w:bookmarkStart w:id="1077" w:name="_Toc486685961"/>
      <w:bookmarkStart w:id="1078" w:name="_Toc488483660"/>
      <w:r>
        <w:rPr>
          <w:rFonts w:hint="eastAsia" w:ascii="宋体" w:hAnsi="宋体" w:cs="宋体"/>
          <w:color w:val="auto"/>
          <w:sz w:val="21"/>
          <w:szCs w:val="21"/>
          <w:highlight w:val="none"/>
        </w:rPr>
        <w:t>7．交通运输</w:t>
      </w:r>
      <w:bookmarkEnd w:id="1069"/>
      <w:bookmarkEnd w:id="1070"/>
      <w:bookmarkEnd w:id="1071"/>
      <w:bookmarkEnd w:id="1072"/>
      <w:bookmarkEnd w:id="1073"/>
      <w:bookmarkEnd w:id="1074"/>
      <w:bookmarkEnd w:id="1075"/>
      <w:bookmarkEnd w:id="1076"/>
      <w:bookmarkEnd w:id="1077"/>
      <w:bookmarkEnd w:id="1078"/>
    </w:p>
    <w:p w14:paraId="7666F79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14:paraId="45FF1C9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0FA60FB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14:paraId="39E8E72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7.2.1 除专用合同条款另有约定外，承包人应负责修建、维修、养护和管理施工所需的临时道路和交通设施，包括维修、养护和管理发包人提供的道路和交通设施，并承担相应费用。</w:t>
      </w:r>
    </w:p>
    <w:p w14:paraId="2687090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7.2.2 除专用合同条款另有约定外，承包人修建的临时道路和交通设施应免费提供发包人和监理人使用。</w:t>
      </w:r>
    </w:p>
    <w:p w14:paraId="46C3FAC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14:paraId="4235D59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7.3.1 承包人车辆外出行驶所需的场外公共道路的通行费、养路费和税款等由承包人承担。</w:t>
      </w:r>
    </w:p>
    <w:p w14:paraId="264C693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7.3.2 承包人应遵守有关交通法规，严格按照道路和桥梁的限制荷重安全行驶，并服从交通管理部门的检查和监督。</w:t>
      </w:r>
    </w:p>
    <w:p w14:paraId="239B1E9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 超大件和超重件的运输</w:t>
      </w:r>
    </w:p>
    <w:p w14:paraId="19952F0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9D2515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7.5 道路和桥梁的损坏责任</w:t>
      </w:r>
    </w:p>
    <w:p w14:paraId="4B09CF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因承包人运输造成施工场地内外公共道路和桥梁损坏的，由承包人承担修复损坏的全部费用和可能引起的赔偿。</w:t>
      </w:r>
    </w:p>
    <w:p w14:paraId="7A7854B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7.6 水路和航空运输</w:t>
      </w:r>
    </w:p>
    <w:p w14:paraId="52202A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本条上述各款的内容适用于水路运输和航空运输，其中“道路”一词的涵义包括河道、航线、船闸、机场、码头、堤防以及水路或航空运输中其他相似结构物；“车辆”一词的涵义包括船舶和飞机等。</w:t>
      </w:r>
    </w:p>
    <w:p w14:paraId="7E2BDA3A">
      <w:pPr>
        <w:pStyle w:val="4"/>
        <w:spacing w:before="0" w:after="0" w:line="360" w:lineRule="exact"/>
        <w:ind w:firstLine="422" w:firstLineChars="200"/>
        <w:rPr>
          <w:rFonts w:ascii="宋体" w:hAnsi="宋体" w:cs="宋体"/>
          <w:color w:val="auto"/>
          <w:sz w:val="21"/>
          <w:szCs w:val="21"/>
          <w:highlight w:val="none"/>
        </w:rPr>
      </w:pPr>
      <w:bookmarkStart w:id="1079" w:name="_Toc486685962"/>
      <w:bookmarkStart w:id="1080" w:name="_Toc290198755"/>
      <w:bookmarkStart w:id="1081" w:name="_Toc419825407"/>
      <w:bookmarkStart w:id="1082" w:name="_Toc488483661"/>
      <w:bookmarkStart w:id="1083" w:name="_Toc487653237"/>
      <w:bookmarkStart w:id="1084" w:name="_Toc490832344"/>
      <w:bookmarkStart w:id="1085" w:name="_Toc419825059"/>
      <w:bookmarkStart w:id="1086" w:name="_Toc16426"/>
      <w:bookmarkStart w:id="1087" w:name="_Toc463799065"/>
      <w:bookmarkStart w:id="1088" w:name="_Toc488492889"/>
      <w:r>
        <w:rPr>
          <w:rFonts w:hint="eastAsia" w:ascii="宋体" w:hAnsi="宋体" w:cs="宋体"/>
          <w:color w:val="auto"/>
          <w:sz w:val="21"/>
          <w:szCs w:val="21"/>
          <w:highlight w:val="none"/>
        </w:rPr>
        <w:t>8．测量放线</w:t>
      </w:r>
      <w:bookmarkEnd w:id="1079"/>
      <w:bookmarkEnd w:id="1080"/>
      <w:bookmarkEnd w:id="1081"/>
      <w:bookmarkEnd w:id="1082"/>
      <w:bookmarkEnd w:id="1083"/>
      <w:bookmarkEnd w:id="1084"/>
      <w:bookmarkEnd w:id="1085"/>
      <w:bookmarkEnd w:id="1086"/>
      <w:bookmarkEnd w:id="1087"/>
      <w:bookmarkEnd w:id="1088"/>
    </w:p>
    <w:p w14:paraId="198BBD8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 施工控制网</w:t>
      </w:r>
    </w:p>
    <w:p w14:paraId="4780521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535F53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8.1.2 承包人应负责管理施工控制网点。施工控制网点丢失或损坏的，承包人应及时修复。承包人应承担施工控制网点的管理与修复费用，并在工程竣工后将施工控制网点移交发包人。</w:t>
      </w:r>
    </w:p>
    <w:p w14:paraId="44757F7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8.2 施工测量</w:t>
      </w:r>
    </w:p>
    <w:p w14:paraId="490EC0B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8.2.1 承包人应负责施工过程中的全部施工测量放线工作，并配置合格的人员、仪器、设备和其他物品。</w:t>
      </w:r>
    </w:p>
    <w:p w14:paraId="0235AD8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8.2.2 监理人可以指示承包人进行抽样复测，当复测中发现错误或出现超过合同约定的误差时，承包人应按监理人指示进行修正或补测，并承担相应的复测费用。</w:t>
      </w:r>
    </w:p>
    <w:p w14:paraId="2CE6C98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8.3 基准资料错误的责任</w:t>
      </w:r>
    </w:p>
    <w:p w14:paraId="561EE8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8304C6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14:paraId="6B2A01F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监理人需要使用施工控制网的，承包人应提供必要的协助，发包人不再为此支付费用。</w:t>
      </w:r>
    </w:p>
    <w:p w14:paraId="120D10AE">
      <w:pPr>
        <w:pStyle w:val="4"/>
        <w:spacing w:before="0" w:after="0" w:line="360" w:lineRule="exact"/>
        <w:ind w:firstLine="422" w:firstLineChars="200"/>
        <w:rPr>
          <w:rFonts w:ascii="宋体" w:hAnsi="宋体" w:cs="宋体"/>
          <w:color w:val="auto"/>
          <w:sz w:val="21"/>
          <w:szCs w:val="21"/>
          <w:highlight w:val="none"/>
        </w:rPr>
      </w:pPr>
      <w:bookmarkStart w:id="1089" w:name="_Toc490832345"/>
      <w:bookmarkStart w:id="1090" w:name="_Toc290198756"/>
      <w:bookmarkStart w:id="1091" w:name="_Toc28606"/>
      <w:bookmarkStart w:id="1092" w:name="_Toc488492890"/>
      <w:bookmarkStart w:id="1093" w:name="_Toc419825408"/>
      <w:bookmarkStart w:id="1094" w:name="_Toc488483662"/>
      <w:bookmarkStart w:id="1095" w:name="_Toc487653238"/>
      <w:bookmarkStart w:id="1096" w:name="_Toc486685963"/>
      <w:bookmarkStart w:id="1097" w:name="_Toc463799066"/>
      <w:bookmarkStart w:id="1098" w:name="_Toc419825060"/>
      <w:r>
        <w:rPr>
          <w:rFonts w:hint="eastAsia" w:ascii="宋体" w:hAnsi="宋体" w:cs="宋体"/>
          <w:color w:val="auto"/>
          <w:sz w:val="21"/>
          <w:szCs w:val="21"/>
          <w:highlight w:val="none"/>
        </w:rPr>
        <w:t>9．施工安全、治安保卫和环境保护</w:t>
      </w:r>
      <w:bookmarkEnd w:id="1089"/>
      <w:bookmarkEnd w:id="1090"/>
      <w:bookmarkEnd w:id="1091"/>
      <w:bookmarkEnd w:id="1092"/>
      <w:bookmarkEnd w:id="1093"/>
      <w:bookmarkEnd w:id="1094"/>
      <w:bookmarkEnd w:id="1095"/>
      <w:bookmarkEnd w:id="1096"/>
      <w:bookmarkEnd w:id="1097"/>
      <w:bookmarkEnd w:id="1098"/>
    </w:p>
    <w:p w14:paraId="2CC3464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14:paraId="63BDD33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9.1.1 发包人应按合同约定履行安全职责，授权监理人按合同约定的安全工作内容监督、检查承包人安全工作的实施，组织承包人和有关单位进行安全检查。</w:t>
      </w:r>
    </w:p>
    <w:p w14:paraId="576C11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9.1.2 发包人应对其现场机构雇佣的全部人员的工伤事故承担责任，但由于承包人原因造成发包人人员工伤的，应由承包人承担责任。</w:t>
      </w:r>
    </w:p>
    <w:p w14:paraId="1F1D5F3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9.1.3 发包人应负责赔偿以下各种情况造成的第三者人身伤亡和财产损失：</w:t>
      </w:r>
    </w:p>
    <w:p w14:paraId="063EF8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(l）工程或工程的任何部分对土地的占用所造成的第三者财产损失；</w:t>
      </w:r>
    </w:p>
    <w:p w14:paraId="03BF13E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(2）由于发包人原因在施工场地及其毗邻地带造成的第三者人身伤亡和财产损失。</w:t>
      </w:r>
    </w:p>
    <w:p w14:paraId="28A1314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2ED6979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 承包人应按合同约定履行安全职责，执行监理人有关安全工作的指示，并在专用合同条款约定的期限内，按合同约定的安全工作内容，编制施工安全措施计划报送监理人审批。</w:t>
      </w:r>
    </w:p>
    <w:p w14:paraId="701074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9.2.2 承包人应加强施工作业安全管理，特别应加强易燃、易爆材料、火工器材、有毒与腐蚀性材料和其他危险品的管理，以及对爆破作业和地下工程施工等危险作业的管理。</w:t>
      </w:r>
    </w:p>
    <w:p w14:paraId="08D1AD8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9.2.3 承包人应严格按照国家安全标准制定施工安全操作规程，配备必要的安全生产和劳动保护设施，加强对承包人人员的安全教育，并发放安全工作手册和劳动保护用具。</w:t>
      </w:r>
    </w:p>
    <w:p w14:paraId="75716D8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9.2.4 承包人应按监理人的指示制定应对灾害的紧急预案，报送监理人审批。承包人还应按预案做好安全检查，配置必要的救助物资和器材，切实保护好有关人员的人身和财产安全。</w:t>
      </w:r>
    </w:p>
    <w:p w14:paraId="15387CD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9.2.5 合同约定的安全作业环境及安全施工措施所需费用应遵守有关规定，并包括在相关工作的合同价格中。因采取合同未约定的安全作业环境及安全施工措施增加的费用，由监理人按第3.5 款商定或确定。</w:t>
      </w:r>
    </w:p>
    <w:p w14:paraId="7EED69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9.2.6 承包人应对其履行合同所雇佣的全部人员，包括分包人人员的工伤事故承担责任，但由于发包人原因造成承包人人员工伤事故的，应由发包人承担责任。</w:t>
      </w:r>
    </w:p>
    <w:p w14:paraId="139F094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9.2.7 由于承包人原因在施工场地内及其毗邻地带造成的第三者人员伤亡和财产损失，由承包人负责赔偿。</w:t>
      </w:r>
    </w:p>
    <w:p w14:paraId="6432826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9.3 治安保卫</w:t>
      </w:r>
    </w:p>
    <w:p w14:paraId="2D8369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9.3.1 除合同另有约定外，发包人应与当地公安部门协商，在现场建立治安管理机构或联防组织，统一管理施工场地的治安保卫事项，履行合同工程的治安保卫职责。</w:t>
      </w:r>
    </w:p>
    <w:p w14:paraId="69B69AC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9.3.2 发包人和承包人除应协助现场治安管理机构或联防组织维护施工场地的社会治安外，还应做好包括生活区在内的各自管辖区的治安保卫工作。</w:t>
      </w:r>
    </w:p>
    <w:p w14:paraId="425B09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078F83E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14:paraId="682F21E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9.4.1 承包人在施工过程中，应遵守有关环境保护的法律，履行合同约定的环境保护义务，并对违反法律和合同约定义务所造成的环境破坏、人身伤害和财产损失负责。</w:t>
      </w:r>
    </w:p>
    <w:p w14:paraId="7238A4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9.4.2 承包人应按合同约定的环保工作内容，编制施工环保措施计划，报送监理人审批。</w:t>
      </w:r>
    </w:p>
    <w:p w14:paraId="19CB9FF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AE1AF9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9.4.4 承包人应按合同约定采取有效措施，对施工开挖的边坡及时进行支护，维护排水设施，并进行水土保护，避免因施工造成的地质灾害。</w:t>
      </w:r>
    </w:p>
    <w:p w14:paraId="2A17C2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9.4.5 承包人应按国家饮用水管理标准定期对饮用水源进行监测，防止施工活动污染饮用水源。</w:t>
      </w:r>
    </w:p>
    <w:p w14:paraId="5067BE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9.4.6 承包人应按合同约定，加强对噪声、粉尘、废气、废水和废油的控制，努力降低噪声，控制粉尘和废气浓度，做好废水和废油的治理和排放。</w:t>
      </w:r>
    </w:p>
    <w:p w14:paraId="2D91883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14:paraId="2043F5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8538BD4">
      <w:pPr>
        <w:pStyle w:val="4"/>
        <w:spacing w:before="0" w:after="0" w:line="360" w:lineRule="exact"/>
        <w:ind w:firstLine="422" w:firstLineChars="200"/>
        <w:rPr>
          <w:rFonts w:ascii="宋体" w:hAnsi="宋体" w:cs="宋体"/>
          <w:color w:val="auto"/>
          <w:sz w:val="21"/>
          <w:szCs w:val="21"/>
          <w:highlight w:val="none"/>
        </w:rPr>
      </w:pPr>
      <w:bookmarkStart w:id="1099" w:name="_Toc419825061"/>
      <w:bookmarkStart w:id="1100" w:name="_Toc488492891"/>
      <w:bookmarkStart w:id="1101" w:name="_Toc487653239"/>
      <w:bookmarkStart w:id="1102" w:name="_Toc490832346"/>
      <w:bookmarkStart w:id="1103" w:name="_Toc488483663"/>
      <w:bookmarkStart w:id="1104" w:name="_Toc290198757"/>
      <w:bookmarkStart w:id="1105" w:name="_Toc463799067"/>
      <w:bookmarkStart w:id="1106" w:name="_Toc2600"/>
      <w:bookmarkStart w:id="1107" w:name="_Toc419825409"/>
      <w:bookmarkStart w:id="1108" w:name="_Toc486685964"/>
      <w:r>
        <w:rPr>
          <w:rFonts w:hint="eastAsia" w:ascii="宋体" w:hAnsi="宋体" w:cs="宋体"/>
          <w:color w:val="auto"/>
          <w:sz w:val="21"/>
          <w:szCs w:val="21"/>
          <w:highlight w:val="none"/>
        </w:rPr>
        <w:t>10．进度计划</w:t>
      </w:r>
      <w:bookmarkEnd w:id="1099"/>
      <w:bookmarkEnd w:id="1100"/>
      <w:bookmarkEnd w:id="1101"/>
      <w:bookmarkEnd w:id="1102"/>
      <w:bookmarkEnd w:id="1103"/>
      <w:bookmarkEnd w:id="1104"/>
      <w:bookmarkEnd w:id="1105"/>
      <w:bookmarkEnd w:id="1106"/>
      <w:bookmarkEnd w:id="1107"/>
      <w:bookmarkEnd w:id="1108"/>
    </w:p>
    <w:p w14:paraId="6F49376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784934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21A859F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14:paraId="35FCF4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不论何种原因造成工程的实际进度与第10.1 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77174107">
      <w:pPr>
        <w:pStyle w:val="4"/>
        <w:spacing w:before="0" w:after="0" w:line="360" w:lineRule="exact"/>
        <w:ind w:firstLine="422" w:firstLineChars="200"/>
        <w:rPr>
          <w:rFonts w:ascii="宋体" w:hAnsi="宋体" w:cs="宋体"/>
          <w:color w:val="auto"/>
          <w:sz w:val="21"/>
          <w:szCs w:val="21"/>
          <w:highlight w:val="none"/>
        </w:rPr>
      </w:pPr>
      <w:bookmarkStart w:id="1109" w:name="_Toc419825062"/>
      <w:bookmarkStart w:id="1110" w:name="_Toc486685965"/>
      <w:bookmarkStart w:id="1111" w:name="_Toc487653240"/>
      <w:bookmarkStart w:id="1112" w:name="_Toc463799068"/>
      <w:bookmarkStart w:id="1113" w:name="_Toc488483664"/>
      <w:bookmarkStart w:id="1114" w:name="_Toc488492892"/>
      <w:bookmarkStart w:id="1115" w:name="_Toc15718"/>
      <w:bookmarkStart w:id="1116" w:name="_Toc490832347"/>
      <w:bookmarkStart w:id="1117" w:name="_Toc419825410"/>
      <w:bookmarkStart w:id="1118" w:name="_Toc290198758"/>
      <w:r>
        <w:rPr>
          <w:rFonts w:hint="eastAsia" w:ascii="宋体" w:hAnsi="宋体" w:cs="宋体"/>
          <w:color w:val="auto"/>
          <w:sz w:val="21"/>
          <w:szCs w:val="21"/>
          <w:highlight w:val="none"/>
        </w:rPr>
        <w:t>11、开工和竣工</w:t>
      </w:r>
      <w:bookmarkEnd w:id="1109"/>
      <w:bookmarkEnd w:id="1110"/>
      <w:bookmarkEnd w:id="1111"/>
      <w:bookmarkEnd w:id="1112"/>
      <w:bookmarkEnd w:id="1113"/>
      <w:bookmarkEnd w:id="1114"/>
      <w:bookmarkEnd w:id="1115"/>
      <w:bookmarkEnd w:id="1116"/>
      <w:bookmarkEnd w:id="1117"/>
      <w:bookmarkEnd w:id="1118"/>
    </w:p>
    <w:p w14:paraId="275F7EF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14:paraId="56AB815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 监理人应在开工日期7 天前向承包人发出开工通知。监理人在发出开工通知前应获得发包人同意。工期自监理人发出的开工通知中载明的开工日期起计算。承包人应在开工日期后尽快施工。</w:t>
      </w:r>
    </w:p>
    <w:p w14:paraId="246FCCB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11.1.2 承包人应按第10.1 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BD691F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14:paraId="5F312E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承包人应在第1.1.4.3 目约定的期限内完成合同工程。实际竣工日期在接收证书中写明。</w:t>
      </w:r>
    </w:p>
    <w:p w14:paraId="45A3F28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14:paraId="02ED92F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在履行合同过程中，由于发包人的下列原因造成工期延误的，承包人有权要求发包人延长工期和（或）增加费用，并支付合理利润。需要修订合同进度计划的，按照第10.2 款的约定办理。</w:t>
      </w:r>
    </w:p>
    <w:p w14:paraId="059E3FA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(l）增加合同工作内容；</w:t>
      </w:r>
    </w:p>
    <w:p w14:paraId="7C6DE9E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(2）改变合同中任何一项工作的质量要求或其他特性；</w:t>
      </w:r>
    </w:p>
    <w:p w14:paraId="48F4D6E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(3）发包人迟延提供材料、工程设备或变更交货地点的；</w:t>
      </w:r>
    </w:p>
    <w:p w14:paraId="551805A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(4）因发包人原因导致的暂停施工；</w:t>
      </w:r>
    </w:p>
    <w:p w14:paraId="63953FE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(5）提供图纸延误；</w:t>
      </w:r>
    </w:p>
    <w:p w14:paraId="7E64CE7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(6）未按合同约定及时支付预付款、进度款；</w:t>
      </w:r>
    </w:p>
    <w:p w14:paraId="4193C6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(7）发包人造成工期延误的其他原因。</w:t>
      </w:r>
    </w:p>
    <w:p w14:paraId="62E4D6A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53E410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由于出现专用合同条款规定的异常恶劣气候的条件导致工期延误的，承包人有权要求发包人延长工期。</w:t>
      </w:r>
    </w:p>
    <w:p w14:paraId="759BEE1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14:paraId="001F3BC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201A1BA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14:paraId="6BF34E9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716932C6">
      <w:pPr>
        <w:pStyle w:val="4"/>
        <w:spacing w:before="0" w:after="0" w:line="360" w:lineRule="exact"/>
        <w:ind w:firstLine="422" w:firstLineChars="200"/>
        <w:rPr>
          <w:rFonts w:ascii="宋体" w:hAnsi="宋体" w:cs="宋体"/>
          <w:color w:val="auto"/>
          <w:sz w:val="21"/>
          <w:szCs w:val="21"/>
          <w:highlight w:val="none"/>
        </w:rPr>
      </w:pPr>
      <w:bookmarkStart w:id="1119" w:name="_Toc490832348"/>
      <w:bookmarkStart w:id="1120" w:name="_Toc463799069"/>
      <w:bookmarkStart w:id="1121" w:name="_Toc419825063"/>
      <w:bookmarkStart w:id="1122" w:name="_Toc488483665"/>
      <w:bookmarkStart w:id="1123" w:name="_Toc25193"/>
      <w:bookmarkStart w:id="1124" w:name="_Toc486685966"/>
      <w:bookmarkStart w:id="1125" w:name="_Toc487653241"/>
      <w:bookmarkStart w:id="1126" w:name="_Toc488492893"/>
      <w:bookmarkStart w:id="1127" w:name="_Toc290198759"/>
      <w:bookmarkStart w:id="1128" w:name="_Toc419825411"/>
      <w:r>
        <w:rPr>
          <w:rFonts w:hint="eastAsia" w:ascii="宋体" w:hAnsi="宋体" w:cs="宋体"/>
          <w:color w:val="auto"/>
          <w:sz w:val="21"/>
          <w:szCs w:val="21"/>
          <w:highlight w:val="none"/>
        </w:rPr>
        <w:t>12．暂停施工</w:t>
      </w:r>
      <w:bookmarkEnd w:id="1119"/>
      <w:bookmarkEnd w:id="1120"/>
      <w:bookmarkEnd w:id="1121"/>
      <w:bookmarkEnd w:id="1122"/>
      <w:bookmarkEnd w:id="1123"/>
      <w:bookmarkEnd w:id="1124"/>
      <w:bookmarkEnd w:id="1125"/>
      <w:bookmarkEnd w:id="1126"/>
      <w:bookmarkEnd w:id="1127"/>
      <w:bookmarkEnd w:id="1128"/>
    </w:p>
    <w:p w14:paraId="66AAE25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14:paraId="3C8A26B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因下列暂停施工增加的费用和（或）工期延误由承包人承担：</w:t>
      </w:r>
    </w:p>
    <w:p w14:paraId="0A5E0C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(1）承包人违约引起的暂停施工；</w:t>
      </w:r>
    </w:p>
    <w:p w14:paraId="4E6FBE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(2）由于承包人原因为工程合理施工和安全保障所必需的暂停施工；</w:t>
      </w:r>
    </w:p>
    <w:p w14:paraId="3B578E2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(3）承包人擅自暂停施工；</w:t>
      </w:r>
    </w:p>
    <w:p w14:paraId="3A4A1DA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(4）承包人其他原因引起的暂停施工；</w:t>
      </w:r>
    </w:p>
    <w:p w14:paraId="64E910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(5）专用合同条款约定由承包人承担的其他暂停施工。</w:t>
      </w:r>
    </w:p>
    <w:p w14:paraId="5AFF669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14:paraId="0B5DCA2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由于发包人原因引起的暂停施工造成工期延误的，承包人有权要求发包人延长工期和（或）增加费用，并支付合理利润。</w:t>
      </w:r>
    </w:p>
    <w:p w14:paraId="3ACD73A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12.3 监理人暂停施工指示</w:t>
      </w:r>
    </w:p>
    <w:p w14:paraId="495C0C2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43D3C2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452C335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12.4 暂停施工后的复工</w:t>
      </w:r>
    </w:p>
    <w:p w14:paraId="54E47B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14:paraId="64BB1E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12.4.2 承包人无故拖延和拒绝复工的，由此增加的费用和工期延误由承包人承担；因发包人原因无法按时复工的，承包人有权要求发包人延长工期和（或）增加费用，并支付合理利润。</w:t>
      </w:r>
    </w:p>
    <w:p w14:paraId="04C97C7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12.5 暂停施工持续56 天以上</w:t>
      </w:r>
    </w:p>
    <w:p w14:paraId="159B4B5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12.5.1 监理人发出暂停施工指示后56 天内未向承包人发出复工通知，除了该项停工属于第12.1 款的情况外，承包人可向监理人提交书面通知，要求监理人在收到书面通知后28天内准许已暂停施工的工程或其中一部分工程继续施工。如监理人逾期不予批准，则承包人可以通知监理人，将工程受影响的部分视为按第15.1(l）项的可取消工作。如暂停施工影响到整个工程，可视为发包人违约，应按第22.2 款的规定办理。</w:t>
      </w:r>
    </w:p>
    <w:p w14:paraId="7F0C2B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12.5.2 由于承包人责任引起的暂停施工，如承包人在收到监理人暂停施工指示后56 天内不认真采取有效的复工措施，造成工期延误，可视为承包人违约，应按第22.1 款的规定办理。</w:t>
      </w:r>
    </w:p>
    <w:p w14:paraId="04981ECD">
      <w:pPr>
        <w:pStyle w:val="4"/>
        <w:spacing w:before="0" w:after="0" w:line="360" w:lineRule="exact"/>
        <w:ind w:firstLine="422" w:firstLineChars="200"/>
        <w:rPr>
          <w:rFonts w:ascii="宋体" w:hAnsi="宋体" w:cs="宋体"/>
          <w:color w:val="auto"/>
          <w:sz w:val="21"/>
          <w:szCs w:val="21"/>
          <w:highlight w:val="none"/>
        </w:rPr>
      </w:pPr>
      <w:bookmarkStart w:id="1129" w:name="_Toc487653242"/>
      <w:bookmarkStart w:id="1130" w:name="_Toc488483666"/>
      <w:bookmarkStart w:id="1131" w:name="_Toc290198760"/>
      <w:bookmarkStart w:id="1132" w:name="_Toc488492894"/>
      <w:bookmarkStart w:id="1133" w:name="_Toc9371"/>
      <w:bookmarkStart w:id="1134" w:name="_Toc419825412"/>
      <w:bookmarkStart w:id="1135" w:name="_Toc419825064"/>
      <w:bookmarkStart w:id="1136" w:name="_Toc490832349"/>
      <w:bookmarkStart w:id="1137" w:name="_Toc486685967"/>
      <w:bookmarkStart w:id="1138" w:name="_Toc463799070"/>
      <w:r>
        <w:rPr>
          <w:rFonts w:hint="eastAsia" w:ascii="宋体" w:hAnsi="宋体" w:cs="宋体"/>
          <w:color w:val="auto"/>
          <w:sz w:val="21"/>
          <w:szCs w:val="21"/>
          <w:highlight w:val="none"/>
        </w:rPr>
        <w:t>13．工程质量</w:t>
      </w:r>
      <w:bookmarkEnd w:id="1129"/>
      <w:bookmarkEnd w:id="1130"/>
      <w:bookmarkEnd w:id="1131"/>
      <w:bookmarkEnd w:id="1132"/>
      <w:bookmarkEnd w:id="1133"/>
      <w:bookmarkEnd w:id="1134"/>
      <w:bookmarkEnd w:id="1135"/>
      <w:bookmarkEnd w:id="1136"/>
      <w:bookmarkEnd w:id="1137"/>
      <w:bookmarkEnd w:id="1138"/>
    </w:p>
    <w:p w14:paraId="31425D4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14:paraId="5D608E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13.1.1 工程质量验收按合同约定验收标准执行。</w:t>
      </w:r>
    </w:p>
    <w:p w14:paraId="3E6DB03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13.1.2 因承包人原因造成工程质量达不到合同约定验收标准的，监理人有权要求承包人返工直至符合合同要求为止，由此造成的费用增加和（或）工期延误由承包人承担。</w:t>
      </w:r>
    </w:p>
    <w:p w14:paraId="16694C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13.1.3 因发包人原因造成工程质量达不到合同约定验收标准的，发包人应承担由于承包人返工造成的费用增加和（或）工期延误，并支付承包人合理利润。</w:t>
      </w:r>
    </w:p>
    <w:p w14:paraId="5CF1246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14:paraId="0CE39F5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5637DE5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13.2.2 承包人应加强对施工人员的质量教育和技术培训，定期考核施工人员的劳动技能，严格执行规范和操作规程。</w:t>
      </w:r>
    </w:p>
    <w:p w14:paraId="3C646F68">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13.3 承包人的质量检查</w:t>
      </w:r>
    </w:p>
    <w:p w14:paraId="3D5BACD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承包人应按合同约定对材料、工程设备以及工程的所有部位及其施工工艺进行全过程的质量检查和检验，并作详细记录，编制工程质量报表，报送监理人审查。</w:t>
      </w:r>
    </w:p>
    <w:p w14:paraId="710A0F6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14:paraId="34DDFA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169BAB5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14:paraId="2F01396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13.5.1 通知监理人检查</w:t>
      </w:r>
    </w:p>
    <w:p w14:paraId="70DD2D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449D89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13.5.2 监理人未到场检查</w:t>
      </w:r>
    </w:p>
    <w:p w14:paraId="62CFEC0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监理人未按第13.5.l 项约定的时间进行检查的，除监理人另有指示外，承包人可自行完成覆盖工作，并作相应记录报送监理人，监理人应签字确认。监理人事后对检查记录有疑问的，可按第13.5.3 项的约定重新检查。</w:t>
      </w:r>
    </w:p>
    <w:p w14:paraId="64EF479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13.5.3 监理人重新检查</w:t>
      </w:r>
    </w:p>
    <w:p w14:paraId="5E046B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承包人按第13.5.1 项或第13.5.2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8B4495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13.5.4 承包人私自覆盖</w:t>
      </w:r>
    </w:p>
    <w:p w14:paraId="1591D46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承包人未通知监理人到场检查，私自将工程隐蔽部位覆盖的，监理人有权指示承包人钻孔探测或揭开检查，由此增加的费用和（或）工期延误由承包人承担。</w:t>
      </w:r>
    </w:p>
    <w:p w14:paraId="6E44AE0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14:paraId="441A901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ED7ED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13.6.2 由于发包人提供的材料或工程设备不合格造成的工程不合格，需要承包人采取措施补救的，发包人应承担由此增加的费用和（或）工期延误，并支付承包人合理利润。</w:t>
      </w:r>
    </w:p>
    <w:p w14:paraId="55D0F0DB">
      <w:pPr>
        <w:pStyle w:val="4"/>
        <w:spacing w:before="0" w:after="0" w:line="360" w:lineRule="exact"/>
        <w:ind w:firstLine="422" w:firstLineChars="200"/>
        <w:rPr>
          <w:rFonts w:ascii="宋体" w:hAnsi="宋体" w:cs="宋体"/>
          <w:color w:val="auto"/>
          <w:sz w:val="21"/>
          <w:szCs w:val="21"/>
          <w:highlight w:val="none"/>
        </w:rPr>
      </w:pPr>
      <w:bookmarkStart w:id="1139" w:name="_Toc419825413"/>
      <w:bookmarkStart w:id="1140" w:name="_Toc488492895"/>
      <w:bookmarkStart w:id="1141" w:name="_Toc419825065"/>
      <w:bookmarkStart w:id="1142" w:name="_Toc486685968"/>
      <w:bookmarkStart w:id="1143" w:name="_Toc488483667"/>
      <w:bookmarkStart w:id="1144" w:name="_Toc490832350"/>
      <w:bookmarkStart w:id="1145" w:name="_Toc16903"/>
      <w:bookmarkStart w:id="1146" w:name="_Toc487653243"/>
      <w:bookmarkStart w:id="1147" w:name="_Toc290198761"/>
      <w:bookmarkStart w:id="1148" w:name="_Toc463799071"/>
      <w:r>
        <w:rPr>
          <w:rFonts w:hint="eastAsia" w:ascii="宋体" w:hAnsi="宋体" w:cs="宋体"/>
          <w:color w:val="auto"/>
          <w:sz w:val="21"/>
          <w:szCs w:val="21"/>
          <w:highlight w:val="none"/>
        </w:rPr>
        <w:t>14．试验和检验</w:t>
      </w:r>
      <w:bookmarkEnd w:id="1139"/>
      <w:bookmarkEnd w:id="1140"/>
      <w:bookmarkEnd w:id="1141"/>
      <w:bookmarkEnd w:id="1142"/>
      <w:bookmarkEnd w:id="1143"/>
      <w:bookmarkEnd w:id="1144"/>
      <w:bookmarkEnd w:id="1145"/>
      <w:bookmarkEnd w:id="1146"/>
      <w:bookmarkEnd w:id="1147"/>
      <w:bookmarkEnd w:id="1148"/>
    </w:p>
    <w:p w14:paraId="44856F5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14:paraId="17D055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15815B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14.1.2 监理人未按合同约定派员参加试验和检验的，除监理人另有指示外，承包人可自行试验和检验，并应立即将试验和检验结果报送监理人，监理人应签字确认。</w:t>
      </w:r>
    </w:p>
    <w:p w14:paraId="0C71E6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53DBF5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 现场材料试验</w:t>
      </w:r>
    </w:p>
    <w:p w14:paraId="5B7482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14.2.1 承包人根据合同约定或监理人指示进行的现场材料试验，应由承包人提供试验场所、试验人员、试验设备器材以及其他必要的试验条件。</w:t>
      </w:r>
    </w:p>
    <w:p w14:paraId="2951130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14.2.2 监理人在必要时可以使用承包人的试验场所、试验设备器材以及其他试验条件，进行以工程质量检查为目的的复核性材料试验，承包人应予以协助。</w:t>
      </w:r>
    </w:p>
    <w:p w14:paraId="6A32295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14:paraId="0F943CD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FF5F8A3">
      <w:pPr>
        <w:pStyle w:val="4"/>
        <w:spacing w:before="0" w:after="0" w:line="360" w:lineRule="exact"/>
        <w:ind w:firstLine="422" w:firstLineChars="200"/>
        <w:rPr>
          <w:rFonts w:ascii="宋体" w:hAnsi="宋体" w:cs="宋体"/>
          <w:color w:val="auto"/>
          <w:sz w:val="21"/>
          <w:szCs w:val="21"/>
          <w:highlight w:val="none"/>
        </w:rPr>
      </w:pPr>
      <w:bookmarkStart w:id="1149" w:name="_Toc419825414"/>
      <w:bookmarkStart w:id="1150" w:name="_Toc486685969"/>
      <w:bookmarkStart w:id="1151" w:name="_Toc419825066"/>
      <w:bookmarkStart w:id="1152" w:name="_Toc488483668"/>
      <w:bookmarkStart w:id="1153" w:name="_Toc290198762"/>
      <w:bookmarkStart w:id="1154" w:name="_Toc487653244"/>
      <w:bookmarkStart w:id="1155" w:name="_Toc5806"/>
      <w:bookmarkStart w:id="1156" w:name="_Toc463799072"/>
      <w:bookmarkStart w:id="1157" w:name="_Toc488492896"/>
      <w:bookmarkStart w:id="1158" w:name="_Toc490832351"/>
      <w:r>
        <w:rPr>
          <w:rFonts w:hint="eastAsia" w:ascii="宋体" w:hAnsi="宋体" w:cs="宋体"/>
          <w:color w:val="auto"/>
          <w:sz w:val="21"/>
          <w:szCs w:val="21"/>
          <w:highlight w:val="none"/>
        </w:rPr>
        <w:t>15．变更</w:t>
      </w:r>
      <w:bookmarkEnd w:id="1149"/>
      <w:bookmarkEnd w:id="1150"/>
      <w:bookmarkEnd w:id="1151"/>
      <w:bookmarkEnd w:id="1152"/>
      <w:bookmarkEnd w:id="1153"/>
      <w:bookmarkEnd w:id="1154"/>
      <w:bookmarkEnd w:id="1155"/>
      <w:bookmarkEnd w:id="1156"/>
      <w:bookmarkEnd w:id="1157"/>
      <w:bookmarkEnd w:id="1158"/>
    </w:p>
    <w:p w14:paraId="595727B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14:paraId="6BDB6EC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除专用合同条款另有约定外，在履行合同中发生以下情形之一，应按照本条规定进行变更。</w:t>
      </w:r>
    </w:p>
    <w:p w14:paraId="6A91099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(1）取消合同中任何一项工作，但被取消的工作不能转由发包人或其他人实施；</w:t>
      </w:r>
    </w:p>
    <w:p w14:paraId="151648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（2）改变合同中任何一项工作的质量或其他特性；</w:t>
      </w:r>
    </w:p>
    <w:p w14:paraId="6AA656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(3）改变合同工程的基线、标高、位置或尺寸；</w:t>
      </w:r>
    </w:p>
    <w:p w14:paraId="6551902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(4）改变合同中任何一项工作的施工时间或改变已批准的施工工艺或顺序；</w:t>
      </w:r>
    </w:p>
    <w:p w14:paraId="05D329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（5）为完成工程需要追加的额外工作。</w:t>
      </w:r>
    </w:p>
    <w:p w14:paraId="30484D3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15.2 变更权</w:t>
      </w:r>
    </w:p>
    <w:p w14:paraId="0D8C5CF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在履行合同过程中，经发包人同意，监理人可按第15.3 款约定的变更程序向承包人作出变更指示，承包人应遵照执行。没有监理人的变更指示，承包人不得擅自变更。</w:t>
      </w:r>
    </w:p>
    <w:p w14:paraId="018CD3F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15.3 变更程序</w:t>
      </w:r>
    </w:p>
    <w:p w14:paraId="5CF341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15.3.1变更的提出</w:t>
      </w:r>
    </w:p>
    <w:p w14:paraId="593F01A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 项约定发出变更指示。</w:t>
      </w:r>
    </w:p>
    <w:p w14:paraId="67A59F0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(2）在合同履行过程中，发生第15.1 款约定情形的，监理人应按照第15.3.3 项约定向承包人发出变更指示。</w:t>
      </w:r>
    </w:p>
    <w:p w14:paraId="599886C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14:paraId="0B8266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14:paraId="1CA725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15.3.2 变更估价</w:t>
      </w:r>
    </w:p>
    <w:p w14:paraId="309A651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(l）除专用合同条款对期限另有约定外，承包人应在收到变更指示或变更意向书后的14 天内，向监理人提交变更报价书，报价内容应根据第15.4 款约定的估价原则，详细开列变更工作的价格组成及其依据，并附必要的施工方法说明和有关图纸。</w:t>
      </w:r>
    </w:p>
    <w:p w14:paraId="2EEFDE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(2）变更工作影响工期的，承包人应提出调整工期的具体细节。监理人认为有必要时，可要求承包人提交要求提前或延长工期的施工进度计划及相应施工措施等详细资料。</w:t>
      </w:r>
    </w:p>
    <w:p w14:paraId="1B576AA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(3）除专用合同条款对期限另有约定外，监理人收到承包人变更报价书后的14 天内，根据第15.4 款约定的估价原则，按照第3.5 款商定或确定变更价格。</w:t>
      </w:r>
    </w:p>
    <w:p w14:paraId="04BD2F0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15.3.3 变更指示</w:t>
      </w:r>
    </w:p>
    <w:p w14:paraId="3D3A8C1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(l）变更指示只能由监理人发出。</w:t>
      </w:r>
    </w:p>
    <w:p w14:paraId="6C1722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(2）变更指示应说明变更的目的、范围、变更内容以及变更的工程量及其进度和技术要求，并附有关图纸和文件。承包人收到变更指示后，应按变更指示进行变更工作。</w:t>
      </w:r>
    </w:p>
    <w:p w14:paraId="1252EE9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14:paraId="0E825E2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除专用合同条款另有约定外，因变更引起的价格调整按照本款约定处理。</w:t>
      </w:r>
    </w:p>
    <w:p w14:paraId="3D0695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15.4.1 已标价工程量清单中有适用于变更工作的子目的，采用该子目的单价。</w:t>
      </w:r>
    </w:p>
    <w:p w14:paraId="38C733F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15.4.2 已标价工程量清单中无适用于变更工作的子目，但有类似子目的，可在合理范围内参照类似子目的单价，由监理人按第3.5 款商定或确定变更工作的单价。</w:t>
      </w:r>
    </w:p>
    <w:p w14:paraId="63FCA3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15.4.3 已标价工程量清单中无适用或类似子目的单价，可按照成本加利润的原则，由监理人按第3.5 款商定或确定变更工作的单价。</w:t>
      </w:r>
    </w:p>
    <w:p w14:paraId="6E9B7DC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14:paraId="4D3C85E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06A47D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15.5.2 承包人提出的合理化建议降低了合同价格、缩短了工期或者提高了工程经济效益的，发包人可按国家有关规定在专用合同条款中约定给予奖励。</w:t>
      </w:r>
    </w:p>
    <w:p w14:paraId="09F42D9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14:paraId="26DE35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暂列金额只能按照监理人的指示使用，并对合同价格进行相应调整。</w:t>
      </w:r>
    </w:p>
    <w:p w14:paraId="7277307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15.7 计日工</w:t>
      </w:r>
    </w:p>
    <w:p w14:paraId="7A303B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15.7.1 发包人认为有必要时，由监理人通知承包人以计日工方式实施变更的零星工作。其价款按列入已标价工程量清单中的计日工计价子目及其单价进行计算。</w:t>
      </w:r>
    </w:p>
    <w:p w14:paraId="7EE124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15.7.2 采用计日工计价的任何一项变更工作，应从暂列金额中支付，承包人应在该项变更的实施过程中，每天提交以下报表和有关凭证报送监理人审批：</w:t>
      </w:r>
    </w:p>
    <w:p w14:paraId="41FFC9E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(l）工作名称、内容和数量；</w:t>
      </w:r>
    </w:p>
    <w:p w14:paraId="7B50D0B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(2）投入该工作所有人员的姓名、工种、级别和耗用工时；</w:t>
      </w:r>
    </w:p>
    <w:p w14:paraId="3A9CF5C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(3）投入该工作的材料类别和数量；</w:t>
      </w:r>
    </w:p>
    <w:p w14:paraId="6911B9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(4）投入该工作的施工设备型号、台数和耗用台时；</w:t>
      </w:r>
    </w:p>
    <w:p w14:paraId="4FA901A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(5）监理人要求提交的其他资料和凭证。</w:t>
      </w:r>
    </w:p>
    <w:p w14:paraId="1998529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15.7.3 计日工由承包人汇总后，按第17.3 .2 项的约定列入进度付款申请单，由监理人复核并经发包人同意后列入进度付款。</w:t>
      </w:r>
    </w:p>
    <w:p w14:paraId="7B8F78F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14:paraId="3F2C8D2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 </w:t>
      </w:r>
    </w:p>
    <w:p w14:paraId="50F40D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15.8.2 发包人在工程量清单中给定暂估价的材料和工程设备不属于依法必须招标的范围或未达到规定的规模标准的，应由承包人按第5.1 款的约定提供。经监理人确认的材料、工程设备的价格与工程量清单中所列的暂估价的金额差以及相应的税金等其他费用列入合同价格。</w:t>
      </w:r>
    </w:p>
    <w:p w14:paraId="2A56772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15.8.3发包人在工程量清单中给定暂估价的专业工程不属于依法必须招标的范围或未达到规定的规模标准的，由监理人按照第15.4 款进行估价，但专用合同条款另有约定的除外。经估价的专业工程与工程量清单中所列的暂估价的金额差以及相应的税金等其他费用列入合同价格。</w:t>
      </w:r>
    </w:p>
    <w:p w14:paraId="67003069">
      <w:pPr>
        <w:pStyle w:val="4"/>
        <w:spacing w:before="0" w:after="0" w:line="360" w:lineRule="exact"/>
        <w:ind w:firstLine="422" w:firstLineChars="200"/>
        <w:rPr>
          <w:rFonts w:ascii="宋体" w:hAnsi="宋体" w:cs="宋体"/>
          <w:color w:val="auto"/>
          <w:sz w:val="21"/>
          <w:szCs w:val="21"/>
          <w:highlight w:val="none"/>
        </w:rPr>
      </w:pPr>
      <w:bookmarkStart w:id="1159" w:name="_Toc18215"/>
      <w:bookmarkStart w:id="1160" w:name="_Toc487653245"/>
      <w:bookmarkStart w:id="1161" w:name="_Toc490832352"/>
      <w:bookmarkStart w:id="1162" w:name="_Toc290198763"/>
      <w:bookmarkStart w:id="1163" w:name="_Toc419825415"/>
      <w:bookmarkStart w:id="1164" w:name="_Toc463799073"/>
      <w:bookmarkStart w:id="1165" w:name="_Toc488492897"/>
      <w:bookmarkStart w:id="1166" w:name="_Toc486685970"/>
      <w:bookmarkStart w:id="1167" w:name="_Toc488483669"/>
      <w:bookmarkStart w:id="1168" w:name="_Toc419825067"/>
      <w:r>
        <w:rPr>
          <w:rFonts w:hint="eastAsia" w:ascii="宋体" w:hAnsi="宋体" w:cs="宋体"/>
          <w:color w:val="auto"/>
          <w:sz w:val="21"/>
          <w:szCs w:val="21"/>
          <w:highlight w:val="none"/>
        </w:rPr>
        <w:t>16．价格调整</w:t>
      </w:r>
      <w:bookmarkEnd w:id="1159"/>
      <w:bookmarkEnd w:id="1160"/>
      <w:bookmarkEnd w:id="1161"/>
      <w:bookmarkEnd w:id="1162"/>
      <w:bookmarkEnd w:id="1163"/>
      <w:bookmarkEnd w:id="1164"/>
      <w:bookmarkEnd w:id="1165"/>
      <w:bookmarkEnd w:id="1166"/>
      <w:bookmarkEnd w:id="1167"/>
      <w:bookmarkEnd w:id="1168"/>
    </w:p>
    <w:p w14:paraId="7A7A433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14:paraId="555127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除专用合同条款另有约定外，因物价波动引起的价格调整按照本款约定处理。</w:t>
      </w:r>
    </w:p>
    <w:p w14:paraId="032D524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采用价格指数调整价格差额</w:t>
      </w:r>
    </w:p>
    <w:p w14:paraId="7827D3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16.1.1.1 价格调整公式</w:t>
      </w:r>
    </w:p>
    <w:p w14:paraId="09F082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因人工、材料和设备等价格波动影响合同价格时，根据投标函附录中的价格指数和权重表约定的数据，按以下公式计算差额并调整合同价格。</w:t>
      </w:r>
    </w:p>
    <w:p w14:paraId="67E965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t1        </w:t>
      </w:r>
      <w:r>
        <w:rPr>
          <w:rFonts w:hint="eastAsia" w:ascii="宋体" w:hAnsi="宋体" w:cs="宋体"/>
          <w:color w:val="auto"/>
          <w:szCs w:val="21"/>
          <w:highlight w:val="none"/>
        </w:rPr>
        <w:t xml:space="preserve"> F</w:t>
      </w:r>
      <w:r>
        <w:rPr>
          <w:rFonts w:hint="eastAsia" w:ascii="宋体" w:hAnsi="宋体" w:cs="宋体"/>
          <w:color w:val="auto"/>
          <w:szCs w:val="21"/>
          <w:highlight w:val="none"/>
          <w:vertAlign w:val="subscript"/>
        </w:rPr>
        <w:t xml:space="preserve">t2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t3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p>
    <w:p w14:paraId="25D3B7B1">
      <w:pPr>
        <w:numPr>
          <w:ilvl w:val="0"/>
          <w:numId w:val="11"/>
        </w:numPr>
        <w:spacing w:line="360" w:lineRule="exact"/>
        <w:ind w:left="0" w:firstLine="420" w:firstLineChars="200"/>
        <w:rPr>
          <w:rFonts w:ascii="宋体" w:hAnsi="宋体" w:cs="宋体"/>
          <w:color w:val="auto"/>
          <w:szCs w:val="21"/>
          <w:highlight w:val="none"/>
        </w:rPr>
      </w:pPr>
      <w:r>
        <w:rPr>
          <w:rFonts w:hint="eastAsia" w:ascii="宋体" w:hAnsi="宋体" w:cs="宋体"/>
          <w:color w:val="auto"/>
          <w:szCs w:val="21"/>
          <w:highlight w:val="none"/>
        </w:rPr>
        <w:t>P=P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［A+｛B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 xml:space="preserve">×—｝－1］ </w:t>
      </w:r>
    </w:p>
    <w:p w14:paraId="717FFF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01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02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 xml:space="preserve">03              </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04</w:t>
      </w:r>
    </w:p>
    <w:p w14:paraId="27BDB92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式中：△ P 一需调整的价格差额；</w:t>
      </w:r>
    </w:p>
    <w:p w14:paraId="45C19BF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P</w:t>
      </w:r>
      <w:r>
        <w:rPr>
          <w:rFonts w:hint="eastAsia" w:ascii="宋体" w:hAnsi="宋体" w:cs="宋体"/>
          <w:color w:val="auto"/>
          <w:szCs w:val="21"/>
          <w:highlight w:val="none"/>
          <w:vertAlign w:val="subscript"/>
        </w:rPr>
        <w:t>O</w:t>
      </w:r>
      <w:r>
        <w:rPr>
          <w:rFonts w:hint="eastAsia" w:ascii="宋体" w:hAnsi="宋体" w:cs="宋体"/>
          <w:color w:val="auto"/>
          <w:szCs w:val="21"/>
          <w:highlight w:val="none"/>
        </w:rPr>
        <w:t>一第17.3.3 项、第17.5 .2 项和第17.6.2 项约定的付款证书中承包人应得到的已完成工程量的金额。此项金额应不包括价格调整、不计质量保证金的扣留和支付、预付款的支付和扣回。第15条约定的变更及其他金额已按现行价格计价的，也不计在内；</w:t>
      </w:r>
    </w:p>
    <w:p w14:paraId="7773CB3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A ---定值权重（即不调部分的权重）； </w:t>
      </w:r>
    </w:p>
    <w:p w14:paraId="37881C6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vertAlign w:val="subscript"/>
        </w:rPr>
        <w:t>1</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3</w:t>
      </w:r>
      <w:r>
        <w:rPr>
          <w:rFonts w:hint="eastAsia" w:ascii="宋体" w:hAnsi="宋体" w:cs="宋体"/>
          <w:color w:val="auto"/>
          <w:szCs w:val="21"/>
          <w:highlight w:val="none"/>
        </w:rPr>
        <w:t>；……B</w:t>
      </w:r>
      <w:r>
        <w:rPr>
          <w:rFonts w:hint="eastAsia" w:ascii="宋体" w:hAnsi="宋体" w:cs="宋体"/>
          <w:color w:val="auto"/>
          <w:szCs w:val="21"/>
          <w:highlight w:val="none"/>
          <w:vertAlign w:val="subscript"/>
        </w:rPr>
        <w:t>n</w:t>
      </w:r>
      <w:r>
        <w:rPr>
          <w:rFonts w:hint="eastAsia" w:ascii="宋体" w:hAnsi="宋体" w:cs="宋体"/>
          <w:color w:val="auto"/>
          <w:szCs w:val="21"/>
          <w:highlight w:val="none"/>
        </w:rPr>
        <w:t>---各可调因子的变值权重（即可调部分的权重）为各可调因子在投标函投标总报价中所占的比例；</w:t>
      </w:r>
    </w:p>
    <w:p w14:paraId="4875640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t1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tn</w:t>
      </w:r>
      <w:r>
        <w:rPr>
          <w:rFonts w:hint="eastAsia" w:ascii="宋体" w:hAnsi="宋体" w:cs="宋体"/>
          <w:color w:val="auto"/>
          <w:szCs w:val="21"/>
          <w:highlight w:val="none"/>
        </w:rPr>
        <w:t>---各可调因子的现行价格指数，指第17.3.3 项、第17.5.2 项和第17.6.2 项约定的付款证书相关周期最后一天的前42天的各可调因子的价格指数；</w:t>
      </w:r>
    </w:p>
    <w:p w14:paraId="793DC53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F</w:t>
      </w:r>
      <w:r>
        <w:rPr>
          <w:rFonts w:hint="eastAsia" w:ascii="宋体" w:hAnsi="宋体" w:cs="宋体"/>
          <w:color w:val="auto"/>
          <w:szCs w:val="21"/>
          <w:highlight w:val="none"/>
          <w:vertAlign w:val="subscript"/>
        </w:rPr>
        <w:t>01</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02</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03</w:t>
      </w:r>
      <w:r>
        <w:rPr>
          <w:rFonts w:hint="eastAsia" w:ascii="宋体" w:hAnsi="宋体" w:cs="宋体"/>
          <w:color w:val="auto"/>
          <w:szCs w:val="21"/>
          <w:highlight w:val="none"/>
        </w:rPr>
        <w:t>；……F</w:t>
      </w:r>
      <w:r>
        <w:rPr>
          <w:rFonts w:hint="eastAsia" w:ascii="宋体" w:hAnsi="宋体" w:cs="宋体"/>
          <w:color w:val="auto"/>
          <w:szCs w:val="21"/>
          <w:highlight w:val="none"/>
          <w:vertAlign w:val="subscript"/>
        </w:rPr>
        <w:t>0n</w:t>
      </w:r>
      <w:r>
        <w:rPr>
          <w:rFonts w:hint="eastAsia" w:ascii="宋体" w:hAnsi="宋体" w:cs="宋体"/>
          <w:color w:val="auto"/>
          <w:szCs w:val="21"/>
          <w:highlight w:val="none"/>
        </w:rPr>
        <w:t>---各可调因子的基本价格指数，指基准日期的各可调因子的价格指数。</w:t>
      </w:r>
    </w:p>
    <w:p w14:paraId="0124B18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59CF5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16.1.1.2 暂时确定调整差额</w:t>
      </w:r>
    </w:p>
    <w:p w14:paraId="0C0D97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在计算调整差额时得不到现行价格指数的，可暂用上一次价格指数计算，并在以后的付款中再按实际价格指数进行调整。</w:t>
      </w:r>
    </w:p>
    <w:p w14:paraId="6B3B47E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16.1.1.3 权重的调整</w:t>
      </w:r>
    </w:p>
    <w:p w14:paraId="5CB359B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按第15.1 款约定的变更导致原定合同中的权重不合理时，由监理人与承包人和发包人协商后进行调整。</w:t>
      </w:r>
    </w:p>
    <w:p w14:paraId="30BC3D1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16.1.1.4 承包人工期延误后的价格调整</w:t>
      </w:r>
    </w:p>
    <w:p w14:paraId="76BF673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由于承包人原因未在约定的工期内竣工的，则对原约定竣工日期后继续施工的工程，在使用第16.1.1. 1目价格调整公式时，应采用原约定竣工日期与实际竣工日期的两个价格指数中较低的一个作为现行价格指数。</w:t>
      </w:r>
    </w:p>
    <w:p w14:paraId="298B53B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16.1.2 采用造价信息调整价格差额</w:t>
      </w:r>
    </w:p>
    <w:p w14:paraId="5146A4D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053D62C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14:paraId="162EFC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在基准日后，因法律变化导致承包人在合同履行中所需要的工程费用发生除第16.1 款约定以外的增减时，监理人应根据法律、国家或省、自治区、直辖市有关部门的规定，按第3.5 款商定或确定需调整的合同价款。</w:t>
      </w:r>
    </w:p>
    <w:p w14:paraId="20681A29">
      <w:pPr>
        <w:pStyle w:val="4"/>
        <w:spacing w:before="0" w:after="0" w:line="360" w:lineRule="exact"/>
        <w:ind w:firstLine="422" w:firstLineChars="200"/>
        <w:rPr>
          <w:rFonts w:ascii="宋体" w:hAnsi="宋体" w:cs="宋体"/>
          <w:color w:val="auto"/>
          <w:sz w:val="21"/>
          <w:szCs w:val="21"/>
          <w:highlight w:val="none"/>
        </w:rPr>
      </w:pPr>
      <w:bookmarkStart w:id="1169" w:name="_Toc290198764"/>
      <w:bookmarkStart w:id="1170" w:name="_Toc19171"/>
      <w:bookmarkStart w:id="1171" w:name="_Toc486685971"/>
      <w:bookmarkStart w:id="1172" w:name="_Toc463799074"/>
      <w:bookmarkStart w:id="1173" w:name="_Toc488483670"/>
      <w:bookmarkStart w:id="1174" w:name="_Toc490832353"/>
      <w:bookmarkStart w:id="1175" w:name="_Toc488492898"/>
      <w:bookmarkStart w:id="1176" w:name="_Toc419825068"/>
      <w:bookmarkStart w:id="1177" w:name="_Toc419825416"/>
      <w:bookmarkStart w:id="1178" w:name="_Toc487653246"/>
      <w:r>
        <w:rPr>
          <w:rFonts w:hint="eastAsia" w:ascii="宋体" w:hAnsi="宋体" w:cs="宋体"/>
          <w:color w:val="auto"/>
          <w:sz w:val="21"/>
          <w:szCs w:val="21"/>
          <w:highlight w:val="none"/>
        </w:rPr>
        <w:t>17．计量与支付</w:t>
      </w:r>
      <w:bookmarkEnd w:id="1169"/>
      <w:bookmarkEnd w:id="1170"/>
      <w:bookmarkEnd w:id="1171"/>
      <w:bookmarkEnd w:id="1172"/>
      <w:bookmarkEnd w:id="1173"/>
      <w:bookmarkEnd w:id="1174"/>
      <w:bookmarkEnd w:id="1175"/>
      <w:bookmarkEnd w:id="1176"/>
      <w:bookmarkEnd w:id="1177"/>
      <w:bookmarkEnd w:id="1178"/>
    </w:p>
    <w:p w14:paraId="54639B0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14:paraId="4E77781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17.1.1 计量单位</w:t>
      </w:r>
    </w:p>
    <w:p w14:paraId="4F1D591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计量采用国家法定的计量单位。</w:t>
      </w:r>
    </w:p>
    <w:p w14:paraId="5B676C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17.1.2 计量方法</w:t>
      </w:r>
    </w:p>
    <w:p w14:paraId="644758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工程量清单中的工程量计算规则应按有关国家标准、行业标准的规定，并在合同中约定执行。</w:t>
      </w:r>
    </w:p>
    <w:p w14:paraId="3A3552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17.1.3 计量周期</w:t>
      </w:r>
    </w:p>
    <w:p w14:paraId="7189B9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除专用合同条款另有约定外，单价子目已完成工程量按月计量，总价子目的计量周期按批准的支付分解报告确定。</w:t>
      </w:r>
    </w:p>
    <w:p w14:paraId="551152E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17.1.4 单价子目的计量</w:t>
      </w:r>
    </w:p>
    <w:p w14:paraId="1AEE8B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(l）已标价工程量清单中的单价子目工程量为估算工程量。结算工程量是承包人实际完成的，并按合同约定的计量方法进行计量的工程量。</w:t>
      </w:r>
    </w:p>
    <w:p w14:paraId="02C1C57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(2）承包人对已完成的工程进行计量，向监理人提交进度付款申请单、已完成工程量报表和有关计量资料。</w:t>
      </w:r>
    </w:p>
    <w:p w14:paraId="01C4926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(3）监理人对承包人提交的工程量报表进行复核，以确定实际完成的工程量。对数量有异议的，可要求承包人按第8.2 款约定进行共同复核和抽样复测。承包人应协助监理人进行复核并按监理人要求提供补充计量资料。承包人未按监理人要求参加复核，监理人复核或修正的工程量视为承包人实际完成的工程量。</w:t>
      </w:r>
    </w:p>
    <w:p w14:paraId="2D0E35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(4）监理人认为有必要时，可通知承包人共同进行联合测量、计量，承包人应遵照执行。</w:t>
      </w:r>
    </w:p>
    <w:p w14:paraId="7658C8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末按监理人要求派员参加的，监理人最终核实的工程量视为承包人完成该子目的准确工程量。</w:t>
      </w:r>
    </w:p>
    <w:p w14:paraId="3C93B51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(6）监理人应在收到承包人提交的工程量报表后的7 天内进行复核，监理人未在约定时间内复核的，承包人提交的工程量报表中的工程量视为承包人实际完成的工程量，据此计算工程价款。</w:t>
      </w:r>
    </w:p>
    <w:p w14:paraId="18D2B3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17.1.5 总价子目的计量</w:t>
      </w:r>
    </w:p>
    <w:p w14:paraId="3372584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除专用合同条款另有约定外，总价子目的分解和计量按照下述约定进行。</w:t>
      </w:r>
    </w:p>
    <w:p w14:paraId="4771BB8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(1）总价子目的计量和支付应以总价为基础，不因第16.1 款中的因素而进行调整。承包人实际完成的工程量，是进行工程目标管理和控制进度支付的依据。</w:t>
      </w:r>
    </w:p>
    <w:p w14:paraId="2C435E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418E2E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(3）监理人对承包人提交的上述资料进行复核，以确定分阶段实际完成的工程量和工程形象目标。对其有异议的，可要求承包人按第8.2 款约定进行共同复核和抽样复测。</w:t>
      </w:r>
    </w:p>
    <w:p w14:paraId="2EE71F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(4）除按照第15条约定的变更外，总价子目的工程量是承包人用于结算的最终工程量。</w:t>
      </w:r>
    </w:p>
    <w:p w14:paraId="5C9F159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14:paraId="67093F8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 预付款</w:t>
      </w:r>
    </w:p>
    <w:p w14:paraId="44F5D02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195D462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预付款的扣回与还清</w:t>
      </w:r>
    </w:p>
    <w:p w14:paraId="0E38860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3679134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 工程进度付款</w:t>
      </w:r>
    </w:p>
    <w:p w14:paraId="0CF5D3B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17.3.1 付款周期</w:t>
      </w:r>
    </w:p>
    <w:p w14:paraId="34C419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付款周期同计量周期。</w:t>
      </w:r>
    </w:p>
    <w:p w14:paraId="79FDA6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17.3.2 进度付款申请单</w:t>
      </w:r>
    </w:p>
    <w:p w14:paraId="110215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5CE53A9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(l）截至本次付款周期末已实施工程的价款；</w:t>
      </w:r>
    </w:p>
    <w:p w14:paraId="2500A4A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(2）根据第15条应增加和扣减的变更金额；</w:t>
      </w:r>
    </w:p>
    <w:p w14:paraId="236AE9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(3）根据第23 条应增加和扣减的索赔金额；</w:t>
      </w:r>
    </w:p>
    <w:p w14:paraId="1A3054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(4）根据第17.2 款约定应支付的预付款和扣减的返还预付款；</w:t>
      </w:r>
    </w:p>
    <w:p w14:paraId="1701E10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(5）根据第17.4.1 项约定应扣减的质量保证金；</w:t>
      </w:r>
    </w:p>
    <w:p w14:paraId="3117B5D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(6）根据合同应增加和扣减的其他金额。</w:t>
      </w:r>
    </w:p>
    <w:p w14:paraId="27FDD17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17.3.3 进度付款证书和支付时间</w:t>
      </w:r>
    </w:p>
    <w:p w14:paraId="6170CB4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12839EF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(2）发包人应在监理人收到进度付款申请单后的28 天内，将进度应付款支付给承包人。发包人不按期支付的，按专用合同条款的约定支付逾期付款违约金。</w:t>
      </w:r>
    </w:p>
    <w:p w14:paraId="2AD25A6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(3）监理人出具进度付款证书，不应视为监理人已同意、批准或接受了承包人完成的该部分工作。</w:t>
      </w:r>
    </w:p>
    <w:p w14:paraId="08F1BAA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(4）进度付款涉及政府投资资金的，按照国库集中支付等国家相关规定和专用合同条款的约定办理。</w:t>
      </w:r>
    </w:p>
    <w:p w14:paraId="2289B94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17.3.4 工程进度付款的修正</w:t>
      </w:r>
    </w:p>
    <w:p w14:paraId="740092B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2FD0262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14:paraId="6BD5780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2C43A4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17.4.2 在第1.1.4.5 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7B463A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578D6D8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17.5 竣工结算</w:t>
      </w:r>
    </w:p>
    <w:p w14:paraId="1560FB4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17.5.1 竣工付款申请单</w:t>
      </w:r>
    </w:p>
    <w:p w14:paraId="648A1AB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5FE0DC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(2）监理人对竣工付款申请单有异议的，有权要求承包人进行修正和提供补充资料。经监理人和承包人协商后，由承包人向监理人提交修正后的竣工付款申请单。</w:t>
      </w:r>
    </w:p>
    <w:p w14:paraId="71B3138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17.5.2 竣工付款证书及支付时间</w:t>
      </w:r>
    </w:p>
    <w:p w14:paraId="6F1AE02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69AAFB6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(2）发包人应在监理人出具竣工付款证书后的14 天内，将应支付款支付给承包人。发包人不按期支付的，按第17.3.3(2）目的约定，将逾期付款违约金支付给承包人。</w:t>
      </w:r>
    </w:p>
    <w:p w14:paraId="0A3366C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(3）承包人对发包人签认的竣工付款证书有异议的，发包人可出具竣工付款申请单中承包人已同意部分的临时付款证书。存在争议的部分，按第24条的约定办理。</w:t>
      </w:r>
    </w:p>
    <w:p w14:paraId="58C1D3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(4）竣工付款涉及政府投资资金的，按第17.3.3(4）目的约定办理。</w:t>
      </w:r>
    </w:p>
    <w:p w14:paraId="079702D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14:paraId="1687D2C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17.6.1 最终结清申请单</w:t>
      </w:r>
    </w:p>
    <w:p w14:paraId="32136BE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(1）缺陷责任期终止证书签发后，承包人可按专用合同条款约定的份数和期限向监理人提交最终结清申请单，并提供相关证明材料。</w:t>
      </w:r>
    </w:p>
    <w:p w14:paraId="2025B7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(2）发包人对最终结清申请单内容有异议的，有权要求承包人进行修正和提供补充资料，由承包人向监理人提交修正后的最终结清申请单。</w:t>
      </w:r>
    </w:p>
    <w:p w14:paraId="46FE6C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17.6.2 最终结清证书和支付时间</w:t>
      </w:r>
    </w:p>
    <w:p w14:paraId="4B8AA5C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7F941A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(2）发包人应在监理人出具最终结清证书后的14 天内，将应支付款支付给承包人。</w:t>
      </w:r>
    </w:p>
    <w:p w14:paraId="7677932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发包人不按期支付的，按第17.3.3(2）目的约定，将逾期付款违约金支付给承包人。</w:t>
      </w:r>
    </w:p>
    <w:p w14:paraId="0DE5A35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(3）承包人对发包人签认的最终结清证书有异议的，按第24条的约定办理。</w:t>
      </w:r>
    </w:p>
    <w:p w14:paraId="35845B6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(4）最终结清付款涉及政府投资资金的，按第17.3.3(4）目的约定办理。</w:t>
      </w:r>
    </w:p>
    <w:p w14:paraId="7BBFF39B">
      <w:pPr>
        <w:pStyle w:val="4"/>
        <w:spacing w:before="0" w:after="0" w:line="360" w:lineRule="exact"/>
        <w:ind w:firstLine="422" w:firstLineChars="200"/>
        <w:rPr>
          <w:rFonts w:ascii="宋体" w:hAnsi="宋体" w:cs="宋体"/>
          <w:color w:val="auto"/>
          <w:sz w:val="21"/>
          <w:szCs w:val="21"/>
          <w:highlight w:val="none"/>
        </w:rPr>
      </w:pPr>
      <w:bookmarkStart w:id="1179" w:name="_Toc488492899"/>
      <w:bookmarkStart w:id="1180" w:name="_Toc24296"/>
      <w:bookmarkStart w:id="1181" w:name="_Toc419825069"/>
      <w:bookmarkStart w:id="1182" w:name="_Toc419825417"/>
      <w:bookmarkStart w:id="1183" w:name="_Toc487653247"/>
      <w:bookmarkStart w:id="1184" w:name="_Toc486685972"/>
      <w:bookmarkStart w:id="1185" w:name="_Toc463799075"/>
      <w:bookmarkStart w:id="1186" w:name="_Toc488483671"/>
      <w:bookmarkStart w:id="1187" w:name="_Toc290198765"/>
      <w:bookmarkStart w:id="1188" w:name="_Toc490832354"/>
      <w:r>
        <w:rPr>
          <w:rFonts w:hint="eastAsia" w:ascii="宋体" w:hAnsi="宋体" w:cs="宋体"/>
          <w:color w:val="auto"/>
          <w:sz w:val="21"/>
          <w:szCs w:val="21"/>
          <w:highlight w:val="none"/>
        </w:rPr>
        <w:t>18．竣工验收</w:t>
      </w:r>
      <w:bookmarkEnd w:id="1179"/>
      <w:bookmarkEnd w:id="1180"/>
      <w:bookmarkEnd w:id="1181"/>
      <w:bookmarkEnd w:id="1182"/>
      <w:bookmarkEnd w:id="1183"/>
      <w:bookmarkEnd w:id="1184"/>
      <w:bookmarkEnd w:id="1185"/>
      <w:bookmarkEnd w:id="1186"/>
      <w:bookmarkEnd w:id="1187"/>
      <w:bookmarkEnd w:id="1188"/>
    </w:p>
    <w:p w14:paraId="4C6A79B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14:paraId="0E51FAC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18.1.1 竣工验收指承包人完成了全部合同工作后，发包人按合同要求进行的验收。</w:t>
      </w:r>
    </w:p>
    <w:p w14:paraId="5BE0EC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18.1.2 国家验收是政府有关部门根据法律、规范、规程和政策要求，针对发包人全面组织实施的整个工程正式交付投运前的验收。</w:t>
      </w:r>
    </w:p>
    <w:p w14:paraId="5E787B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18.1.3 需要进行国家验收的，竣工验收是国家验收的一部分。竣工验收所采用的各项验收和评定标准应符合国家验收标准。发包人和承包人为竣工验收提供的各项竣工验收资料应符合国家验收的要求。</w:t>
      </w:r>
    </w:p>
    <w:p w14:paraId="70F9684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18.2 竣工验收申请报告</w:t>
      </w:r>
    </w:p>
    <w:p w14:paraId="1473F76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当工程具备以下条件时，承包人即可向监理人报送竣工验收申请报告：</w:t>
      </w:r>
    </w:p>
    <w:p w14:paraId="6F6A97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6C75CA2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(2）已按合同约定的内容和份数备齐了符合要求的竣工资料；</w:t>
      </w:r>
    </w:p>
    <w:p w14:paraId="176B65F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(3）已按监理人的要求编制了在缺陷责任期内完成的尾工（甩项）工程和缺陷修补工作清单以及相应施工计划；</w:t>
      </w:r>
    </w:p>
    <w:p w14:paraId="1A7B1D2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(4）监理人要求在竣工验收前应完成的其他工作：</w:t>
      </w:r>
    </w:p>
    <w:p w14:paraId="20F7CA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(5）监理人要求提交的竣工验收资料清单。</w:t>
      </w:r>
    </w:p>
    <w:p w14:paraId="177DF56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18.3 验收</w:t>
      </w:r>
    </w:p>
    <w:p w14:paraId="0721F8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监理人收到承包人按第18.2 款约定提交的竣工验收申请报告后，应审查申请报告的各项内容，并按以下不同情况进行处理。</w:t>
      </w:r>
    </w:p>
    <w:p w14:paraId="11272F3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05CB2F4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18.3.2 监理人审查后认为已具备竣工验收条件的，应在收到竣工验收申请报告后的28天内提请发包人进行工程验收。</w:t>
      </w:r>
    </w:p>
    <w:p w14:paraId="4EA6D3B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6952084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 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092639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18.3.5 除专用合同条款另有约定外，经验收合格工程的实际竣工日期，以提交竣工验收申请报告的日期为准，并在工程接收证书中写明。</w:t>
      </w:r>
    </w:p>
    <w:p w14:paraId="7170606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18.3.6 发包人在收到承包人竣工验收申请报告56 天后未进行验收的，视为验收合格，实际竣工日期以提交竣工验收申请报告的日期为准，但发包人由于不可抗力不能进行验收的除外。</w:t>
      </w:r>
    </w:p>
    <w:p w14:paraId="42018FC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18.4 单位工程验收</w:t>
      </w:r>
    </w:p>
    <w:p w14:paraId="4B09A72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18.4.1 发包人根据合同进度计划安排，在全部工程竣工前需要使用已经竣工的单位工程时，或承包人提出经发包人同意时，可进行单位工程验收。验收的程序可参照第18.2 款与第18.3 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93CD18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18.4.2 发包人在全部工程竣工前，使用已接收的单位工程导致承包人费用增加的，发包人应承担由此增加的费用和（或）工期延误，并支付承包人合理利润。</w:t>
      </w:r>
    </w:p>
    <w:p w14:paraId="47509E6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14:paraId="54750D0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18.5.1 施工期运行是指合同工程尚未全部竣工，其中某项或某几项单位工程或工程设备安装已竣工，根据专用合同条款约定，需要投入施工期运行的，经发包人按第18.4 款的约定验收合格，证明能确保安全后，才能在施工期投入运行。</w:t>
      </w:r>
    </w:p>
    <w:p w14:paraId="4804CD3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18.5.2 在施工期运行中发现工程或工程设备损坏或存在缺陷的，由承包人按第19.2 款约定进行修复。</w:t>
      </w:r>
    </w:p>
    <w:p w14:paraId="08E6E1A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14:paraId="63C1035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18.6.1 除专用合同条款另有约定外，承包人应按专用合同条款约定进行工程及工程设备试运行，负责提供试运行所需的人员、器材和必要的条件，并承担全部试运行费用。</w:t>
      </w:r>
    </w:p>
    <w:p w14:paraId="28FB4D4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683929B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18.7 竣工清场</w:t>
      </w:r>
    </w:p>
    <w:p w14:paraId="4A35718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18.7.1 除合同另有约定外，工程接收证书颁发后，承包人应按以下要求对施工场地进行清理，直至监理人检验合格为止。竣工清场费用由承包人承担。</w:t>
      </w:r>
    </w:p>
    <w:p w14:paraId="7017EA6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14:paraId="002C4C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(2）临时工程已拆除，场地已按合同要求进行清理、平整或复原；</w:t>
      </w:r>
    </w:p>
    <w:p w14:paraId="67C6FC9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(3）按合同约定应撤离的承包人设备和剩余的材料，包括废弃的施工设备和材料，已按计划撤离施工场地；</w:t>
      </w:r>
    </w:p>
    <w:p w14:paraId="540A39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(4）工程建筑物周边及其附近道路、河道的施工堆积物，已按监理人指示全部清理；</w:t>
      </w:r>
    </w:p>
    <w:p w14:paraId="05E23CF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(5）监理人指示的其他场地清理工作已全部完成。</w:t>
      </w:r>
    </w:p>
    <w:p w14:paraId="04F130B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18.7.2 承包人未按监理人的要求恢复临时占地，或者场地清理未达到合同约定的，发包人有权委托其他人恢复或清理，所发生的金额从拟支付给承包人的款项中扣除。</w:t>
      </w:r>
    </w:p>
    <w:p w14:paraId="144719B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18.8 施工队伍的撤离</w:t>
      </w:r>
    </w:p>
    <w:p w14:paraId="2DB52DE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1926BDB2">
      <w:pPr>
        <w:pStyle w:val="4"/>
        <w:spacing w:before="0" w:after="0" w:line="360" w:lineRule="exact"/>
        <w:ind w:firstLine="422" w:firstLineChars="200"/>
        <w:rPr>
          <w:rFonts w:ascii="宋体" w:hAnsi="宋体" w:cs="宋体"/>
          <w:color w:val="auto"/>
          <w:sz w:val="21"/>
          <w:szCs w:val="21"/>
          <w:highlight w:val="none"/>
        </w:rPr>
      </w:pPr>
      <w:bookmarkStart w:id="1189" w:name="_Toc463799076"/>
      <w:bookmarkStart w:id="1190" w:name="_Toc290198766"/>
      <w:bookmarkStart w:id="1191" w:name="_Toc419825070"/>
      <w:bookmarkStart w:id="1192" w:name="_Toc487653248"/>
      <w:bookmarkStart w:id="1193" w:name="_Toc490832355"/>
      <w:bookmarkStart w:id="1194" w:name="_Toc488492900"/>
      <w:bookmarkStart w:id="1195" w:name="_Toc486685973"/>
      <w:bookmarkStart w:id="1196" w:name="_Toc419825418"/>
      <w:bookmarkStart w:id="1197" w:name="_Toc488483672"/>
      <w:bookmarkStart w:id="1198" w:name="_Toc26911"/>
      <w:r>
        <w:rPr>
          <w:rFonts w:hint="eastAsia" w:ascii="宋体" w:hAnsi="宋体" w:cs="宋体"/>
          <w:color w:val="auto"/>
          <w:sz w:val="21"/>
          <w:szCs w:val="21"/>
          <w:highlight w:val="none"/>
        </w:rPr>
        <w:t>19、缺陷责任与保修责任</w:t>
      </w:r>
      <w:bookmarkEnd w:id="1189"/>
      <w:bookmarkEnd w:id="1190"/>
      <w:bookmarkEnd w:id="1191"/>
      <w:bookmarkEnd w:id="1192"/>
      <w:bookmarkEnd w:id="1193"/>
      <w:bookmarkEnd w:id="1194"/>
      <w:bookmarkEnd w:id="1195"/>
      <w:bookmarkEnd w:id="1196"/>
      <w:bookmarkEnd w:id="1197"/>
      <w:bookmarkEnd w:id="1198"/>
    </w:p>
    <w:p w14:paraId="3FF18EC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14:paraId="03C4DF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缺陷责任期自实际竣工日期起计算。在全部工程竣工验收前，已经发包人提前验收的单位工程，其缺陷责任期的起算日期相应提前。</w:t>
      </w:r>
    </w:p>
    <w:p w14:paraId="4D320A8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14:paraId="0995CE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19.2.1 承包人应在缺陷责任期内对已交付使用的工程承担缺陷责任。</w:t>
      </w:r>
    </w:p>
    <w:p w14:paraId="6180E29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7B9CE34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5A5B39B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19.2.4 承包人不能在合理时间内修复缺陷的，发包人可自行修复或委托其他人修复，所需费用和利润的承担，按第19.2.3 项约定办理。</w:t>
      </w:r>
    </w:p>
    <w:p w14:paraId="4714DFF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19.3 缺陷责任期的延长</w:t>
      </w:r>
    </w:p>
    <w:p w14:paraId="4B279AA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53E3FDF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19.4 进一步试验和试运行</w:t>
      </w:r>
    </w:p>
    <w:p w14:paraId="49F7373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14:paraId="63ACE79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14:paraId="79C892C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缺陷责任期内承包人为缺陷修复工作需要，有权进入工程现场，但应遵守发包人的保安和保密规定。</w:t>
      </w:r>
    </w:p>
    <w:p w14:paraId="72603D3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19.6 缺陷责任期终止证书</w:t>
      </w:r>
    </w:p>
    <w:p w14:paraId="1C6465C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在第1.1.4.5目约定的缺陷责任期，包括根据第19.3款延长的期限终止后14天内，由监理人向承包人出具经发包人签认的缺陷责任期终止证书，并退还剩余的质量保证金。</w:t>
      </w:r>
    </w:p>
    <w:p w14:paraId="2C18F1B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14:paraId="7A79E8C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17C2F6E2">
      <w:pPr>
        <w:pStyle w:val="4"/>
        <w:spacing w:before="0" w:after="0" w:line="360" w:lineRule="exact"/>
        <w:ind w:firstLine="422" w:firstLineChars="200"/>
        <w:rPr>
          <w:rFonts w:ascii="宋体" w:hAnsi="宋体" w:cs="宋体"/>
          <w:color w:val="auto"/>
          <w:sz w:val="21"/>
          <w:szCs w:val="21"/>
          <w:highlight w:val="none"/>
        </w:rPr>
      </w:pPr>
      <w:bookmarkStart w:id="1199" w:name="_Toc487653249"/>
      <w:bookmarkStart w:id="1200" w:name="_Toc488483673"/>
      <w:bookmarkStart w:id="1201" w:name="_Toc490832356"/>
      <w:bookmarkStart w:id="1202" w:name="_Toc290198767"/>
      <w:bookmarkStart w:id="1203" w:name="_Toc19412"/>
      <w:bookmarkStart w:id="1204" w:name="_Toc486685974"/>
      <w:bookmarkStart w:id="1205" w:name="_Toc488492901"/>
      <w:bookmarkStart w:id="1206" w:name="_Toc463799077"/>
      <w:bookmarkStart w:id="1207" w:name="_Toc419825071"/>
      <w:bookmarkStart w:id="1208" w:name="_Toc419825419"/>
      <w:r>
        <w:rPr>
          <w:rFonts w:hint="eastAsia" w:ascii="宋体" w:hAnsi="宋体" w:cs="宋体"/>
          <w:color w:val="auto"/>
          <w:sz w:val="21"/>
          <w:szCs w:val="21"/>
          <w:highlight w:val="none"/>
        </w:rPr>
        <w:t>20、保险</w:t>
      </w:r>
      <w:bookmarkEnd w:id="1199"/>
      <w:bookmarkEnd w:id="1200"/>
      <w:bookmarkEnd w:id="1201"/>
      <w:bookmarkEnd w:id="1202"/>
      <w:bookmarkEnd w:id="1203"/>
      <w:bookmarkEnd w:id="1204"/>
      <w:bookmarkEnd w:id="1205"/>
      <w:bookmarkEnd w:id="1206"/>
      <w:bookmarkEnd w:id="1207"/>
      <w:bookmarkEnd w:id="1208"/>
    </w:p>
    <w:p w14:paraId="724136F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562FC35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009F467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 人员工伤事故的保险</w:t>
      </w:r>
    </w:p>
    <w:p w14:paraId="5B059A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20.2.1 承包人员工伤事故的保险</w:t>
      </w:r>
    </w:p>
    <w:p w14:paraId="4F3FC4E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承包人应依照有关法律规定参加工伤保险，为其履行合同所雇佣的全部人员，缴纳工伤保险费，并要求其分包人也进行此项保险。</w:t>
      </w:r>
    </w:p>
    <w:p w14:paraId="6DE18AC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20.2.2 发包人员工伤事故的保险</w:t>
      </w:r>
    </w:p>
    <w:p w14:paraId="6E0F928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发包人应依照有关法律规定参加工伤保险，为其现场机构雇佣的全部人员，缴纳工伤保险费，并要求其监理人也进行此项保险。</w:t>
      </w:r>
    </w:p>
    <w:p w14:paraId="402AD9C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20.3 人身意外伤害险</w:t>
      </w:r>
    </w:p>
    <w:p w14:paraId="5B964DA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20.3.1 发包人应在整个施工期间为其现场机构雇用的全部人员，投保人身意外伤害险，缴纳保险费，并要求其监理人也进行此项保险。</w:t>
      </w:r>
    </w:p>
    <w:p w14:paraId="044794E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20.3.2 承包人应在整个施工期间为其现场机构雇用的全部人员，投保人身意外伤害险，缴纳保险费，并要求其分包人也进行此项保险。</w:t>
      </w:r>
    </w:p>
    <w:p w14:paraId="5752036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11160A9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17073D3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20.4.2 在缺陷责任期终止证书颁发前，承包人应以承包人和发包人的共同名义，投保第20.4.1 项约定的第三者责任险，其保险费率、保险金额等有关内容在专用合同条款中约定。</w:t>
      </w:r>
    </w:p>
    <w:p w14:paraId="341D452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14:paraId="085378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除专用合同条款另有约定外，承包人应为其施工设备、进场的材料和工程设备等办理保险。</w:t>
      </w:r>
    </w:p>
    <w:p w14:paraId="089D40D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14:paraId="44B0D7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20.6.1 保险凭证</w:t>
      </w:r>
    </w:p>
    <w:p w14:paraId="2A337B9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承包人应在专用合同条款约定的期限内向发包人提交各项保险生效的证据和保险单副本，保险单必须与专用合同条款约定的条件保持一致。</w:t>
      </w:r>
    </w:p>
    <w:p w14:paraId="4E458F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20.6.2 保险合同条款的变动</w:t>
      </w:r>
    </w:p>
    <w:p w14:paraId="11481B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承包人需要变动保险合同条款时，应事先征得发包人同意，并通知监理人。保险人作出变动的，承包人应在收到保险人通知后立即通知发包人和监理人。</w:t>
      </w:r>
    </w:p>
    <w:p w14:paraId="6B0D62C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20.6.3 持续保险</w:t>
      </w:r>
    </w:p>
    <w:p w14:paraId="7C83433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承包人应与保险人保持联系，使保险人能够随时了解工程实施中的变动，并确保按保险合同条款要求持续保险。</w:t>
      </w:r>
    </w:p>
    <w:p w14:paraId="462AF8F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20.6.4 保险金不足的补偿</w:t>
      </w:r>
    </w:p>
    <w:p w14:paraId="3041DD8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保险金不足以补偿损失的，应由承包人和（或）发包人按合同约定负责补偿。</w:t>
      </w:r>
    </w:p>
    <w:p w14:paraId="78A62F6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20.6.5 未按约定投保的补救</w:t>
      </w:r>
    </w:p>
    <w:p w14:paraId="0EC5232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(l）由于负有投保义务的一方当事人未按合同约定办理保险，或未能使保险持续有效的，另一方当事人可代为办理，所需费用由对方当事人承担。</w:t>
      </w:r>
    </w:p>
    <w:p w14:paraId="0A50B5A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(2）由于负有投保义务的一方当事人未按合同约定办理某项保险，导致受益人未能得到保险人的赔偿，原应从该项保险得到的保险金应由负有投保义务的一方当事人支付。</w:t>
      </w:r>
    </w:p>
    <w:p w14:paraId="58E5FBF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20.6.6 报告义务</w:t>
      </w:r>
    </w:p>
    <w:p w14:paraId="1CA0E49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当保险事故发生时，投保人应按照保险单规定的条件和期限及时向保险人报告。</w:t>
      </w:r>
    </w:p>
    <w:p w14:paraId="05C8FE7B">
      <w:pPr>
        <w:pStyle w:val="4"/>
        <w:spacing w:before="0" w:after="0" w:line="360" w:lineRule="exact"/>
        <w:ind w:firstLine="422" w:firstLineChars="200"/>
        <w:rPr>
          <w:rFonts w:ascii="宋体" w:hAnsi="宋体" w:cs="宋体"/>
          <w:color w:val="auto"/>
          <w:sz w:val="21"/>
          <w:szCs w:val="21"/>
          <w:highlight w:val="none"/>
        </w:rPr>
      </w:pPr>
      <w:bookmarkStart w:id="1209" w:name="_Toc488483674"/>
      <w:bookmarkStart w:id="1210" w:name="_Toc488492902"/>
      <w:bookmarkStart w:id="1211" w:name="_Toc290198768"/>
      <w:bookmarkStart w:id="1212" w:name="_Toc25366"/>
      <w:bookmarkStart w:id="1213" w:name="_Toc487653250"/>
      <w:bookmarkStart w:id="1214" w:name="_Toc486685975"/>
      <w:bookmarkStart w:id="1215" w:name="_Toc463799078"/>
      <w:bookmarkStart w:id="1216" w:name="_Toc419825420"/>
      <w:bookmarkStart w:id="1217" w:name="_Toc419825072"/>
      <w:bookmarkStart w:id="1218" w:name="_Toc490832357"/>
      <w:r>
        <w:rPr>
          <w:rFonts w:hint="eastAsia" w:ascii="宋体" w:hAnsi="宋体" w:cs="宋体"/>
          <w:color w:val="auto"/>
          <w:sz w:val="21"/>
          <w:szCs w:val="21"/>
          <w:highlight w:val="none"/>
        </w:rPr>
        <w:t>21、不可抗力</w:t>
      </w:r>
      <w:bookmarkEnd w:id="1209"/>
      <w:bookmarkEnd w:id="1210"/>
      <w:bookmarkEnd w:id="1211"/>
      <w:bookmarkEnd w:id="1212"/>
      <w:bookmarkEnd w:id="1213"/>
      <w:bookmarkEnd w:id="1214"/>
      <w:bookmarkEnd w:id="1215"/>
      <w:bookmarkEnd w:id="1216"/>
      <w:bookmarkEnd w:id="1217"/>
      <w:bookmarkEnd w:id="1218"/>
    </w:p>
    <w:p w14:paraId="71BAA40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14:paraId="0FC86E6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13CB671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21.1.2 不可抗力发生后，发包人和承包人应及时认真统计所造成的损失，收集不可抗力造成损失的证据。合同双方对是否属于不可抗力或其损失的意见不一致的，由监理人按第3.5 款商定或确定。发生争议时，按第24条的约定办理。</w:t>
      </w:r>
    </w:p>
    <w:p w14:paraId="5400ED3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21.2 不可抗力的通知</w:t>
      </w:r>
    </w:p>
    <w:p w14:paraId="6CF655F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21.2.1 合同一方当事人遇到不可抗力事件，使其履行合同义务受到阻碍时，应立即通知合同另一方当事人和监理人，书面说明不可抗力和受阻碍的详细情况，并提供必要的证明。</w:t>
      </w:r>
    </w:p>
    <w:p w14:paraId="6B8FA4E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6951101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14:paraId="11F8D2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21.3.1 不可抗力造成损害的责任</w:t>
      </w:r>
    </w:p>
    <w:p w14:paraId="317EBD8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除专用合同条款另有约定外，不可抗力导致的人员伤亡、财产损失、费用增加和（或）工期延误等后果，由合同双方按以下原则承担：</w:t>
      </w:r>
    </w:p>
    <w:p w14:paraId="46FF077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(1）永久工程，包括已运至施工场地的材料和工程设备的损害，以及因工程损害造成的第三者人员伤亡和财产损失由发包人承担；</w:t>
      </w:r>
    </w:p>
    <w:p w14:paraId="43FDCAF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(2）承包人设备的损坏由承包人承担；</w:t>
      </w:r>
    </w:p>
    <w:p w14:paraId="63FDC3B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(3）发包人和承包人各自承担其人员伤亡和其他财产损失及其相关费用；</w:t>
      </w:r>
    </w:p>
    <w:p w14:paraId="2A87010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(4）承包人的停工损失由承包人承担，但停工期间应监理人要求照管工程和清理、修复工程的金额由发包人承担；</w:t>
      </w:r>
    </w:p>
    <w:p w14:paraId="0AA457E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(5）不能按期竣工的，应合理延长工期，承包人不需支付逾期竣工违约金。发包人要求赶工的，承包人应采取赶工措施，赶工费用由发包人承担。</w:t>
      </w:r>
    </w:p>
    <w:p w14:paraId="5CFBAFD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21.3.2 延迟履行期间发生的不可抗力</w:t>
      </w:r>
    </w:p>
    <w:p w14:paraId="32F38DA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合同一方当事人延迟履行，在延迟履行期间发生不可抗力的，不免除其责任。</w:t>
      </w:r>
    </w:p>
    <w:p w14:paraId="130EB6D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21.3.3 避免和减少不可抗力损失</w:t>
      </w:r>
    </w:p>
    <w:p w14:paraId="1EB91F9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不可抗力发生后，发包人和承包人均应采取措施尽量避免和减少损失的扩大，任何一方没有采取有效措施导致损失扩大的，应对扩大的损失承担责任。</w:t>
      </w:r>
    </w:p>
    <w:p w14:paraId="364CDE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21.3.4 因不可抗力解除合同</w:t>
      </w:r>
    </w:p>
    <w:p w14:paraId="35792D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合同一方当事人因不可抗力不能履行合同的，应当及时通知对方解除合同。合同解除后，承包人应按照第22.2.5 项约定撤离施工场地。已经订货的材料、设备由订货方负责退货或解除订货合同，不能退还的货款和因退货、解除订货合同发生的费用，由发包人承担，因未及时退货造成的损失由责任方承担。合同解除后的付款，参照第22.2.4 项约定，由监理人按第3.5 款商定或确定。</w:t>
      </w:r>
    </w:p>
    <w:p w14:paraId="4501B70C">
      <w:pPr>
        <w:pStyle w:val="4"/>
        <w:spacing w:before="0" w:after="0" w:line="360" w:lineRule="exact"/>
        <w:ind w:firstLine="422" w:firstLineChars="200"/>
        <w:rPr>
          <w:rFonts w:ascii="宋体" w:hAnsi="宋体" w:cs="宋体"/>
          <w:color w:val="auto"/>
          <w:sz w:val="21"/>
          <w:szCs w:val="21"/>
          <w:highlight w:val="none"/>
        </w:rPr>
      </w:pPr>
      <w:bookmarkStart w:id="1219" w:name="_Toc488492903"/>
      <w:bookmarkStart w:id="1220" w:name="_Toc490832358"/>
      <w:bookmarkStart w:id="1221" w:name="_Toc419825073"/>
      <w:bookmarkStart w:id="1222" w:name="_Toc463799079"/>
      <w:bookmarkStart w:id="1223" w:name="_Toc486685976"/>
      <w:bookmarkStart w:id="1224" w:name="_Toc488483675"/>
      <w:bookmarkStart w:id="1225" w:name="_Toc290198769"/>
      <w:bookmarkStart w:id="1226" w:name="_Toc21723"/>
      <w:bookmarkStart w:id="1227" w:name="_Toc487653251"/>
      <w:bookmarkStart w:id="1228" w:name="_Toc419825421"/>
      <w:r>
        <w:rPr>
          <w:rFonts w:hint="eastAsia" w:ascii="宋体" w:hAnsi="宋体" w:cs="宋体"/>
          <w:color w:val="auto"/>
          <w:sz w:val="21"/>
          <w:szCs w:val="21"/>
          <w:highlight w:val="none"/>
        </w:rPr>
        <w:t>22、违约</w:t>
      </w:r>
      <w:bookmarkEnd w:id="1219"/>
      <w:bookmarkEnd w:id="1220"/>
      <w:bookmarkEnd w:id="1221"/>
      <w:bookmarkEnd w:id="1222"/>
      <w:bookmarkEnd w:id="1223"/>
      <w:bookmarkEnd w:id="1224"/>
      <w:bookmarkEnd w:id="1225"/>
      <w:bookmarkEnd w:id="1226"/>
      <w:bookmarkEnd w:id="1227"/>
      <w:bookmarkEnd w:id="1228"/>
    </w:p>
    <w:p w14:paraId="0BCF1BD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14:paraId="2B166C1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 承包人违约的情形</w:t>
      </w:r>
    </w:p>
    <w:p w14:paraId="1DFC66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在履行合同过程中发生的下列情况属承包人违约：</w:t>
      </w:r>
    </w:p>
    <w:p w14:paraId="069F6FF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(1）承包人违反第1.8 款或第4.3 款的约定，私自将合同的全部或部分权利转让给其他人，或私自将合同的全部或部分义务转移给其他人；</w:t>
      </w:r>
    </w:p>
    <w:p w14:paraId="47D1C43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(2）承包人违反第5.3 款或第6.4 款的约定，未经监理人批准，私自将已按合同约定进入施工场地的施工设备、临时设施或材料撤离施工场地；</w:t>
      </w:r>
    </w:p>
    <w:p w14:paraId="6161B98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(3）承包人违反第5.4 款的约定使用了不合格材料或工程设备，工程质量达不到标准要求，又拒绝清除不合格工程；</w:t>
      </w:r>
    </w:p>
    <w:p w14:paraId="30E388F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(4）承包人未能按合同进度计划及时完成合同约定的工作，已造成或预期造成工期延误；</w:t>
      </w:r>
    </w:p>
    <w:p w14:paraId="4F97B33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(5）承包人在缺陷责任期内，未能对工程接收证书所列的缺陷清单的内容或缺陷责任期内发生的缺陷进行修复，而又拒绝按监理人指示再进行修补；</w:t>
      </w:r>
    </w:p>
    <w:p w14:paraId="0203A95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(6）承包人无法继续履行或明确表示不履行或实质上已停止履行合同；</w:t>
      </w:r>
    </w:p>
    <w:p w14:paraId="01D9501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(7）承包人不按合同约定履行义务的其他情况。</w:t>
      </w:r>
    </w:p>
    <w:p w14:paraId="247803A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22.1.2 对承包人违约的处理</w:t>
      </w:r>
    </w:p>
    <w:p w14:paraId="4938DB8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(l）承包人发生第22.1.1(6）目约定的违约情况时，发包人可通知承包人立即解除合同，并按有关法律处理。</w:t>
      </w:r>
    </w:p>
    <w:p w14:paraId="374E3D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(2）承包人发生除第22.1.1(6）目约定以外的其他违约情况时，监理人可向承包人发出整改通知，要求其在指定的期限内改正。承包人应承担其违约所引起的费用增加和（或）工期延误。</w:t>
      </w:r>
    </w:p>
    <w:p w14:paraId="74E0B5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(3）经检查证明承包人已采取了有效措施纠正违约行为，具备复工条件的，可由监理人签发复工通知复工。</w:t>
      </w:r>
    </w:p>
    <w:p w14:paraId="1FDF26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22.1.3 承包人违约解除合同</w:t>
      </w:r>
    </w:p>
    <w:p w14:paraId="4C2D81B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26992B5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22.1.4 合同解除后的估价、付款和结清</w:t>
      </w:r>
    </w:p>
    <w:p w14:paraId="4E1AABB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(1）合同解除后，监理人按第3.5 款商定或确定承包人实际完成工作的价值，以及承包人已提供的材料、施工设备、工程设备和临时工程等的价值。</w:t>
      </w:r>
    </w:p>
    <w:p w14:paraId="67ACBCE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(2）合同解除后，发包人应暂停对承包人的一切付款，查清各项付款和已扣款金额，包括承包人应支付的违约金。</w:t>
      </w:r>
    </w:p>
    <w:p w14:paraId="655D307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(3）合同解除后，发包人应按第23.4 款的约定向承包人索赔由于解除合同给发包人造成的损失。</w:t>
      </w:r>
    </w:p>
    <w:p w14:paraId="1CD93C3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(4）合同双方确认上述往来款项后，出具最终结清付款证书，结清全部合同款项。</w:t>
      </w:r>
    </w:p>
    <w:p w14:paraId="4C2202C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(5）发包人和承包人未能就解除合同后的结清达成一致而形成争议的，按第24条的约定办理。</w:t>
      </w:r>
    </w:p>
    <w:p w14:paraId="6A8E0F1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22.1.5 协议利益的转让</w:t>
      </w:r>
    </w:p>
    <w:p w14:paraId="238C36B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因承包人违约解除合同的，发包人有权要求承包人将其为实施合同而签订的材料和设备的订货协议或任何服务协议利益转让给发包人，并在解除合同后的14天内，依法办理转让手续。</w:t>
      </w:r>
    </w:p>
    <w:p w14:paraId="2BF663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22.1.6 紧急情况下无能力或不愿进行抢救</w:t>
      </w:r>
    </w:p>
    <w:p w14:paraId="11D100B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43F2A6B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14:paraId="4093448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22.2.1 发包人违约的情形</w:t>
      </w:r>
    </w:p>
    <w:p w14:paraId="7E9D95F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在履行合同过程中发生的下列情形，属发包人违约：</w:t>
      </w:r>
    </w:p>
    <w:p w14:paraId="68FC5DC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(l）发包人未能按合同约定支付预付款或合同价款，或拖延、拒绝批准付款申请和支付凭证，导致付款延误的；</w:t>
      </w:r>
    </w:p>
    <w:p w14:paraId="781C35A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(2）发包人原因造成停工的；</w:t>
      </w:r>
    </w:p>
    <w:p w14:paraId="0BED203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(3）监理人无正当理由没有在约定期限内发出复工指示，导致承包人无法复工的；</w:t>
      </w:r>
    </w:p>
    <w:p w14:paraId="791941A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(4）发包人无法继续履行或明确表示不履行或实质上已停止履行合同的；</w:t>
      </w:r>
    </w:p>
    <w:p w14:paraId="50E8684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(5）发包人不履行合同约定其他义务的。</w:t>
      </w:r>
    </w:p>
    <w:p w14:paraId="0C518EA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22.2.2 承包人有权暂停施工</w:t>
      </w:r>
    </w:p>
    <w:p w14:paraId="5D8256F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3C0394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22.2.3 发包人违约解除合同</w:t>
      </w:r>
    </w:p>
    <w:p w14:paraId="0304626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(1）发生第22.2.1(4）目的违约情况时，承包人可书面通知发包人解除合同。</w:t>
      </w:r>
    </w:p>
    <w:p w14:paraId="46539DB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(2）承包人按22.2.2 项暂停施工28天后，发包人仍不纠正违约行为的，承包人可向发包人发出解除合同通知。但承包人的这一行动不免除发包人承担的违约责任，也不影响承包人根据合同约定享有的索赔权利。</w:t>
      </w:r>
    </w:p>
    <w:p w14:paraId="39409A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22.2.4 解除合同后的付款</w:t>
      </w:r>
    </w:p>
    <w:p w14:paraId="3342CC1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因发包人违约解除合同的，发包人应在解除合同后28天内向承包人支付下列金额，承包人应在此期限内及时向发包人提交要求支付下列金额的有关资料和凭证：</w:t>
      </w:r>
    </w:p>
    <w:p w14:paraId="11D1BFA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(l）合同解除日以前所完成工作的价款；</w:t>
      </w:r>
    </w:p>
    <w:p w14:paraId="69DE9B3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(2）承包人为该工程施工订购并已付款的材料、工程设备和其他物品的金额。发包人付还后，该材料、工程设备和其他物品归发包人所有；</w:t>
      </w:r>
    </w:p>
    <w:p w14:paraId="6C12503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(3）承包人为完成工程所发生的，而发包人未支付的金额；</w:t>
      </w:r>
    </w:p>
    <w:p w14:paraId="7C757FC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(4）承包人撤离施工场地以及遣散承包人人员的金额；</w:t>
      </w:r>
    </w:p>
    <w:p w14:paraId="2704B38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(5）由于解除合同应赔偿的承包人损失；</w:t>
      </w:r>
    </w:p>
    <w:p w14:paraId="376AD44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(6）按合同约定在合同解除日前应支付给承包人的其他金额。</w:t>
      </w:r>
    </w:p>
    <w:p w14:paraId="09382C8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发包人应按本项约定支付上述金额并退还质量保证金和履约担保，但有权要求承包人支付应偿还给发包人的各项金额。</w:t>
      </w:r>
    </w:p>
    <w:p w14:paraId="47B0B3A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22.2.5 解除合同后的承包人撤离</w:t>
      </w:r>
    </w:p>
    <w:p w14:paraId="627EECA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p>
    <w:p w14:paraId="054BC91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18.7.1 项的约定，发包人应为承包人撤出提供必要条件。</w:t>
      </w:r>
    </w:p>
    <w:p w14:paraId="586A706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22.3 第三人造成的违约</w:t>
      </w:r>
    </w:p>
    <w:p w14:paraId="08BC231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2DE3260A">
      <w:pPr>
        <w:pStyle w:val="4"/>
        <w:spacing w:before="0" w:after="0" w:line="360" w:lineRule="exact"/>
        <w:ind w:firstLine="422" w:firstLineChars="200"/>
        <w:rPr>
          <w:rFonts w:ascii="宋体" w:hAnsi="宋体" w:cs="宋体"/>
          <w:color w:val="auto"/>
          <w:sz w:val="21"/>
          <w:szCs w:val="21"/>
          <w:highlight w:val="none"/>
        </w:rPr>
      </w:pPr>
      <w:bookmarkStart w:id="1229" w:name="_Toc487653252"/>
      <w:bookmarkStart w:id="1230" w:name="_Toc14300"/>
      <w:bookmarkStart w:id="1231" w:name="_Toc463799080"/>
      <w:bookmarkStart w:id="1232" w:name="_Toc490832359"/>
      <w:bookmarkStart w:id="1233" w:name="_Toc419825074"/>
      <w:bookmarkStart w:id="1234" w:name="_Toc488492904"/>
      <w:bookmarkStart w:id="1235" w:name="_Toc419825422"/>
      <w:bookmarkStart w:id="1236" w:name="_Toc290198770"/>
      <w:bookmarkStart w:id="1237" w:name="_Toc486685977"/>
      <w:bookmarkStart w:id="1238" w:name="_Toc488483676"/>
      <w:r>
        <w:rPr>
          <w:rFonts w:hint="eastAsia" w:ascii="宋体" w:hAnsi="宋体" w:cs="宋体"/>
          <w:color w:val="auto"/>
          <w:sz w:val="21"/>
          <w:szCs w:val="21"/>
          <w:highlight w:val="none"/>
        </w:rPr>
        <w:t>23、索赔</w:t>
      </w:r>
      <w:bookmarkEnd w:id="1229"/>
      <w:bookmarkEnd w:id="1230"/>
      <w:bookmarkEnd w:id="1231"/>
      <w:bookmarkEnd w:id="1232"/>
      <w:bookmarkEnd w:id="1233"/>
      <w:bookmarkEnd w:id="1234"/>
      <w:bookmarkEnd w:id="1235"/>
      <w:bookmarkEnd w:id="1236"/>
      <w:bookmarkEnd w:id="1237"/>
      <w:bookmarkEnd w:id="1238"/>
    </w:p>
    <w:p w14:paraId="0B360DB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14:paraId="3A03082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根据合同约定，承包人认为有权得到追加付款和（或）延长工期的，应按以下程序向发包人提出索赔：</w:t>
      </w:r>
    </w:p>
    <w:p w14:paraId="0C6A93F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(l）承包人应在知道或应当知道索赔事件发生后28 天内，向监理人递交索赔意向通知书，并说明发生索赔事件的事由。承包人未在前述28天内发出索赔意向通知书的，丧失要求追加付款和（或）延长工期的权利：</w:t>
      </w:r>
    </w:p>
    <w:p w14:paraId="562BDD7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(2）承包人应在发出索赔意向通知书后28天内，向监理人正式递交索赔通知书。索赔通知书应详细说明索赔理由以及要求追加的付款金额和（或）延长的工期，并附必要的记录和证明材料；</w:t>
      </w:r>
    </w:p>
    <w:p w14:paraId="718F6A2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(3）索赔事件具有连续影响的，承包人应按合理时间间隔继续递交延续索赔通知，说明连续影响的实际情况和记录，列出累计的追加付款金额和（或）工期延长天数；</w:t>
      </w:r>
    </w:p>
    <w:p w14:paraId="27C1E84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(4）在索赔事件影响结束后的28 天内，承包人应向监理人递交最终索赔通知书，说明最终要求索赔的追加付款金额和延长的工期，并附必要的记录和证明材料。</w:t>
      </w:r>
    </w:p>
    <w:p w14:paraId="5D46B25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14:paraId="17F6522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(1）监理人收到承包人提交的索赔通知书后，应及时审查索赔通知书的内容、查验承包人的记录和证明材料，必要时监理人可要求承包人提交全部原始记录副本。</w:t>
      </w:r>
    </w:p>
    <w:p w14:paraId="01A7C7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(2）监理人应按第3.5 款商定或确定追加的付款和（或）延长的工期，并在收到上述索赔通知书或有关索赔的进一步证明材料后的42天内，将索赔处理结果答复承包人。</w:t>
      </w:r>
    </w:p>
    <w:p w14:paraId="3E20F9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(3）承包人接受索赔处理结果的，发包人应在作出索赔处理结果答复后28 天内完成赔付。承包人不接受索赔处理结果的，按第24条的约定办理。</w:t>
      </w:r>
    </w:p>
    <w:p w14:paraId="76D21C6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14:paraId="62132D6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23.3.1 承包人按第17.5 款的约定接受了竣工付款证书后，应被认为已无权再提出在合同工程接收证书颁发前所发生的任何索赔。</w:t>
      </w:r>
    </w:p>
    <w:p w14:paraId="4B169C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23.3.2 承包人按第17.6 款的约定提交的最终结清申请单中，只限于提出工程接收证书颁发后发生的索赔。提出索赔的期限自接受最终结清证书时终止。</w:t>
      </w:r>
    </w:p>
    <w:p w14:paraId="381CB45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14:paraId="5110498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23.4.1 发生索赔事件后，监理人应及时书面通知承包人，详细说明发包人有权得到的索赔金额和（或）延长缺陷责任期的细节和依据。发包人提出索赔的期限和要求与第23.3 款的约定相同，延长缺陷责任期的通知应在缺陷责任期届满前发出。</w:t>
      </w:r>
    </w:p>
    <w:p w14:paraId="3B87EC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23.4.2 监理人按第3.5 款商定或确定发包人从承包人处得到赔付的金额和（或）缺陷责任期的延长期。承包人应付给发包人的金额可从拟支付给承包人的合同价款中扣除，或由承包人以其他方式支付给发包人。</w:t>
      </w:r>
    </w:p>
    <w:p w14:paraId="481F3D71">
      <w:pPr>
        <w:pStyle w:val="4"/>
        <w:spacing w:before="0" w:after="0" w:line="360" w:lineRule="exact"/>
        <w:ind w:firstLine="422" w:firstLineChars="200"/>
        <w:rPr>
          <w:rFonts w:ascii="宋体" w:hAnsi="宋体" w:cs="宋体"/>
          <w:color w:val="auto"/>
          <w:sz w:val="21"/>
          <w:szCs w:val="21"/>
          <w:highlight w:val="none"/>
        </w:rPr>
      </w:pPr>
      <w:bookmarkStart w:id="1239" w:name="_Toc463799081"/>
      <w:bookmarkStart w:id="1240" w:name="_Toc488483677"/>
      <w:bookmarkStart w:id="1241" w:name="_Toc488492905"/>
      <w:bookmarkStart w:id="1242" w:name="_Toc487653253"/>
      <w:bookmarkStart w:id="1243" w:name="_Toc290198771"/>
      <w:bookmarkStart w:id="1244" w:name="_Toc2333"/>
      <w:bookmarkStart w:id="1245" w:name="_Toc486685978"/>
      <w:bookmarkStart w:id="1246" w:name="_Toc419825075"/>
      <w:bookmarkStart w:id="1247" w:name="_Toc419825423"/>
      <w:bookmarkStart w:id="1248" w:name="_Toc490832360"/>
      <w:r>
        <w:rPr>
          <w:rFonts w:hint="eastAsia" w:ascii="宋体" w:hAnsi="宋体" w:cs="宋体"/>
          <w:color w:val="auto"/>
          <w:sz w:val="21"/>
          <w:szCs w:val="21"/>
          <w:highlight w:val="none"/>
        </w:rPr>
        <w:t>24、争议的解决</w:t>
      </w:r>
      <w:bookmarkEnd w:id="1239"/>
      <w:bookmarkEnd w:id="1240"/>
      <w:bookmarkEnd w:id="1241"/>
      <w:bookmarkEnd w:id="1242"/>
      <w:bookmarkEnd w:id="1243"/>
      <w:bookmarkEnd w:id="1244"/>
      <w:bookmarkEnd w:id="1245"/>
      <w:bookmarkEnd w:id="1246"/>
      <w:bookmarkEnd w:id="1247"/>
      <w:bookmarkEnd w:id="1248"/>
    </w:p>
    <w:p w14:paraId="3DF535E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14:paraId="6D8ABD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5402B51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(l）向约定的仲裁委员会申请仲裁；</w:t>
      </w:r>
    </w:p>
    <w:p w14:paraId="022D2C8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(2）向有管辖权的人民法院提起诉讼。</w:t>
      </w:r>
    </w:p>
    <w:p w14:paraId="45D5045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24.2 友好解决</w:t>
      </w:r>
    </w:p>
    <w:p w14:paraId="7DEE804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在提请争议评审、仲裁或者诉讼前，以及在争议评审、仲裁或诉讼过程中，发包人和承包人均可共同努力友好协商解决争议。</w:t>
      </w:r>
    </w:p>
    <w:p w14:paraId="5B33075F">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14:paraId="61F707B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24.3.1 采用争议评审的，发包人和承包人应在开工日后的28天内或在争议发生后，协商成立争议评审组。争议评审组由有合同管理和工程实践经验的专家组成。</w:t>
      </w:r>
    </w:p>
    <w:p w14:paraId="1B72E0F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24.3.2 合同双方的争议，应首先由申请人向争议评审组提交一份详细的评审申请报告，并附必要的文件、图纸和证明材料，申请人还应将上述报告的副本同时提交给被申请人和监理人。</w:t>
      </w:r>
    </w:p>
    <w:p w14:paraId="1935AE4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24.3.3 被申请人在收到申请人评审申请报告副本后的28 天内，向争议评审组提交一份答辩报告，并附证明材料。被申请人应将答辩报告的副本同时提交给申请人和监理人。</w:t>
      </w:r>
    </w:p>
    <w:p w14:paraId="6A07E47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25EC24B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6674876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24.3.6 发包人和承包人接受评审意见的，由监理人根据评审意见拟定执行协议，经争议双方签字后作为合同的补充文件，并遵照执行。</w:t>
      </w:r>
    </w:p>
    <w:p w14:paraId="19F38E5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7C7DE8CB">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4BB423C9">
      <w:pPr>
        <w:pStyle w:val="4"/>
        <w:jc w:val="center"/>
        <w:rPr>
          <w:rFonts w:ascii="宋体" w:hAnsi="宋体"/>
          <w:color w:val="auto"/>
          <w:highlight w:val="none"/>
        </w:rPr>
      </w:pPr>
      <w:bookmarkStart w:id="1249" w:name="_Toc490832361"/>
      <w:bookmarkStart w:id="1250" w:name="_Toc290198772"/>
      <w:r>
        <w:rPr>
          <w:rFonts w:hint="eastAsia" w:ascii="宋体" w:hAnsi="宋体"/>
          <w:color w:val="auto"/>
          <w:highlight w:val="none"/>
        </w:rPr>
        <w:t>第二节 专用合同条款</w:t>
      </w:r>
      <w:bookmarkEnd w:id="1249"/>
      <w:bookmarkEnd w:id="1250"/>
    </w:p>
    <w:p w14:paraId="58D592CE">
      <w:pPr>
        <w:pStyle w:val="5"/>
        <w:spacing w:before="0" w:after="0" w:line="360" w:lineRule="exact"/>
        <w:ind w:firstLine="422" w:firstLineChars="200"/>
        <w:rPr>
          <w:rFonts w:ascii="宋体" w:hAnsi="宋体" w:eastAsia="宋体" w:cs="宋体"/>
          <w:color w:val="auto"/>
          <w:sz w:val="21"/>
          <w:szCs w:val="21"/>
          <w:highlight w:val="none"/>
        </w:rPr>
      </w:pPr>
      <w:bookmarkStart w:id="1251" w:name="_Toc290198773"/>
      <w:r>
        <w:rPr>
          <w:rFonts w:hint="eastAsia" w:ascii="宋体" w:hAnsi="宋体" w:eastAsia="宋体" w:cs="宋体"/>
          <w:color w:val="auto"/>
          <w:sz w:val="21"/>
          <w:szCs w:val="21"/>
          <w:highlight w:val="none"/>
        </w:rPr>
        <w:t>1  一般约定</w:t>
      </w:r>
      <w:bookmarkEnd w:id="1251"/>
    </w:p>
    <w:p w14:paraId="2B969D66">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484378C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1.1.1合同</w:t>
      </w:r>
    </w:p>
    <w:p w14:paraId="04A7C0D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1.1.1.10补遗书：指发出招标文件之后由发包人向已取得招标文件的投标人发出的对招标文件补充或修改的书面文件。补遗书是招标文件的组成部分。</w:t>
      </w:r>
    </w:p>
    <w:p w14:paraId="7CF1680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1.1.1.11  固定总价合同：在合同执行过程中，除约定的风险范围外，不得调整总价的合同。</w:t>
      </w:r>
    </w:p>
    <w:p w14:paraId="42AD045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1.1.1.12  固定单价合同：在合同执行过程中，除约定的风险范围外，合同工程量清单中不得调整单价的合同。</w:t>
      </w:r>
    </w:p>
    <w:p w14:paraId="7C3055E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1.1.1.13询标及澄清文件：指招标投标过程中，招标人为完成招标工作，向对方所发出的询问及投标人澄清的书面文件，属于投标文件的组成部分。</w:t>
      </w:r>
    </w:p>
    <w:p w14:paraId="6C6E74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1.1.2合同当事人和人员</w:t>
      </w:r>
    </w:p>
    <w:p w14:paraId="12996DE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1.1.2.8工程建设项目代理人：指受发包人委托，具有相应资质及法定代理资格，代表发包人负责管理本合同的企业法人。</w:t>
      </w:r>
    </w:p>
    <w:p w14:paraId="62870D5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1.1.2.9项目技术负责人：指由承包人按投标文件承诺派驻施工现场负责施工技术管理的总工程师或技术总负责人。</w:t>
      </w:r>
    </w:p>
    <w:p w14:paraId="1BC299A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1.1.2.10发包人代表：指发包人为履行本合同指定的负责人。</w:t>
      </w:r>
    </w:p>
    <w:p w14:paraId="251153B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1.4合同文件的优先顺序</w:t>
      </w:r>
    </w:p>
    <w:p w14:paraId="27E1129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组成合同的各项文件应互相解释，互为说明，解释合同文件的优先顺序如下：</w:t>
      </w:r>
    </w:p>
    <w:p w14:paraId="06CF71B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(1)合同履行中双方签署的书面文件；</w:t>
      </w:r>
    </w:p>
    <w:p w14:paraId="3F17955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(2)合同协议书；</w:t>
      </w:r>
    </w:p>
    <w:p w14:paraId="0646021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(3)中标通知书；</w:t>
      </w:r>
    </w:p>
    <w:p w14:paraId="649756B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(4)投标函及投标函附录；</w:t>
      </w:r>
    </w:p>
    <w:p w14:paraId="244A005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(5)专用合同条款（含数据表和招标文件的澄清、修改和补充文件中有关内容）；</w:t>
      </w:r>
    </w:p>
    <w:p w14:paraId="036FC5E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(6)通用合同条款；</w:t>
      </w:r>
    </w:p>
    <w:p w14:paraId="70C471E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(7)技术标准和要求；</w:t>
      </w:r>
    </w:p>
    <w:p w14:paraId="528EE33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(8)图纸；</w:t>
      </w:r>
    </w:p>
    <w:p w14:paraId="08C496D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(9)已标价工程量清单；</w:t>
      </w:r>
    </w:p>
    <w:p w14:paraId="7D82F2C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(10)其他合同文件：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EDF82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14:paraId="2F30ED3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1.5.1合同价格和费用</w:t>
      </w:r>
    </w:p>
    <w:p w14:paraId="424B089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本合同的承包价格和费用，包括承包人按照合同约定应当完成的全部合同范围内的工作及缺陷责任期内的全部工作。</w:t>
      </w:r>
    </w:p>
    <w:p w14:paraId="5DD1C3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承发包人按以下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方式确定承包合同价格：</w:t>
      </w:r>
    </w:p>
    <w:p w14:paraId="5121B3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(1)固定总价合同；</w:t>
      </w:r>
    </w:p>
    <w:p w14:paraId="65AA717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(2)固定单价合同；</w:t>
      </w:r>
    </w:p>
    <w:p w14:paraId="01B3235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28F71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1.5.2合同生效的其他条件：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D3ABD1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14:paraId="4983572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 图纸的提供：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47E47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1.6.2承包人提供的文件：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EE1AC9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1.7联络</w:t>
      </w:r>
    </w:p>
    <w:p w14:paraId="746240A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1.7.3  各类往来书面函件的联络送达期限： </w:t>
      </w:r>
    </w:p>
    <w:p w14:paraId="3129CC9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(1)邮件以“特快专递”、“挂号信函”方式邮寄，以收件人签收日期为准；</w:t>
      </w:r>
    </w:p>
    <w:p w14:paraId="15A1300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(2)传真、电子邮件以收件人发回确认回执日期为准；</w:t>
      </w:r>
    </w:p>
    <w:p w14:paraId="32E19FA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(3)人工送达以收件人签收日期为准。</w:t>
      </w:r>
    </w:p>
    <w:p w14:paraId="4094546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1.8转让</w:t>
      </w:r>
    </w:p>
    <w:p w14:paraId="55812D1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1.8合同转让：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70DA5F8">
      <w:pPr>
        <w:pStyle w:val="5"/>
        <w:spacing w:before="0" w:after="0" w:line="360" w:lineRule="exact"/>
        <w:ind w:firstLine="422" w:firstLineChars="200"/>
        <w:rPr>
          <w:rFonts w:ascii="宋体" w:hAnsi="宋体" w:eastAsia="宋体" w:cs="宋体"/>
          <w:color w:val="auto"/>
          <w:sz w:val="21"/>
          <w:szCs w:val="21"/>
          <w:highlight w:val="none"/>
        </w:rPr>
      </w:pPr>
      <w:bookmarkStart w:id="1252" w:name="_Toc290198774"/>
      <w:r>
        <w:rPr>
          <w:rFonts w:hint="eastAsia" w:ascii="宋体" w:hAnsi="宋体" w:eastAsia="宋体" w:cs="宋体"/>
          <w:color w:val="auto"/>
          <w:sz w:val="21"/>
          <w:szCs w:val="21"/>
          <w:highlight w:val="none"/>
        </w:rPr>
        <w:t>2发包人义务</w:t>
      </w:r>
      <w:bookmarkEnd w:id="1252"/>
    </w:p>
    <w:p w14:paraId="00C6A6C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2.3提供施工场地</w:t>
      </w:r>
    </w:p>
    <w:p w14:paraId="61706B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2.3.1发包人应在计划开工日期14天前，向承包人无偿提供能满足开工条件的施工作业面位置的施工水域或场地，提供的施工水域或场地面积，应满足招标文件的最低要求。</w:t>
      </w:r>
    </w:p>
    <w:p w14:paraId="264931F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上述施工水域或场地应符合国家的有关规定，并已完成审批、征用、拆迁、补偿、障碍物清理等工作。</w:t>
      </w:r>
    </w:p>
    <w:p w14:paraId="5821A96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2.3.2发包人应在计划开工日期14天前，协助提供承包人生产、生活需要的临时施工水域或场地。</w:t>
      </w:r>
    </w:p>
    <w:p w14:paraId="790C6C7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施工临时水域或场地：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EAEE49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2.3.3发包人应在计划开工日期14天前，协助承包人开通进出施工现场的交通通道，协助提供水、电、通讯的接点及施工船舶临时停泊水域并保证施工期间的畅通和完好。</w:t>
      </w:r>
    </w:p>
    <w:p w14:paraId="2F990CF6">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水、电、通讯的接点及施工船舶临时停泊水域：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5F39CC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2.4协助承包人办理证件和批件</w:t>
      </w:r>
    </w:p>
    <w:p w14:paraId="1A79E88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2.4.1协助处理施工场地周围地下管线和邻近建筑物、构筑物的保护工作。</w:t>
      </w:r>
    </w:p>
    <w:p w14:paraId="11A263E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2.4.2协助解决对承包人施工有干扰的外部条件。</w:t>
      </w:r>
    </w:p>
    <w:p w14:paraId="653F9E2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2.5组织设计交底</w:t>
      </w:r>
    </w:p>
    <w:p w14:paraId="49E3C0B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2.5.1发包人应在计划开工日期14天前，组织设计单位向承包人进行设计交底。设计交底会应由发包人主持，设计单位、承包人、监理人和工程有关方面的人员参加，会后应形成会议纪要。</w:t>
      </w:r>
    </w:p>
    <w:p w14:paraId="1A70862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2.8其他义务</w:t>
      </w:r>
    </w:p>
    <w:p w14:paraId="6D11EF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2.8.1发包人应在合同协议书签署的同时任命发包人代表；发包人需更换其代表时，应至少提前10天书面通知承包人。</w:t>
      </w:r>
    </w:p>
    <w:p w14:paraId="3799CC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2.8.2发包人应协助承包人办理航行通告、抛泥区许可证等施工所需的各种手续。</w:t>
      </w:r>
    </w:p>
    <w:p w14:paraId="0AA283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2.8.3发包人应在计划开工日期14天前向承包人提供与施工现场相关的工程地质和地下管线资料，工程地质报告以及交验测量的水准点、坐标控制点等技术资料，并对其提供的上述资料的真实性、准确性负责。</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2.8.4发包人将工程款中的人工费（工资款）单独拨付到承包人在工程项目所在地银行开设的农民工工资专用账户，工资专户资金专项用于支付农民工工资。</w:t>
      </w:r>
    </w:p>
    <w:p w14:paraId="5BEDB107">
      <w:pPr>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Cs w:val="21"/>
          <w:highlight w:val="none"/>
        </w:rPr>
        <w:t>2.8.5 发包人应</w:t>
      </w:r>
      <w:r>
        <w:rPr>
          <w:rFonts w:hint="eastAsia" w:ascii="宋体" w:hAnsi="宋体" w:eastAsia="宋体" w:cs="宋体"/>
          <w:color w:val="auto"/>
          <w:sz w:val="21"/>
          <w:szCs w:val="21"/>
          <w:highlight w:val="none"/>
          <w:lang w:val="en-US" w:eastAsia="zh-CN"/>
        </w:rPr>
        <w:t>向承包人提供工程款支付担保。</w:t>
      </w:r>
    </w:p>
    <w:p w14:paraId="5BB65277">
      <w:pPr>
        <w:spacing w:line="360" w:lineRule="exact"/>
        <w:ind w:firstLine="420" w:firstLineChars="200"/>
        <w:rPr>
          <w:rFonts w:ascii="宋体" w:hAnsi="宋体" w:cs="宋体"/>
          <w:bCs/>
          <w:color w:val="auto"/>
          <w:szCs w:val="21"/>
          <w:highlight w:val="none"/>
        </w:rPr>
      </w:pPr>
      <w:r>
        <w:rPr>
          <w:rFonts w:hint="eastAsia" w:ascii="宋体" w:hAnsi="宋体" w:eastAsia="宋体" w:cs="宋体"/>
          <w:color w:val="auto"/>
          <w:sz w:val="21"/>
          <w:szCs w:val="21"/>
          <w:highlight w:val="none"/>
          <w:lang w:val="en-US" w:eastAsia="zh-CN"/>
        </w:rPr>
        <w:t>2.8.6 发包人应</w:t>
      </w:r>
      <w:r>
        <w:rPr>
          <w:rFonts w:hint="eastAsia" w:ascii="宋体" w:hAnsi="宋体" w:cs="宋体"/>
          <w:bCs/>
          <w:color w:val="auto"/>
          <w:szCs w:val="21"/>
          <w:highlight w:val="none"/>
        </w:rPr>
        <w:t>按照《福建省水运工程施工标准化指南》要求，做好相关工作。</w:t>
      </w:r>
    </w:p>
    <w:p w14:paraId="67B8CCCC">
      <w:pPr>
        <w:spacing w:line="360" w:lineRule="exact"/>
        <w:ind w:firstLine="420" w:firstLineChars="200"/>
        <w:rPr>
          <w:color w:val="auto"/>
          <w:highlight w:val="none"/>
        </w:rPr>
      </w:pPr>
      <w:r>
        <w:rPr>
          <w:rFonts w:hint="eastAsia" w:ascii="宋体" w:hAnsi="宋体" w:cs="宋体"/>
          <w:bCs/>
          <w:color w:val="auto"/>
          <w:szCs w:val="21"/>
          <w:highlight w:val="none"/>
        </w:rPr>
        <w:t>2.8.</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 xml:space="preserve"> </w:t>
      </w:r>
      <w:r>
        <w:rPr>
          <w:rFonts w:hint="eastAsia" w:ascii="宋体" w:hAnsi="宋体" w:cs="宋体"/>
          <w:color w:val="auto"/>
          <w:szCs w:val="21"/>
          <w:highlight w:val="none"/>
        </w:rPr>
        <w:t>发包人应</w:t>
      </w:r>
      <w:r>
        <w:rPr>
          <w:rFonts w:hint="eastAsia"/>
          <w:bCs/>
          <w:color w:val="auto"/>
          <w:szCs w:val="21"/>
          <w:highlight w:val="none"/>
        </w:rPr>
        <w:t>按照有关要求开展工地党建工作。</w:t>
      </w:r>
    </w:p>
    <w:p w14:paraId="6746F9E3">
      <w:pPr>
        <w:pStyle w:val="5"/>
        <w:spacing w:before="0" w:after="0" w:line="360" w:lineRule="exact"/>
        <w:ind w:firstLine="422" w:firstLineChars="200"/>
        <w:rPr>
          <w:rFonts w:ascii="宋体" w:hAnsi="宋体" w:eastAsia="宋体" w:cs="宋体"/>
          <w:color w:val="auto"/>
          <w:sz w:val="21"/>
          <w:szCs w:val="21"/>
          <w:highlight w:val="none"/>
        </w:rPr>
      </w:pPr>
      <w:bookmarkStart w:id="1253" w:name="_Toc290198775"/>
      <w:r>
        <w:rPr>
          <w:rFonts w:hint="eastAsia" w:ascii="宋体" w:hAnsi="宋体" w:eastAsia="宋体" w:cs="宋体"/>
          <w:color w:val="auto"/>
          <w:sz w:val="21"/>
          <w:szCs w:val="21"/>
          <w:highlight w:val="none"/>
        </w:rPr>
        <w:t>3监理人</w:t>
      </w:r>
      <w:bookmarkEnd w:id="1253"/>
    </w:p>
    <w:p w14:paraId="25FDA6A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14:paraId="6E3E774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3.1.4监理人职责：</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06D200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3.1.5监理人的权力：</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F355FAF">
      <w:pPr>
        <w:pStyle w:val="5"/>
        <w:spacing w:before="0" w:after="0" w:line="360" w:lineRule="exact"/>
        <w:ind w:firstLine="422" w:firstLineChars="200"/>
        <w:rPr>
          <w:rFonts w:ascii="宋体" w:hAnsi="宋体" w:eastAsia="宋体" w:cs="宋体"/>
          <w:color w:val="auto"/>
          <w:sz w:val="21"/>
          <w:szCs w:val="21"/>
          <w:highlight w:val="none"/>
        </w:rPr>
      </w:pPr>
      <w:bookmarkStart w:id="1254" w:name="_Toc290198776"/>
      <w:r>
        <w:rPr>
          <w:rFonts w:hint="eastAsia" w:ascii="宋体" w:hAnsi="宋体" w:eastAsia="宋体" w:cs="宋体"/>
          <w:color w:val="auto"/>
          <w:sz w:val="21"/>
          <w:szCs w:val="21"/>
          <w:highlight w:val="none"/>
        </w:rPr>
        <w:t>4承包人</w:t>
      </w:r>
      <w:bookmarkEnd w:id="1254"/>
    </w:p>
    <w:p w14:paraId="277CFB5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7AB5ABE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 保证工程施工和人员的安全</w:t>
      </w:r>
    </w:p>
    <w:p w14:paraId="6E9D8EA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4.1.5.1 承包人应按国家和有关部门的规定，对施工现场人员和施工船舶、机械、设备的防台风、防突风、防风暴潮、防汛、防雷击等进行安全管理，对施工现场加强治安防范和消防安全防护措施，并承担由于措施不力造成的事故责任和由此发生的费用。</w:t>
      </w:r>
    </w:p>
    <w:p w14:paraId="710050B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4.1.5.2承包人在高压线、水上、水下及地下管线、易燃、易爆地段或其他有害环境下施工时，施工前应提出安全保护措施，经监理人审查同意后实施。监理人的同意不能免除承包人应承担的责任。防护措施费用由承包人承担。</w:t>
      </w:r>
    </w:p>
    <w:p w14:paraId="1A800E9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4.1.5.3施工现场发生安全事故时，承包人应立即采取有效措施，并将事故情况按规定上报有关部门并报告发包人与监理人。</w:t>
      </w:r>
    </w:p>
    <w:p w14:paraId="58191A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4.1.10其他义务</w:t>
      </w:r>
    </w:p>
    <w:p w14:paraId="16EEC44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4.1.10.1  承包人应在开工3天前进驻施工场地，将开工所需施工船舶、机械、设备按照合同约定进场到位。</w:t>
      </w:r>
    </w:p>
    <w:p w14:paraId="5F531E0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开工3天前进驻施工场地的施工船舶、机械、设备名称及数量：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D3501B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4.1.10.2承包人按照批准的临时设施总平面布置图及相关生活配套设施，负责施工现场的布置和临时设施的施工。</w:t>
      </w:r>
    </w:p>
    <w:p w14:paraId="36E565C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4.1.10.3承包人应妥善处理好与工程其他承包人的配合关系。发生交叉施工时，承包人和工程其他承包人应互相配合，友好协作，并服从监理人的统一协调。</w:t>
      </w:r>
    </w:p>
    <w:p w14:paraId="51B423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4.1.10.4承包人应根据工程施工情况及监理人的指令，及时向监理人提交开工报告、测量报告、试验检验报告、隐蔽工程验收通知、工程质量自检报告、竣工验收申请报告及工程事故报告等。</w:t>
      </w:r>
    </w:p>
    <w:p w14:paraId="3EDF4D7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4.1.10.5承包人应支付为获得施工许可证及到港船舶检验等有关证件所需的费用；办理应由承包人办理的施工所需的各种证件、批件和其他审批手续。</w:t>
      </w:r>
    </w:p>
    <w:p w14:paraId="57DD9B1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4.1.10.6承包人应解决施工船舶的临时停泊设施并不得阻塞航道、妨碍进出港船舶航行及安全，保证船舶在施工水域内航行安全和畅通。</w:t>
      </w:r>
    </w:p>
    <w:p w14:paraId="1D683A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4.1.10.7承包人应采取一切措施，防止施工船舶、设备及材料的沉没。若发生沉没时，应立即向有关部门报告，并及时通知发包人、监理人。承包人应采取得当措施，及时设置浮标或障碍指示灯，直至打捞工作完成为止。</w:t>
      </w:r>
    </w:p>
    <w:p w14:paraId="62082DB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4.1.10.8承包人应充分考虑到施工现场所有的设备、临时建筑等防火安全，配备足够的防火设备。</w:t>
      </w:r>
    </w:p>
    <w:p w14:paraId="735DE5C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4.1.10.9承包人应在施工过程中对工程进行监测，并承担相应费用。</w:t>
      </w:r>
    </w:p>
    <w:p w14:paraId="552C160B">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4.1.10.10</w:t>
      </w:r>
      <w:r>
        <w:rPr>
          <w:rFonts w:hint="eastAsia" w:ascii="宋体" w:hAnsi="宋体" w:cs="宋体"/>
          <w:bCs/>
          <w:color w:val="auto"/>
          <w:szCs w:val="21"/>
          <w:highlight w:val="none"/>
          <w:lang w:val="en-US" w:eastAsia="zh-CN"/>
        </w:rPr>
        <w:t>承包人应</w:t>
      </w:r>
      <w:r>
        <w:rPr>
          <w:rFonts w:hint="eastAsia" w:ascii="宋体" w:hAnsi="宋体" w:cs="宋体"/>
          <w:bCs/>
          <w:color w:val="auto"/>
          <w:szCs w:val="21"/>
          <w:highlight w:val="none"/>
        </w:rPr>
        <w:t>按照《福建省水运工程施工标准化指南》“三三三”施工标准化管理模式的要求，做好</w:t>
      </w:r>
      <w:r>
        <w:rPr>
          <w:rFonts w:ascii="宋体" w:hAnsi="宋体" w:cs="宋体"/>
          <w:bCs/>
          <w:color w:val="auto"/>
          <w:szCs w:val="21"/>
          <w:highlight w:val="none"/>
        </w:rPr>
        <w:t>工地建设“三集中”、质量控制“三强化”、安全措施“三到位”</w:t>
      </w:r>
      <w:r>
        <w:rPr>
          <w:rFonts w:hint="eastAsia" w:ascii="宋体" w:hAnsi="宋体" w:cs="宋体"/>
          <w:bCs/>
          <w:color w:val="auto"/>
          <w:szCs w:val="21"/>
          <w:highlight w:val="none"/>
        </w:rPr>
        <w:t>等工作【全省大中型水运在建工程项目（暂定标段合同价1亿元及以上项目和连片开发标段）在投标报价时应充分考虑该部分费用，并在综合单价内体现】。</w:t>
      </w:r>
    </w:p>
    <w:p w14:paraId="3930CF96">
      <w:pPr>
        <w:wordWrap w:val="0"/>
        <w:spacing w:before="63" w:beforeLines="20" w:after="63" w:afterLines="20"/>
        <w:ind w:firstLine="420" w:firstLineChars="200"/>
        <w:outlineLvl w:val="4"/>
        <w:rPr>
          <w:bCs/>
          <w:color w:val="auto"/>
          <w:szCs w:val="21"/>
          <w:highlight w:val="none"/>
        </w:rPr>
      </w:pPr>
      <w:r>
        <w:rPr>
          <w:rFonts w:hint="eastAsia"/>
          <w:bCs/>
          <w:color w:val="auto"/>
          <w:szCs w:val="21"/>
          <w:highlight w:val="none"/>
        </w:rPr>
        <w:t>4.1.10 承包人按照有关要求开展工地党建工作。</w:t>
      </w:r>
    </w:p>
    <w:p w14:paraId="41D4545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4.3分包</w:t>
      </w:r>
    </w:p>
    <w:p w14:paraId="3FABD9C1">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4.3.6分包：</w:t>
      </w:r>
      <w:r>
        <w:rPr>
          <w:rFonts w:hint="eastAsia" w:ascii="宋体" w:hAnsi="宋体" w:cs="宋体"/>
          <w:color w:val="auto"/>
          <w:szCs w:val="21"/>
          <w:highlight w:val="none"/>
          <w:u w:val="single"/>
        </w:rPr>
        <w:t xml:space="preserve">                                。</w:t>
      </w:r>
    </w:p>
    <w:p w14:paraId="202D151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4.6承包人人员的管理</w:t>
      </w:r>
    </w:p>
    <w:p w14:paraId="673BB0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4.6.4 .1船员的管理：承包人应按规定配备船员，并保证其持有有效的岗位证书。</w:t>
      </w:r>
    </w:p>
    <w:p w14:paraId="4C47721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14:paraId="51EFCCAA">
      <w:pPr>
        <w:wordWrap w:val="0"/>
        <w:spacing w:before="63" w:beforeLines="20" w:after="63" w:afterLines="20"/>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4.9.1 发包人按合同约定支付给承包人的各项价款应专用于合同工程。承包人应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color w:val="auto"/>
          <w:szCs w:val="21"/>
          <w:highlight w:val="none"/>
        </w:rPr>
        <w:t>4.9.2承包人应创建“无欠薪项目部”，实行人工费（工资款）与其他工程款分账管理，承包人应分解工程价款中的人工费（工资款），并在工程项目所在地银行开设工资专户。发包人应按照本合同约定的比例或承包人提供的人工费用数额，将应付工程款中的人工费单独拨付到承包人开设的民工工资专用账户，工资专户资金专项用于支付农民工工资。施工总承包企业应于工资专户开设后5个工作日内向项目所在地人力资源社会保障部门和交通运输（港口）主管部门报备工资专户有关信息。开户银行负责专户资金日常监管， 开户银行发现账户资金不足、被挪用等情况，应及时向人力资源社会保障部门和交通运输（港口）主管部门报告。</w:t>
      </w:r>
    </w:p>
    <w:p w14:paraId="0473049D">
      <w:pPr>
        <w:pStyle w:val="5"/>
        <w:spacing w:before="0" w:after="0" w:line="360" w:lineRule="exact"/>
        <w:ind w:firstLine="422" w:firstLineChars="200"/>
        <w:rPr>
          <w:rFonts w:ascii="宋体" w:hAnsi="宋体" w:eastAsia="宋体" w:cs="宋体"/>
          <w:color w:val="auto"/>
          <w:sz w:val="21"/>
          <w:szCs w:val="21"/>
          <w:highlight w:val="none"/>
        </w:rPr>
      </w:pPr>
      <w:bookmarkStart w:id="1255" w:name="_Toc290198777"/>
      <w:r>
        <w:rPr>
          <w:rFonts w:hint="eastAsia" w:ascii="宋体" w:hAnsi="宋体" w:eastAsia="宋体" w:cs="宋体"/>
          <w:color w:val="auto"/>
          <w:sz w:val="21"/>
          <w:szCs w:val="21"/>
          <w:highlight w:val="none"/>
        </w:rPr>
        <w:t>6施工设备和临时设施</w:t>
      </w:r>
      <w:bookmarkEnd w:id="1255"/>
    </w:p>
    <w:p w14:paraId="3A4F4CB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6.2发包人提供的施工设备和临时设施</w:t>
      </w:r>
    </w:p>
    <w:p w14:paraId="086A8C7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发包人在本合同工程中应提供的施工设备和临时设施：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3F9274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 搅拌站管理</w:t>
      </w:r>
    </w:p>
    <w:p w14:paraId="4BA044F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6.3.1 承包人建设项目临时搅拌站的，应编写搅拌站建设方案，建设完成后报监理验收，经监理验收后报业主备案同意，不符合要求的不得进行生产。</w:t>
      </w:r>
    </w:p>
    <w:p w14:paraId="5928E4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6.3.2 项目临时搅拌站混凝土实际日生产能力应与需求量相适应，专供项目，不得对外生产、销售混凝土。</w:t>
      </w:r>
    </w:p>
    <w:p w14:paraId="51B583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6.3.3 项目完工后，应立即拆除临时拌合站。交通主管部门责令拆除，施工企业拒不拆除的，其不良行为记入公路水路建设市场信用评价管理系统或信用交通福建系统。</w:t>
      </w:r>
    </w:p>
    <w:p w14:paraId="3F74876A">
      <w:pPr>
        <w:pStyle w:val="5"/>
        <w:spacing w:before="0" w:after="0" w:line="360" w:lineRule="exact"/>
        <w:ind w:firstLine="422" w:firstLineChars="200"/>
        <w:rPr>
          <w:rFonts w:ascii="宋体" w:hAnsi="宋体" w:eastAsia="宋体" w:cs="宋体"/>
          <w:color w:val="auto"/>
          <w:sz w:val="21"/>
          <w:szCs w:val="21"/>
          <w:highlight w:val="none"/>
        </w:rPr>
      </w:pPr>
      <w:bookmarkStart w:id="1256" w:name="_Toc290198778"/>
      <w:r>
        <w:rPr>
          <w:rFonts w:hint="eastAsia" w:ascii="宋体" w:hAnsi="宋体" w:eastAsia="宋体" w:cs="宋体"/>
          <w:color w:val="auto"/>
          <w:sz w:val="21"/>
          <w:szCs w:val="21"/>
          <w:highlight w:val="none"/>
        </w:rPr>
        <w:t>7交通运输</w:t>
      </w:r>
      <w:bookmarkEnd w:id="1256"/>
    </w:p>
    <w:p w14:paraId="4FD366B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7.4超大件和超重件的运输</w:t>
      </w:r>
    </w:p>
    <w:p w14:paraId="5B3B553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7.4.1超大、超宽、超重物件的运输：</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33DF58E">
      <w:pPr>
        <w:pStyle w:val="5"/>
        <w:spacing w:before="0" w:after="0" w:line="360" w:lineRule="exact"/>
        <w:ind w:firstLine="422" w:firstLineChars="200"/>
        <w:rPr>
          <w:rFonts w:ascii="宋体" w:hAnsi="宋体" w:eastAsia="宋体" w:cs="宋体"/>
          <w:color w:val="auto"/>
          <w:sz w:val="21"/>
          <w:szCs w:val="21"/>
          <w:highlight w:val="none"/>
        </w:rPr>
      </w:pPr>
      <w:bookmarkStart w:id="1257" w:name="_Toc290198779"/>
      <w:r>
        <w:rPr>
          <w:rFonts w:hint="eastAsia" w:ascii="宋体" w:hAnsi="宋体" w:eastAsia="宋体" w:cs="宋体"/>
          <w:color w:val="auto"/>
          <w:sz w:val="21"/>
          <w:szCs w:val="21"/>
          <w:highlight w:val="none"/>
        </w:rPr>
        <w:t>8测量放线</w:t>
      </w:r>
      <w:bookmarkEnd w:id="1257"/>
    </w:p>
    <w:p w14:paraId="3B62F325">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6D2286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8.1.1.1 发包人应在计划开工日期14天前，通过监理人向承包人提供符合国家有关规定的测量基准点、基准线和水准点。</w:t>
      </w:r>
    </w:p>
    <w:p w14:paraId="6EA8DFB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8.1.1.2承包人应在计划开工日期7天前，将施工控制网资料报送监理人。</w:t>
      </w:r>
    </w:p>
    <w:p w14:paraId="6A0EDBDB">
      <w:pPr>
        <w:pStyle w:val="5"/>
        <w:spacing w:before="0" w:after="0" w:line="360" w:lineRule="exact"/>
        <w:ind w:firstLine="422" w:firstLineChars="200"/>
        <w:rPr>
          <w:rFonts w:ascii="宋体" w:hAnsi="宋体" w:eastAsia="宋体" w:cs="宋体"/>
          <w:color w:val="auto"/>
          <w:sz w:val="21"/>
          <w:szCs w:val="21"/>
          <w:highlight w:val="none"/>
        </w:rPr>
      </w:pPr>
      <w:bookmarkStart w:id="1258" w:name="_Toc290198780"/>
      <w:r>
        <w:rPr>
          <w:rFonts w:hint="eastAsia" w:ascii="宋体" w:hAnsi="宋体" w:eastAsia="宋体" w:cs="宋体"/>
          <w:color w:val="auto"/>
          <w:sz w:val="21"/>
          <w:szCs w:val="21"/>
          <w:highlight w:val="none"/>
        </w:rPr>
        <w:t>9施工安全、治安保卫和环境保护</w:t>
      </w:r>
      <w:bookmarkEnd w:id="1258"/>
    </w:p>
    <w:p w14:paraId="7C7A752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6648EA4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9.2.8  承包人应对施工船舶、机械、设备、仪器等进行定期检查，消除隐患，并取得有关部门的检验许可证明。</w:t>
      </w:r>
    </w:p>
    <w:p w14:paraId="739568E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9.2.9  承包人应按有关要求，设置施工水域的警示标志和施工船舶夜间警示标志。</w:t>
      </w:r>
    </w:p>
    <w:p w14:paraId="56DCFF1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9.2.10  承包人应对施工现场的供电、消防、基坑开挖、水下作业、爆破、不良工程地质以及施工通航等制定专项的措施及应急预案，并报监理人审查同意。发包人或监理人的认可不能免除承包人所应承担的责任。</w:t>
      </w:r>
    </w:p>
    <w:p w14:paraId="113FD6C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9.4环境保护</w:t>
      </w:r>
    </w:p>
    <w:p w14:paraId="09E32AD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9.4.7承包人应严格执行国家有关水域环境生态保护的规定，合理选择施工船机和施工工艺，采取有效措施，减少施工对周边水域和环境的影响。发包人及承包人应严格落实环境保护“三同时”制度。 </w:t>
      </w:r>
    </w:p>
    <w:p w14:paraId="1E5AD375">
      <w:pPr>
        <w:pStyle w:val="5"/>
        <w:spacing w:before="0" w:after="0" w:line="360" w:lineRule="exact"/>
        <w:ind w:firstLine="422" w:firstLineChars="200"/>
        <w:rPr>
          <w:rFonts w:ascii="宋体" w:hAnsi="宋体" w:eastAsia="宋体" w:cs="宋体"/>
          <w:color w:val="auto"/>
          <w:sz w:val="21"/>
          <w:szCs w:val="21"/>
          <w:highlight w:val="none"/>
        </w:rPr>
      </w:pPr>
      <w:bookmarkStart w:id="1259" w:name="_Toc290198781"/>
      <w:r>
        <w:rPr>
          <w:rFonts w:hint="eastAsia" w:ascii="宋体" w:hAnsi="宋体" w:eastAsia="宋体" w:cs="宋体"/>
          <w:color w:val="auto"/>
          <w:sz w:val="21"/>
          <w:szCs w:val="21"/>
          <w:highlight w:val="none"/>
        </w:rPr>
        <w:t>10进度计划</w:t>
      </w:r>
      <w:bookmarkEnd w:id="1259"/>
    </w:p>
    <w:p w14:paraId="480330D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6D1FC5A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10.1.1  承包人应在计划开工日期7天前，向发包人和监理人报送施工组织设计；监理人应在7天内批复或提出修改意见，否则视为已得到批准。</w:t>
      </w:r>
    </w:p>
    <w:p w14:paraId="01A782D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10.1.2承包人应在每季度末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日前，向监理人报送下季度计划一式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日前向监理人报送下个月度计划一式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350658B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10.2合同进度计划的修订</w:t>
      </w:r>
    </w:p>
    <w:p w14:paraId="7CB0D7F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10.2.1承包人应在48小时前向监理人提交修订合同进度计划的申请报告；监理人应在48小时内对承包人提交的申请报告批复，否则视为已得到批准。</w:t>
      </w:r>
    </w:p>
    <w:p w14:paraId="46FB342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10.2.2对非承包人自身原因每月累计停水或停电不超过48小时的情况，施工组织设计中应有相应的保证措施。承包人不得因此顺延工期。</w:t>
      </w:r>
    </w:p>
    <w:p w14:paraId="1BC4583E">
      <w:pPr>
        <w:pStyle w:val="5"/>
        <w:spacing w:before="0" w:after="0" w:line="360" w:lineRule="exact"/>
        <w:ind w:firstLine="422" w:firstLineChars="200"/>
        <w:rPr>
          <w:rFonts w:ascii="宋体" w:hAnsi="宋体" w:eastAsia="宋体" w:cs="宋体"/>
          <w:color w:val="auto"/>
          <w:sz w:val="21"/>
          <w:szCs w:val="21"/>
          <w:highlight w:val="none"/>
        </w:rPr>
      </w:pPr>
      <w:bookmarkStart w:id="1260" w:name="_Toc290198782"/>
      <w:r>
        <w:rPr>
          <w:rFonts w:hint="eastAsia" w:ascii="宋体" w:hAnsi="宋体" w:eastAsia="宋体" w:cs="宋体"/>
          <w:color w:val="auto"/>
          <w:sz w:val="21"/>
          <w:szCs w:val="21"/>
          <w:highlight w:val="none"/>
        </w:rPr>
        <w:t>11  开工和竣工</w:t>
      </w:r>
      <w:bookmarkEnd w:id="1260"/>
    </w:p>
    <w:p w14:paraId="2DA9B27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11.1开工</w:t>
      </w:r>
    </w:p>
    <w:p w14:paraId="3AC8478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11.1.3分项工程的开工应事先得到监理人的书面同意，承包人应提前48小时将申请开工的书面通知报送监理人，监理人应在收到通知48小时内予以书面答复，否则视为同意。</w:t>
      </w:r>
    </w:p>
    <w:p w14:paraId="54538C9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 1.4承包人不能按期开工时，应在接到开工令24小时内向监理人提出延期开工申请报告，监理人应在接到报告24小时内作出答复。若监理人在24小时内同意或未予答复，工期相应顺延；若监理人不同意延期要求，则工期不予顺延。</w:t>
      </w:r>
    </w:p>
    <w:p w14:paraId="654EDB9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11.2  竣工</w:t>
      </w:r>
    </w:p>
    <w:p w14:paraId="2CD34E6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11.2.1  重要节点工期：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E8620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229263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11.4.1异常恶劣的气候条件是指水运工程水域施工作业难以正常进行或须采取其他补救措施才能进行的气候条件。一般是指：</w:t>
      </w:r>
    </w:p>
    <w:p w14:paraId="68555F3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(1)持续高温：连续三日日最高气温38℃以上；</w:t>
      </w:r>
    </w:p>
    <w:p w14:paraId="5ED8855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(2)持续低温：连续三日日最低气温-20 ℃以下；</w:t>
      </w:r>
    </w:p>
    <w:p w14:paraId="0B6D2EB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(3)大风天气：施工水域日风力在6级及以上且持续时间不少于4小时，或阵风大于8级；</w:t>
      </w:r>
    </w:p>
    <w:p w14:paraId="61A523D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(4)暴雨天气：日降雨量50mm及以上，或降雨强度大于20 mm/h；</w:t>
      </w:r>
    </w:p>
    <w:p w14:paraId="53AB0C8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(5)暴雪天气：日降雪量10mm及以上；</w:t>
      </w:r>
    </w:p>
    <w:p w14:paraId="38520F8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(6)流速或波浪：内河3.5米/秒及以上流速，海上2米及以上的大浪和强浪；</w:t>
      </w:r>
    </w:p>
    <w:p w14:paraId="4A7B683C">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     (7)水淹：施工场地大部或全部被潮水、洪水或雨水淹没超过1天；</w:t>
      </w:r>
    </w:p>
    <w:p w14:paraId="0315800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(8)大雾：定点施工船舶能见度小于50米的雾天超过1天；运动船舶按有关规定。</w:t>
      </w:r>
    </w:p>
    <w:p w14:paraId="5A40B34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14:paraId="077B7BA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11.5.1由于承包人原因造成工期延误，承包人应向发包人支付逾期竣工违约金。</w:t>
      </w:r>
    </w:p>
    <w:p w14:paraId="17C0575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逾期竣工违约金的计算方法为：</w:t>
      </w:r>
    </w:p>
    <w:p w14:paraId="085332B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工期延误天数×Pl，其中Pl：</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66F63B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逾期竣工违约金累计最高不得超过总合同价款的5%。</w:t>
      </w:r>
    </w:p>
    <w:p w14:paraId="6F018AE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11.5.2 由于承包人原因造成工期延误达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天，发包人有权按约定要求和条件解除合同，双方约定：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由于发包人原因造成工期延误达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天，承包人有权按约定要求和条件解除合同，双方约定：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 </w:t>
      </w:r>
    </w:p>
    <w:p w14:paraId="01E0B9D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11.6工期提前</w:t>
      </w:r>
    </w:p>
    <w:p w14:paraId="6171BF1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11.6.1发包人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（同意或不同意）向承包人支付提前工期奖。</w:t>
      </w:r>
    </w:p>
    <w:p w14:paraId="6D9CE18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提前工期奖金的计算方法为： </w:t>
      </w:r>
    </w:p>
    <w:p w14:paraId="25C6B70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工期提前天数×P2，其中P2：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CA741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提前工期奖金累计最高不得超过总合同价款的5%。</w:t>
      </w:r>
    </w:p>
    <w:p w14:paraId="7661D4D3">
      <w:pPr>
        <w:pStyle w:val="5"/>
        <w:spacing w:before="0" w:after="0" w:line="360" w:lineRule="exact"/>
        <w:ind w:firstLine="422" w:firstLineChars="200"/>
        <w:rPr>
          <w:rFonts w:ascii="宋体" w:hAnsi="宋体" w:eastAsia="宋体" w:cs="宋体"/>
          <w:color w:val="auto"/>
          <w:sz w:val="21"/>
          <w:szCs w:val="21"/>
          <w:highlight w:val="none"/>
        </w:rPr>
      </w:pPr>
      <w:bookmarkStart w:id="1261" w:name="_Toc290198783"/>
      <w:r>
        <w:rPr>
          <w:rFonts w:hint="eastAsia" w:ascii="宋体" w:hAnsi="宋体" w:eastAsia="宋体" w:cs="宋体"/>
          <w:color w:val="auto"/>
          <w:sz w:val="21"/>
          <w:szCs w:val="21"/>
          <w:highlight w:val="none"/>
        </w:rPr>
        <w:t>12暂停施工</w:t>
      </w:r>
      <w:bookmarkEnd w:id="1261"/>
    </w:p>
    <w:p w14:paraId="52DEDE74">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14:paraId="79E47291">
      <w:pPr>
        <w:spacing w:line="36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12.1.1承包人承担的其他暂停施工：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489E5CF">
      <w:pPr>
        <w:pStyle w:val="5"/>
        <w:spacing w:before="0" w:after="0" w:line="360" w:lineRule="exact"/>
        <w:ind w:firstLine="422" w:firstLineChars="200"/>
        <w:rPr>
          <w:rFonts w:ascii="宋体" w:hAnsi="宋体" w:eastAsia="宋体" w:cs="宋体"/>
          <w:color w:val="auto"/>
          <w:sz w:val="21"/>
          <w:szCs w:val="21"/>
          <w:highlight w:val="none"/>
        </w:rPr>
      </w:pPr>
      <w:bookmarkStart w:id="1262" w:name="_Toc290198784"/>
      <w:r>
        <w:rPr>
          <w:rFonts w:hint="eastAsia" w:ascii="宋体" w:hAnsi="宋体" w:eastAsia="宋体" w:cs="宋体"/>
          <w:color w:val="auto"/>
          <w:sz w:val="21"/>
          <w:szCs w:val="21"/>
          <w:highlight w:val="none"/>
        </w:rPr>
        <w:t>13工程质量</w:t>
      </w:r>
      <w:bookmarkEnd w:id="1262"/>
    </w:p>
    <w:p w14:paraId="6B150F8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14:paraId="32A25B2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13.1.4质量标准</w:t>
      </w:r>
    </w:p>
    <w:p w14:paraId="6D75B56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(1)现行水运工程质量检验标准； </w:t>
      </w:r>
    </w:p>
    <w:p w14:paraId="02A91B1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(2)其他现行工程质量检验标准；</w:t>
      </w:r>
    </w:p>
    <w:p w14:paraId="76FCC05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(3)以上标准如有修订，按新修订的标准执行。</w:t>
      </w:r>
    </w:p>
    <w:p w14:paraId="4323DA4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13.1.5质量目标</w:t>
      </w:r>
    </w:p>
    <w:p w14:paraId="44E05C7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本工程质量目标：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9DFB01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14:paraId="74AF765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13.5.1  通知监理人检查</w:t>
      </w:r>
    </w:p>
    <w:p w14:paraId="46ED6E3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在自检合格后，填写隐蔽工程验收申请单，在覆盖前48小时，通知监理人进行验收；监理人在接到通知48小时内进行验收。经监理人验收合格并在验收记录上签认后，承包人可进行覆盖和继续施工；若验收不合格，承包人应按监理人的要求整改并重新申请验收。未经验收的，不得继续施工，否则，发包人或监理人有权按不合格要求整改并重新申请验收。</w:t>
      </w:r>
    </w:p>
    <w:p w14:paraId="6DF5D5D3">
      <w:pPr>
        <w:pStyle w:val="5"/>
        <w:spacing w:before="0" w:after="0" w:line="360" w:lineRule="exact"/>
        <w:ind w:firstLine="422" w:firstLineChars="200"/>
        <w:rPr>
          <w:rFonts w:ascii="宋体" w:hAnsi="宋体" w:eastAsia="宋体" w:cs="宋体"/>
          <w:color w:val="auto"/>
          <w:sz w:val="21"/>
          <w:szCs w:val="21"/>
          <w:highlight w:val="none"/>
        </w:rPr>
      </w:pPr>
      <w:bookmarkStart w:id="1263" w:name="_Toc290198785"/>
      <w:r>
        <w:rPr>
          <w:rFonts w:hint="eastAsia" w:ascii="宋体" w:hAnsi="宋体" w:eastAsia="宋体" w:cs="宋体"/>
          <w:color w:val="auto"/>
          <w:sz w:val="21"/>
          <w:szCs w:val="21"/>
          <w:highlight w:val="none"/>
        </w:rPr>
        <w:t>14试验和检验</w:t>
      </w:r>
      <w:bookmarkEnd w:id="1263"/>
    </w:p>
    <w:p w14:paraId="530BB830">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14.1  材料、工程设备和工程的试验和检验</w:t>
      </w:r>
    </w:p>
    <w:p w14:paraId="31F0673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14.1.4材料、构件、配件和工程设备订货前，承包人应向监理人提供生产厂家的生产许可证和相应资质证明文件等材料，对新材料、新产品还应提供鉴定证明和有关确认文件。</w:t>
      </w:r>
    </w:p>
    <w:p w14:paraId="4D5EED8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（进行或不进行）考察，考察内容和方式：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2BB6BF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14.1.5  承包人与监理人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（进行或不进行）共同试验或检验，共同试验或检验的内容和方式：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63CF1C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14.2现场材料试验</w:t>
      </w:r>
    </w:p>
    <w:p w14:paraId="6915554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14.2.3承包人应配备工地试验室的试验设备、器材的及相应技术人员要求：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8AA519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14.2.4承包人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（试验检验单位名称）进行试验检验。</w:t>
      </w:r>
    </w:p>
    <w:p w14:paraId="0EA8703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14.2 5发包人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（委托或不委托）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（试验检验单位名称）进行第三方试验检验。</w:t>
      </w:r>
    </w:p>
    <w:p w14:paraId="0DFAF860">
      <w:pPr>
        <w:pStyle w:val="5"/>
        <w:spacing w:before="0" w:after="0" w:line="360" w:lineRule="exact"/>
        <w:ind w:firstLine="422" w:firstLineChars="200"/>
        <w:rPr>
          <w:rFonts w:ascii="宋体" w:hAnsi="宋体" w:eastAsia="宋体" w:cs="宋体"/>
          <w:color w:val="auto"/>
          <w:sz w:val="21"/>
          <w:szCs w:val="21"/>
          <w:highlight w:val="none"/>
        </w:rPr>
      </w:pPr>
      <w:bookmarkStart w:id="1264" w:name="_Toc290198786"/>
      <w:r>
        <w:rPr>
          <w:rFonts w:hint="eastAsia" w:ascii="宋体" w:hAnsi="宋体" w:eastAsia="宋体" w:cs="宋体"/>
          <w:color w:val="auto"/>
          <w:sz w:val="21"/>
          <w:szCs w:val="21"/>
          <w:highlight w:val="none"/>
        </w:rPr>
        <w:t>15变更</w:t>
      </w:r>
      <w:bookmarkEnd w:id="1264"/>
    </w:p>
    <w:p w14:paraId="65491B3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15.1变更的范围和内容</w:t>
      </w:r>
    </w:p>
    <w:p w14:paraId="092F200F">
      <w:pPr>
        <w:spacing w:line="36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(6)工程量清单中某单项工程量的变化幅度超过20%，且对合同总价影响幅度超过2%时，应调整该工程量清单项目的综合单价。</w:t>
      </w:r>
    </w:p>
    <w:p w14:paraId="37BA7F19">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15.5承包人的合理化建议</w:t>
      </w:r>
    </w:p>
    <w:p w14:paraId="27C7B8C1">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15.5.2承包人提出的合理化建议经实施后，按其节省费用的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%奖励承包人。</w:t>
      </w:r>
    </w:p>
    <w:p w14:paraId="2C703626">
      <w:pPr>
        <w:pStyle w:val="5"/>
        <w:spacing w:before="0" w:after="0" w:line="360" w:lineRule="exact"/>
        <w:ind w:firstLine="422" w:firstLineChars="200"/>
        <w:rPr>
          <w:rFonts w:ascii="宋体" w:hAnsi="宋体" w:eastAsia="宋体" w:cs="宋体"/>
          <w:color w:val="auto"/>
          <w:sz w:val="21"/>
          <w:szCs w:val="21"/>
          <w:highlight w:val="none"/>
        </w:rPr>
      </w:pPr>
      <w:bookmarkStart w:id="1265" w:name="_Toc290198787"/>
      <w:r>
        <w:rPr>
          <w:rFonts w:hint="eastAsia" w:ascii="宋体" w:hAnsi="宋体" w:eastAsia="宋体" w:cs="宋体"/>
          <w:color w:val="auto"/>
          <w:sz w:val="21"/>
          <w:szCs w:val="21"/>
          <w:highlight w:val="none"/>
        </w:rPr>
        <w:t>16价格调整</w:t>
      </w:r>
      <w:bookmarkEnd w:id="1265"/>
    </w:p>
    <w:p w14:paraId="70DA3F81">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14:paraId="03211F00">
      <w:p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16.1.3物价波动引起的价格调整方法：</w:t>
      </w:r>
    </w:p>
    <w:p w14:paraId="20E0B100">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主要材料价格变化幅度超过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%时，超过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%的部分调整材料价差，并计列相应的税金、教育附加费和城市建设维护费；</w:t>
      </w:r>
    </w:p>
    <w:p w14:paraId="4F318294">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主要材料名称：</w:t>
      </w:r>
      <w:r>
        <w:rPr>
          <w:rFonts w:hint="eastAsia" w:ascii="宋体" w:hAnsi="宋体" w:cs="宋体"/>
          <w:color w:val="auto"/>
          <w:szCs w:val="21"/>
          <w:highlight w:val="none"/>
          <w:u w:val="single"/>
        </w:rPr>
        <w:t xml:space="preserve">                           ；</w:t>
      </w:r>
    </w:p>
    <w:p w14:paraId="3EA4D9C4">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主要材料基准价格：投标截止前28天，工程所在地建设主管部门公布的信息价格；</w:t>
      </w:r>
    </w:p>
    <w:p w14:paraId="11ACCF74">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结算期主要材料价格：工程计量前28天，工程所在地建设主管部门公布的信息价格；</w:t>
      </w:r>
    </w:p>
    <w:p w14:paraId="62CDC8ED">
      <w:pPr>
        <w:numPr>
          <w:ilvl w:val="0"/>
          <w:numId w:val="12"/>
        </w:numPr>
        <w:tabs>
          <w:tab w:val="left" w:pos="0"/>
          <w:tab w:val="left" w:pos="567"/>
          <w:tab w:val="left" w:pos="993"/>
          <w:tab w:val="left" w:pos="1134"/>
        </w:tabs>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工程所在地无建设主管部门公布的信息价格时：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045BBC">
      <w:pPr>
        <w:pStyle w:val="5"/>
        <w:spacing w:before="0" w:after="0" w:line="360" w:lineRule="exact"/>
        <w:ind w:firstLine="422" w:firstLineChars="200"/>
        <w:rPr>
          <w:rFonts w:ascii="宋体" w:hAnsi="宋体" w:eastAsia="宋体" w:cs="宋体"/>
          <w:color w:val="auto"/>
          <w:sz w:val="21"/>
          <w:szCs w:val="21"/>
          <w:highlight w:val="none"/>
        </w:rPr>
      </w:pPr>
      <w:bookmarkStart w:id="1266" w:name="_Toc290198788"/>
      <w:r>
        <w:rPr>
          <w:rFonts w:hint="eastAsia" w:ascii="宋体" w:hAnsi="宋体" w:eastAsia="宋体" w:cs="宋体"/>
          <w:color w:val="auto"/>
          <w:sz w:val="21"/>
          <w:szCs w:val="21"/>
          <w:highlight w:val="none"/>
        </w:rPr>
        <w:t>17计量与支付</w:t>
      </w:r>
      <w:bookmarkEnd w:id="1266"/>
    </w:p>
    <w:p w14:paraId="4F68AA7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17.1计量</w:t>
      </w:r>
    </w:p>
    <w:p w14:paraId="72182A6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17.1.6承包人应将月度计量报表于每月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日前报监理人一式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1E7D604D">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17.2预付款</w:t>
      </w:r>
    </w:p>
    <w:p w14:paraId="0B9A0FF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17.2.1预付款</w:t>
      </w:r>
    </w:p>
    <w:p w14:paraId="4181A2A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17.2.1.1 施工合同签订生效28天内，或计划开工日期前，发包人向承包人支付工程预付款。</w:t>
      </w:r>
    </w:p>
    <w:p w14:paraId="7242793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本工程预付款为合同总价的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%，承包人信用考核等级为A级及以上时，可适当提高预付款比例，为合同总价的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1FE159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预付款的扣回和还清</w:t>
      </w:r>
    </w:p>
    <w:p w14:paraId="356134F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 当工程进度款累计支付比例达到合同总价的20%时，开始扣回预付款，工程进度款累计支付至80%时扣清，中间每期扣回比例相同。</w:t>
      </w:r>
    </w:p>
    <w:p w14:paraId="75A48343">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17.3工程进度付款</w:t>
      </w:r>
    </w:p>
    <w:p w14:paraId="602A2803">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17.3.5 工程进度款支付的方式和时间：按照月度工程计量的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%（不少于80%）支付；当工程款支付达到合同总价的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%（不少于80%）时，停止支付；待工程全部</w:t>
      </w:r>
      <w:r>
        <w:rPr>
          <w:rFonts w:hint="eastAsia" w:ascii="宋体" w:hAnsi="宋体" w:cs="宋体"/>
          <w:color w:val="auto"/>
          <w:szCs w:val="21"/>
          <w:highlight w:val="none"/>
          <w:lang w:val="en-US" w:eastAsia="zh-CN"/>
        </w:rPr>
        <w:t>交工</w:t>
      </w:r>
      <w:r>
        <w:rPr>
          <w:rFonts w:hint="eastAsia" w:ascii="宋体" w:hAnsi="宋体" w:cs="宋体"/>
          <w:color w:val="auto"/>
          <w:szCs w:val="21"/>
          <w:highlight w:val="none"/>
        </w:rPr>
        <w:t>验收合格后支付至全部工程结算值的97%；尾款3%待工程缺陷责任期满60天内付清，尾款不计利息。</w:t>
      </w:r>
    </w:p>
    <w:p w14:paraId="01CAFC7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17.3.6 若发包人在合同约定的支付限期满14天后未予支付，承包人可向发包人发出催付款的通知，发包人在收到承包人通知后仍不能按要求支付，承包人可在发出催付款通知14天后暂停施工，发包人承担延期支付的利息和违约责任及停工损失。</w:t>
      </w:r>
    </w:p>
    <w:p w14:paraId="55235DA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17.4 质量保证金</w:t>
      </w:r>
    </w:p>
    <w:p w14:paraId="3484DFC6">
      <w:pPr>
        <w:spacing w:line="3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17.4.1本项目质量保证金为</w:t>
      </w:r>
      <w:r>
        <w:rPr>
          <w:rFonts w:hint="eastAsia" w:ascii="宋体" w:hAnsi="宋体" w:cs="宋体"/>
          <w:b/>
          <w:color w:val="auto"/>
          <w:szCs w:val="21"/>
          <w:highlight w:val="none"/>
          <w:lang w:val="en-US" w:eastAsia="zh-CN"/>
        </w:rPr>
        <w:t>工程价款结算总额</w:t>
      </w:r>
      <w:r>
        <w:rPr>
          <w:rFonts w:hint="eastAsia" w:ascii="宋体" w:hAnsi="宋体" w:cs="宋体"/>
          <w:b/>
          <w:color w:val="auto"/>
          <w:szCs w:val="21"/>
          <w:highlight w:val="none"/>
        </w:rPr>
        <w:t>的3%。</w:t>
      </w:r>
    </w:p>
    <w:p w14:paraId="04BF38FB">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17.6最终结清</w:t>
      </w:r>
    </w:p>
    <w:p w14:paraId="4E55C81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17.6.1最终结清申请单</w:t>
      </w:r>
    </w:p>
    <w:p w14:paraId="4401F93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(3)缺陷责任期终止证书签发后，承包人应在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天内向监理人提交最终结清申请单一式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2C414FED">
      <w:pPr>
        <w:pStyle w:val="5"/>
        <w:spacing w:before="0" w:after="0" w:line="360" w:lineRule="exact"/>
        <w:ind w:firstLine="422" w:firstLineChars="200"/>
        <w:rPr>
          <w:rFonts w:ascii="宋体" w:hAnsi="宋体" w:eastAsia="宋体" w:cs="宋体"/>
          <w:color w:val="auto"/>
          <w:sz w:val="21"/>
          <w:szCs w:val="21"/>
          <w:highlight w:val="none"/>
        </w:rPr>
      </w:pPr>
      <w:bookmarkStart w:id="1267" w:name="_Toc290198789"/>
      <w:r>
        <w:rPr>
          <w:rFonts w:hint="eastAsia" w:ascii="宋体" w:hAnsi="宋体" w:eastAsia="宋体" w:cs="宋体"/>
          <w:color w:val="auto"/>
          <w:sz w:val="21"/>
          <w:szCs w:val="21"/>
          <w:highlight w:val="none"/>
        </w:rPr>
        <w:t>18竣工验收</w:t>
      </w:r>
      <w:bookmarkEnd w:id="1267"/>
    </w:p>
    <w:p w14:paraId="1D07E742">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18.1  竣工验收的含义</w:t>
      </w:r>
    </w:p>
    <w:p w14:paraId="6109DA29">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18.1.4承包人应在竣工验收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天前，向发包人提供竣工资料一式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份,声像资料一式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w:t>
      </w:r>
    </w:p>
    <w:p w14:paraId="792D59B1">
      <w:pPr>
        <w:spacing w:line="360" w:lineRule="exact"/>
        <w:ind w:firstLine="422" w:firstLineChars="200"/>
        <w:rPr>
          <w:rFonts w:ascii="宋体" w:hAnsi="宋体" w:cs="宋体"/>
          <w:b/>
          <w:bCs/>
          <w:color w:val="auto"/>
          <w:szCs w:val="21"/>
          <w:highlight w:val="none"/>
        </w:rPr>
      </w:pPr>
    </w:p>
    <w:p w14:paraId="4DFB10F9">
      <w:pPr>
        <w:pStyle w:val="5"/>
        <w:spacing w:before="0" w:after="0" w:line="360" w:lineRule="exact"/>
        <w:ind w:firstLine="422" w:firstLineChars="200"/>
        <w:rPr>
          <w:rFonts w:ascii="宋体" w:hAnsi="宋体" w:eastAsia="宋体" w:cs="宋体"/>
          <w:color w:val="auto"/>
          <w:sz w:val="21"/>
          <w:szCs w:val="21"/>
          <w:highlight w:val="none"/>
        </w:rPr>
      </w:pPr>
      <w:bookmarkStart w:id="1268" w:name="_Toc290198790"/>
      <w:r>
        <w:rPr>
          <w:rFonts w:hint="eastAsia" w:ascii="宋体" w:hAnsi="宋体" w:eastAsia="宋体" w:cs="宋体"/>
          <w:color w:val="auto"/>
          <w:sz w:val="21"/>
          <w:szCs w:val="21"/>
          <w:highlight w:val="none"/>
        </w:rPr>
        <w:t>19  缺陷责任与保修责任</w:t>
      </w:r>
      <w:bookmarkEnd w:id="1268"/>
    </w:p>
    <w:p w14:paraId="6FCC9A1A">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19.1  缺陷责任期的起算时间</w:t>
      </w:r>
    </w:p>
    <w:p w14:paraId="06471D0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19.1.1缺陷责任期从工程</w:t>
      </w:r>
      <w:r>
        <w:rPr>
          <w:rFonts w:hint="eastAsia" w:ascii="宋体" w:hAnsi="宋体" w:cs="宋体"/>
          <w:color w:val="auto"/>
          <w:szCs w:val="21"/>
          <w:highlight w:val="none"/>
          <w:lang w:val="en-US" w:eastAsia="zh-CN"/>
        </w:rPr>
        <w:t>交</w:t>
      </w:r>
      <w:r>
        <w:rPr>
          <w:rFonts w:hint="eastAsia" w:ascii="宋体" w:hAnsi="宋体" w:cs="宋体"/>
          <w:color w:val="auto"/>
          <w:szCs w:val="21"/>
          <w:highlight w:val="none"/>
        </w:rPr>
        <w:t xml:space="preserve">工之日起算，分别为：            </w:t>
      </w:r>
    </w:p>
    <w:p w14:paraId="1F33AAD0">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(1)疏浚工程不设缺陷责任期；</w:t>
      </w:r>
    </w:p>
    <w:p w14:paraId="10629A8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(2)水工工程缺陷责任期为一年；</w:t>
      </w:r>
    </w:p>
    <w:p w14:paraId="3EE37578">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(3)其他工程：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7256619">
      <w:pPr>
        <w:pStyle w:val="5"/>
        <w:spacing w:before="0" w:after="0" w:line="360" w:lineRule="exact"/>
        <w:ind w:firstLine="420" w:firstLineChars="200"/>
        <w:rPr>
          <w:rFonts w:ascii="宋体" w:hAnsi="宋体"/>
          <w:b w:val="0"/>
          <w:color w:val="auto"/>
          <w:sz w:val="21"/>
          <w:szCs w:val="21"/>
          <w:highlight w:val="none"/>
        </w:rPr>
      </w:pPr>
      <w:r>
        <w:rPr>
          <w:rFonts w:ascii="宋体" w:hAnsi="宋体"/>
          <w:b w:val="0"/>
          <w:color w:val="auto"/>
          <w:sz w:val="21"/>
          <w:szCs w:val="21"/>
          <w:highlight w:val="none"/>
        </w:rPr>
        <w:t xml:space="preserve">21. </w:t>
      </w:r>
      <w:r>
        <w:rPr>
          <w:rFonts w:hint="eastAsia" w:ascii="宋体" w:hAnsi="宋体" w:eastAsia="宋体" w:cs="宋体"/>
          <w:color w:val="auto"/>
          <w:sz w:val="21"/>
          <w:szCs w:val="21"/>
          <w:highlight w:val="none"/>
        </w:rPr>
        <w:t>不可抗力</w:t>
      </w:r>
    </w:p>
    <w:p w14:paraId="1E8B9087">
      <w:pPr>
        <w:pStyle w:val="5"/>
        <w:spacing w:before="0" w:after="0" w:line="360" w:lineRule="exact"/>
        <w:ind w:firstLine="420" w:firstLineChars="200"/>
        <w:rPr>
          <w:rFonts w:ascii="宋体" w:hAnsi="宋体"/>
          <w:b w:val="0"/>
          <w:color w:val="auto"/>
          <w:sz w:val="21"/>
          <w:szCs w:val="21"/>
          <w:highlight w:val="none"/>
        </w:rPr>
      </w:pPr>
      <w:bookmarkStart w:id="1269" w:name="_Toc239696372"/>
      <w:r>
        <w:rPr>
          <w:rFonts w:ascii="宋体" w:hAnsi="宋体"/>
          <w:b w:val="0"/>
          <w:color w:val="auto"/>
          <w:sz w:val="21"/>
          <w:szCs w:val="21"/>
          <w:highlight w:val="none"/>
        </w:rPr>
        <w:t xml:space="preserve">21.1 </w:t>
      </w:r>
      <w:r>
        <w:rPr>
          <w:rFonts w:hint="eastAsia" w:ascii="宋体" w:hAnsi="宋体" w:eastAsia="宋体" w:cs="宋体"/>
          <w:color w:val="auto"/>
          <w:sz w:val="21"/>
          <w:szCs w:val="21"/>
          <w:highlight w:val="none"/>
        </w:rPr>
        <w:t>不可抗力的确认</w:t>
      </w:r>
      <w:bookmarkEnd w:id="1269"/>
    </w:p>
    <w:p w14:paraId="034BB3B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21.1.1  自然灾害仅包括：十二级及以上台风、烈度为七度（地震加速度0.15g）以上地震，并以当地气象、地震部门发布的消息为准。</w:t>
      </w:r>
    </w:p>
    <w:p w14:paraId="1C68A422">
      <w:pPr>
        <w:spacing w:line="36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21.3.1 </w:t>
      </w:r>
      <w:r>
        <w:rPr>
          <w:rFonts w:hint="eastAsia" w:ascii="宋体" w:hAnsi="宋体" w:cs="宋体"/>
          <w:color w:val="auto"/>
          <w:szCs w:val="21"/>
          <w:highlight w:val="none"/>
        </w:rPr>
        <w:t>不可抗力造成损害的责任</w:t>
      </w:r>
    </w:p>
    <w:p w14:paraId="00DD9E5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不可抗力导致的人员伤亡、财产损失、费用增加和（或）工期延误等后果，由合同双方按以下原则承担：</w:t>
      </w:r>
    </w:p>
    <w:p w14:paraId="1467C48B">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）永久工程和因工程损害造成的第三者人员伤亡和财产损失由发包人承担；已运至施工场地的材料的损害由承包人承担。</w:t>
      </w:r>
    </w:p>
    <w:p w14:paraId="13C88F3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）承包人设备的损坏由承包人承担；</w:t>
      </w:r>
    </w:p>
    <w:p w14:paraId="438E7A0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）发包人和承包人各自承担其人员伤亡和其他财产损失及其相关费用；</w:t>
      </w:r>
    </w:p>
    <w:p w14:paraId="267FDFD5">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）承包人的停工损失由承包人承担，停工期间应监理人要求照管工程和清理的金额由承包人承担；</w:t>
      </w:r>
    </w:p>
    <w:p w14:paraId="37D6CA09">
      <w:pPr>
        <w:spacing w:line="360" w:lineRule="exact"/>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）不能按期竣（交）工的，应合理延长工期，承包人不需支付逾期竣（交）工违约金</w:t>
      </w:r>
      <w:r>
        <w:rPr>
          <w:rFonts w:hint="eastAsia" w:ascii="宋体" w:hAnsi="宋体"/>
          <w:color w:val="auto"/>
          <w:szCs w:val="21"/>
          <w:highlight w:val="none"/>
        </w:rPr>
        <w:t>。</w:t>
      </w:r>
    </w:p>
    <w:p w14:paraId="533D4F08">
      <w:pPr>
        <w:pStyle w:val="5"/>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 </w:t>
      </w:r>
      <w:r>
        <w:rPr>
          <w:rFonts w:hint="eastAsia" w:ascii="宋体" w:hAnsi="宋体" w:eastAsia="宋体" w:cs="宋体"/>
          <w:color w:val="auto"/>
          <w:sz w:val="21"/>
          <w:szCs w:val="21"/>
          <w:highlight w:val="none"/>
        </w:rPr>
        <w:t>违约</w:t>
      </w:r>
    </w:p>
    <w:p w14:paraId="710E58F1">
      <w:pPr>
        <w:pStyle w:val="5"/>
        <w:spacing w:before="0" w:after="0" w:line="300" w:lineRule="auto"/>
        <w:ind w:firstLine="420" w:firstLineChars="200"/>
        <w:rPr>
          <w:rFonts w:ascii="宋体" w:hAnsi="宋体" w:eastAsia="宋体"/>
          <w:b w:val="0"/>
          <w:color w:val="auto"/>
          <w:sz w:val="21"/>
          <w:szCs w:val="21"/>
          <w:highlight w:val="none"/>
        </w:rPr>
      </w:pPr>
      <w:r>
        <w:rPr>
          <w:rFonts w:ascii="宋体" w:hAnsi="宋体" w:eastAsia="宋体"/>
          <w:b w:val="0"/>
          <w:color w:val="auto"/>
          <w:sz w:val="21"/>
          <w:szCs w:val="21"/>
          <w:highlight w:val="none"/>
        </w:rPr>
        <w:t xml:space="preserve">22.1 </w:t>
      </w:r>
      <w:r>
        <w:rPr>
          <w:rFonts w:hint="eastAsia" w:ascii="宋体" w:hAnsi="宋体" w:eastAsia="宋体" w:cs="宋体"/>
          <w:color w:val="auto"/>
          <w:sz w:val="21"/>
          <w:szCs w:val="21"/>
          <w:highlight w:val="none"/>
        </w:rPr>
        <w:t>承包人违约</w:t>
      </w:r>
    </w:p>
    <w:p w14:paraId="48B67D0F">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22.1.1 </w:t>
      </w:r>
      <w:r>
        <w:rPr>
          <w:rFonts w:hint="eastAsia" w:ascii="宋体" w:hAnsi="宋体" w:cs="宋体"/>
          <w:color w:val="auto"/>
          <w:szCs w:val="21"/>
          <w:highlight w:val="none"/>
        </w:rPr>
        <w:t>承包人违约的情形</w:t>
      </w:r>
    </w:p>
    <w:p w14:paraId="56545AAB">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）承包人不按合同约定或投标文件的承诺履行义务的其他情况。</w:t>
      </w:r>
    </w:p>
    <w:p w14:paraId="315EB6DD">
      <w:pPr>
        <w:spacing w:line="30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22.1.2 </w:t>
      </w:r>
      <w:r>
        <w:rPr>
          <w:rFonts w:hint="eastAsia" w:ascii="宋体" w:hAnsi="宋体" w:cs="宋体"/>
          <w:color w:val="auto"/>
          <w:szCs w:val="21"/>
          <w:highlight w:val="none"/>
        </w:rPr>
        <w:t>对承包人违约的处理</w:t>
      </w:r>
    </w:p>
    <w:p w14:paraId="08304B66">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（4）施工中因承包人原因造成工程重大损失的，承包人应修复，无法修复时承包人应赔偿由此给发包人造成的损失。</w:t>
      </w:r>
    </w:p>
    <w:p w14:paraId="7A3AD81A">
      <w:pPr>
        <w:spacing w:line="30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rPr>
        <w:t>（5）未经发包人、监理人同意，本工程的项目经理、技术负责人擅自离开现场的，按每天每人次人民币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元向承包人处罚；经发包人、监理人同意后在不影响工作前提下方可离开现场。无论发包人、监理人同意与否，承包人在施工期间更换本工程项目经理、技术负责人，每更换一人次，罚款人民币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未经项目法人书面同意，投标承诺的项目经理、技术负责人不得更换；若有更换，项目经理、技术负责人不得低于投标时的人员资格标准。</w:t>
      </w:r>
    </w:p>
    <w:p w14:paraId="6B7733F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因承包人原因，施工主要船舶、机械设备未按4.1.10.1款的约定或投标文件中承诺的时间安排到位，每台每延期一天到位，承包人必须向发包人赔偿人民币2万元；如施工中主要船舶、机械设备未经允许擅自临时外调或退场，承包人必须向发包人赔偿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元/台·天；上述赔偿款从当月工程进度款中扣除。</w:t>
      </w:r>
    </w:p>
    <w:p w14:paraId="7E17793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（7）上述承包人的罚款和赔偿款，从发包人支付的当月的进度款中扣减。</w:t>
      </w:r>
    </w:p>
    <w:p w14:paraId="3F1C744E">
      <w:pPr>
        <w:pStyle w:val="5"/>
        <w:spacing w:before="0" w:after="0" w:line="360" w:lineRule="exact"/>
        <w:ind w:firstLine="422" w:firstLineChars="200"/>
        <w:rPr>
          <w:rFonts w:hint="eastAsia" w:ascii="宋体" w:hAnsi="宋体" w:eastAsia="宋体" w:cs="宋体"/>
          <w:color w:val="auto"/>
          <w:sz w:val="21"/>
          <w:szCs w:val="21"/>
          <w:highlight w:val="none"/>
          <w:lang w:val="en-US" w:eastAsia="zh-CN"/>
        </w:rPr>
      </w:pPr>
      <w:bookmarkStart w:id="1270" w:name="_Toc290198791"/>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4.争议的解决</w:t>
      </w:r>
    </w:p>
    <w:p w14:paraId="15FCA9A3">
      <w:pPr>
        <w:pStyle w:val="5"/>
        <w:spacing w:before="0" w:after="0"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24.1</w:t>
      </w:r>
      <w:r>
        <w:rPr>
          <w:rFonts w:hint="eastAsia" w:ascii="宋体" w:hAnsi="宋体" w:eastAsia="宋体" w:cs="宋体"/>
          <w:color w:val="auto"/>
          <w:sz w:val="21"/>
          <w:szCs w:val="21"/>
          <w:highlight w:val="none"/>
        </w:rPr>
        <w:t xml:space="preserve"> 争议的解决方式：</w:t>
      </w:r>
    </w:p>
    <w:p w14:paraId="19E5AA58">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种方式解决：</w:t>
      </w:r>
    </w:p>
    <w:p w14:paraId="7D880647">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仲裁委员会申请仲裁；</w:t>
      </w:r>
    </w:p>
    <w:p w14:paraId="33243670">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人民法院起诉。</w:t>
      </w:r>
    </w:p>
    <w:p w14:paraId="1606030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25其他约定</w:t>
      </w:r>
      <w:bookmarkEnd w:id="1270"/>
    </w:p>
    <w:p w14:paraId="6AECC17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25.1 合同当事人和人员</w:t>
      </w:r>
    </w:p>
    <w:p w14:paraId="5D9331B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25.1.1 监理人施工现场派出机构：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44F685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25.1.2 总监理工程师：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526B5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25.1.3 工程建设项目代理人：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09BF5A">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25.1.4 项目技术负责人：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A86762">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25.1.5 发包人代表：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573655C">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25.2 工程和占地</w:t>
      </w:r>
    </w:p>
    <w:p w14:paraId="449E76BC">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25.2.1 永久工程：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0C9EC7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25.2.2 临时工程：</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F69F7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25.2.3 永久占地：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CF8B1F7">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25.2.4 临时占地：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571D90E">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25.3 日期</w:t>
      </w:r>
    </w:p>
    <w:p w14:paraId="35CE596F">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25.3.1 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D7E7614">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25.3.2 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重要节点计划竣工日期：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65B7817">
      <w:pPr>
        <w:pStyle w:val="5"/>
        <w:spacing w:before="0" w:after="0" w:line="360" w:lineRule="exact"/>
        <w:ind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25.4 其他</w:t>
      </w:r>
    </w:p>
    <w:p w14:paraId="177DD0BC">
      <w:pPr>
        <w:adjustRightInd w:val="0"/>
        <w:snapToGrid w:val="0"/>
        <w:spacing w:line="360" w:lineRule="auto"/>
        <w:ind w:firstLine="472" w:firstLineChars="225"/>
        <w:rPr>
          <w:rFonts w:ascii="宋体" w:hAnsi="宋体"/>
          <w:color w:val="auto"/>
          <w:szCs w:val="21"/>
          <w:highlight w:val="none"/>
          <w:u w:val="single"/>
        </w:rPr>
      </w:pPr>
    </w:p>
    <w:p w14:paraId="1CDE716D">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1975B8D9">
      <w:pPr>
        <w:pStyle w:val="4"/>
        <w:jc w:val="center"/>
        <w:rPr>
          <w:rFonts w:ascii="宋体" w:hAnsi="宋体"/>
          <w:color w:val="auto"/>
          <w:highlight w:val="none"/>
        </w:rPr>
      </w:pPr>
      <w:bookmarkStart w:id="1271" w:name="_Toc290198792"/>
      <w:bookmarkStart w:id="1272" w:name="_Toc490832362"/>
      <w:r>
        <w:rPr>
          <w:rFonts w:hint="eastAsia" w:ascii="宋体" w:hAnsi="宋体"/>
          <w:color w:val="auto"/>
          <w:highlight w:val="none"/>
        </w:rPr>
        <w:t>第三节 合同附件格式</w:t>
      </w:r>
      <w:bookmarkEnd w:id="1271"/>
      <w:bookmarkEnd w:id="1272"/>
    </w:p>
    <w:p w14:paraId="4FAADFBC">
      <w:pPr>
        <w:pStyle w:val="5"/>
        <w:spacing w:before="120" w:after="120" w:line="377" w:lineRule="auto"/>
        <w:jc w:val="left"/>
        <w:rPr>
          <w:color w:val="auto"/>
          <w:highlight w:val="none"/>
        </w:rPr>
      </w:pPr>
      <w:r>
        <w:rPr>
          <w:rFonts w:hint="eastAsia"/>
          <w:color w:val="auto"/>
          <w:highlight w:val="none"/>
        </w:rPr>
        <w:t>附件一：合同协议书</w:t>
      </w:r>
    </w:p>
    <w:p w14:paraId="5DF147FA">
      <w:pPr>
        <w:spacing w:after="158" w:afterLines="5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合同协议书</w:t>
      </w:r>
    </w:p>
    <w:p w14:paraId="1B92D95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 xml:space="preserve"> ）为实施</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，已接受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（承包人名称，以下简称“承包人</w:t>
      </w:r>
      <w:r>
        <w:rPr>
          <w:rFonts w:ascii="宋体" w:hAnsi="宋体"/>
          <w:color w:val="auto"/>
          <w:szCs w:val="21"/>
          <w:highlight w:val="none"/>
        </w:rPr>
        <w:t>”</w:t>
      </w:r>
      <w:r>
        <w:rPr>
          <w:rFonts w:hint="eastAsia" w:ascii="宋体" w:hAnsi="宋体"/>
          <w:color w:val="auto"/>
          <w:szCs w:val="21"/>
          <w:highlight w:val="none"/>
        </w:rPr>
        <w:t xml:space="preserve"> ）对该项目</w:t>
      </w:r>
      <w:r>
        <w:rPr>
          <w:rFonts w:hint="eastAsia" w:ascii="宋体" w:hAnsi="宋体"/>
          <w:color w:val="auto"/>
          <w:szCs w:val="21"/>
          <w:highlight w:val="none"/>
          <w:u w:val="single"/>
        </w:rPr>
        <w:t xml:space="preserve">   </w:t>
      </w:r>
      <w:r>
        <w:rPr>
          <w:rFonts w:hint="eastAsia" w:ascii="宋体" w:hAnsi="宋体"/>
          <w:color w:val="auto"/>
          <w:szCs w:val="21"/>
          <w:highlight w:val="none"/>
        </w:rPr>
        <w:t>标段施工的投标。发包人和承包人共同达成如下协议。</w:t>
      </w:r>
    </w:p>
    <w:p w14:paraId="169C9F4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1．本协议书与下列文件一起构成合同文件：</w:t>
      </w:r>
    </w:p>
    <w:p w14:paraId="39ACCE19">
      <w:pPr>
        <w:pStyle w:val="77"/>
        <w:numPr>
          <w:ilvl w:val="0"/>
          <w:numId w:val="13"/>
        </w:numPr>
        <w:spacing w:line="360" w:lineRule="exact"/>
        <w:ind w:firstLineChars="0"/>
        <w:rPr>
          <w:color w:val="auto"/>
          <w:szCs w:val="21"/>
          <w:highlight w:val="none"/>
        </w:rPr>
      </w:pPr>
      <w:r>
        <w:rPr>
          <w:rFonts w:hint="eastAsia"/>
          <w:color w:val="auto"/>
          <w:szCs w:val="21"/>
          <w:highlight w:val="none"/>
        </w:rPr>
        <w:t>合同履行中双方签署的书面文件；</w:t>
      </w:r>
    </w:p>
    <w:p w14:paraId="11B62D3C">
      <w:pPr>
        <w:pStyle w:val="77"/>
        <w:numPr>
          <w:ilvl w:val="0"/>
          <w:numId w:val="13"/>
        </w:numPr>
        <w:spacing w:line="360" w:lineRule="exact"/>
        <w:ind w:firstLineChars="0"/>
        <w:rPr>
          <w:color w:val="auto"/>
          <w:szCs w:val="21"/>
          <w:highlight w:val="none"/>
        </w:rPr>
      </w:pPr>
      <w:r>
        <w:rPr>
          <w:rFonts w:hint="eastAsia"/>
          <w:color w:val="auto"/>
          <w:szCs w:val="21"/>
          <w:highlight w:val="none"/>
        </w:rPr>
        <w:t>中标通知书；</w:t>
      </w:r>
    </w:p>
    <w:p w14:paraId="1578E5C8">
      <w:pPr>
        <w:pStyle w:val="77"/>
        <w:numPr>
          <w:ilvl w:val="0"/>
          <w:numId w:val="13"/>
        </w:numPr>
        <w:spacing w:line="360" w:lineRule="exact"/>
        <w:ind w:firstLineChars="0"/>
        <w:jc w:val="left"/>
        <w:rPr>
          <w:color w:val="auto"/>
          <w:szCs w:val="21"/>
          <w:highlight w:val="none"/>
        </w:rPr>
      </w:pPr>
      <w:r>
        <w:rPr>
          <w:rFonts w:hint="eastAsia"/>
          <w:color w:val="auto"/>
          <w:szCs w:val="21"/>
          <w:highlight w:val="none"/>
        </w:rPr>
        <w:t>投标函及投标函附录；</w:t>
      </w:r>
    </w:p>
    <w:p w14:paraId="1234D932">
      <w:pPr>
        <w:pStyle w:val="77"/>
        <w:numPr>
          <w:ilvl w:val="0"/>
          <w:numId w:val="13"/>
        </w:numPr>
        <w:spacing w:line="360" w:lineRule="exact"/>
        <w:ind w:firstLineChars="0"/>
        <w:rPr>
          <w:color w:val="auto"/>
          <w:szCs w:val="21"/>
          <w:highlight w:val="none"/>
        </w:rPr>
      </w:pPr>
      <w:r>
        <w:rPr>
          <w:rFonts w:hint="eastAsia"/>
          <w:color w:val="auto"/>
          <w:szCs w:val="21"/>
          <w:highlight w:val="none"/>
        </w:rPr>
        <w:t>专用合同条款；</w:t>
      </w:r>
    </w:p>
    <w:p w14:paraId="778266BE">
      <w:pPr>
        <w:pStyle w:val="77"/>
        <w:numPr>
          <w:ilvl w:val="0"/>
          <w:numId w:val="13"/>
        </w:numPr>
        <w:spacing w:line="360" w:lineRule="exact"/>
        <w:ind w:firstLineChars="0"/>
        <w:rPr>
          <w:color w:val="auto"/>
          <w:szCs w:val="21"/>
          <w:highlight w:val="none"/>
        </w:rPr>
      </w:pPr>
      <w:r>
        <w:rPr>
          <w:rFonts w:hint="eastAsia"/>
          <w:color w:val="auto"/>
          <w:szCs w:val="21"/>
          <w:highlight w:val="none"/>
        </w:rPr>
        <w:t>通用合同条款；</w:t>
      </w:r>
    </w:p>
    <w:p w14:paraId="673B1A32">
      <w:pPr>
        <w:pStyle w:val="77"/>
        <w:numPr>
          <w:ilvl w:val="0"/>
          <w:numId w:val="13"/>
        </w:numPr>
        <w:spacing w:line="360" w:lineRule="exact"/>
        <w:ind w:firstLineChars="0"/>
        <w:rPr>
          <w:color w:val="auto"/>
          <w:szCs w:val="21"/>
          <w:highlight w:val="none"/>
        </w:rPr>
      </w:pPr>
      <w:r>
        <w:rPr>
          <w:rFonts w:hint="eastAsia"/>
          <w:color w:val="auto"/>
          <w:szCs w:val="21"/>
          <w:highlight w:val="none"/>
        </w:rPr>
        <w:t>技术标准和要求；</w:t>
      </w:r>
    </w:p>
    <w:p w14:paraId="51F2890B">
      <w:pPr>
        <w:pStyle w:val="77"/>
        <w:numPr>
          <w:ilvl w:val="0"/>
          <w:numId w:val="13"/>
        </w:numPr>
        <w:spacing w:line="360" w:lineRule="exact"/>
        <w:ind w:firstLineChars="0"/>
        <w:rPr>
          <w:color w:val="auto"/>
          <w:szCs w:val="21"/>
          <w:highlight w:val="none"/>
        </w:rPr>
      </w:pPr>
      <w:r>
        <w:rPr>
          <w:rFonts w:hint="eastAsia"/>
          <w:color w:val="auto"/>
          <w:szCs w:val="21"/>
          <w:highlight w:val="none"/>
        </w:rPr>
        <w:t>图纸；</w:t>
      </w:r>
    </w:p>
    <w:p w14:paraId="4D0E79B0">
      <w:pPr>
        <w:pStyle w:val="77"/>
        <w:numPr>
          <w:ilvl w:val="0"/>
          <w:numId w:val="13"/>
        </w:numPr>
        <w:spacing w:line="360" w:lineRule="exact"/>
        <w:ind w:firstLineChars="0"/>
        <w:rPr>
          <w:color w:val="auto"/>
          <w:szCs w:val="21"/>
          <w:highlight w:val="none"/>
        </w:rPr>
      </w:pPr>
      <w:r>
        <w:rPr>
          <w:rFonts w:hint="eastAsia"/>
          <w:color w:val="auto"/>
          <w:szCs w:val="21"/>
          <w:highlight w:val="none"/>
        </w:rPr>
        <w:t>已标价工程量清单；</w:t>
      </w:r>
    </w:p>
    <w:p w14:paraId="0A360A30">
      <w:pPr>
        <w:pStyle w:val="77"/>
        <w:numPr>
          <w:ilvl w:val="0"/>
          <w:numId w:val="13"/>
        </w:numPr>
        <w:spacing w:line="360" w:lineRule="exact"/>
        <w:ind w:firstLineChars="0"/>
        <w:rPr>
          <w:color w:val="auto"/>
          <w:szCs w:val="21"/>
          <w:highlight w:val="none"/>
        </w:rPr>
      </w:pPr>
      <w:r>
        <w:rPr>
          <w:rFonts w:hint="eastAsia"/>
          <w:color w:val="auto"/>
          <w:szCs w:val="21"/>
          <w:highlight w:val="none"/>
        </w:rPr>
        <w:t>其他合同文件：</w:t>
      </w:r>
      <w:r>
        <w:rPr>
          <w:rFonts w:hint="eastAsia"/>
          <w:color w:val="auto"/>
          <w:szCs w:val="21"/>
          <w:highlight w:val="none"/>
          <w:u w:val="single"/>
        </w:rPr>
        <w:t xml:space="preserve">              </w:t>
      </w:r>
      <w:r>
        <w:rPr>
          <w:rFonts w:hint="eastAsia"/>
          <w:color w:val="auto"/>
          <w:szCs w:val="21"/>
          <w:highlight w:val="none"/>
        </w:rPr>
        <w:t>。</w:t>
      </w:r>
    </w:p>
    <w:p w14:paraId="7196F397">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2．上述文件互相补充和解释，如有不明确或不一致之处，以合同约定次序在先者为准。</w:t>
      </w:r>
    </w:p>
    <w:p w14:paraId="7463A6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3．签约合同价：人民币（大写）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5D941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4．承包人项目经理：</w:t>
      </w:r>
      <w:r>
        <w:rPr>
          <w:rFonts w:hint="eastAsia" w:ascii="宋体" w:hAnsi="宋体"/>
          <w:color w:val="auto"/>
          <w:szCs w:val="21"/>
          <w:highlight w:val="none"/>
          <w:u w:val="single"/>
        </w:rPr>
        <w:t xml:space="preserve">                     </w:t>
      </w:r>
    </w:p>
    <w:p w14:paraId="60757F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5．工程质量符合</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41E0D4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6．承包人承诺按合同约定承担工程的实施、完成及缺陷修复。</w:t>
      </w:r>
    </w:p>
    <w:p w14:paraId="7F40F97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7．发包人承诺按合同约定的条件、时间和方式向承包人支付合同价款。</w:t>
      </w:r>
    </w:p>
    <w:p w14:paraId="5663EC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8．承包人应按照监理人指示开工，工期为</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w:t>
      </w:r>
    </w:p>
    <w:p w14:paraId="211B63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9．本协议书一式</w:t>
      </w:r>
      <w:r>
        <w:rPr>
          <w:rFonts w:hint="eastAsia" w:ascii="宋体" w:hAnsi="宋体"/>
          <w:color w:val="auto"/>
          <w:szCs w:val="21"/>
          <w:highlight w:val="none"/>
          <w:u w:val="single"/>
        </w:rPr>
        <w:t xml:space="preserve">     </w:t>
      </w:r>
      <w:r>
        <w:rPr>
          <w:rFonts w:hint="eastAsia" w:ascii="宋体" w:hAnsi="宋体"/>
          <w:color w:val="auto"/>
          <w:szCs w:val="21"/>
          <w:highlight w:val="none"/>
        </w:rPr>
        <w:t>份，合同双方各执一份。</w:t>
      </w:r>
    </w:p>
    <w:p w14:paraId="048DEF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10．合同未尽事宜，双方另行签订补充协议。补充协议是合同的组成部分。</w:t>
      </w:r>
    </w:p>
    <w:p w14:paraId="183CDF0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        承包人：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E3BB11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049C2AF9">
      <w:pPr>
        <w:spacing w:line="360" w:lineRule="exact"/>
        <w:ind w:firstLine="1155" w:firstLineChars="55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月＿日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月＿日</w:t>
      </w:r>
    </w:p>
    <w:p w14:paraId="5D61D5D8">
      <w:pPr>
        <w:pStyle w:val="5"/>
        <w:spacing w:before="120" w:after="120" w:line="377" w:lineRule="auto"/>
        <w:jc w:val="left"/>
        <w:rPr>
          <w:color w:val="auto"/>
          <w:highlight w:val="none"/>
        </w:rPr>
      </w:pPr>
      <w:r>
        <w:rPr>
          <w:rFonts w:hint="eastAsia"/>
          <w:color w:val="auto"/>
          <w:highlight w:val="none"/>
        </w:rPr>
        <w:t>附件二：履约担保格式</w:t>
      </w:r>
    </w:p>
    <w:p w14:paraId="0A3EDA03">
      <w:pPr>
        <w:spacing w:line="360" w:lineRule="auto"/>
        <w:ind w:firstLine="482" w:firstLineChars="200"/>
        <w:jc w:val="center"/>
        <w:rPr>
          <w:rFonts w:ascii="宋体" w:hAnsi="宋体"/>
          <w:b/>
          <w:color w:val="auto"/>
          <w:sz w:val="24"/>
          <w:highlight w:val="none"/>
        </w:rPr>
      </w:pPr>
      <w:r>
        <w:rPr>
          <w:rFonts w:hint="eastAsia" w:ascii="宋体" w:hAnsi="宋体"/>
          <w:b/>
          <w:color w:val="auto"/>
          <w:sz w:val="24"/>
          <w:highlight w:val="none"/>
        </w:rPr>
        <w:t>履约担保</w:t>
      </w:r>
    </w:p>
    <w:p w14:paraId="471658A3">
      <w:pPr>
        <w:spacing w:line="360" w:lineRule="auto"/>
        <w:rPr>
          <w:rFonts w:ascii="宋体" w:hAnsi="宋体"/>
          <w:color w:val="auto"/>
          <w:szCs w:val="21"/>
          <w:highlight w:val="none"/>
          <w:u w:val="single"/>
        </w:rPr>
      </w:pPr>
    </w:p>
    <w:p w14:paraId="0341541F">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（发包人名称）: </w:t>
      </w:r>
    </w:p>
    <w:p w14:paraId="45F9E0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（发包人名称，以下简称“发包人</w:t>
      </w:r>
      <w:r>
        <w:rPr>
          <w:rFonts w:ascii="宋体" w:hAnsi="宋体"/>
          <w:color w:val="auto"/>
          <w:szCs w:val="21"/>
          <w:highlight w:val="none"/>
        </w:rPr>
        <w:t>”</w:t>
      </w:r>
      <w:r>
        <w:rPr>
          <w:rFonts w:hint="eastAsia" w:ascii="宋体" w:hAnsi="宋体"/>
          <w:color w:val="auto"/>
          <w:szCs w:val="21"/>
          <w:highlight w:val="none"/>
        </w:rPr>
        <w:t>）接受</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w:t>
      </w:r>
      <w:r>
        <w:rPr>
          <w:rFonts w:ascii="宋体" w:hAnsi="宋体"/>
          <w:color w:val="auto"/>
          <w:szCs w:val="21"/>
          <w:highlight w:val="none"/>
        </w:rPr>
        <w:t>”</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年＿月＿日参加</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工程施工的投标。我方愿意无条件地、不可撤销地就承包人履行与你方订立的合同，向你方提供担保。</w:t>
      </w:r>
    </w:p>
    <w:p w14:paraId="7DE820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3D647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2．担保有效期自发包人与承包人签订的合同生效之日起至发包人签发工程接收证书之日止。</w:t>
      </w:r>
    </w:p>
    <w:p w14:paraId="0415B1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3．在本担保有效期内，因承包人违反合同约定的义务给你方造成经济损失时，我方在收到你方以书面形式提出的在担保金额内的赔偿要求后，在7天内无条件支付。</w:t>
      </w:r>
    </w:p>
    <w:p w14:paraId="7F974D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4．发包人和承包人按《通用合同条款》第15条变更合同时，我方承担本担保规定的义务不变。</w:t>
      </w:r>
    </w:p>
    <w:p w14:paraId="54852676">
      <w:pPr>
        <w:spacing w:line="360" w:lineRule="auto"/>
        <w:ind w:firstLine="420" w:firstLineChars="200"/>
        <w:rPr>
          <w:rFonts w:ascii="宋体" w:hAnsi="宋体"/>
          <w:color w:val="auto"/>
          <w:szCs w:val="21"/>
          <w:highlight w:val="none"/>
        </w:rPr>
      </w:pPr>
    </w:p>
    <w:p w14:paraId="3F99CB46">
      <w:pPr>
        <w:spacing w:line="360" w:lineRule="auto"/>
        <w:ind w:firstLine="420" w:firstLineChars="200"/>
        <w:rPr>
          <w:rFonts w:ascii="宋体" w:hAnsi="宋体"/>
          <w:color w:val="auto"/>
          <w:szCs w:val="21"/>
          <w:highlight w:val="none"/>
        </w:rPr>
      </w:pPr>
    </w:p>
    <w:p w14:paraId="11E23B13">
      <w:pPr>
        <w:spacing w:line="360" w:lineRule="auto"/>
        <w:ind w:firstLine="420" w:firstLineChars="200"/>
        <w:rPr>
          <w:rFonts w:ascii="宋体" w:hAnsi="宋体"/>
          <w:color w:val="auto"/>
          <w:szCs w:val="21"/>
          <w:highlight w:val="none"/>
        </w:rPr>
      </w:pPr>
    </w:p>
    <w:p w14:paraId="09828B2D">
      <w:pPr>
        <w:spacing w:line="360" w:lineRule="auto"/>
        <w:jc w:val="right"/>
        <w:rPr>
          <w:rFonts w:ascii="宋体" w:hAnsi="宋体"/>
          <w:color w:val="auto"/>
          <w:szCs w:val="21"/>
          <w:highlight w:val="none"/>
        </w:rPr>
      </w:pPr>
      <w:r>
        <w:rPr>
          <w:rFonts w:hint="eastAsia" w:ascii="宋体" w:hAnsi="宋体"/>
          <w:color w:val="auto"/>
          <w:szCs w:val="21"/>
          <w:highlight w:val="none"/>
        </w:rPr>
        <w:t>担保人：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4B0EC302">
      <w:pPr>
        <w:spacing w:line="360" w:lineRule="auto"/>
        <w:ind w:firstLine="420" w:firstLineChars="200"/>
        <w:rPr>
          <w:rFonts w:ascii="宋体" w:hAnsi="宋体"/>
          <w:color w:val="auto"/>
          <w:szCs w:val="21"/>
          <w:highlight w:val="none"/>
        </w:rPr>
      </w:pPr>
    </w:p>
    <w:p w14:paraId="674D9231">
      <w:pPr>
        <w:spacing w:line="360" w:lineRule="auto"/>
        <w:jc w:val="right"/>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20A046E2">
      <w:pPr>
        <w:spacing w:line="360" w:lineRule="auto"/>
        <w:ind w:firstLine="420" w:firstLineChars="200"/>
        <w:rPr>
          <w:rFonts w:ascii="宋体" w:hAnsi="宋体"/>
          <w:color w:val="auto"/>
          <w:szCs w:val="21"/>
          <w:highlight w:val="none"/>
        </w:rPr>
      </w:pPr>
    </w:p>
    <w:p w14:paraId="4397DA00">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14:paraId="429E9A26">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19AB6439">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14:paraId="1B6FBF72">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14:paraId="37325793">
      <w:pPr>
        <w:spacing w:line="360" w:lineRule="auto"/>
        <w:ind w:firstLine="4620" w:firstLineChars="22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4F89957">
      <w:pPr>
        <w:spacing w:line="360" w:lineRule="auto"/>
        <w:ind w:firstLine="420" w:firstLineChars="200"/>
        <w:rPr>
          <w:rFonts w:ascii="宋体" w:hAnsi="宋体"/>
          <w:color w:val="auto"/>
          <w:szCs w:val="21"/>
          <w:highlight w:val="none"/>
        </w:rPr>
      </w:pPr>
    </w:p>
    <w:p w14:paraId="3603E6C5">
      <w:pPr>
        <w:spacing w:line="360" w:lineRule="exact"/>
        <w:ind w:firstLine="5460" w:firstLineChars="2600"/>
        <w:jc w:val="left"/>
        <w:rPr>
          <w:rFonts w:ascii="宋体" w:hAnsi="宋体"/>
          <w:color w:val="auto"/>
          <w:highlight w:val="none"/>
        </w:rPr>
      </w:pPr>
    </w:p>
    <w:p w14:paraId="3BDF74F6">
      <w:pPr>
        <w:spacing w:line="420" w:lineRule="exact"/>
        <w:jc w:val="center"/>
        <w:rPr>
          <w:rFonts w:ascii="宋体" w:hAnsi="宋体"/>
          <w:b/>
          <w:bCs/>
          <w:color w:val="auto"/>
          <w:sz w:val="32"/>
          <w:szCs w:val="32"/>
          <w:highlight w:val="none"/>
        </w:rPr>
      </w:pPr>
    </w:p>
    <w:p w14:paraId="5A0828B7">
      <w:pPr>
        <w:spacing w:line="420" w:lineRule="exact"/>
        <w:jc w:val="left"/>
        <w:rPr>
          <w:rFonts w:ascii="黑体" w:hAnsi="宋体" w:eastAsia="黑体"/>
          <w:b/>
          <w:bCs/>
          <w:color w:val="auto"/>
          <w:sz w:val="32"/>
          <w:szCs w:val="32"/>
          <w:highlight w:val="none"/>
        </w:rPr>
      </w:pPr>
      <w:r>
        <w:rPr>
          <w:rFonts w:ascii="宋体" w:hAnsi="宋体"/>
          <w:b/>
          <w:bCs/>
          <w:color w:val="auto"/>
          <w:sz w:val="32"/>
          <w:szCs w:val="32"/>
          <w:highlight w:val="none"/>
        </w:rPr>
        <w:br w:type="page"/>
      </w:r>
      <w:r>
        <w:rPr>
          <w:rFonts w:hint="eastAsia" w:ascii="黑体" w:hAnsi="宋体" w:eastAsia="黑体"/>
          <w:b/>
          <w:bCs/>
          <w:color w:val="auto"/>
          <w:sz w:val="32"/>
          <w:szCs w:val="32"/>
          <w:highlight w:val="none"/>
        </w:rPr>
        <w:t>附件三：廉政协议</w:t>
      </w:r>
    </w:p>
    <w:p w14:paraId="3D9EE7CF">
      <w:pPr>
        <w:spacing w:line="420" w:lineRule="exact"/>
        <w:jc w:val="center"/>
        <w:rPr>
          <w:rFonts w:ascii="宋体" w:hAnsi="宋体"/>
          <w:b/>
          <w:bCs/>
          <w:color w:val="auto"/>
          <w:sz w:val="32"/>
          <w:szCs w:val="32"/>
          <w:highlight w:val="none"/>
        </w:rPr>
      </w:pPr>
    </w:p>
    <w:p w14:paraId="7CC0C47C">
      <w:pPr>
        <w:spacing w:line="360" w:lineRule="auto"/>
        <w:ind w:firstLine="482" w:firstLineChars="200"/>
        <w:jc w:val="center"/>
        <w:rPr>
          <w:rFonts w:ascii="宋体" w:hAnsi="宋体"/>
          <w:b/>
          <w:bCs/>
          <w:color w:val="auto"/>
          <w:sz w:val="44"/>
          <w:szCs w:val="44"/>
          <w:highlight w:val="none"/>
        </w:rPr>
      </w:pPr>
      <w:r>
        <w:rPr>
          <w:rFonts w:hint="eastAsia" w:ascii="宋体" w:hAnsi="宋体"/>
          <w:b/>
          <w:color w:val="auto"/>
          <w:sz w:val="24"/>
          <w:highlight w:val="none"/>
        </w:rPr>
        <w:t>廉政协议</w:t>
      </w:r>
    </w:p>
    <w:p w14:paraId="2022B0E3">
      <w:pPr>
        <w:spacing w:line="400" w:lineRule="exact"/>
        <w:ind w:firstLine="420" w:firstLineChars="200"/>
        <w:rPr>
          <w:rFonts w:ascii="宋体" w:hAnsi="宋体"/>
          <w:color w:val="auto"/>
          <w:szCs w:val="21"/>
          <w:highlight w:val="none"/>
        </w:rPr>
      </w:pPr>
      <w:r>
        <w:rPr>
          <w:rFonts w:hint="eastAsia" w:ascii="宋体" w:hAnsi="宋体"/>
          <w:color w:val="auto"/>
          <w:highlight w:val="none"/>
        </w:rPr>
        <w:t xml:space="preserve"> </w:t>
      </w:r>
    </w:p>
    <w:p w14:paraId="009EB787">
      <w:pPr>
        <w:spacing w:line="400" w:lineRule="exact"/>
        <w:ind w:firstLine="420" w:firstLineChars="200"/>
        <w:rPr>
          <w:rFonts w:ascii="宋体" w:hAnsi="宋体"/>
          <w:color w:val="auto"/>
          <w:highlight w:val="none"/>
        </w:rPr>
      </w:pPr>
      <w:r>
        <w:rPr>
          <w:rFonts w:hint="eastAsia" w:ascii="宋体" w:hAnsi="宋体"/>
          <w:color w:val="auto"/>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highlight w:val="none"/>
          <w:u w:val="single"/>
        </w:rPr>
        <w:t xml:space="preserve">            </w:t>
      </w:r>
      <w:r>
        <w:rPr>
          <w:rFonts w:hint="eastAsia" w:ascii="宋体" w:hAnsi="宋体"/>
          <w:color w:val="auto"/>
          <w:highlight w:val="none"/>
        </w:rPr>
        <w:t>（项目名称）的项目建设单位</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（发包人名称，以下简称“发包人”）与该项目的施工单位</w:t>
      </w:r>
      <w:r>
        <w:rPr>
          <w:rFonts w:hint="eastAsia" w:ascii="宋体" w:hAnsi="宋体"/>
          <w:color w:val="auto"/>
          <w:highlight w:val="none"/>
          <w:u w:val="single"/>
        </w:rPr>
        <w:t xml:space="preserve">     </w:t>
      </w:r>
      <w:r>
        <w:rPr>
          <w:rFonts w:hint="eastAsia" w:ascii="宋体" w:hAnsi="宋体"/>
          <w:color w:val="auto"/>
          <w:highlight w:val="none"/>
        </w:rPr>
        <w:t>（施工单位名称，以下简称“承包人”），特订立如下合同。</w:t>
      </w:r>
    </w:p>
    <w:p w14:paraId="37EBDE1D">
      <w:pPr>
        <w:spacing w:line="400" w:lineRule="exact"/>
        <w:ind w:firstLine="420" w:firstLineChars="200"/>
        <w:rPr>
          <w:rFonts w:ascii="宋体" w:hAnsi="宋体"/>
          <w:color w:val="auto"/>
          <w:highlight w:val="none"/>
        </w:rPr>
      </w:pPr>
      <w:r>
        <w:rPr>
          <w:rFonts w:hint="eastAsia" w:ascii="宋体" w:hAnsi="宋体"/>
          <w:color w:val="auto"/>
          <w:highlight w:val="none"/>
        </w:rPr>
        <w:t>1.发包人和承包人双方的权利和义务</w:t>
      </w:r>
    </w:p>
    <w:p w14:paraId="4ACF4A2D">
      <w:pPr>
        <w:spacing w:line="400" w:lineRule="exact"/>
        <w:ind w:firstLine="420" w:firstLineChars="200"/>
        <w:rPr>
          <w:rFonts w:ascii="宋体" w:hAnsi="宋体"/>
          <w:color w:val="auto"/>
          <w:highlight w:val="none"/>
        </w:rPr>
      </w:pPr>
      <w:r>
        <w:rPr>
          <w:rFonts w:hint="eastAsia" w:ascii="宋体" w:hAnsi="宋体"/>
          <w:color w:val="auto"/>
          <w:highlight w:val="none"/>
        </w:rPr>
        <w:t>（1）严格遵守党的政策规定和国家有关法律法规及交通运输部的有关规定。</w:t>
      </w:r>
    </w:p>
    <w:p w14:paraId="475370DB">
      <w:pPr>
        <w:spacing w:line="400" w:lineRule="exact"/>
        <w:ind w:firstLine="420" w:firstLineChars="200"/>
        <w:rPr>
          <w:rFonts w:ascii="宋体" w:hAnsi="宋体"/>
          <w:color w:val="auto"/>
          <w:highlight w:val="none"/>
        </w:rPr>
      </w:pPr>
      <w:r>
        <w:rPr>
          <w:rFonts w:hint="eastAsia" w:ascii="宋体" w:hAnsi="宋体"/>
          <w:color w:val="auto"/>
          <w:highlight w:val="none"/>
        </w:rPr>
        <w:t>（2）严格执行</w:t>
      </w:r>
      <w:r>
        <w:rPr>
          <w:rFonts w:hint="eastAsia" w:ascii="宋体" w:hAnsi="宋体"/>
          <w:color w:val="auto"/>
          <w:highlight w:val="none"/>
          <w:u w:val="single"/>
        </w:rPr>
        <w:t xml:space="preserve">       </w:t>
      </w:r>
      <w:r>
        <w:rPr>
          <w:rFonts w:hint="eastAsia" w:ascii="宋体" w:hAnsi="宋体"/>
          <w:color w:val="auto"/>
          <w:highlight w:val="none"/>
        </w:rPr>
        <w:t>（项目名称）施工合同文件，自觉按合同办事。</w:t>
      </w:r>
    </w:p>
    <w:p w14:paraId="7859A1CF">
      <w:pPr>
        <w:spacing w:line="400" w:lineRule="exact"/>
        <w:ind w:firstLine="420" w:firstLineChars="200"/>
        <w:rPr>
          <w:rFonts w:ascii="宋体" w:hAnsi="宋体"/>
          <w:color w:val="auto"/>
          <w:highlight w:val="none"/>
        </w:rPr>
      </w:pPr>
      <w:r>
        <w:rPr>
          <w:rFonts w:hint="eastAsia" w:ascii="宋体" w:hAnsi="宋体"/>
          <w:color w:val="auto"/>
          <w:highlight w:val="none"/>
        </w:rPr>
        <w:t>（3）双方的业务活动坚持公开、公正、诚信、透明的原则（法律认定的商业秘密和合同文件另有规定除外），不得损害国家和集体利益，不得违反工程建设管理规章制度。</w:t>
      </w:r>
    </w:p>
    <w:p w14:paraId="2F4D8658">
      <w:pPr>
        <w:spacing w:line="400" w:lineRule="exact"/>
        <w:ind w:firstLine="420" w:firstLineChars="200"/>
        <w:rPr>
          <w:rFonts w:ascii="宋体" w:hAnsi="宋体"/>
          <w:color w:val="auto"/>
          <w:highlight w:val="none"/>
        </w:rPr>
      </w:pPr>
      <w:r>
        <w:rPr>
          <w:rFonts w:hint="eastAsia" w:ascii="宋体" w:hAnsi="宋体"/>
          <w:color w:val="auto"/>
          <w:highlight w:val="none"/>
        </w:rPr>
        <w:t>（4）建立健全廉政制度，开展廉政教育，设立廉政告示牌，公布举报电话，监督并认真查处违法违纪行为。</w:t>
      </w:r>
    </w:p>
    <w:p w14:paraId="4DDE4044">
      <w:pPr>
        <w:spacing w:line="400" w:lineRule="exact"/>
        <w:ind w:firstLine="420" w:firstLineChars="200"/>
        <w:rPr>
          <w:rFonts w:ascii="宋体" w:hAnsi="宋体"/>
          <w:color w:val="auto"/>
          <w:highlight w:val="none"/>
        </w:rPr>
      </w:pPr>
      <w:r>
        <w:rPr>
          <w:rFonts w:hint="eastAsia" w:ascii="宋体" w:hAnsi="宋体"/>
          <w:color w:val="auto"/>
          <w:highlight w:val="none"/>
        </w:rPr>
        <w:t>（5）发现对方在业务活动中有违反廉政规定的行为，有及时提醒对方纠正的权利和义务。</w:t>
      </w:r>
    </w:p>
    <w:p w14:paraId="39858FDD">
      <w:pPr>
        <w:spacing w:line="400" w:lineRule="exact"/>
        <w:ind w:firstLine="420" w:firstLineChars="200"/>
        <w:rPr>
          <w:rFonts w:ascii="宋体" w:hAnsi="宋体"/>
          <w:color w:val="auto"/>
          <w:highlight w:val="none"/>
        </w:rPr>
      </w:pPr>
      <w:r>
        <w:rPr>
          <w:rFonts w:hint="eastAsia" w:ascii="宋体" w:hAnsi="宋体"/>
          <w:color w:val="auto"/>
          <w:highlight w:val="none"/>
        </w:rPr>
        <w:t>（6）发现对方严重违反合同义务条款的行为，有向上级有关部门举报、建议给予处理并要求告知处理结果的权利。</w:t>
      </w:r>
    </w:p>
    <w:p w14:paraId="77EC9211">
      <w:pPr>
        <w:spacing w:line="400" w:lineRule="exact"/>
        <w:ind w:firstLine="420" w:firstLineChars="200"/>
        <w:rPr>
          <w:rFonts w:ascii="宋体" w:hAnsi="宋体"/>
          <w:color w:val="auto"/>
          <w:highlight w:val="none"/>
        </w:rPr>
      </w:pPr>
      <w:r>
        <w:rPr>
          <w:rFonts w:hint="eastAsia" w:ascii="宋体" w:hAnsi="宋体"/>
          <w:color w:val="auto"/>
          <w:highlight w:val="none"/>
        </w:rPr>
        <w:t>2.发包人的义务</w:t>
      </w:r>
    </w:p>
    <w:p w14:paraId="05514170">
      <w:pPr>
        <w:spacing w:line="400" w:lineRule="exact"/>
        <w:ind w:firstLine="420" w:firstLineChars="200"/>
        <w:rPr>
          <w:rFonts w:ascii="宋体" w:hAnsi="宋体"/>
          <w:color w:val="auto"/>
          <w:highlight w:val="none"/>
        </w:rPr>
      </w:pPr>
      <w:r>
        <w:rPr>
          <w:rFonts w:hint="eastAsia" w:ascii="宋体" w:hAnsi="宋体"/>
          <w:color w:val="auto"/>
          <w:highlight w:val="none"/>
        </w:rPr>
        <w:t>（1）发包人及其工作人员不得索要或接受承包人的礼金、有价证券和贵重物品，不得让承包人报销任何应由发包人或发包人工作人员个人支付的费用等。</w:t>
      </w:r>
    </w:p>
    <w:p w14:paraId="638399AE">
      <w:pPr>
        <w:spacing w:line="400" w:lineRule="exact"/>
        <w:ind w:firstLine="420" w:firstLineChars="200"/>
        <w:rPr>
          <w:rFonts w:ascii="宋体" w:hAnsi="宋体"/>
          <w:color w:val="auto"/>
          <w:highlight w:val="none"/>
        </w:rPr>
      </w:pPr>
      <w:r>
        <w:rPr>
          <w:rFonts w:hint="eastAsia" w:ascii="宋体" w:hAnsi="宋体"/>
          <w:color w:val="auto"/>
          <w:highlight w:val="none"/>
        </w:rPr>
        <w:t>（2）发包人工作人员不得参加承包人安排的超标准宴请和娱乐活动；不得接受承包人提供的通讯工具、交通工具和高档办公用品等。</w:t>
      </w:r>
    </w:p>
    <w:p w14:paraId="7CD225A4">
      <w:pPr>
        <w:spacing w:line="400" w:lineRule="exact"/>
        <w:ind w:firstLine="420" w:firstLineChars="200"/>
        <w:rPr>
          <w:rFonts w:ascii="宋体" w:hAnsi="宋体"/>
          <w:color w:val="auto"/>
          <w:highlight w:val="none"/>
        </w:rPr>
      </w:pPr>
      <w:r>
        <w:rPr>
          <w:rFonts w:hint="eastAsia" w:ascii="宋体" w:hAnsi="宋体"/>
          <w:color w:val="auto"/>
          <w:highlight w:val="none"/>
        </w:rPr>
        <w:t>（3）发包人及其工作人员不得要求或者接受承包人为其住房装修、婚丧嫁娶活动、配偶子女的工作安排以及出国出境、旅游等提供方便等。</w:t>
      </w:r>
    </w:p>
    <w:p w14:paraId="4CF98CDF">
      <w:pPr>
        <w:spacing w:line="400" w:lineRule="exact"/>
        <w:ind w:firstLine="420" w:firstLineChars="200"/>
        <w:rPr>
          <w:rFonts w:ascii="宋体" w:hAnsi="宋体"/>
          <w:color w:val="auto"/>
          <w:highlight w:val="none"/>
        </w:rPr>
      </w:pPr>
      <w:r>
        <w:rPr>
          <w:rFonts w:hint="eastAsia" w:ascii="宋体" w:hAnsi="宋体"/>
          <w:color w:val="auto"/>
          <w:highlight w:val="none"/>
        </w:rPr>
        <w:t>（4）发包人工作人员及其配偶、子女不得从事与发包人工程有关的材料设备供应、工程分包、劳务等经济活动等。</w:t>
      </w:r>
    </w:p>
    <w:p w14:paraId="27EC0AC7">
      <w:pPr>
        <w:spacing w:line="400" w:lineRule="exact"/>
        <w:ind w:firstLine="420" w:firstLineChars="200"/>
        <w:rPr>
          <w:rFonts w:ascii="宋体" w:hAnsi="宋体"/>
          <w:color w:val="auto"/>
          <w:highlight w:val="none"/>
        </w:rPr>
      </w:pPr>
      <w:r>
        <w:rPr>
          <w:rFonts w:hint="eastAsia" w:ascii="宋体" w:hAnsi="宋体"/>
          <w:color w:val="auto"/>
          <w:highlight w:val="none"/>
        </w:rPr>
        <w:t>（5）发包人及其工作人员不得以任何理由向承包人推荐分包单位或推销材料，不得要求承包人购买合同规定外的材料和设备。</w:t>
      </w:r>
    </w:p>
    <w:p w14:paraId="4B73086F">
      <w:pPr>
        <w:spacing w:line="400" w:lineRule="exact"/>
        <w:ind w:firstLine="420" w:firstLineChars="200"/>
        <w:rPr>
          <w:rFonts w:ascii="宋体" w:hAnsi="宋体"/>
          <w:color w:val="auto"/>
          <w:highlight w:val="none"/>
        </w:rPr>
      </w:pPr>
      <w:r>
        <w:rPr>
          <w:rFonts w:hint="eastAsia" w:ascii="宋体" w:hAnsi="宋体"/>
          <w:color w:val="auto"/>
          <w:highlight w:val="none"/>
        </w:rPr>
        <w:t>（6）发包人工作人员要秉公办事，不准徇私舞弊，不准利用职权从事各种个人有偿中介活动和安排个人施工队伍。</w:t>
      </w:r>
    </w:p>
    <w:p w14:paraId="148BFD00">
      <w:pPr>
        <w:spacing w:line="400" w:lineRule="exact"/>
        <w:ind w:firstLine="420" w:firstLineChars="200"/>
        <w:rPr>
          <w:rFonts w:ascii="宋体" w:hAnsi="宋体"/>
          <w:color w:val="auto"/>
          <w:highlight w:val="none"/>
        </w:rPr>
      </w:pPr>
      <w:r>
        <w:rPr>
          <w:rFonts w:hint="eastAsia" w:ascii="宋体" w:hAnsi="宋体"/>
          <w:color w:val="auto"/>
          <w:highlight w:val="none"/>
        </w:rPr>
        <w:t>3.承包人的义务</w:t>
      </w:r>
    </w:p>
    <w:p w14:paraId="037A8758">
      <w:pPr>
        <w:spacing w:line="400" w:lineRule="exact"/>
        <w:ind w:firstLine="420" w:firstLineChars="200"/>
        <w:rPr>
          <w:rFonts w:ascii="宋体" w:hAnsi="宋体"/>
          <w:color w:val="auto"/>
          <w:highlight w:val="none"/>
        </w:rPr>
      </w:pPr>
      <w:r>
        <w:rPr>
          <w:rFonts w:hint="eastAsia" w:ascii="宋体" w:hAnsi="宋体"/>
          <w:color w:val="auto"/>
          <w:highlight w:val="none"/>
        </w:rPr>
        <w:t>（1）承包人不得以任何理由向发包人及其工作人员行贿或馈赠礼金、有价证券、贵重物品。</w:t>
      </w:r>
    </w:p>
    <w:p w14:paraId="6B500F65">
      <w:pPr>
        <w:spacing w:line="400" w:lineRule="exact"/>
        <w:ind w:firstLine="420" w:firstLineChars="200"/>
        <w:rPr>
          <w:rFonts w:ascii="宋体" w:hAnsi="宋体"/>
          <w:color w:val="auto"/>
          <w:highlight w:val="none"/>
        </w:rPr>
      </w:pPr>
      <w:r>
        <w:rPr>
          <w:rFonts w:hint="eastAsia" w:ascii="宋体" w:hAnsi="宋体"/>
          <w:color w:val="auto"/>
          <w:highlight w:val="none"/>
        </w:rPr>
        <w:t>（2）承包人不得以任何名义为发包人及其工作人员报销应由发包人单位或个人支付的任何费用。</w:t>
      </w:r>
    </w:p>
    <w:p w14:paraId="65EE9C2D">
      <w:pPr>
        <w:spacing w:line="400" w:lineRule="exact"/>
        <w:ind w:firstLine="420" w:firstLineChars="200"/>
        <w:rPr>
          <w:rFonts w:ascii="宋体" w:hAnsi="宋体"/>
          <w:color w:val="auto"/>
          <w:highlight w:val="none"/>
        </w:rPr>
      </w:pPr>
      <w:r>
        <w:rPr>
          <w:rFonts w:hint="eastAsia" w:ascii="宋体" w:hAnsi="宋体"/>
          <w:color w:val="auto"/>
          <w:highlight w:val="none"/>
        </w:rPr>
        <w:t>（3）承包人不得以任何理由安排发包人工作人员参加超标准宴请及娱乐活动。</w:t>
      </w:r>
    </w:p>
    <w:p w14:paraId="1CC9D034">
      <w:pPr>
        <w:spacing w:line="400" w:lineRule="exact"/>
        <w:ind w:firstLine="420" w:firstLineChars="200"/>
        <w:rPr>
          <w:rFonts w:ascii="宋体" w:hAnsi="宋体"/>
          <w:color w:val="auto"/>
          <w:highlight w:val="none"/>
        </w:rPr>
      </w:pPr>
      <w:r>
        <w:rPr>
          <w:rFonts w:hint="eastAsia" w:ascii="宋体" w:hAnsi="宋体"/>
          <w:color w:val="auto"/>
          <w:highlight w:val="none"/>
        </w:rPr>
        <w:t>（4）承包人不得为发包人单位和个人购置或提供通讯工具、交通工具和高档办公用品等。</w:t>
      </w:r>
    </w:p>
    <w:p w14:paraId="32775E12">
      <w:pPr>
        <w:spacing w:line="400" w:lineRule="exact"/>
        <w:ind w:firstLine="420" w:firstLineChars="200"/>
        <w:rPr>
          <w:rFonts w:ascii="宋体" w:hAnsi="宋体"/>
          <w:color w:val="auto"/>
          <w:highlight w:val="none"/>
        </w:rPr>
      </w:pPr>
      <w:r>
        <w:rPr>
          <w:rFonts w:hint="eastAsia" w:ascii="宋体" w:hAnsi="宋体"/>
          <w:color w:val="auto"/>
          <w:highlight w:val="none"/>
        </w:rPr>
        <w:t>4.违约责任</w:t>
      </w:r>
    </w:p>
    <w:p w14:paraId="1AB89883">
      <w:pPr>
        <w:spacing w:line="400" w:lineRule="exact"/>
        <w:ind w:firstLine="420" w:firstLineChars="200"/>
        <w:rPr>
          <w:rFonts w:ascii="宋体" w:hAnsi="宋体"/>
          <w:color w:val="auto"/>
          <w:highlight w:val="none"/>
        </w:rPr>
      </w:pPr>
      <w:r>
        <w:rPr>
          <w:rFonts w:hint="eastAsia" w:ascii="宋体" w:hAnsi="宋体"/>
          <w:color w:val="auto"/>
          <w:highlight w:val="none"/>
        </w:rPr>
        <w:t>（1）发包人及其工作人员违反本合同第1、2条，按管理权限，依据有关规定给予党纪、政纪或组织处理；涉嫌犯罪的，移交司法机关追究刑事责任；给承包人单位造成经济损失的，应予以赔偿。</w:t>
      </w:r>
    </w:p>
    <w:p w14:paraId="33A99873">
      <w:pPr>
        <w:spacing w:line="400" w:lineRule="exact"/>
        <w:ind w:firstLine="420" w:firstLineChars="200"/>
        <w:rPr>
          <w:rFonts w:ascii="宋体" w:hAnsi="宋体"/>
          <w:color w:val="auto"/>
          <w:highlight w:val="none"/>
        </w:rPr>
      </w:pPr>
      <w:r>
        <w:rPr>
          <w:rFonts w:hint="eastAsia" w:ascii="宋体" w:hAnsi="宋体"/>
          <w:color w:val="auto"/>
          <w:highlight w:val="none"/>
        </w:rPr>
        <w:t>（2）承包人以及工作人员违反本合同第1、3条，按管理权限，依据有关规定给予党纪、政纪或组织处理；给发包人单位造成经济损失的，应予以赔偿；情节严重的，发包人建议交通主管部门给予承包人一至三年内不得进入其主管的水运建设市场的处罚。</w:t>
      </w:r>
    </w:p>
    <w:p w14:paraId="7BBA2ED6">
      <w:pPr>
        <w:spacing w:line="400" w:lineRule="exact"/>
        <w:ind w:firstLine="420" w:firstLineChars="200"/>
        <w:rPr>
          <w:rFonts w:ascii="宋体" w:hAnsi="宋体"/>
          <w:color w:val="auto"/>
          <w:highlight w:val="none"/>
        </w:rPr>
      </w:pPr>
      <w:r>
        <w:rPr>
          <w:rFonts w:hint="eastAsia" w:ascii="宋体" w:hAnsi="宋体"/>
          <w:color w:val="auto"/>
          <w:highlight w:val="none"/>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82A604D">
      <w:pPr>
        <w:spacing w:line="400" w:lineRule="exact"/>
        <w:ind w:firstLine="420" w:firstLineChars="200"/>
        <w:rPr>
          <w:rFonts w:ascii="宋体" w:hAnsi="宋体"/>
          <w:color w:val="auto"/>
          <w:highlight w:val="none"/>
        </w:rPr>
      </w:pPr>
      <w:r>
        <w:rPr>
          <w:rFonts w:hint="eastAsia" w:ascii="宋体" w:hAnsi="宋体"/>
          <w:color w:val="auto"/>
          <w:highlight w:val="none"/>
        </w:rPr>
        <w:t>6.本合同有效期为发包人和承包人签署之日起至该工程项目竣工验收后止。</w:t>
      </w:r>
    </w:p>
    <w:p w14:paraId="350C2E4E">
      <w:pPr>
        <w:spacing w:line="400" w:lineRule="exact"/>
        <w:ind w:firstLine="420" w:firstLineChars="200"/>
        <w:rPr>
          <w:rFonts w:ascii="宋体" w:hAnsi="宋体"/>
          <w:color w:val="auto"/>
          <w:highlight w:val="none"/>
        </w:rPr>
      </w:pPr>
      <w:r>
        <w:rPr>
          <w:rFonts w:hint="eastAsia" w:ascii="宋体" w:hAnsi="宋体"/>
          <w:color w:val="auto"/>
          <w:highlight w:val="none"/>
        </w:rPr>
        <w:t>7.本合同作为</w:t>
      </w:r>
      <w:r>
        <w:rPr>
          <w:rFonts w:hint="eastAsia" w:ascii="宋体" w:hAnsi="宋体"/>
          <w:color w:val="auto"/>
          <w:highlight w:val="none"/>
          <w:u w:val="single"/>
        </w:rPr>
        <w:t xml:space="preserve">              </w:t>
      </w:r>
      <w:r>
        <w:rPr>
          <w:rFonts w:hint="eastAsia" w:ascii="宋体" w:hAnsi="宋体"/>
          <w:color w:val="auto"/>
          <w:highlight w:val="none"/>
        </w:rPr>
        <w:t>（项目名称）施工合同的附件，与工程施工合同具有同等的法律效力，经合同双方签署后立即生效。</w:t>
      </w:r>
    </w:p>
    <w:p w14:paraId="5D320F5C">
      <w:pPr>
        <w:spacing w:line="400" w:lineRule="exact"/>
        <w:ind w:firstLine="420" w:firstLineChars="200"/>
        <w:rPr>
          <w:rFonts w:ascii="宋体" w:hAnsi="宋体"/>
          <w:color w:val="auto"/>
          <w:highlight w:val="none"/>
        </w:rPr>
      </w:pPr>
      <w:r>
        <w:rPr>
          <w:rFonts w:hint="eastAsia" w:ascii="宋体" w:hAnsi="宋体"/>
          <w:color w:val="auto"/>
          <w:highlight w:val="none"/>
        </w:rPr>
        <w:t>8. 本协议书正本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份，当正本与副本的内容不一致时，以正本为准。</w:t>
      </w:r>
    </w:p>
    <w:p w14:paraId="637A3647">
      <w:pPr>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14:paraId="577C0EA4">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发包人：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30F0116A">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170AD863">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签订日期：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12BD3488">
      <w:pPr>
        <w:adjustRightInd w:val="0"/>
        <w:snapToGrid w:val="0"/>
        <w:spacing w:line="400" w:lineRule="exact"/>
        <w:ind w:firstLine="380" w:firstLineChars="200"/>
        <w:rPr>
          <w:rFonts w:ascii="宋体" w:hAnsi="宋体"/>
          <w:color w:val="auto"/>
          <w:highlight w:val="none"/>
        </w:rPr>
      </w:pPr>
      <w:r>
        <w:rPr>
          <w:rFonts w:hint="eastAsia" w:ascii="宋体" w:hAnsi="宋体"/>
          <w:color w:val="auto"/>
          <w:spacing w:val="-10"/>
          <w:highlight w:val="none"/>
        </w:rPr>
        <w:t>发包人监督单位：</w:t>
      </w:r>
      <w:r>
        <w:rPr>
          <w:rFonts w:hint="eastAsia" w:ascii="宋体" w:hAnsi="宋体"/>
          <w:color w:val="auto"/>
          <w:highlight w:val="none"/>
          <w:u w:val="single"/>
        </w:rPr>
        <w:t xml:space="preserve">                      </w:t>
      </w:r>
      <w:r>
        <w:rPr>
          <w:rFonts w:hint="eastAsia" w:ascii="宋体" w:hAnsi="宋体"/>
          <w:color w:val="auto"/>
          <w:highlight w:val="none"/>
        </w:rPr>
        <w:t>（盖章）</w:t>
      </w:r>
    </w:p>
    <w:p w14:paraId="793091D4">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14:paraId="73F22D6D">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 xml:space="preserve"> </w:t>
      </w:r>
    </w:p>
    <w:p w14:paraId="2731706A">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承包人：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5FEBA259">
      <w:pPr>
        <w:adjustRightInd w:val="0"/>
        <w:snapToGrid w:val="0"/>
        <w:spacing w:line="400" w:lineRule="exact"/>
        <w:ind w:firstLine="420" w:firstLineChars="200"/>
        <w:rPr>
          <w:rFonts w:ascii="宋体" w:hAnsi="宋体"/>
          <w:color w:val="auto"/>
          <w:highlight w:val="none"/>
          <w:u w:val="singl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22B7B149">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签订日期：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4C130901">
      <w:pPr>
        <w:adjustRightInd w:val="0"/>
        <w:snapToGrid w:val="0"/>
        <w:spacing w:line="400" w:lineRule="exact"/>
        <w:ind w:firstLine="425" w:firstLineChars="250"/>
        <w:rPr>
          <w:rFonts w:ascii="宋体" w:hAnsi="宋体"/>
          <w:color w:val="auto"/>
          <w:spacing w:val="-16"/>
          <w:highlight w:val="none"/>
        </w:rPr>
      </w:pPr>
      <w:r>
        <w:rPr>
          <w:rFonts w:hint="eastAsia" w:ascii="宋体" w:hAnsi="宋体"/>
          <w:color w:val="auto"/>
          <w:spacing w:val="-20"/>
          <w:highlight w:val="none"/>
        </w:rPr>
        <w:t>承包人监督单位：</w:t>
      </w:r>
      <w:r>
        <w:rPr>
          <w:rFonts w:hint="eastAsia" w:ascii="宋体" w:hAnsi="宋体"/>
          <w:color w:val="auto"/>
          <w:spacing w:val="-16"/>
          <w:highlight w:val="none"/>
          <w:u w:val="single"/>
        </w:rPr>
        <w:t xml:space="preserve">                      </w:t>
      </w:r>
      <w:r>
        <w:rPr>
          <w:rFonts w:hint="eastAsia" w:ascii="宋体" w:hAnsi="宋体"/>
          <w:color w:val="auto"/>
          <w:spacing w:val="-16"/>
          <w:highlight w:val="none"/>
        </w:rPr>
        <w:t xml:space="preserve">（盖章） </w:t>
      </w:r>
    </w:p>
    <w:p w14:paraId="41AD9177">
      <w:pPr>
        <w:spacing w:line="420" w:lineRule="exact"/>
        <w:rPr>
          <w:rFonts w:ascii="宋体" w:hAnsi="宋体"/>
          <w:b/>
          <w:bCs/>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附件四：安全生产协议</w:t>
      </w:r>
    </w:p>
    <w:p w14:paraId="7DA4954B">
      <w:pPr>
        <w:spacing w:line="420" w:lineRule="exact"/>
        <w:rPr>
          <w:rFonts w:ascii="宋体" w:hAnsi="宋体"/>
          <w:b/>
          <w:bCs/>
          <w:color w:val="auto"/>
          <w:sz w:val="32"/>
          <w:szCs w:val="32"/>
          <w:highlight w:val="none"/>
        </w:rPr>
      </w:pPr>
    </w:p>
    <w:p w14:paraId="25808028">
      <w:pPr>
        <w:spacing w:line="42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安全生产协议</w:t>
      </w:r>
    </w:p>
    <w:p w14:paraId="07AF4D09">
      <w:pPr>
        <w:spacing w:line="400" w:lineRule="exact"/>
        <w:ind w:firstLine="315" w:firstLineChars="150"/>
        <w:rPr>
          <w:rFonts w:ascii="宋体" w:hAnsi="宋体"/>
          <w:color w:val="auto"/>
          <w:highlight w:val="none"/>
        </w:rPr>
      </w:pPr>
      <w:r>
        <w:rPr>
          <w:rFonts w:hint="eastAsia" w:ascii="宋体" w:hAnsi="宋体"/>
          <w:color w:val="auto"/>
          <w:highlight w:val="none"/>
        </w:rPr>
        <w:t>为在</w:t>
      </w:r>
      <w:r>
        <w:rPr>
          <w:rFonts w:hint="eastAsia" w:ascii="宋体" w:hAnsi="宋体"/>
          <w:color w:val="auto"/>
          <w:highlight w:val="none"/>
          <w:u w:val="single"/>
        </w:rPr>
        <w:t xml:space="preserve">        </w:t>
      </w:r>
      <w:r>
        <w:rPr>
          <w:rFonts w:hint="eastAsia" w:ascii="宋体" w:hAnsi="宋体"/>
          <w:color w:val="auto"/>
          <w:highlight w:val="none"/>
        </w:rPr>
        <w:t>（项目名称）施工合同的施工过程中创造安全、高效的施工环境，切实搞好本项目的安全管理工作，本项目发包人</w:t>
      </w:r>
      <w:r>
        <w:rPr>
          <w:rFonts w:hint="eastAsia" w:ascii="宋体" w:hAnsi="宋体"/>
          <w:color w:val="auto"/>
          <w:highlight w:val="none"/>
          <w:u w:val="single"/>
        </w:rPr>
        <w:t xml:space="preserve">        </w:t>
      </w:r>
      <w:r>
        <w:rPr>
          <w:rFonts w:hint="eastAsia" w:ascii="宋体" w:hAnsi="宋体"/>
          <w:color w:val="auto"/>
          <w:highlight w:val="none"/>
        </w:rPr>
        <w:t>（发包人名称，以下简称“发包人”）与承包人</w:t>
      </w:r>
      <w:r>
        <w:rPr>
          <w:rFonts w:hint="eastAsia" w:ascii="宋体" w:hAnsi="宋体"/>
          <w:color w:val="auto"/>
          <w:highlight w:val="none"/>
          <w:u w:val="single"/>
        </w:rPr>
        <w:t xml:space="preserve">        </w:t>
      </w:r>
      <w:r>
        <w:rPr>
          <w:rFonts w:hint="eastAsia" w:ascii="宋体" w:hAnsi="宋体"/>
          <w:color w:val="auto"/>
          <w:highlight w:val="none"/>
        </w:rPr>
        <w:t>（承包人名称，以下简称“承包人”）特此签订安全生产合同：</w:t>
      </w:r>
    </w:p>
    <w:p w14:paraId="1BC0485C">
      <w:pPr>
        <w:spacing w:line="400" w:lineRule="exact"/>
        <w:ind w:firstLine="420" w:firstLineChars="200"/>
        <w:rPr>
          <w:rFonts w:ascii="宋体" w:hAnsi="宋体"/>
          <w:color w:val="auto"/>
          <w:highlight w:val="none"/>
        </w:rPr>
      </w:pPr>
      <w:r>
        <w:rPr>
          <w:rFonts w:hint="eastAsia" w:ascii="宋体" w:hAnsi="宋体"/>
          <w:color w:val="auto"/>
          <w:highlight w:val="none"/>
        </w:rPr>
        <w:t>1.发包人职责</w:t>
      </w:r>
    </w:p>
    <w:p w14:paraId="0ACC45C5">
      <w:pPr>
        <w:spacing w:line="400" w:lineRule="exact"/>
        <w:ind w:firstLine="420" w:firstLineChars="200"/>
        <w:rPr>
          <w:rFonts w:ascii="宋体" w:hAnsi="宋体"/>
          <w:color w:val="auto"/>
          <w:highlight w:val="none"/>
        </w:rPr>
      </w:pPr>
      <w:r>
        <w:rPr>
          <w:rFonts w:hint="eastAsia" w:ascii="宋体" w:hAnsi="宋体"/>
          <w:color w:val="auto"/>
          <w:highlight w:val="none"/>
        </w:rPr>
        <w:t>（1）严格遵守国家有关安全生产的法律法规，认真执行工程承包合同中的有关安全要求。</w:t>
      </w:r>
    </w:p>
    <w:p w14:paraId="35EEA87B">
      <w:pPr>
        <w:spacing w:line="400" w:lineRule="exact"/>
        <w:ind w:firstLine="420" w:firstLineChars="200"/>
        <w:rPr>
          <w:rFonts w:ascii="宋体" w:hAnsi="宋体"/>
          <w:color w:val="auto"/>
          <w:highlight w:val="none"/>
        </w:rPr>
      </w:pPr>
      <w:r>
        <w:rPr>
          <w:rFonts w:hint="eastAsia" w:ascii="宋体" w:hAnsi="宋体"/>
          <w:color w:val="auto"/>
          <w:highlight w:val="none"/>
        </w:rPr>
        <w:t>（2）按照“安全第一、预防为主、综合治理”坚持“管生产必须管安全”的原则进行安全生产管理，做到生产与安全工作同时计划、布置、检查、总结和评比。</w:t>
      </w:r>
    </w:p>
    <w:p w14:paraId="0C360AF6">
      <w:pPr>
        <w:spacing w:line="400" w:lineRule="exact"/>
        <w:ind w:firstLine="420" w:firstLineChars="200"/>
        <w:rPr>
          <w:rFonts w:ascii="宋体" w:hAnsi="宋体"/>
          <w:color w:val="auto"/>
          <w:highlight w:val="none"/>
        </w:rPr>
      </w:pPr>
      <w:r>
        <w:rPr>
          <w:rFonts w:hint="eastAsia" w:ascii="宋体" w:hAnsi="宋体"/>
          <w:color w:val="auto"/>
          <w:highlight w:val="none"/>
        </w:rPr>
        <w:t>（3）重要的安全设施必须坚持与主体工程“三同时”的原则，即：同时设计、审批、同时施工，同时验收，投入使用。</w:t>
      </w:r>
    </w:p>
    <w:p w14:paraId="3A9421FE">
      <w:pPr>
        <w:spacing w:line="400" w:lineRule="exact"/>
        <w:ind w:firstLine="420" w:firstLineChars="200"/>
        <w:rPr>
          <w:rFonts w:ascii="宋体" w:hAnsi="宋体"/>
          <w:color w:val="auto"/>
          <w:highlight w:val="none"/>
        </w:rPr>
      </w:pPr>
      <w:r>
        <w:rPr>
          <w:rFonts w:hint="eastAsia" w:ascii="宋体" w:hAnsi="宋体"/>
          <w:color w:val="auto"/>
          <w:highlight w:val="none"/>
        </w:rPr>
        <w:t>（4）定期召开安全生产调度会，及时传达中央及地方有关安全生产的精神。</w:t>
      </w:r>
    </w:p>
    <w:p w14:paraId="7DDA9722">
      <w:pPr>
        <w:spacing w:line="400" w:lineRule="exact"/>
        <w:ind w:firstLine="420" w:firstLineChars="200"/>
        <w:rPr>
          <w:rFonts w:ascii="宋体" w:hAnsi="宋体"/>
          <w:color w:val="auto"/>
          <w:highlight w:val="none"/>
        </w:rPr>
      </w:pPr>
      <w:r>
        <w:rPr>
          <w:rFonts w:hint="eastAsia" w:ascii="宋体" w:hAnsi="宋体"/>
          <w:color w:val="auto"/>
          <w:highlight w:val="none"/>
        </w:rPr>
        <w:t>（5）组织对承包人施工现场进行安全生产检查，监督承包人及时处理发现的各种安全隐患。</w:t>
      </w:r>
    </w:p>
    <w:p w14:paraId="1CF3DA3C">
      <w:pPr>
        <w:spacing w:line="400" w:lineRule="exact"/>
        <w:ind w:firstLine="420" w:firstLineChars="200"/>
        <w:rPr>
          <w:rFonts w:ascii="宋体" w:hAnsi="宋体"/>
          <w:color w:val="auto"/>
          <w:highlight w:val="none"/>
        </w:rPr>
      </w:pPr>
      <w:r>
        <w:rPr>
          <w:rFonts w:hint="eastAsia" w:ascii="宋体" w:hAnsi="宋体"/>
          <w:color w:val="auto"/>
          <w:highlight w:val="none"/>
        </w:rPr>
        <w:t>2.承包人职责</w:t>
      </w:r>
    </w:p>
    <w:p w14:paraId="25839F9D">
      <w:pPr>
        <w:spacing w:line="400" w:lineRule="exact"/>
        <w:ind w:firstLine="420" w:firstLineChars="200"/>
        <w:rPr>
          <w:rFonts w:ascii="宋体" w:hAnsi="宋体"/>
          <w:color w:val="auto"/>
          <w:highlight w:val="none"/>
        </w:rPr>
      </w:pPr>
      <w:r>
        <w:rPr>
          <w:rFonts w:hint="eastAsia" w:ascii="宋体" w:hAnsi="宋体"/>
          <w:color w:val="auto"/>
          <w:highlight w:val="none"/>
        </w:rPr>
        <w:t>（1）严格遵守《中华人民共和国安全生产法》、《建设工程安全生产管理条例》等国家有关安全生产的法律法规、《公路水运工程安全生产监督管理办法》等有关安全生产的规定。认真执行工程承包合同中的有关安全要求。</w:t>
      </w:r>
    </w:p>
    <w:p w14:paraId="2293B6A9">
      <w:pPr>
        <w:spacing w:line="400" w:lineRule="exact"/>
        <w:ind w:firstLine="420" w:firstLineChars="200"/>
        <w:rPr>
          <w:rFonts w:ascii="宋体" w:hAnsi="宋体"/>
          <w:color w:val="auto"/>
          <w:highlight w:val="none"/>
        </w:rPr>
      </w:pPr>
      <w:r>
        <w:rPr>
          <w:rFonts w:hint="eastAsia" w:ascii="宋体" w:hAnsi="宋体"/>
          <w:color w:val="auto"/>
          <w:highlight w:val="none"/>
        </w:rPr>
        <w:t>（2）坚持“安全第一、预防为主”和“管生产必须管安全”的原则，加强安全生产宣传教育，增强全员安全生产意识，建立健全各项安全生产管理机构和安全生产管理制度，配备专职及兼职安全检查人员，有组织有领导地开展安全生产活动。各级领导、工程技术人员、生产管理人员和具体操作人员，必须熟悉和遵守本合同的各项规定，做到生产与安全生产工作同时计划、布置、检查、总结和评比。</w:t>
      </w:r>
    </w:p>
    <w:p w14:paraId="3CBE5415">
      <w:pPr>
        <w:spacing w:line="400" w:lineRule="exact"/>
        <w:ind w:firstLine="420" w:firstLineChars="200"/>
        <w:rPr>
          <w:rFonts w:ascii="宋体" w:hAnsi="宋体"/>
          <w:color w:val="auto"/>
          <w:highlight w:val="none"/>
        </w:rPr>
      </w:pPr>
      <w:r>
        <w:rPr>
          <w:rFonts w:hint="eastAsia" w:ascii="宋体" w:hAnsi="宋体"/>
          <w:color w:val="auto"/>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BC35AF7">
      <w:pPr>
        <w:spacing w:line="400" w:lineRule="exact"/>
        <w:ind w:firstLine="420" w:firstLineChars="200"/>
        <w:rPr>
          <w:rFonts w:ascii="宋体" w:hAnsi="宋体"/>
          <w:color w:val="auto"/>
          <w:highlight w:val="none"/>
        </w:rPr>
      </w:pPr>
      <w:r>
        <w:rPr>
          <w:rFonts w:hint="eastAsia" w:ascii="宋体" w:hAnsi="宋体"/>
          <w:color w:val="auto"/>
          <w:highlight w:val="none"/>
        </w:rPr>
        <w:t>（4）承包人在任何时候都应采取合理的预防措施，防止其员工发生任何违法、违禁、暴力或妨碍治安的行为。</w:t>
      </w:r>
    </w:p>
    <w:p w14:paraId="0BBC049B">
      <w:pPr>
        <w:spacing w:line="400" w:lineRule="exact"/>
        <w:ind w:firstLine="420" w:firstLineChars="200"/>
        <w:rPr>
          <w:rFonts w:ascii="宋体" w:hAnsi="宋体"/>
          <w:color w:val="auto"/>
          <w:highlight w:val="none"/>
        </w:rPr>
      </w:pPr>
      <w:r>
        <w:rPr>
          <w:rFonts w:hint="eastAsia" w:ascii="宋体" w:hAnsi="宋体"/>
          <w:color w:val="auto"/>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6A457DD">
      <w:pPr>
        <w:spacing w:line="400" w:lineRule="exact"/>
        <w:ind w:firstLine="420" w:firstLineChars="200"/>
        <w:rPr>
          <w:rFonts w:ascii="宋体" w:hAnsi="宋体"/>
          <w:color w:val="auto"/>
          <w:highlight w:val="none"/>
        </w:rPr>
      </w:pPr>
      <w:r>
        <w:rPr>
          <w:rFonts w:hint="eastAsia" w:ascii="宋体" w:hAnsi="宋体"/>
          <w:color w:val="auto"/>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2BEB03C">
      <w:pPr>
        <w:spacing w:line="400" w:lineRule="exact"/>
        <w:ind w:firstLine="420" w:firstLineChars="200"/>
        <w:rPr>
          <w:rFonts w:ascii="宋体" w:hAnsi="宋体"/>
          <w:color w:val="auto"/>
          <w:highlight w:val="none"/>
        </w:rPr>
      </w:pPr>
      <w:r>
        <w:rPr>
          <w:rFonts w:hint="eastAsia" w:ascii="宋体" w:hAnsi="宋体"/>
          <w:color w:val="auto"/>
          <w:highlight w:val="none"/>
        </w:rPr>
        <w:t>（7）操作人员上岗，必须按规定穿戴防护用品。施工负责人和安全检查员应随时检查劳动防护用品的穿戴情况，不按规定穿戴防护用品的人员不得上岗。</w:t>
      </w:r>
    </w:p>
    <w:p w14:paraId="6D332D56">
      <w:pPr>
        <w:spacing w:line="400" w:lineRule="exact"/>
        <w:ind w:firstLine="420" w:firstLineChars="200"/>
        <w:rPr>
          <w:rFonts w:ascii="宋体" w:hAnsi="宋体"/>
          <w:color w:val="auto"/>
          <w:highlight w:val="none"/>
        </w:rPr>
      </w:pPr>
      <w:r>
        <w:rPr>
          <w:rFonts w:hint="eastAsia" w:ascii="宋体" w:hAnsi="宋体"/>
          <w:color w:val="auto"/>
          <w:highlight w:val="none"/>
        </w:rPr>
        <w:t>（8）所有施工机具设备和高空作业的设备均应定期检查，并有安全员的签字记录，保证其处于完好状态；不合格的机具、设备和劳动保护用品严禁使用。</w:t>
      </w:r>
    </w:p>
    <w:p w14:paraId="6E523D12">
      <w:pPr>
        <w:spacing w:line="400" w:lineRule="exact"/>
        <w:ind w:firstLine="420" w:firstLineChars="200"/>
        <w:rPr>
          <w:rFonts w:ascii="宋体" w:hAnsi="宋体"/>
          <w:color w:val="auto"/>
          <w:highlight w:val="none"/>
        </w:rPr>
      </w:pPr>
      <w:r>
        <w:rPr>
          <w:rFonts w:hint="eastAsia" w:ascii="宋体" w:hAnsi="宋体"/>
          <w:color w:val="auto"/>
          <w:highlight w:val="none"/>
        </w:rPr>
        <w:t>（9）施工中采用新技术、新工艺、新设备、新材料时，必须制定相应的安全技术措施，施工现场必须具有相关的安全标志牌。</w:t>
      </w:r>
    </w:p>
    <w:p w14:paraId="48173940">
      <w:pPr>
        <w:spacing w:line="400" w:lineRule="exact"/>
        <w:ind w:firstLine="420" w:firstLineChars="200"/>
        <w:rPr>
          <w:rFonts w:ascii="宋体" w:hAnsi="宋体"/>
          <w:color w:val="auto"/>
          <w:highlight w:val="none"/>
        </w:rPr>
      </w:pPr>
      <w:r>
        <w:rPr>
          <w:rFonts w:hint="eastAsia" w:ascii="宋体" w:hAnsi="宋体"/>
          <w:color w:val="auto"/>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F81C69B">
      <w:pPr>
        <w:spacing w:line="400" w:lineRule="exact"/>
        <w:ind w:firstLine="420" w:firstLineChars="200"/>
        <w:rPr>
          <w:rFonts w:ascii="宋体" w:hAnsi="宋体"/>
          <w:color w:val="auto"/>
          <w:highlight w:val="none"/>
        </w:rPr>
      </w:pPr>
      <w:r>
        <w:rPr>
          <w:rFonts w:hint="eastAsia" w:ascii="宋体" w:hAnsi="宋体"/>
          <w:color w:val="auto"/>
          <w:highlight w:val="none"/>
        </w:rPr>
        <w:t>（11）安全生产费用按照《公路水运工程安全生产监督管理办法》的相关规定使用和管理。</w:t>
      </w:r>
    </w:p>
    <w:p w14:paraId="0348BEC0">
      <w:pPr>
        <w:spacing w:line="400" w:lineRule="exact"/>
        <w:ind w:firstLine="420" w:firstLineChars="200"/>
        <w:rPr>
          <w:rFonts w:ascii="宋体" w:hAnsi="宋体"/>
          <w:color w:val="auto"/>
          <w:highlight w:val="none"/>
        </w:rPr>
      </w:pPr>
      <w:r>
        <w:rPr>
          <w:rFonts w:hint="eastAsia" w:ascii="宋体" w:hAnsi="宋体"/>
          <w:color w:val="auto"/>
          <w:highlight w:val="none"/>
        </w:rPr>
        <w:t>3.违约责任</w:t>
      </w:r>
    </w:p>
    <w:p w14:paraId="783B000C">
      <w:pPr>
        <w:spacing w:line="400" w:lineRule="exact"/>
        <w:ind w:firstLine="420" w:firstLineChars="200"/>
        <w:rPr>
          <w:rFonts w:ascii="宋体" w:hAnsi="宋体"/>
          <w:color w:val="auto"/>
          <w:highlight w:val="none"/>
        </w:rPr>
      </w:pPr>
      <w:r>
        <w:rPr>
          <w:rFonts w:hint="eastAsia" w:ascii="宋体" w:hAnsi="宋体"/>
          <w:color w:val="auto"/>
          <w:highlight w:val="none"/>
        </w:rPr>
        <w:t>如因发包人或承包人违约造成安全事故，将依法追究责任。</w:t>
      </w:r>
    </w:p>
    <w:p w14:paraId="20DA6B50">
      <w:pPr>
        <w:spacing w:line="400" w:lineRule="exact"/>
        <w:ind w:firstLine="420" w:firstLineChars="200"/>
        <w:rPr>
          <w:rFonts w:ascii="宋体" w:hAnsi="宋体"/>
          <w:color w:val="auto"/>
          <w:highlight w:val="none"/>
        </w:rPr>
      </w:pPr>
      <w:r>
        <w:rPr>
          <w:rFonts w:hint="eastAsia" w:ascii="宋体" w:hAnsi="宋体"/>
          <w:color w:val="auto"/>
          <w:highlight w:val="none"/>
        </w:rPr>
        <w:t>4.本合同由双方法定代表人签署并加盖单位公章后生效，全部工程完工且经交工验收合格后失效。</w:t>
      </w:r>
    </w:p>
    <w:p w14:paraId="4F1F3DEE">
      <w:pPr>
        <w:spacing w:line="400" w:lineRule="exact"/>
        <w:ind w:firstLine="420" w:firstLineChars="200"/>
        <w:rPr>
          <w:rFonts w:ascii="宋体" w:hAnsi="宋体"/>
          <w:color w:val="auto"/>
          <w:highlight w:val="none"/>
        </w:rPr>
      </w:pPr>
      <w:r>
        <w:rPr>
          <w:rFonts w:hint="eastAsia" w:ascii="宋体" w:hAnsi="宋体"/>
          <w:color w:val="auto"/>
          <w:highlight w:val="none"/>
        </w:rPr>
        <w:t>5.本合同正本</w:t>
      </w:r>
      <w:r>
        <w:rPr>
          <w:rFonts w:hint="eastAsia" w:ascii="宋体" w:hAnsi="宋体"/>
          <w:color w:val="auto"/>
          <w:highlight w:val="none"/>
          <w:u w:val="single"/>
        </w:rPr>
        <w:t>贰</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份，合同双方各执正本</w:t>
      </w:r>
      <w:r>
        <w:rPr>
          <w:rFonts w:hint="eastAsia" w:ascii="宋体" w:hAnsi="宋体"/>
          <w:color w:val="auto"/>
          <w:highlight w:val="none"/>
          <w:u w:val="single"/>
        </w:rPr>
        <w:t>壹</w:t>
      </w:r>
      <w:r>
        <w:rPr>
          <w:rFonts w:hint="eastAsia" w:ascii="宋体" w:hAnsi="宋体"/>
          <w:color w:val="auto"/>
          <w:highlight w:val="none"/>
        </w:rPr>
        <w:t>份、副本</w:t>
      </w:r>
      <w:r>
        <w:rPr>
          <w:rFonts w:hint="eastAsia" w:ascii="宋体" w:hAnsi="宋体"/>
          <w:color w:val="auto"/>
          <w:highlight w:val="none"/>
          <w:u w:val="single"/>
        </w:rPr>
        <w:t xml:space="preserve">   </w:t>
      </w:r>
      <w:r>
        <w:rPr>
          <w:rFonts w:hint="eastAsia" w:ascii="宋体" w:hAnsi="宋体"/>
          <w:color w:val="auto"/>
          <w:highlight w:val="none"/>
        </w:rPr>
        <w:t>份，当正本与副本内容不一致时，以正本为准。</w:t>
      </w:r>
    </w:p>
    <w:p w14:paraId="280C80CD">
      <w:pPr>
        <w:spacing w:line="400" w:lineRule="exact"/>
        <w:ind w:firstLine="200"/>
        <w:rPr>
          <w:rFonts w:ascii="宋体" w:hAnsi="宋体"/>
          <w:color w:val="auto"/>
          <w:highlight w:val="none"/>
        </w:rPr>
      </w:pPr>
      <w:r>
        <w:rPr>
          <w:rFonts w:hint="eastAsia" w:ascii="宋体" w:hAnsi="宋体"/>
          <w:color w:val="auto"/>
          <w:highlight w:val="none"/>
        </w:rPr>
        <w:t xml:space="preserve"> </w:t>
      </w:r>
    </w:p>
    <w:p w14:paraId="2DB0D105">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发  包  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63B60055">
      <w:pPr>
        <w:spacing w:line="400" w:lineRule="exact"/>
        <w:ind w:firstLine="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385CBC76">
      <w:pPr>
        <w:spacing w:line="400" w:lineRule="exact"/>
        <w:ind w:firstLine="200"/>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p>
    <w:p w14:paraId="5898E1F6">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 xml:space="preserve"> </w:t>
      </w:r>
    </w:p>
    <w:p w14:paraId="2F5D64D4">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承  包  人：</w:t>
      </w:r>
      <w:r>
        <w:rPr>
          <w:rFonts w:hint="eastAsia" w:ascii="宋体" w:hAnsi="宋体"/>
          <w:color w:val="auto"/>
          <w:highlight w:val="none"/>
          <w:u w:val="single"/>
        </w:rPr>
        <w:t xml:space="preserve">                 </w:t>
      </w:r>
      <w:r>
        <w:rPr>
          <w:rFonts w:hint="eastAsia" w:ascii="宋体" w:hAnsi="宋体"/>
          <w:color w:val="auto"/>
          <w:highlight w:val="none"/>
        </w:rPr>
        <w:t>（盖单位公章）</w:t>
      </w:r>
    </w:p>
    <w:p w14:paraId="6C107DA4">
      <w:pPr>
        <w:spacing w:line="400" w:lineRule="exact"/>
        <w:ind w:firstLine="20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highlight w:val="none"/>
          <w:u w:val="single"/>
        </w:rPr>
        <w:t xml:space="preserve">            </w:t>
      </w:r>
      <w:r>
        <w:rPr>
          <w:rFonts w:hint="eastAsia" w:ascii="宋体" w:hAnsi="宋体"/>
          <w:color w:val="auto"/>
          <w:highlight w:val="none"/>
        </w:rPr>
        <w:t>（签字）</w:t>
      </w:r>
    </w:p>
    <w:p w14:paraId="35D19C9E">
      <w:pPr>
        <w:spacing w:line="400" w:lineRule="exact"/>
        <w:ind w:left="850" w:leftChars="100" w:hanging="640" w:hangingChars="305"/>
        <w:rPr>
          <w:rFonts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 xml:space="preserve">月 </w:t>
      </w:r>
      <w:r>
        <w:rPr>
          <w:rFonts w:hint="eastAsia" w:ascii="宋体" w:hAnsi="宋体"/>
          <w:color w:val="auto"/>
          <w:highlight w:val="none"/>
          <w:u w:val="single"/>
        </w:rPr>
        <w:t xml:space="preserve">     </w:t>
      </w:r>
      <w:r>
        <w:rPr>
          <w:rFonts w:hint="eastAsia" w:ascii="宋体" w:hAnsi="宋体"/>
          <w:color w:val="auto"/>
          <w:highlight w:val="none"/>
        </w:rPr>
        <w:t>日</w:t>
      </w:r>
      <w:r>
        <w:rPr>
          <w:rFonts w:ascii="宋体" w:hAnsi="宋体"/>
          <w:color w:val="auto"/>
          <w:highlight w:val="none"/>
        </w:rPr>
        <w:br w:type="page"/>
      </w:r>
    </w:p>
    <w:p w14:paraId="77388751">
      <w:pPr>
        <w:pStyle w:val="2"/>
        <w:rPr>
          <w:color w:val="auto"/>
          <w:highlight w:val="none"/>
        </w:rPr>
      </w:pPr>
      <w:bookmarkStart w:id="1273" w:name="_Toc490832363"/>
      <w:r>
        <w:rPr>
          <w:rFonts w:hint="eastAsia"/>
          <w:color w:val="auto"/>
          <w:highlight w:val="none"/>
        </w:rPr>
        <w:t>第六章 工程量清单</w:t>
      </w:r>
      <w:bookmarkEnd w:id="1273"/>
    </w:p>
    <w:p w14:paraId="08BB0F51">
      <w:pPr>
        <w:keepNext/>
        <w:keepLines/>
        <w:spacing w:line="360" w:lineRule="auto"/>
        <w:jc w:val="center"/>
        <w:outlineLvl w:val="2"/>
        <w:rPr>
          <w:b/>
          <w:bCs/>
          <w:color w:val="auto"/>
          <w:sz w:val="24"/>
          <w:szCs w:val="32"/>
          <w:highlight w:val="none"/>
        </w:rPr>
      </w:pPr>
      <w:bookmarkStart w:id="1274" w:name="_Toc239930598"/>
      <w:bookmarkStart w:id="1275" w:name="_Toc456169792"/>
      <w:r>
        <w:rPr>
          <w:rFonts w:hint="eastAsia"/>
          <w:b/>
          <w:bCs/>
          <w:color w:val="auto"/>
          <w:sz w:val="24"/>
          <w:szCs w:val="32"/>
          <w:highlight w:val="none"/>
        </w:rPr>
        <w:t>1、工程量清单说明</w:t>
      </w:r>
      <w:bookmarkEnd w:id="1274"/>
      <w:bookmarkEnd w:id="1275"/>
    </w:p>
    <w:p w14:paraId="59F25AA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1.1以招标人发布的工程量清单及其编制说明为准。</w:t>
      </w:r>
    </w:p>
    <w:p w14:paraId="179CC1C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1.2 计</w:t>
      </w:r>
      <w:r>
        <w:rPr>
          <w:rFonts w:hint="eastAsia" w:ascii="宋体" w:hAnsi="宋体" w:eastAsia="宋体" w:cs="Times New Roman"/>
          <w:color w:val="auto"/>
          <w:szCs w:val="21"/>
          <w:highlight w:val="none"/>
          <w:lang w:val="en-US" w:eastAsia="zh-CN"/>
        </w:rPr>
        <w:t>价</w:t>
      </w:r>
      <w:r>
        <w:rPr>
          <w:rFonts w:hint="eastAsia" w:ascii="宋体" w:hAnsi="宋体" w:eastAsia="宋体" w:cs="Times New Roman"/>
          <w:color w:val="auto"/>
          <w:sz w:val="21"/>
          <w:szCs w:val="21"/>
          <w:highlight w:val="none"/>
          <w:lang w:val="en-US" w:eastAsia="zh-CN"/>
        </w:rPr>
        <w:t>计量规范应符合现行国家、地方强制性规定。具体为：</w:t>
      </w:r>
      <w:r>
        <w:rPr>
          <w:rFonts w:hint="eastAsia" w:ascii="宋体" w:hAnsi="宋体" w:eastAsia="宋体" w:cs="Times New Roman"/>
          <w:color w:val="auto"/>
          <w:sz w:val="21"/>
          <w:szCs w:val="21"/>
          <w:highlight w:val="none"/>
          <w:u w:val="single"/>
          <w:lang w:val="en-US" w:eastAsia="zh-CN"/>
        </w:rPr>
        <w:t xml:space="preserve">          。</w:t>
      </w:r>
    </w:p>
    <w:p w14:paraId="178CA33A">
      <w:pPr>
        <w:spacing w:line="360" w:lineRule="auto"/>
        <w:ind w:firstLine="420" w:firstLineChars="200"/>
        <w:rPr>
          <w:rFonts w:ascii="宋体" w:hAnsi="宋体"/>
          <w:color w:val="auto"/>
          <w:szCs w:val="21"/>
          <w:highlight w:val="none"/>
        </w:rPr>
      </w:pPr>
    </w:p>
    <w:p w14:paraId="7BD9DC7A">
      <w:pPr>
        <w:keepNext/>
        <w:keepLines/>
        <w:spacing w:line="360" w:lineRule="auto"/>
        <w:jc w:val="center"/>
        <w:outlineLvl w:val="2"/>
        <w:rPr>
          <w:b/>
          <w:bCs/>
          <w:color w:val="auto"/>
          <w:sz w:val="24"/>
          <w:szCs w:val="32"/>
          <w:highlight w:val="none"/>
        </w:rPr>
      </w:pPr>
      <w:bookmarkStart w:id="1276" w:name="_Toc456169793"/>
      <w:bookmarkStart w:id="1277" w:name="_Toc239930599"/>
      <w:r>
        <w:rPr>
          <w:rFonts w:hint="eastAsia"/>
          <w:b/>
          <w:bCs/>
          <w:color w:val="auto"/>
          <w:sz w:val="24"/>
          <w:szCs w:val="32"/>
          <w:highlight w:val="none"/>
        </w:rPr>
        <w:t>2、投标报价说明</w:t>
      </w:r>
      <w:bookmarkEnd w:id="1276"/>
      <w:bookmarkEnd w:id="1277"/>
    </w:p>
    <w:p w14:paraId="0E3B93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 工程量清单中的每一子目须填入单价或价格，且只允许有一个报价。</w:t>
      </w:r>
    </w:p>
    <w:p w14:paraId="41960A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2.2工程量清单中投标人没有填入单价或价格的子目，其费用视为已分摊在工程量清单中其他相关子目的单价或价格之中。</w:t>
      </w:r>
    </w:p>
    <w:p w14:paraId="32B235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2.3投标报价应包括国家规定的增值税金，除投标人须知前附表另有规定外，增值税税金按一般计税方法计算。投标人应按第九章“投标文件格式”的要求在投标函中进行报价并填写分项报价表。</w:t>
      </w:r>
    </w:p>
    <w:p w14:paraId="71D95B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2.4投标人应充分了解本项目的总体情况及影响投标报价的其他要求。计量采用中华人民共和国法定计量单位。</w:t>
      </w:r>
    </w:p>
    <w:p w14:paraId="7F51ED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2.5投标人编制工程量清单前应对招标文件中的投标人须知、通用合同条款、专用合同条款、技术标准和要求及图纸等充分理解，所编制的工程量清单应涵盖施工图纸所包含的全部内容。</w:t>
      </w:r>
    </w:p>
    <w:p w14:paraId="286B38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2.6投标单价、总价和工期应包含以下费用或风险，合同执行期间不作调整：</w:t>
      </w:r>
    </w:p>
    <w:p w14:paraId="06E0BF76">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1）因工程流失量、损耗量、沉降量、超深超宽开挖量、回淤量等的估算不足对工程费用的影响。</w:t>
      </w:r>
    </w:p>
    <w:p w14:paraId="40179ED3">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2）工程所含材料价格应综合材料费、资源费、运输费、采购保管费、检验费等一切费用</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合同条款另有规定的除外</w:t>
      </w:r>
      <w:r>
        <w:rPr>
          <w:rFonts w:hint="eastAsia" w:ascii="宋体" w:hAnsi="宋体"/>
          <w:color w:val="auto"/>
          <w:szCs w:val="21"/>
          <w:highlight w:val="none"/>
        </w:rPr>
        <w:t>。</w:t>
      </w:r>
    </w:p>
    <w:p w14:paraId="08C7E40A">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2.7</w:t>
      </w:r>
      <w:r>
        <w:rPr>
          <w:rFonts w:hint="eastAsia" w:ascii="宋体" w:hAnsi="宋体"/>
          <w:color w:val="auto"/>
          <w:szCs w:val="21"/>
          <w:highlight w:val="none"/>
          <w:lang w:val="en-US" w:eastAsia="zh-CN"/>
        </w:rPr>
        <w:t>标准化建设专项费用可结合项目实际进行列支，列入“一般项目”或“暂列金”，不作为竞争性报价。本项目标准化建设专项费用为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lang w:val="en-US" w:eastAsia="zh-CN"/>
        </w:rPr>
        <w:t>元，（可按以下标准进行列支：最高限价工程费用0.3亿元以上的项目，按不低于最高限价工程费用的1%进行列支，且不低于60万元；最高限价工程费用超过3亿元的项目，超出3亿元部分按不低于0.5%进行列支）。</w:t>
      </w:r>
    </w:p>
    <w:p w14:paraId="17C32A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 xml:space="preserve">2.8 </w:t>
      </w:r>
      <w:r>
        <w:rPr>
          <w:rFonts w:ascii="宋体" w:hAnsi="宋体"/>
          <w:color w:val="auto"/>
          <w:szCs w:val="21"/>
          <w:highlight w:val="none"/>
        </w:rPr>
        <w:t>……</w:t>
      </w:r>
    </w:p>
    <w:p w14:paraId="08E9C40E">
      <w:pPr>
        <w:keepNext/>
        <w:keepLines/>
        <w:spacing w:line="360" w:lineRule="auto"/>
        <w:jc w:val="center"/>
        <w:outlineLvl w:val="2"/>
        <w:rPr>
          <w:b/>
          <w:bCs/>
          <w:color w:val="auto"/>
          <w:sz w:val="24"/>
          <w:szCs w:val="32"/>
          <w:highlight w:val="none"/>
        </w:rPr>
      </w:pPr>
      <w:bookmarkStart w:id="1278" w:name="_Toc239930600"/>
      <w:bookmarkStart w:id="1279" w:name="_Toc456169794"/>
      <w:r>
        <w:rPr>
          <w:rFonts w:hint="eastAsia"/>
          <w:b/>
          <w:bCs/>
          <w:color w:val="auto"/>
          <w:sz w:val="24"/>
          <w:szCs w:val="32"/>
          <w:highlight w:val="none"/>
        </w:rPr>
        <w:t>3、其他说明</w:t>
      </w:r>
      <w:bookmarkEnd w:id="1278"/>
      <w:bookmarkEnd w:id="1279"/>
    </w:p>
    <w:p w14:paraId="66572FCB">
      <w:pPr>
        <w:autoSpaceDE w:val="0"/>
        <w:autoSpaceDN w:val="0"/>
        <w:adjustRightInd w:val="0"/>
        <w:spacing w:line="500" w:lineRule="exact"/>
        <w:ind w:right="-147" w:firstLine="432" w:firstLineChars="206"/>
        <w:rPr>
          <w:rFonts w:ascii="宋体"/>
          <w:color w:val="auto"/>
          <w:szCs w:val="21"/>
          <w:highlight w:val="none"/>
        </w:rPr>
      </w:pPr>
      <w:r>
        <w:rPr>
          <w:rFonts w:hint="eastAsia" w:ascii="宋体"/>
          <w:color w:val="auto"/>
          <w:szCs w:val="21"/>
          <w:highlight w:val="none"/>
        </w:rPr>
        <w:t>3.1适用定额：现行行业有关规定。</w:t>
      </w:r>
    </w:p>
    <w:p w14:paraId="313EA9CB">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3.2 材料市场价格由投标人自行调查确定。</w:t>
      </w:r>
    </w:p>
    <w:p w14:paraId="6FD63834">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3.3</w:t>
      </w:r>
      <w:r>
        <w:rPr>
          <w:rFonts w:hint="eastAsia"/>
          <w:color w:val="auto"/>
          <w:szCs w:val="21"/>
          <w:highlight w:val="none"/>
        </w:rPr>
        <w:t xml:space="preserve"> </w:t>
      </w:r>
      <w:r>
        <w:rPr>
          <w:rFonts w:hint="eastAsia" w:ascii="宋体"/>
          <w:color w:val="auto"/>
          <w:szCs w:val="21"/>
          <w:highlight w:val="none"/>
        </w:rPr>
        <w:t>本工程施工取费作为竞争性费用由各投标人自行考虑。</w:t>
      </w:r>
    </w:p>
    <w:p w14:paraId="4A27DEA8">
      <w:pPr>
        <w:autoSpaceDE w:val="0"/>
        <w:autoSpaceDN w:val="0"/>
        <w:adjustRightInd w:val="0"/>
        <w:spacing w:line="500" w:lineRule="exact"/>
        <w:ind w:right="-147" w:firstLine="329"/>
        <w:rPr>
          <w:rFonts w:ascii="宋体"/>
          <w:color w:val="auto"/>
          <w:szCs w:val="21"/>
          <w:highlight w:val="none"/>
        </w:rPr>
      </w:pPr>
      <w:r>
        <w:rPr>
          <w:rFonts w:hint="eastAsia" w:ascii="宋体"/>
          <w:color w:val="auto"/>
          <w:szCs w:val="21"/>
          <w:highlight w:val="none"/>
        </w:rPr>
        <w:t>3.4 税率：按当地税率计取，当地税率由投标人自行调查。</w:t>
      </w:r>
    </w:p>
    <w:p w14:paraId="25DABD2C">
      <w:pPr>
        <w:autoSpaceDE w:val="0"/>
        <w:autoSpaceDN w:val="0"/>
        <w:adjustRightInd w:val="0"/>
        <w:spacing w:line="500" w:lineRule="exact"/>
        <w:ind w:right="-147" w:firstLine="329"/>
        <w:rPr>
          <w:rFonts w:ascii="宋体" w:hAnsi="宋体"/>
          <w:color w:val="auto"/>
          <w:szCs w:val="21"/>
          <w:highlight w:val="none"/>
        </w:rPr>
      </w:pPr>
      <w:r>
        <w:rPr>
          <w:rFonts w:hint="eastAsia" w:ascii="宋体"/>
          <w:color w:val="auto"/>
          <w:szCs w:val="21"/>
          <w:highlight w:val="none"/>
        </w:rPr>
        <w:t>3.5 投标总价分为工程项目、一般项目和暂列金额。</w:t>
      </w:r>
    </w:p>
    <w:p w14:paraId="5BA083CD">
      <w:pPr>
        <w:autoSpaceDE w:val="0"/>
        <w:autoSpaceDN w:val="0"/>
        <w:adjustRightInd w:val="0"/>
        <w:spacing w:line="500" w:lineRule="exact"/>
        <w:ind w:right="-147" w:firstLine="329"/>
        <w:rPr>
          <w:rFonts w:ascii="宋体"/>
          <w:color w:val="auto"/>
          <w:szCs w:val="21"/>
          <w:highlight w:val="none"/>
        </w:rPr>
      </w:pPr>
      <w:r>
        <w:rPr>
          <w:rFonts w:hint="eastAsia" w:ascii="宋体" w:hAnsi="宋体"/>
          <w:color w:val="auto"/>
          <w:szCs w:val="21"/>
          <w:highlight w:val="none"/>
        </w:rPr>
        <w:t>投标报价应包括国家规定的增值税金，除投标人须知前附表另有规定外，增值税税金按一般计税方法计算。投标人应按第九章“投标文件格式”的要求在投标函中进行报价并填写分项报价表</w:t>
      </w:r>
      <w:r>
        <w:rPr>
          <w:rFonts w:hint="eastAsia" w:ascii="宋体"/>
          <w:color w:val="auto"/>
          <w:szCs w:val="21"/>
          <w:highlight w:val="none"/>
        </w:rPr>
        <w:t>。</w:t>
      </w:r>
    </w:p>
    <w:p w14:paraId="0C67FD80">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3.7 本项目的文明施工、环保措施专项费用(若有)专款专用，不得挪作他用，否则甲方将扣除该费用。</w:t>
      </w:r>
    </w:p>
    <w:p w14:paraId="3AFBDD46">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 xml:space="preserve">3.8 </w:t>
      </w:r>
      <w:r>
        <w:rPr>
          <w:rFonts w:hint="eastAsia"/>
          <w:color w:val="auto"/>
          <w:szCs w:val="21"/>
          <w:highlight w:val="none"/>
        </w:rPr>
        <w:t xml:space="preserve"> </w:t>
      </w:r>
      <w:r>
        <w:rPr>
          <w:rFonts w:hint="eastAsia" w:ascii="宋体"/>
          <w:color w:val="auto"/>
          <w:szCs w:val="21"/>
          <w:highlight w:val="none"/>
        </w:rPr>
        <w:t>预制场地、现场办公生活场地、港内外施工道路及其它生产、生活所需要的临时施工水域或场地由承包人自行解决</w:t>
      </w:r>
      <w:r>
        <w:rPr>
          <w:rFonts w:ascii="宋体"/>
          <w:color w:val="auto"/>
          <w:szCs w:val="21"/>
          <w:highlight w:val="none"/>
        </w:rPr>
        <w:t xml:space="preserve">, </w:t>
      </w:r>
      <w:r>
        <w:rPr>
          <w:rFonts w:hint="eastAsia" w:ascii="宋体"/>
          <w:color w:val="auto"/>
          <w:szCs w:val="21"/>
          <w:highlight w:val="none"/>
        </w:rPr>
        <w:t>投标报价中应在一般项目报价中体现，如未计列则视其费用已分摊在工程量清单中子目的单价或价格之中。</w:t>
      </w:r>
    </w:p>
    <w:p w14:paraId="406F7C64">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 xml:space="preserve">3.9 </w:t>
      </w:r>
      <w:r>
        <w:rPr>
          <w:rFonts w:hint="eastAsia" w:ascii="宋体" w:hAnsi="宋体"/>
          <w:color w:val="auto"/>
          <w:szCs w:val="21"/>
          <w:highlight w:val="none"/>
        </w:rPr>
        <w:t>本工程生产、生活用水、用电及通信条件由承包人自行解决。投标报价中应把可能额外增加的水、电费用在一般项目报价中体现，如未计列则视其费用已分摊在工程量清单中子目的单价或价格之中。</w:t>
      </w:r>
    </w:p>
    <w:p w14:paraId="3B486D40">
      <w:pPr>
        <w:autoSpaceDE w:val="0"/>
        <w:autoSpaceDN w:val="0"/>
        <w:adjustRightInd w:val="0"/>
        <w:spacing w:line="500" w:lineRule="exact"/>
        <w:ind w:right="-147" w:firstLine="315" w:firstLineChars="150"/>
        <w:rPr>
          <w:rFonts w:ascii="宋体"/>
          <w:color w:val="auto"/>
          <w:szCs w:val="21"/>
          <w:highlight w:val="none"/>
        </w:rPr>
      </w:pPr>
      <w:r>
        <w:rPr>
          <w:rFonts w:hint="eastAsia" w:ascii="宋体"/>
          <w:color w:val="auto"/>
          <w:szCs w:val="21"/>
          <w:highlight w:val="none"/>
        </w:rPr>
        <w:t>3.10投标报价中要求暂列金额（若有），不得作为竞争性报价；暂列金额由招标人支配，按发生的实际费用支出。</w:t>
      </w:r>
    </w:p>
    <w:p w14:paraId="5C528F6E">
      <w:pPr>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3.11</w:t>
      </w:r>
      <w:r>
        <w:rPr>
          <w:rFonts w:ascii="宋体" w:hAnsi="宋体"/>
          <w:color w:val="auto"/>
          <w:szCs w:val="21"/>
          <w:highlight w:val="none"/>
        </w:rPr>
        <w:t>……</w:t>
      </w:r>
    </w:p>
    <w:p w14:paraId="1A0CD58D">
      <w:pPr>
        <w:spacing w:line="360" w:lineRule="exact"/>
        <w:ind w:firstLine="420" w:firstLineChars="200"/>
        <w:jc w:val="left"/>
        <w:rPr>
          <w:rFonts w:ascii="宋体" w:hAnsi="宋体" w:cs="宋体"/>
          <w:color w:val="auto"/>
          <w:highlight w:val="none"/>
        </w:rPr>
      </w:pPr>
    </w:p>
    <w:p w14:paraId="04EED0B7">
      <w:pPr>
        <w:spacing w:line="360" w:lineRule="exact"/>
        <w:ind w:firstLine="420" w:firstLineChars="200"/>
        <w:jc w:val="left"/>
        <w:rPr>
          <w:rFonts w:ascii="宋体" w:hAnsi="宋体" w:cs="宋体"/>
          <w:color w:val="auto"/>
          <w:highlight w:val="none"/>
        </w:rPr>
      </w:pPr>
    </w:p>
    <w:p w14:paraId="6B6949ED">
      <w:pPr>
        <w:spacing w:line="360" w:lineRule="exact"/>
        <w:ind w:firstLine="420" w:firstLineChars="200"/>
        <w:jc w:val="left"/>
        <w:rPr>
          <w:rFonts w:ascii="宋体" w:hAnsi="宋体" w:cs="宋体"/>
          <w:color w:val="auto"/>
          <w:highlight w:val="none"/>
        </w:rPr>
      </w:pPr>
    </w:p>
    <w:p w14:paraId="1117DC2C">
      <w:pPr>
        <w:spacing w:line="360" w:lineRule="exact"/>
        <w:ind w:firstLine="420" w:firstLineChars="200"/>
        <w:jc w:val="left"/>
        <w:rPr>
          <w:rFonts w:ascii="宋体" w:hAnsi="宋体" w:cs="宋体"/>
          <w:color w:val="auto"/>
          <w:highlight w:val="none"/>
        </w:rPr>
      </w:pPr>
    </w:p>
    <w:p w14:paraId="40FC7BF9">
      <w:pPr>
        <w:spacing w:line="360" w:lineRule="exact"/>
        <w:ind w:firstLine="420" w:firstLineChars="200"/>
        <w:jc w:val="left"/>
        <w:rPr>
          <w:rFonts w:ascii="宋体" w:hAnsi="宋体" w:cs="宋体"/>
          <w:color w:val="auto"/>
          <w:highlight w:val="none"/>
        </w:rPr>
      </w:pPr>
    </w:p>
    <w:p w14:paraId="0DFF4150">
      <w:pPr>
        <w:spacing w:line="360" w:lineRule="exact"/>
        <w:ind w:firstLine="420" w:firstLineChars="200"/>
        <w:jc w:val="left"/>
        <w:rPr>
          <w:rFonts w:ascii="宋体" w:hAnsi="宋体" w:cs="宋体"/>
          <w:color w:val="auto"/>
          <w:highlight w:val="none"/>
        </w:rPr>
      </w:pPr>
    </w:p>
    <w:p w14:paraId="5A84C6D5">
      <w:pPr>
        <w:spacing w:line="360" w:lineRule="exact"/>
        <w:ind w:firstLine="420" w:firstLineChars="200"/>
        <w:jc w:val="left"/>
        <w:rPr>
          <w:rFonts w:ascii="宋体" w:hAnsi="宋体" w:cs="宋体"/>
          <w:color w:val="auto"/>
          <w:highlight w:val="none"/>
        </w:rPr>
      </w:pPr>
    </w:p>
    <w:p w14:paraId="22BD2B76">
      <w:pPr>
        <w:spacing w:line="360" w:lineRule="exact"/>
        <w:ind w:firstLine="420" w:firstLineChars="200"/>
        <w:jc w:val="left"/>
        <w:rPr>
          <w:rFonts w:ascii="宋体" w:hAnsi="宋体" w:cs="宋体"/>
          <w:color w:val="auto"/>
          <w:highlight w:val="none"/>
        </w:rPr>
      </w:pPr>
    </w:p>
    <w:p w14:paraId="37F97F0F">
      <w:pPr>
        <w:spacing w:line="360" w:lineRule="exact"/>
        <w:ind w:firstLine="420" w:firstLineChars="200"/>
        <w:jc w:val="left"/>
        <w:rPr>
          <w:rFonts w:ascii="宋体" w:hAnsi="宋体" w:cs="宋体"/>
          <w:color w:val="auto"/>
          <w:highlight w:val="none"/>
        </w:rPr>
      </w:pPr>
    </w:p>
    <w:p w14:paraId="2BC23A72">
      <w:pPr>
        <w:spacing w:line="360" w:lineRule="exact"/>
        <w:ind w:firstLine="420" w:firstLineChars="200"/>
        <w:jc w:val="left"/>
        <w:rPr>
          <w:rFonts w:ascii="宋体" w:hAnsi="宋体" w:cs="宋体"/>
          <w:color w:val="auto"/>
          <w:highlight w:val="none"/>
        </w:rPr>
      </w:pPr>
    </w:p>
    <w:p w14:paraId="52CCB813">
      <w:pPr>
        <w:spacing w:line="360" w:lineRule="exact"/>
        <w:ind w:firstLine="420" w:firstLineChars="200"/>
        <w:jc w:val="left"/>
        <w:rPr>
          <w:rFonts w:ascii="宋体" w:hAnsi="宋体" w:cs="宋体"/>
          <w:color w:val="auto"/>
          <w:highlight w:val="none"/>
        </w:rPr>
      </w:pPr>
    </w:p>
    <w:p w14:paraId="1D61483A">
      <w:pPr>
        <w:spacing w:line="360" w:lineRule="exact"/>
        <w:ind w:firstLine="420" w:firstLineChars="200"/>
        <w:jc w:val="left"/>
        <w:rPr>
          <w:rFonts w:ascii="宋体" w:hAnsi="宋体" w:cs="宋体"/>
          <w:color w:val="auto"/>
          <w:highlight w:val="none"/>
        </w:rPr>
      </w:pPr>
    </w:p>
    <w:p w14:paraId="1263D586">
      <w:pPr>
        <w:spacing w:line="360" w:lineRule="exact"/>
        <w:ind w:firstLine="420" w:firstLineChars="200"/>
        <w:jc w:val="left"/>
        <w:rPr>
          <w:rFonts w:ascii="宋体" w:hAnsi="宋体" w:cs="宋体"/>
          <w:color w:val="auto"/>
          <w:highlight w:val="none"/>
        </w:rPr>
      </w:pPr>
    </w:p>
    <w:p w14:paraId="16AE571C">
      <w:pPr>
        <w:spacing w:line="360" w:lineRule="exact"/>
        <w:ind w:firstLine="420" w:firstLineChars="200"/>
        <w:jc w:val="left"/>
        <w:rPr>
          <w:rFonts w:ascii="宋体" w:hAnsi="宋体" w:cs="宋体"/>
          <w:color w:val="auto"/>
          <w:highlight w:val="none"/>
        </w:rPr>
      </w:pPr>
    </w:p>
    <w:p w14:paraId="7A4912C9">
      <w:pPr>
        <w:spacing w:line="360" w:lineRule="exact"/>
        <w:ind w:firstLine="420" w:firstLineChars="200"/>
        <w:jc w:val="left"/>
        <w:rPr>
          <w:rFonts w:ascii="宋体" w:hAnsi="宋体" w:cs="宋体"/>
          <w:color w:val="auto"/>
          <w:highlight w:val="none"/>
        </w:rPr>
      </w:pPr>
    </w:p>
    <w:p w14:paraId="67F47A7C">
      <w:pPr>
        <w:spacing w:line="360" w:lineRule="exact"/>
        <w:ind w:firstLine="420" w:firstLineChars="200"/>
        <w:jc w:val="left"/>
        <w:rPr>
          <w:rFonts w:ascii="宋体" w:hAnsi="宋体" w:cs="宋体"/>
          <w:color w:val="auto"/>
          <w:highlight w:val="none"/>
        </w:rPr>
      </w:pPr>
    </w:p>
    <w:p w14:paraId="6F30A312">
      <w:pPr>
        <w:spacing w:line="360" w:lineRule="exact"/>
        <w:ind w:firstLine="420" w:firstLineChars="200"/>
        <w:jc w:val="left"/>
        <w:rPr>
          <w:rFonts w:ascii="宋体" w:hAnsi="宋体" w:cs="宋体"/>
          <w:color w:val="auto"/>
          <w:highlight w:val="none"/>
        </w:rPr>
      </w:pPr>
    </w:p>
    <w:p w14:paraId="5B83C325">
      <w:pPr>
        <w:spacing w:line="360" w:lineRule="exact"/>
        <w:ind w:firstLine="420" w:firstLineChars="200"/>
        <w:jc w:val="left"/>
        <w:rPr>
          <w:rFonts w:ascii="宋体" w:hAnsi="宋体" w:cs="宋体"/>
          <w:color w:val="auto"/>
          <w:highlight w:val="none"/>
        </w:rPr>
      </w:pPr>
    </w:p>
    <w:p w14:paraId="01EBA1A7">
      <w:pPr>
        <w:spacing w:line="360" w:lineRule="exact"/>
        <w:ind w:firstLine="420" w:firstLineChars="200"/>
        <w:jc w:val="left"/>
        <w:rPr>
          <w:rFonts w:ascii="宋体" w:hAnsi="宋体" w:cs="宋体"/>
          <w:color w:val="auto"/>
          <w:highlight w:val="none"/>
        </w:rPr>
      </w:pPr>
    </w:p>
    <w:p w14:paraId="264EE094">
      <w:pPr>
        <w:spacing w:line="360" w:lineRule="exact"/>
        <w:ind w:firstLine="420" w:firstLineChars="200"/>
        <w:jc w:val="left"/>
        <w:rPr>
          <w:rFonts w:ascii="宋体" w:hAnsi="宋体" w:cs="宋体"/>
          <w:color w:val="auto"/>
          <w:highlight w:val="none"/>
        </w:rPr>
      </w:pPr>
    </w:p>
    <w:p w14:paraId="000AF2A5">
      <w:pPr>
        <w:spacing w:line="360" w:lineRule="exact"/>
        <w:ind w:firstLine="420" w:firstLineChars="200"/>
        <w:jc w:val="left"/>
        <w:rPr>
          <w:rFonts w:ascii="宋体" w:hAnsi="宋体" w:cs="宋体"/>
          <w:color w:val="auto"/>
          <w:highlight w:val="none"/>
        </w:rPr>
      </w:pPr>
    </w:p>
    <w:p w14:paraId="2B7A6B28">
      <w:pPr>
        <w:spacing w:line="360" w:lineRule="exact"/>
        <w:ind w:firstLine="420" w:firstLineChars="200"/>
        <w:jc w:val="left"/>
        <w:rPr>
          <w:rFonts w:ascii="宋体" w:hAnsi="宋体" w:cs="宋体"/>
          <w:color w:val="auto"/>
          <w:highlight w:val="none"/>
        </w:rPr>
      </w:pPr>
    </w:p>
    <w:p w14:paraId="23FAC0E5">
      <w:pPr>
        <w:spacing w:line="360" w:lineRule="exact"/>
        <w:ind w:firstLine="420" w:firstLineChars="200"/>
        <w:jc w:val="left"/>
        <w:rPr>
          <w:rFonts w:ascii="宋体" w:hAnsi="宋体" w:cs="宋体"/>
          <w:color w:val="auto"/>
          <w:highlight w:val="none"/>
        </w:rPr>
      </w:pPr>
    </w:p>
    <w:p w14:paraId="009A0988">
      <w:pPr>
        <w:spacing w:line="360" w:lineRule="exact"/>
        <w:ind w:firstLine="420" w:firstLineChars="200"/>
        <w:jc w:val="left"/>
        <w:rPr>
          <w:rFonts w:ascii="宋体" w:hAnsi="宋体" w:cs="宋体"/>
          <w:color w:val="auto"/>
          <w:highlight w:val="none"/>
        </w:rPr>
      </w:pPr>
    </w:p>
    <w:p w14:paraId="27C21F29">
      <w:pPr>
        <w:spacing w:line="360" w:lineRule="exact"/>
        <w:ind w:firstLine="420" w:firstLineChars="200"/>
        <w:jc w:val="left"/>
        <w:rPr>
          <w:rFonts w:ascii="宋体" w:hAnsi="宋体" w:cs="宋体"/>
          <w:color w:val="auto"/>
          <w:highlight w:val="none"/>
        </w:rPr>
      </w:pPr>
    </w:p>
    <w:p w14:paraId="39320D38">
      <w:pPr>
        <w:spacing w:line="360" w:lineRule="exact"/>
        <w:ind w:firstLine="420" w:firstLineChars="200"/>
        <w:jc w:val="left"/>
        <w:rPr>
          <w:rFonts w:ascii="宋体" w:hAnsi="宋体" w:cs="宋体"/>
          <w:color w:val="auto"/>
          <w:highlight w:val="none"/>
        </w:rPr>
      </w:pPr>
    </w:p>
    <w:p w14:paraId="1F2A71DE">
      <w:pPr>
        <w:spacing w:line="360" w:lineRule="exact"/>
        <w:ind w:firstLine="420" w:firstLineChars="200"/>
        <w:jc w:val="left"/>
        <w:rPr>
          <w:rFonts w:ascii="宋体" w:hAnsi="宋体" w:cs="宋体"/>
          <w:color w:val="auto"/>
          <w:highlight w:val="none"/>
        </w:rPr>
      </w:pPr>
    </w:p>
    <w:p w14:paraId="6D215D45">
      <w:pPr>
        <w:spacing w:line="360" w:lineRule="exact"/>
        <w:ind w:firstLine="420" w:firstLineChars="200"/>
        <w:jc w:val="left"/>
        <w:rPr>
          <w:rFonts w:ascii="宋体" w:hAnsi="宋体" w:cs="宋体"/>
          <w:color w:val="auto"/>
          <w:highlight w:val="none"/>
        </w:rPr>
      </w:pPr>
    </w:p>
    <w:p w14:paraId="22AA7BD5">
      <w:pPr>
        <w:spacing w:line="360" w:lineRule="exact"/>
        <w:ind w:firstLine="420" w:firstLineChars="200"/>
        <w:jc w:val="left"/>
        <w:rPr>
          <w:rFonts w:ascii="宋体" w:hAnsi="宋体" w:cs="宋体"/>
          <w:color w:val="auto"/>
          <w:highlight w:val="none"/>
        </w:rPr>
      </w:pPr>
    </w:p>
    <w:p w14:paraId="1B50E936">
      <w:pPr>
        <w:spacing w:line="360" w:lineRule="exact"/>
        <w:ind w:firstLine="420" w:firstLineChars="200"/>
        <w:jc w:val="left"/>
        <w:rPr>
          <w:rFonts w:ascii="宋体" w:hAnsi="宋体" w:cs="宋体"/>
          <w:color w:val="auto"/>
          <w:highlight w:val="none"/>
        </w:rPr>
      </w:pPr>
    </w:p>
    <w:p w14:paraId="7B66EAB0">
      <w:pPr>
        <w:spacing w:line="360" w:lineRule="exact"/>
        <w:ind w:firstLine="420" w:firstLineChars="200"/>
        <w:jc w:val="left"/>
        <w:rPr>
          <w:rFonts w:ascii="宋体" w:hAnsi="宋体" w:cs="宋体"/>
          <w:color w:val="auto"/>
          <w:highlight w:val="none"/>
        </w:rPr>
      </w:pPr>
    </w:p>
    <w:p w14:paraId="65A3394E">
      <w:pPr>
        <w:spacing w:line="360" w:lineRule="exact"/>
        <w:ind w:firstLine="420" w:firstLineChars="200"/>
        <w:jc w:val="left"/>
        <w:rPr>
          <w:rFonts w:ascii="宋体" w:hAnsi="宋体" w:cs="宋体"/>
          <w:color w:val="auto"/>
          <w:highlight w:val="none"/>
        </w:rPr>
      </w:pPr>
    </w:p>
    <w:p w14:paraId="622CC9D8">
      <w:pPr>
        <w:spacing w:line="360" w:lineRule="exact"/>
        <w:ind w:firstLine="420" w:firstLineChars="200"/>
        <w:jc w:val="left"/>
        <w:rPr>
          <w:rFonts w:ascii="宋体" w:hAnsi="宋体" w:cs="宋体"/>
          <w:color w:val="auto"/>
          <w:highlight w:val="none"/>
        </w:rPr>
      </w:pPr>
    </w:p>
    <w:p w14:paraId="20BEC370">
      <w:pPr>
        <w:spacing w:line="360" w:lineRule="exact"/>
        <w:ind w:firstLine="420" w:firstLineChars="200"/>
        <w:jc w:val="left"/>
        <w:rPr>
          <w:rFonts w:ascii="宋体" w:hAnsi="宋体" w:cs="宋体"/>
          <w:color w:val="auto"/>
          <w:highlight w:val="none"/>
        </w:rPr>
      </w:pPr>
    </w:p>
    <w:p w14:paraId="63035AF0">
      <w:pPr>
        <w:spacing w:line="360" w:lineRule="exact"/>
        <w:ind w:firstLine="420" w:firstLineChars="200"/>
        <w:jc w:val="left"/>
        <w:rPr>
          <w:rFonts w:ascii="宋体" w:hAnsi="宋体" w:cs="宋体"/>
          <w:color w:val="auto"/>
          <w:highlight w:val="none"/>
        </w:rPr>
      </w:pPr>
    </w:p>
    <w:p w14:paraId="00D53D6D">
      <w:pPr>
        <w:keepNext/>
        <w:keepLines/>
        <w:spacing w:line="360" w:lineRule="auto"/>
        <w:jc w:val="center"/>
        <w:outlineLvl w:val="2"/>
        <w:rPr>
          <w:b/>
          <w:bCs/>
          <w:color w:val="auto"/>
          <w:sz w:val="24"/>
          <w:szCs w:val="32"/>
          <w:highlight w:val="none"/>
        </w:rPr>
      </w:pPr>
      <w:bookmarkStart w:id="1280" w:name="_Toc456169795"/>
      <w:bookmarkStart w:id="1281" w:name="_Toc239930601"/>
      <w:r>
        <w:rPr>
          <w:rFonts w:hint="eastAsia"/>
          <w:b/>
          <w:bCs/>
          <w:color w:val="auto"/>
          <w:sz w:val="24"/>
          <w:szCs w:val="32"/>
          <w:highlight w:val="none"/>
        </w:rPr>
        <w:t>4、工程量清单</w:t>
      </w:r>
      <w:bookmarkEnd w:id="1280"/>
      <w:bookmarkEnd w:id="1281"/>
    </w:p>
    <w:p w14:paraId="32A9DAD1">
      <w:pPr>
        <w:spacing w:line="360" w:lineRule="exact"/>
        <w:ind w:firstLine="422" w:firstLineChars="200"/>
        <w:jc w:val="center"/>
        <w:rPr>
          <w:rFonts w:ascii="宋体" w:hAnsi="宋体" w:cs="宋体"/>
          <w:color w:val="auto"/>
          <w:highlight w:val="none"/>
        </w:rPr>
      </w:pPr>
      <w:r>
        <w:rPr>
          <w:rFonts w:hint="eastAsia" w:ascii="宋体" w:hAnsi="宋体"/>
          <w:b/>
          <w:color w:val="auto"/>
          <w:szCs w:val="21"/>
          <w:highlight w:val="none"/>
          <w:u w:val="single"/>
        </w:rPr>
        <w:t>（附件上传，可另行补充发布）</w:t>
      </w:r>
    </w:p>
    <w:p w14:paraId="1AFABC7E">
      <w:pPr>
        <w:spacing w:line="360" w:lineRule="exact"/>
        <w:ind w:firstLine="420" w:firstLineChars="200"/>
        <w:jc w:val="left"/>
        <w:rPr>
          <w:rFonts w:ascii="宋体" w:hAnsi="宋体" w:cs="宋体"/>
          <w:color w:val="auto"/>
          <w:highlight w:val="none"/>
        </w:rPr>
      </w:pPr>
    </w:p>
    <w:p w14:paraId="0D59FD3C">
      <w:pPr>
        <w:spacing w:line="360" w:lineRule="exact"/>
        <w:ind w:firstLine="420" w:firstLineChars="200"/>
        <w:jc w:val="left"/>
        <w:rPr>
          <w:rFonts w:ascii="宋体" w:hAnsi="宋体" w:cs="宋体"/>
          <w:color w:val="auto"/>
          <w:highlight w:val="none"/>
        </w:rPr>
      </w:pPr>
    </w:p>
    <w:p w14:paraId="496436BF">
      <w:pPr>
        <w:spacing w:line="360" w:lineRule="exact"/>
        <w:ind w:firstLine="420" w:firstLineChars="200"/>
        <w:jc w:val="left"/>
        <w:rPr>
          <w:rFonts w:ascii="宋体" w:hAnsi="宋体" w:cs="宋体"/>
          <w:color w:val="auto"/>
          <w:highlight w:val="none"/>
        </w:rPr>
      </w:pPr>
    </w:p>
    <w:p w14:paraId="3352BDF8">
      <w:pPr>
        <w:spacing w:line="360" w:lineRule="exact"/>
        <w:ind w:firstLine="420" w:firstLineChars="200"/>
        <w:jc w:val="left"/>
        <w:rPr>
          <w:rFonts w:ascii="宋体" w:hAnsi="宋体" w:cs="宋体"/>
          <w:color w:val="auto"/>
          <w:highlight w:val="none"/>
        </w:rPr>
      </w:pPr>
    </w:p>
    <w:p w14:paraId="645C1C71">
      <w:pPr>
        <w:spacing w:line="360" w:lineRule="exact"/>
        <w:ind w:firstLine="420" w:firstLineChars="200"/>
        <w:jc w:val="left"/>
        <w:rPr>
          <w:rFonts w:ascii="宋体" w:hAnsi="宋体" w:cs="宋体"/>
          <w:color w:val="auto"/>
          <w:highlight w:val="none"/>
        </w:rPr>
      </w:pPr>
    </w:p>
    <w:p w14:paraId="5F512DDE">
      <w:pPr>
        <w:spacing w:line="360" w:lineRule="exact"/>
        <w:ind w:firstLine="420" w:firstLineChars="200"/>
        <w:jc w:val="left"/>
        <w:rPr>
          <w:rFonts w:ascii="宋体" w:hAnsi="宋体" w:cs="宋体"/>
          <w:color w:val="auto"/>
          <w:highlight w:val="none"/>
        </w:rPr>
      </w:pPr>
    </w:p>
    <w:p w14:paraId="2EEFFB64">
      <w:pPr>
        <w:spacing w:line="360" w:lineRule="exact"/>
        <w:ind w:firstLine="420" w:firstLineChars="200"/>
        <w:jc w:val="left"/>
        <w:rPr>
          <w:rFonts w:ascii="宋体" w:hAnsi="宋体" w:cs="宋体"/>
          <w:color w:val="auto"/>
          <w:highlight w:val="none"/>
        </w:rPr>
      </w:pPr>
    </w:p>
    <w:p w14:paraId="5FD726DD">
      <w:pPr>
        <w:spacing w:line="360" w:lineRule="exact"/>
        <w:ind w:firstLine="420" w:firstLineChars="200"/>
        <w:jc w:val="left"/>
        <w:rPr>
          <w:rFonts w:ascii="宋体" w:hAnsi="宋体" w:cs="宋体"/>
          <w:color w:val="auto"/>
          <w:highlight w:val="none"/>
        </w:rPr>
      </w:pPr>
    </w:p>
    <w:p w14:paraId="6E37E02D">
      <w:pPr>
        <w:spacing w:line="360" w:lineRule="exact"/>
        <w:ind w:firstLine="420" w:firstLineChars="200"/>
        <w:jc w:val="left"/>
        <w:rPr>
          <w:rFonts w:ascii="宋体" w:hAnsi="宋体" w:cs="宋体"/>
          <w:color w:val="auto"/>
          <w:highlight w:val="none"/>
        </w:rPr>
      </w:pPr>
    </w:p>
    <w:p w14:paraId="6E4B936E">
      <w:pPr>
        <w:spacing w:line="360" w:lineRule="exact"/>
        <w:ind w:firstLine="420" w:firstLineChars="200"/>
        <w:jc w:val="left"/>
        <w:rPr>
          <w:rFonts w:ascii="宋体" w:hAnsi="宋体" w:cs="宋体"/>
          <w:color w:val="auto"/>
          <w:highlight w:val="none"/>
        </w:rPr>
      </w:pPr>
    </w:p>
    <w:p w14:paraId="0AC53575">
      <w:pPr>
        <w:spacing w:line="360" w:lineRule="exact"/>
        <w:ind w:firstLine="420" w:firstLineChars="200"/>
        <w:jc w:val="left"/>
        <w:rPr>
          <w:rFonts w:ascii="宋体" w:hAnsi="宋体" w:cs="宋体"/>
          <w:color w:val="auto"/>
          <w:highlight w:val="none"/>
        </w:rPr>
      </w:pPr>
    </w:p>
    <w:p w14:paraId="5FF88956">
      <w:pPr>
        <w:spacing w:line="360" w:lineRule="exact"/>
        <w:ind w:firstLine="420" w:firstLineChars="200"/>
        <w:jc w:val="left"/>
        <w:rPr>
          <w:rFonts w:ascii="宋体" w:hAnsi="宋体" w:cs="宋体"/>
          <w:color w:val="auto"/>
          <w:highlight w:val="none"/>
        </w:rPr>
      </w:pPr>
    </w:p>
    <w:p w14:paraId="62CA8CF3">
      <w:pPr>
        <w:spacing w:line="360" w:lineRule="exact"/>
        <w:ind w:firstLine="420" w:firstLineChars="200"/>
        <w:jc w:val="left"/>
        <w:rPr>
          <w:rFonts w:ascii="宋体" w:hAnsi="宋体" w:cs="宋体"/>
          <w:color w:val="auto"/>
          <w:highlight w:val="none"/>
        </w:rPr>
      </w:pPr>
    </w:p>
    <w:p w14:paraId="059D1514">
      <w:pPr>
        <w:pStyle w:val="2"/>
        <w:rPr>
          <w:rFonts w:ascii="宋体" w:hAnsi="宋体" w:cs="黑体"/>
          <w:color w:val="auto"/>
          <w:highlight w:val="none"/>
        </w:rPr>
      </w:pPr>
    </w:p>
    <w:p w14:paraId="4145890E">
      <w:pPr>
        <w:pStyle w:val="2"/>
        <w:rPr>
          <w:rFonts w:ascii="宋体" w:hAnsi="宋体" w:cs="黑体"/>
          <w:color w:val="auto"/>
          <w:highlight w:val="none"/>
        </w:rPr>
      </w:pPr>
      <w:bookmarkStart w:id="1282" w:name="_Toc490832364"/>
      <w:r>
        <w:rPr>
          <w:rFonts w:ascii="宋体" w:hAnsi="宋体" w:cs="黑体"/>
          <w:color w:val="auto"/>
          <w:highlight w:val="none"/>
        </w:rPr>
        <w:br w:type="page"/>
      </w:r>
      <w:r>
        <w:rPr>
          <w:rFonts w:hint="eastAsia" w:ascii="宋体" w:hAnsi="宋体" w:cs="黑体"/>
          <w:color w:val="auto"/>
          <w:highlight w:val="none"/>
        </w:rPr>
        <w:t>第七章 图纸</w:t>
      </w:r>
      <w:bookmarkEnd w:id="1282"/>
    </w:p>
    <w:p w14:paraId="07EEC2BA">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（附件上传）</w:t>
      </w:r>
    </w:p>
    <w:p w14:paraId="38208BC4">
      <w:pPr>
        <w:rPr>
          <w:rFonts w:ascii="宋体" w:hAnsi="宋体"/>
          <w:b/>
          <w:bCs/>
          <w:color w:val="auto"/>
          <w:sz w:val="32"/>
          <w:szCs w:val="32"/>
          <w:highlight w:val="none"/>
        </w:rPr>
      </w:pPr>
    </w:p>
    <w:p w14:paraId="09E81530">
      <w:pPr>
        <w:rPr>
          <w:rFonts w:ascii="宋体" w:hAnsi="宋体"/>
          <w:b/>
          <w:bCs/>
          <w:color w:val="auto"/>
          <w:sz w:val="32"/>
          <w:szCs w:val="32"/>
          <w:highlight w:val="none"/>
        </w:rPr>
      </w:pPr>
    </w:p>
    <w:p w14:paraId="74E52737">
      <w:pPr>
        <w:rPr>
          <w:rFonts w:ascii="宋体" w:hAnsi="宋体"/>
          <w:b/>
          <w:bCs/>
          <w:color w:val="auto"/>
          <w:sz w:val="32"/>
          <w:szCs w:val="32"/>
          <w:highlight w:val="none"/>
        </w:rPr>
      </w:pPr>
    </w:p>
    <w:p w14:paraId="5D367C05">
      <w:pPr>
        <w:rPr>
          <w:rFonts w:ascii="宋体" w:hAnsi="宋体"/>
          <w:b/>
          <w:bCs/>
          <w:color w:val="auto"/>
          <w:sz w:val="32"/>
          <w:szCs w:val="32"/>
          <w:highlight w:val="none"/>
        </w:rPr>
      </w:pPr>
    </w:p>
    <w:p w14:paraId="0C5A7E6F">
      <w:pPr>
        <w:rPr>
          <w:rFonts w:ascii="宋体" w:hAnsi="宋体"/>
          <w:b/>
          <w:bCs/>
          <w:color w:val="auto"/>
          <w:sz w:val="32"/>
          <w:szCs w:val="32"/>
          <w:highlight w:val="none"/>
        </w:rPr>
      </w:pPr>
    </w:p>
    <w:p w14:paraId="18156E35">
      <w:pPr>
        <w:rPr>
          <w:rFonts w:ascii="宋体" w:hAnsi="宋体"/>
          <w:b/>
          <w:bCs/>
          <w:color w:val="auto"/>
          <w:sz w:val="32"/>
          <w:szCs w:val="32"/>
          <w:highlight w:val="none"/>
        </w:rPr>
      </w:pPr>
    </w:p>
    <w:p w14:paraId="12A8F4FA">
      <w:pPr>
        <w:rPr>
          <w:rFonts w:ascii="宋体" w:hAnsi="宋体"/>
          <w:b/>
          <w:bCs/>
          <w:color w:val="auto"/>
          <w:sz w:val="32"/>
          <w:szCs w:val="32"/>
          <w:highlight w:val="none"/>
        </w:rPr>
      </w:pPr>
    </w:p>
    <w:p w14:paraId="1212B154">
      <w:pPr>
        <w:rPr>
          <w:rFonts w:ascii="宋体" w:hAnsi="宋体"/>
          <w:b/>
          <w:bCs/>
          <w:color w:val="auto"/>
          <w:sz w:val="32"/>
          <w:szCs w:val="32"/>
          <w:highlight w:val="none"/>
        </w:rPr>
      </w:pPr>
    </w:p>
    <w:p w14:paraId="793BA47F">
      <w:pPr>
        <w:rPr>
          <w:rFonts w:ascii="宋体" w:hAnsi="宋体"/>
          <w:b/>
          <w:bCs/>
          <w:color w:val="auto"/>
          <w:sz w:val="32"/>
          <w:szCs w:val="32"/>
          <w:highlight w:val="none"/>
        </w:rPr>
      </w:pPr>
    </w:p>
    <w:p w14:paraId="246A7440">
      <w:pPr>
        <w:pStyle w:val="2"/>
        <w:rPr>
          <w:rFonts w:ascii="宋体" w:hAnsi="宋体" w:cs="黑体"/>
          <w:color w:val="auto"/>
          <w:highlight w:val="none"/>
        </w:rPr>
      </w:pPr>
      <w:bookmarkStart w:id="1283" w:name="_Toc15516"/>
      <w:bookmarkStart w:id="1284" w:name="_Toc23748"/>
      <w:r>
        <w:rPr>
          <w:rFonts w:ascii="宋体" w:hAnsi="宋体" w:cs="黑体"/>
          <w:color w:val="auto"/>
          <w:highlight w:val="none"/>
        </w:rPr>
        <w:br w:type="page"/>
      </w:r>
      <w:bookmarkStart w:id="1285" w:name="_Toc490832365"/>
      <w:r>
        <w:rPr>
          <w:rFonts w:hint="eastAsia" w:ascii="宋体" w:hAnsi="宋体" w:cs="黑体"/>
          <w:color w:val="auto"/>
          <w:highlight w:val="none"/>
        </w:rPr>
        <w:t>第八章 技术标准和要求</w:t>
      </w:r>
      <w:bookmarkEnd w:id="1283"/>
      <w:bookmarkEnd w:id="1284"/>
      <w:bookmarkEnd w:id="1285"/>
    </w:p>
    <w:p w14:paraId="317B6496">
      <w:pPr>
        <w:spacing w:before="158" w:beforeLines="50" w:after="158" w:afterLines="50"/>
        <w:jc w:val="center"/>
        <w:rPr>
          <w:rFonts w:ascii="宋体" w:hAnsi="宋体"/>
          <w:b/>
          <w:bCs/>
          <w:color w:val="auto"/>
          <w:sz w:val="32"/>
          <w:szCs w:val="32"/>
          <w:highlight w:val="none"/>
        </w:rPr>
      </w:pPr>
      <w:r>
        <w:rPr>
          <w:rFonts w:hint="eastAsia" w:ascii="宋体" w:hAnsi="宋体"/>
          <w:b/>
          <w:bCs/>
          <w:color w:val="auto"/>
          <w:sz w:val="44"/>
          <w:szCs w:val="44"/>
          <w:highlight w:val="none"/>
        </w:rPr>
        <w:t>技术标准和要求</w:t>
      </w:r>
    </w:p>
    <w:p w14:paraId="6DCC7BD3">
      <w:pPr>
        <w:pStyle w:val="4"/>
        <w:spacing w:before="120" w:after="120" w:line="360" w:lineRule="exact"/>
        <w:jc w:val="left"/>
        <w:rPr>
          <w:rFonts w:ascii="宋体" w:hAnsi="宋体"/>
          <w:color w:val="auto"/>
          <w:sz w:val="24"/>
          <w:szCs w:val="24"/>
          <w:highlight w:val="none"/>
        </w:rPr>
      </w:pPr>
      <w:bookmarkStart w:id="1286" w:name="_Toc419724367"/>
      <w:bookmarkStart w:id="1287" w:name="_Toc30252"/>
      <w:bookmarkStart w:id="1288" w:name="_Toc8549"/>
      <w:bookmarkStart w:id="1289" w:name="_Toc383013076"/>
      <w:bookmarkStart w:id="1290" w:name="_Toc419729435"/>
      <w:bookmarkStart w:id="1291" w:name="_Toc383006551"/>
      <w:bookmarkStart w:id="1292" w:name="_Toc383512768"/>
      <w:bookmarkStart w:id="1293" w:name="_Toc463799088"/>
      <w:bookmarkStart w:id="1294" w:name="_Toc487653259"/>
      <w:bookmarkStart w:id="1295" w:name="_Toc419825429"/>
      <w:bookmarkStart w:id="1296" w:name="_Toc488492911"/>
      <w:bookmarkStart w:id="1297" w:name="_Toc490832366"/>
      <w:bookmarkStart w:id="1298" w:name="_Toc419825081"/>
      <w:r>
        <w:rPr>
          <w:rFonts w:hint="eastAsia" w:ascii="宋体" w:hAnsi="宋体"/>
          <w:color w:val="auto"/>
          <w:sz w:val="24"/>
          <w:szCs w:val="24"/>
          <w:highlight w:val="none"/>
        </w:rPr>
        <w:t>1.</w:t>
      </w:r>
      <w:bookmarkEnd w:id="1286"/>
      <w:bookmarkEnd w:id="1287"/>
      <w:bookmarkEnd w:id="1288"/>
      <w:bookmarkEnd w:id="1289"/>
      <w:bookmarkEnd w:id="1290"/>
      <w:bookmarkEnd w:id="1291"/>
      <w:bookmarkEnd w:id="1292"/>
      <w:r>
        <w:rPr>
          <w:rFonts w:hint="eastAsia" w:ascii="宋体" w:hAnsi="宋体"/>
          <w:color w:val="auto"/>
          <w:sz w:val="24"/>
          <w:szCs w:val="24"/>
          <w:highlight w:val="none"/>
        </w:rPr>
        <w:t>技术标准</w:t>
      </w:r>
      <w:bookmarkEnd w:id="1293"/>
      <w:bookmarkEnd w:id="1294"/>
      <w:bookmarkEnd w:id="1295"/>
      <w:bookmarkEnd w:id="1296"/>
      <w:bookmarkEnd w:id="1297"/>
      <w:bookmarkEnd w:id="1298"/>
    </w:p>
    <w:p w14:paraId="7CD5FA1F">
      <w:pPr>
        <w:spacing w:line="276" w:lineRule="auto"/>
        <w:jc w:val="left"/>
        <w:rPr>
          <w:rFonts w:ascii="宋体" w:hAnsi="宋体" w:cs="宋体"/>
          <w:color w:val="auto"/>
          <w:szCs w:val="21"/>
          <w:highlight w:val="none"/>
        </w:rPr>
      </w:pPr>
      <w:r>
        <w:rPr>
          <w:rFonts w:hint="eastAsia" w:ascii="宋体" w:hAnsi="宋体" w:cs="宋体"/>
          <w:color w:val="auto"/>
          <w:szCs w:val="21"/>
          <w:highlight w:val="none"/>
        </w:rPr>
        <w:t xml:space="preserve">　　1.1 </w:t>
      </w:r>
      <w:r>
        <w:rPr>
          <w:rFonts w:hint="eastAsia" w:ascii="宋体" w:hAnsi="宋体"/>
          <w:color w:val="auto"/>
          <w:szCs w:val="21"/>
          <w:highlight w:val="none"/>
        </w:rPr>
        <w:t>技术标准是指由国家、行业和地方政府颁布的标准、规范、规定或规程，以及为实施某项工程特为制定的专项标准、规定或规程。</w:t>
      </w:r>
    </w:p>
    <w:p w14:paraId="6B54A73F">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 xml:space="preserve">1.2 </w:t>
      </w:r>
      <w:r>
        <w:rPr>
          <w:rFonts w:ascii="宋体" w:hAnsi="宋体"/>
          <w:color w:val="auto"/>
          <w:szCs w:val="21"/>
          <w:highlight w:val="none"/>
        </w:rPr>
        <w:t>工程施工中的所有材料、设备和施工质量均应遵照交通运输部发布的港口工程有关技术规范以及国家颁布的其他有关技术法规和规范进行施工；应严格按照施工图设计</w:t>
      </w:r>
      <w:r>
        <w:rPr>
          <w:rFonts w:hint="eastAsia" w:ascii="宋体" w:hAnsi="宋体"/>
          <w:color w:val="auto"/>
          <w:szCs w:val="21"/>
          <w:highlight w:val="none"/>
        </w:rPr>
        <w:t>及技术要求</w:t>
      </w:r>
      <w:r>
        <w:rPr>
          <w:rFonts w:ascii="宋体" w:hAnsi="宋体"/>
          <w:color w:val="auto"/>
          <w:szCs w:val="21"/>
          <w:highlight w:val="none"/>
        </w:rPr>
        <w:t>进行施工；同时遵照《水运工程质量检验标准》进行质量控制。采用的规范和技术标准主要包括但不限于如下规范及标准</w:t>
      </w:r>
      <w:r>
        <w:rPr>
          <w:rFonts w:hint="eastAsia" w:ascii="宋体" w:hAnsi="宋体"/>
          <w:color w:val="auto"/>
          <w:szCs w:val="21"/>
          <w:highlight w:val="none"/>
        </w:rPr>
        <w:t>（以下标准均按照最新版执行。在合同履行期间，若下述标准有修改或重新颁布，监理单位将及时收集新的标准或规范执行，并按照其执行。）：</w:t>
      </w:r>
    </w:p>
    <w:p w14:paraId="74A3E7EC">
      <w:pPr>
        <w:spacing w:line="276" w:lineRule="auto"/>
        <w:ind w:firstLine="420"/>
        <w:jc w:val="left"/>
        <w:rPr>
          <w:rFonts w:ascii="宋体" w:hAnsi="宋体"/>
          <w:color w:val="auto"/>
          <w:szCs w:val="21"/>
          <w:highlight w:val="none"/>
        </w:rPr>
      </w:pPr>
      <w:bookmarkStart w:id="1299" w:name="_Toc463799089"/>
      <w:bookmarkStart w:id="1300" w:name="_Toc419825430"/>
      <w:bookmarkStart w:id="1301" w:name="_Toc383013077"/>
      <w:bookmarkStart w:id="1302" w:name="_Toc419729436"/>
      <w:bookmarkStart w:id="1303" w:name="_Toc383512769"/>
      <w:bookmarkStart w:id="1304" w:name="_Toc419724368"/>
      <w:bookmarkStart w:id="1305" w:name="_Toc419825082"/>
      <w:r>
        <w:rPr>
          <w:rFonts w:hint="eastAsia" w:ascii="宋体" w:hAnsi="宋体"/>
          <w:color w:val="auto"/>
          <w:szCs w:val="21"/>
          <w:highlight w:val="none"/>
        </w:rPr>
        <w:t>1、《海港总体设计规范》；</w:t>
      </w:r>
    </w:p>
    <w:p w14:paraId="0EA96E05">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2、《工程建设标准强制性条文》(水运工程部分)；</w:t>
      </w:r>
    </w:p>
    <w:p w14:paraId="5AAA5E88">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3、《水运工程设计通则》；</w:t>
      </w:r>
    </w:p>
    <w:p w14:paraId="5356590F">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4、《海上用太阳能电池组件总规范》；</w:t>
      </w:r>
    </w:p>
    <w:p w14:paraId="3254B30D">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5、《中国海区水上助航标志》；</w:t>
      </w:r>
    </w:p>
    <w:p w14:paraId="0E60EC53">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6、《航标灯光信号颜色》；</w:t>
      </w:r>
    </w:p>
    <w:p w14:paraId="1FD35E21">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7、《爆破安全规程》；</w:t>
      </w:r>
    </w:p>
    <w:p w14:paraId="1E129965">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8、《浮标锚链》；</w:t>
      </w:r>
    </w:p>
    <w:p w14:paraId="2AE77644">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9、《水运工程质量检验标准》；</w:t>
      </w:r>
    </w:p>
    <w:p w14:paraId="564D885D">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10、《水运工程测量质量检验标准》；</w:t>
      </w:r>
    </w:p>
    <w:p w14:paraId="2F049737">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11、《水运工程施工安全防护技术规范》；</w:t>
      </w:r>
    </w:p>
    <w:p w14:paraId="05C1E120">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12、《水运工程爆破技术规范》；</w:t>
      </w:r>
    </w:p>
    <w:p w14:paraId="08E89C92">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13、《中华人民共和国水上水下活动通航安全管理规定》；</w:t>
      </w:r>
    </w:p>
    <w:p w14:paraId="58A5029C">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14、《海区浮动助航标志配布导则》；</w:t>
      </w:r>
    </w:p>
    <w:p w14:paraId="6377B889">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15、《疏浚与吹填工程设计规范》；</w:t>
      </w:r>
    </w:p>
    <w:p w14:paraId="4FEF171F">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16、《疏浚与吹填工程施工规范》；</w:t>
      </w:r>
    </w:p>
    <w:p w14:paraId="0912BE83">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17、《水运工程测量规范》；</w:t>
      </w:r>
    </w:p>
    <w:p w14:paraId="2D0E844B">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18、《港口与航道水文规范》；</w:t>
      </w:r>
    </w:p>
    <w:p w14:paraId="2CE85343">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19、《水运工程岩土勘察规范》；</w:t>
      </w:r>
    </w:p>
    <w:p w14:paraId="72E0401F">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20、水运工程施工通则；</w:t>
      </w:r>
    </w:p>
    <w:p w14:paraId="5D13FC62">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21、</w:t>
      </w:r>
      <w:r>
        <w:rPr>
          <w:color w:val="auto"/>
          <w:highlight w:val="none"/>
        </w:rPr>
        <w:fldChar w:fldCharType="begin"/>
      </w:r>
      <w:r>
        <w:rPr>
          <w:color w:val="auto"/>
          <w:highlight w:val="none"/>
        </w:rPr>
        <w:instrText xml:space="preserve"> HYPERLINK "file:///G:\\水运工程标准规范\\《水运工程混凝土施工规范》(JTS202-2011).pdf" </w:instrText>
      </w:r>
      <w:r>
        <w:rPr>
          <w:color w:val="auto"/>
          <w:highlight w:val="none"/>
        </w:rPr>
        <w:fldChar w:fldCharType="separate"/>
      </w:r>
      <w:r>
        <w:rPr>
          <w:rFonts w:hint="eastAsia" w:ascii="宋体" w:hAnsi="宋体"/>
          <w:color w:val="auto"/>
          <w:szCs w:val="21"/>
          <w:highlight w:val="none"/>
        </w:rPr>
        <w:t>《水运工程混凝土施工规范》</w:t>
      </w:r>
      <w:r>
        <w:rPr>
          <w:rFonts w:hint="eastAsia" w:ascii="宋体" w:hAnsi="宋体"/>
          <w:color w:val="auto"/>
          <w:szCs w:val="21"/>
          <w:highlight w:val="none"/>
        </w:rPr>
        <w:fldChar w:fldCharType="end"/>
      </w:r>
    </w:p>
    <w:p w14:paraId="3FB36FAF">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22、</w:t>
      </w:r>
      <w:r>
        <w:rPr>
          <w:color w:val="auto"/>
          <w:highlight w:val="none"/>
        </w:rPr>
        <w:fldChar w:fldCharType="begin"/>
      </w:r>
      <w:r>
        <w:rPr>
          <w:color w:val="auto"/>
          <w:highlight w:val="none"/>
        </w:rPr>
        <w:instrText xml:space="preserve"> HYPERLINK "file:///G:\\水运工程标准规范\\《水运工程施工安全防护技术规范》(JTS205-1-2008).pdf" </w:instrText>
      </w:r>
      <w:r>
        <w:rPr>
          <w:color w:val="auto"/>
          <w:highlight w:val="none"/>
        </w:rPr>
        <w:fldChar w:fldCharType="separate"/>
      </w:r>
      <w:r>
        <w:rPr>
          <w:rFonts w:hint="eastAsia" w:ascii="宋体" w:hAnsi="宋体"/>
          <w:color w:val="auto"/>
          <w:szCs w:val="21"/>
          <w:highlight w:val="none"/>
        </w:rPr>
        <w:t>《水运工程施工安全防护技术规范》</w:t>
      </w:r>
      <w:r>
        <w:rPr>
          <w:rFonts w:hint="eastAsia" w:ascii="宋体" w:hAnsi="宋体"/>
          <w:color w:val="auto"/>
          <w:szCs w:val="21"/>
          <w:highlight w:val="none"/>
        </w:rPr>
        <w:fldChar w:fldCharType="end"/>
      </w:r>
    </w:p>
    <w:p w14:paraId="0A6B930A">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23、</w:t>
      </w:r>
      <w:r>
        <w:rPr>
          <w:color w:val="auto"/>
          <w:highlight w:val="none"/>
        </w:rPr>
        <w:fldChar w:fldCharType="begin"/>
      </w:r>
      <w:r>
        <w:rPr>
          <w:color w:val="auto"/>
          <w:highlight w:val="none"/>
        </w:rPr>
        <w:instrText xml:space="preserve"> HYPERLINK "file:///G:\\水运工程标准规范\\《水运工程大体积混凝土温度裂缝控制技术规程》(JTS%20202-1-2010%20).pdf" </w:instrText>
      </w:r>
      <w:r>
        <w:rPr>
          <w:color w:val="auto"/>
          <w:highlight w:val="none"/>
        </w:rPr>
        <w:fldChar w:fldCharType="separate"/>
      </w:r>
      <w:r>
        <w:rPr>
          <w:rFonts w:hint="eastAsia" w:ascii="宋体" w:hAnsi="宋体"/>
          <w:color w:val="auto"/>
          <w:szCs w:val="21"/>
          <w:highlight w:val="none"/>
        </w:rPr>
        <w:t>《水运工程大体积混凝土温度裂缝控制技术规程》</w:t>
      </w:r>
      <w:r>
        <w:rPr>
          <w:rFonts w:hint="eastAsia" w:ascii="宋体" w:hAnsi="宋体"/>
          <w:color w:val="auto"/>
          <w:szCs w:val="21"/>
          <w:highlight w:val="none"/>
        </w:rPr>
        <w:fldChar w:fldCharType="end"/>
      </w:r>
    </w:p>
    <w:p w14:paraId="2975CC57">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24、</w:t>
      </w:r>
      <w:r>
        <w:rPr>
          <w:color w:val="auto"/>
          <w:highlight w:val="none"/>
        </w:rPr>
        <w:fldChar w:fldCharType="begin"/>
      </w:r>
      <w:r>
        <w:rPr>
          <w:color w:val="auto"/>
          <w:highlight w:val="none"/>
        </w:rPr>
        <w:instrText xml:space="preserve"> HYPERLINK "file:///G:\\水运工程标准规范\\《水运工程塑料排水板应用技术规程》(JTS206-1-2009).pdf" </w:instrText>
      </w:r>
      <w:r>
        <w:rPr>
          <w:color w:val="auto"/>
          <w:highlight w:val="none"/>
        </w:rPr>
        <w:fldChar w:fldCharType="separate"/>
      </w:r>
      <w:r>
        <w:rPr>
          <w:rFonts w:hint="eastAsia" w:ascii="宋体" w:hAnsi="宋体"/>
          <w:color w:val="auto"/>
          <w:szCs w:val="21"/>
          <w:highlight w:val="none"/>
        </w:rPr>
        <w:t>《水运工程塑料排水板应用技术规程》</w:t>
      </w:r>
      <w:r>
        <w:rPr>
          <w:rFonts w:hint="eastAsia" w:ascii="宋体" w:hAnsi="宋体"/>
          <w:color w:val="auto"/>
          <w:szCs w:val="21"/>
          <w:highlight w:val="none"/>
        </w:rPr>
        <w:fldChar w:fldCharType="end"/>
      </w:r>
    </w:p>
    <w:p w14:paraId="127CE2E3">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25、</w:t>
      </w:r>
      <w:r>
        <w:rPr>
          <w:color w:val="auto"/>
          <w:highlight w:val="none"/>
        </w:rPr>
        <w:fldChar w:fldCharType="begin"/>
      </w:r>
      <w:r>
        <w:rPr>
          <w:color w:val="auto"/>
          <w:highlight w:val="none"/>
        </w:rPr>
        <w:instrText xml:space="preserve"> HYPERLINK "file:///G:\\水运工程标准规范\\《航道整治工程施工规范》（JTS%20224-2016）.pdf" </w:instrText>
      </w:r>
      <w:r>
        <w:rPr>
          <w:color w:val="auto"/>
          <w:highlight w:val="none"/>
        </w:rPr>
        <w:fldChar w:fldCharType="separate"/>
      </w:r>
      <w:r>
        <w:rPr>
          <w:rFonts w:hint="eastAsia" w:ascii="宋体" w:hAnsi="宋体"/>
          <w:color w:val="auto"/>
          <w:szCs w:val="21"/>
          <w:highlight w:val="none"/>
        </w:rPr>
        <w:t>《航道整治工程施工规范》</w:t>
      </w:r>
      <w:r>
        <w:rPr>
          <w:rFonts w:hint="eastAsia" w:ascii="宋体" w:hAnsi="宋体"/>
          <w:color w:val="auto"/>
          <w:szCs w:val="21"/>
          <w:highlight w:val="none"/>
        </w:rPr>
        <w:fldChar w:fldCharType="end"/>
      </w:r>
    </w:p>
    <w:p w14:paraId="69CCD8FC">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26、</w:t>
      </w:r>
      <w:r>
        <w:rPr>
          <w:color w:val="auto"/>
          <w:highlight w:val="none"/>
        </w:rPr>
        <w:fldChar w:fldCharType="begin"/>
      </w:r>
      <w:r>
        <w:rPr>
          <w:color w:val="auto"/>
          <w:highlight w:val="none"/>
        </w:rPr>
        <w:instrText xml:space="preserve"> HYPERLINK "file:///G:\\水运工程标准规范\\《港口工程碎石桩复合地基设计与施工规程》(JTJ%20246-2004%20).pdf"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水运工程地基基础施工规范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6182B68C">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27、</w:t>
      </w:r>
      <w:r>
        <w:rPr>
          <w:color w:val="auto"/>
          <w:highlight w:val="none"/>
        </w:rPr>
        <w:fldChar w:fldCharType="begin"/>
      </w:r>
      <w:r>
        <w:rPr>
          <w:color w:val="auto"/>
          <w:highlight w:val="none"/>
        </w:rPr>
        <w:instrText xml:space="preserve"> HYPERLINK "file:///G:\\水运工程标准规范\\《海港工程混凝土结构防腐蚀技术规范》(JTJ275-2000).pdf" </w:instrText>
      </w:r>
      <w:r>
        <w:rPr>
          <w:color w:val="auto"/>
          <w:highlight w:val="none"/>
        </w:rPr>
        <w:fldChar w:fldCharType="separate"/>
      </w:r>
      <w:r>
        <w:rPr>
          <w:rFonts w:hint="eastAsia" w:ascii="宋体" w:hAnsi="宋体"/>
          <w:color w:val="auto"/>
          <w:szCs w:val="21"/>
          <w:highlight w:val="none"/>
        </w:rPr>
        <w:t>《海港工程混凝土结构防腐蚀技术规范》</w:t>
      </w:r>
      <w:r>
        <w:rPr>
          <w:rFonts w:hint="eastAsia" w:ascii="宋体" w:hAnsi="宋体"/>
          <w:color w:val="auto"/>
          <w:szCs w:val="21"/>
          <w:highlight w:val="none"/>
        </w:rPr>
        <w:fldChar w:fldCharType="end"/>
      </w:r>
    </w:p>
    <w:p w14:paraId="4C374EBC">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28、</w:t>
      </w:r>
      <w:r>
        <w:rPr>
          <w:color w:val="auto"/>
          <w:highlight w:val="none"/>
        </w:rPr>
        <w:fldChar w:fldCharType="begin"/>
      </w:r>
      <w:r>
        <w:rPr>
          <w:color w:val="auto"/>
          <w:highlight w:val="none"/>
        </w:rPr>
        <w:instrText xml:space="preserve"> HYPERLINK "file:///G:\\水运工程标准规范\\《海港工程钢结构防腐蚀技术规范》(JTS%20153-3-2007).pdf" </w:instrText>
      </w:r>
      <w:r>
        <w:rPr>
          <w:color w:val="auto"/>
          <w:highlight w:val="none"/>
        </w:rPr>
        <w:fldChar w:fldCharType="separate"/>
      </w:r>
      <w:r>
        <w:rPr>
          <w:rFonts w:hint="eastAsia" w:ascii="宋体" w:hAnsi="宋体"/>
          <w:color w:val="auto"/>
          <w:szCs w:val="21"/>
          <w:highlight w:val="none"/>
        </w:rPr>
        <w:t>《海港工程钢结构防腐蚀技术规范》</w:t>
      </w:r>
      <w:r>
        <w:rPr>
          <w:rFonts w:hint="eastAsia" w:ascii="宋体" w:hAnsi="宋体"/>
          <w:color w:val="auto"/>
          <w:szCs w:val="21"/>
          <w:highlight w:val="none"/>
        </w:rPr>
        <w:fldChar w:fldCharType="end"/>
      </w:r>
    </w:p>
    <w:p w14:paraId="05109ECE">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29、</w:t>
      </w:r>
      <w:r>
        <w:rPr>
          <w:color w:val="auto"/>
          <w:highlight w:val="none"/>
        </w:rPr>
        <w:fldChar w:fldCharType="begin"/>
      </w:r>
      <w:r>
        <w:rPr>
          <w:color w:val="auto"/>
          <w:highlight w:val="none"/>
        </w:rPr>
        <w:instrText xml:space="preserve"> HYPERLINK "file:///G:\\水运工程标准规范\\《港口及航道护岸工程设计与施工规范》(JTJ%20300-2000).pdf"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防波堤与护岸施工规范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268BA594">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30、</w:t>
      </w:r>
      <w:r>
        <w:rPr>
          <w:color w:val="auto"/>
          <w:highlight w:val="none"/>
        </w:rPr>
        <w:fldChar w:fldCharType="begin"/>
      </w:r>
      <w:r>
        <w:rPr>
          <w:color w:val="auto"/>
          <w:highlight w:val="none"/>
        </w:rPr>
        <w:instrText xml:space="preserve"> HYPERLINK "file:///G:\\水运工程标准规范\\《河港工程总体设计规范》(JTJ212-2006).pdf" </w:instrText>
      </w:r>
      <w:r>
        <w:rPr>
          <w:color w:val="auto"/>
          <w:highlight w:val="none"/>
        </w:rPr>
        <w:fldChar w:fldCharType="separate"/>
      </w:r>
      <w:r>
        <w:rPr>
          <w:rFonts w:hint="eastAsia" w:ascii="宋体" w:hAnsi="宋体"/>
          <w:color w:val="auto"/>
          <w:szCs w:val="21"/>
          <w:highlight w:val="none"/>
        </w:rPr>
        <w:t>《河港工程总体设计规范》</w:t>
      </w:r>
      <w:r>
        <w:rPr>
          <w:rFonts w:hint="eastAsia" w:ascii="宋体" w:hAnsi="宋体"/>
          <w:color w:val="auto"/>
          <w:szCs w:val="21"/>
          <w:highlight w:val="none"/>
        </w:rPr>
        <w:fldChar w:fldCharType="end"/>
      </w:r>
    </w:p>
    <w:p w14:paraId="299E8550">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31、</w:t>
      </w:r>
      <w:r>
        <w:rPr>
          <w:color w:val="auto"/>
          <w:highlight w:val="none"/>
        </w:rPr>
        <w:fldChar w:fldCharType="begin"/>
      </w:r>
      <w:r>
        <w:rPr>
          <w:color w:val="auto"/>
          <w:highlight w:val="none"/>
        </w:rPr>
        <w:instrText xml:space="preserve"> HYPERLINK "file:///G:\\水运工程标准规范\\《高桩码头设计与施工规范》(JTS167-1-2010).pdf"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水运工程桩基施工规范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5305FF27">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32、</w:t>
      </w:r>
      <w:r>
        <w:rPr>
          <w:color w:val="auto"/>
          <w:highlight w:val="none"/>
        </w:rPr>
        <w:fldChar w:fldCharType="begin"/>
      </w:r>
      <w:r>
        <w:rPr>
          <w:color w:val="auto"/>
          <w:highlight w:val="none"/>
        </w:rPr>
        <w:instrText xml:space="preserve"> HYPERLINK "file:///G:\\水运工程标准规范\\《重力式码头设计与施工规范》(JTS%20167-2-2009).pdf"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水运工程混凝土质量控制标准</w:t>
      </w:r>
      <w:r>
        <w:rPr>
          <w:rFonts w:hint="eastAsia" w:ascii="宋体" w:hAnsi="宋体"/>
          <w:color w:val="auto"/>
          <w:szCs w:val="21"/>
          <w:highlight w:val="none"/>
        </w:rPr>
        <w:t>》</w:t>
      </w:r>
      <w:r>
        <w:rPr>
          <w:rFonts w:hint="eastAsia" w:ascii="宋体" w:hAnsi="宋体"/>
          <w:color w:val="auto"/>
          <w:szCs w:val="21"/>
          <w:highlight w:val="none"/>
        </w:rPr>
        <w:fldChar w:fldCharType="end"/>
      </w:r>
    </w:p>
    <w:p w14:paraId="037F11E6">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33、</w:t>
      </w:r>
      <w:r>
        <w:rPr>
          <w:color w:val="auto"/>
          <w:highlight w:val="none"/>
        </w:rPr>
        <w:fldChar w:fldCharType="begin"/>
      </w:r>
      <w:r>
        <w:rPr>
          <w:color w:val="auto"/>
          <w:highlight w:val="none"/>
        </w:rPr>
        <w:instrText xml:space="preserve"> HYPERLINK "file:///G:\\水运工程标准规范\\《板桩码头设计与施工规范》(JTS%20167-3-2009).pdf"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码头结构施工规范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323EB640">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34、</w:t>
      </w:r>
      <w:r>
        <w:rPr>
          <w:color w:val="auto"/>
          <w:highlight w:val="none"/>
        </w:rPr>
        <w:fldChar w:fldCharType="begin"/>
      </w:r>
      <w:r>
        <w:rPr>
          <w:color w:val="auto"/>
          <w:highlight w:val="none"/>
        </w:rPr>
        <w:instrText xml:space="preserve"> HYPERLINK "file:///G:\\水运工程标准规范\\《斜坡码头及浮码头设计与施工规范》(JTJ294-98%20).pdf"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船闸工程施工规范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057A1B4D">
      <w:pPr>
        <w:spacing w:line="276" w:lineRule="auto"/>
        <w:ind w:firstLine="420"/>
        <w:jc w:val="left"/>
        <w:rPr>
          <w:rFonts w:ascii="宋体" w:hAnsi="宋体"/>
          <w:color w:val="auto"/>
          <w:szCs w:val="21"/>
          <w:highlight w:val="none"/>
        </w:rPr>
      </w:pPr>
      <w:r>
        <w:rPr>
          <w:rFonts w:hint="eastAsia" w:ascii="宋体" w:hAnsi="宋体"/>
          <w:color w:val="auto"/>
          <w:szCs w:val="21"/>
          <w:highlight w:val="none"/>
        </w:rPr>
        <w:t>35、</w:t>
      </w:r>
      <w:r>
        <w:rPr>
          <w:color w:val="auto"/>
          <w:highlight w:val="none"/>
        </w:rPr>
        <w:fldChar w:fldCharType="begin"/>
      </w:r>
      <w:r>
        <w:rPr>
          <w:color w:val="auto"/>
          <w:highlight w:val="none"/>
        </w:rPr>
        <w:instrText xml:space="preserve"> HYPERLINK "file:///G:\\水运工程标准规范\\《港口工程桩式柔性靠船设施设计与施工技术规程》(JTJ279-2005).pdf" </w:instrText>
      </w:r>
      <w:r>
        <w:rPr>
          <w:color w:val="auto"/>
          <w:highlight w:val="none"/>
        </w:rPr>
        <w:fldChar w:fldCharType="separate"/>
      </w:r>
      <w:r>
        <w:rPr>
          <w:rFonts w:hint="eastAsia" w:ascii="宋体" w:hAnsi="宋体"/>
          <w:color w:val="auto"/>
          <w:szCs w:val="21"/>
          <w:highlight w:val="none"/>
        </w:rPr>
        <w:t>《</w:t>
      </w:r>
      <w:r>
        <w:rPr>
          <w:rFonts w:hint="eastAsia" w:ascii="宋体" w:hAnsi="宋体"/>
          <w:color w:val="auto"/>
          <w:szCs w:val="21"/>
          <w:highlight w:val="none"/>
          <w:lang w:val="en-US" w:eastAsia="zh-CN"/>
        </w:rPr>
        <w:t>船厂水工工程施工规范</w:t>
      </w:r>
      <w:r>
        <w:rPr>
          <w:rFonts w:hint="eastAsia" w:ascii="宋体" w:hAnsi="宋体"/>
          <w:color w:val="auto"/>
          <w:szCs w:val="21"/>
          <w:highlight w:val="none"/>
        </w:rPr>
        <w:t>》</w:t>
      </w:r>
      <w:r>
        <w:rPr>
          <w:rFonts w:hint="eastAsia" w:ascii="宋体" w:hAnsi="宋体"/>
          <w:color w:val="auto"/>
          <w:szCs w:val="21"/>
          <w:highlight w:val="none"/>
        </w:rPr>
        <w:fldChar w:fldCharType="end"/>
      </w:r>
    </w:p>
    <w:p w14:paraId="0E316928">
      <w:pPr>
        <w:spacing w:line="276" w:lineRule="auto"/>
        <w:ind w:firstLine="420"/>
        <w:jc w:val="left"/>
        <w:rPr>
          <w:rFonts w:ascii="宋体" w:hAnsi="宋体"/>
          <w:color w:val="auto"/>
          <w:szCs w:val="21"/>
          <w:highlight w:val="none"/>
        </w:rPr>
      </w:pPr>
      <w:r>
        <w:rPr>
          <w:rFonts w:hint="eastAsia" w:ascii="宋体" w:hAnsi="宋体"/>
          <w:color w:val="auto"/>
          <w:szCs w:val="21"/>
          <w:highlight w:val="none"/>
          <w:lang w:val="en-US" w:eastAsia="zh-CN"/>
        </w:rPr>
        <w:t>36</w:t>
      </w:r>
      <w:r>
        <w:rPr>
          <w:rFonts w:hint="eastAsia" w:ascii="宋体" w:hAnsi="宋体"/>
          <w:color w:val="auto"/>
          <w:szCs w:val="21"/>
          <w:highlight w:val="none"/>
        </w:rPr>
        <w:t>、</w:t>
      </w:r>
      <w:r>
        <w:rPr>
          <w:color w:val="auto"/>
          <w:highlight w:val="none"/>
        </w:rPr>
        <w:fldChar w:fldCharType="begin"/>
      </w:r>
      <w:r>
        <w:rPr>
          <w:color w:val="auto"/>
          <w:highlight w:val="none"/>
        </w:rPr>
        <w:instrText xml:space="preserve"> HYPERLINK "file:///G:\\水运工程标准规范\\《港口道路、堆场铺面设计与施工规范》(JTJ296-96).PDF" </w:instrText>
      </w:r>
      <w:r>
        <w:rPr>
          <w:color w:val="auto"/>
          <w:highlight w:val="none"/>
        </w:rPr>
        <w:fldChar w:fldCharType="separate"/>
      </w:r>
      <w:r>
        <w:rPr>
          <w:rFonts w:hint="eastAsia" w:ascii="宋体" w:hAnsi="宋体"/>
          <w:color w:val="auto"/>
          <w:szCs w:val="21"/>
          <w:highlight w:val="none"/>
        </w:rPr>
        <w:t>《港口道路</w:t>
      </w:r>
      <w:r>
        <w:rPr>
          <w:rFonts w:hint="eastAsia" w:ascii="宋体" w:hAnsi="宋体"/>
          <w:color w:val="auto"/>
          <w:szCs w:val="21"/>
          <w:highlight w:val="none"/>
          <w:lang w:val="en-US" w:eastAsia="zh-CN"/>
        </w:rPr>
        <w:t>与</w:t>
      </w:r>
      <w:r>
        <w:rPr>
          <w:rFonts w:hint="eastAsia" w:ascii="宋体" w:hAnsi="宋体"/>
          <w:color w:val="auto"/>
          <w:szCs w:val="21"/>
          <w:highlight w:val="none"/>
        </w:rPr>
        <w:t>堆场施工规范》</w:t>
      </w:r>
      <w:r>
        <w:rPr>
          <w:rFonts w:hint="eastAsia" w:ascii="宋体" w:hAnsi="宋体"/>
          <w:color w:val="auto"/>
          <w:szCs w:val="21"/>
          <w:highlight w:val="none"/>
        </w:rPr>
        <w:fldChar w:fldCharType="end"/>
      </w:r>
    </w:p>
    <w:p w14:paraId="520D9793">
      <w:pPr>
        <w:spacing w:line="276" w:lineRule="auto"/>
        <w:ind w:firstLine="420"/>
        <w:jc w:val="left"/>
        <w:rPr>
          <w:rFonts w:ascii="宋体" w:hAnsi="宋体"/>
          <w:color w:val="auto"/>
          <w:szCs w:val="21"/>
          <w:highlight w:val="none"/>
        </w:rPr>
      </w:pPr>
      <w:r>
        <w:rPr>
          <w:rFonts w:hint="eastAsia" w:ascii="宋体" w:hAnsi="宋体"/>
          <w:color w:val="auto"/>
          <w:szCs w:val="21"/>
          <w:highlight w:val="none"/>
          <w:lang w:val="en-US" w:eastAsia="zh-CN"/>
        </w:rPr>
        <w:t>37</w:t>
      </w:r>
      <w:r>
        <w:rPr>
          <w:rFonts w:hint="eastAsia" w:ascii="宋体" w:hAnsi="宋体"/>
          <w:color w:val="auto"/>
          <w:szCs w:val="21"/>
          <w:highlight w:val="none"/>
        </w:rPr>
        <w:t>　 其他现行规范及标准</w:t>
      </w:r>
      <w:bookmarkEnd w:id="1299"/>
      <w:bookmarkStart w:id="1306" w:name="_Toc463799108"/>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w:t>
      </w:r>
      <w:bookmarkEnd w:id="1306"/>
    </w:p>
    <w:p w14:paraId="16112FAB">
      <w:pPr>
        <w:pStyle w:val="4"/>
        <w:spacing w:before="120" w:after="120" w:line="360" w:lineRule="exact"/>
        <w:rPr>
          <w:rFonts w:ascii="宋体" w:hAnsi="宋体"/>
          <w:color w:val="auto"/>
          <w:sz w:val="24"/>
          <w:szCs w:val="24"/>
          <w:highlight w:val="none"/>
        </w:rPr>
      </w:pPr>
      <w:bookmarkStart w:id="1307" w:name="_Toc490832367"/>
      <w:bookmarkStart w:id="1308" w:name="_Toc488492912"/>
      <w:bookmarkStart w:id="1309" w:name="_Toc463799109"/>
      <w:bookmarkStart w:id="1310" w:name="_Toc487653260"/>
      <w:r>
        <w:rPr>
          <w:rFonts w:ascii="宋体" w:hAnsi="宋体"/>
          <w:color w:val="auto"/>
          <w:sz w:val="24"/>
          <w:szCs w:val="24"/>
          <w:highlight w:val="none"/>
        </w:rPr>
        <w:t>2</w:t>
      </w:r>
      <w:r>
        <w:rPr>
          <w:rFonts w:hint="eastAsia" w:ascii="宋体" w:hAnsi="宋体"/>
          <w:color w:val="auto"/>
          <w:sz w:val="24"/>
          <w:szCs w:val="24"/>
          <w:highlight w:val="none"/>
        </w:rPr>
        <w:t xml:space="preserve"> .技术要求</w:t>
      </w:r>
      <w:bookmarkEnd w:id="1300"/>
      <w:bookmarkEnd w:id="1301"/>
      <w:bookmarkEnd w:id="1302"/>
      <w:bookmarkEnd w:id="1303"/>
      <w:bookmarkEnd w:id="1304"/>
      <w:bookmarkEnd w:id="1305"/>
      <w:bookmarkEnd w:id="1307"/>
      <w:bookmarkEnd w:id="1308"/>
      <w:bookmarkEnd w:id="1309"/>
      <w:bookmarkEnd w:id="1310"/>
    </w:p>
    <w:p w14:paraId="7A529333">
      <w:pPr>
        <w:spacing w:line="360" w:lineRule="exact"/>
        <w:ind w:firstLine="420"/>
        <w:jc w:val="left"/>
        <w:rPr>
          <w:rFonts w:ascii="宋体" w:hAnsi="宋体"/>
          <w:color w:val="auto"/>
          <w:szCs w:val="21"/>
          <w:highlight w:val="none"/>
        </w:rPr>
      </w:pPr>
      <w:r>
        <w:rPr>
          <w:rFonts w:hint="eastAsia" w:ascii="宋体" w:hAnsi="宋体"/>
          <w:color w:val="auto"/>
          <w:szCs w:val="21"/>
          <w:highlight w:val="none"/>
        </w:rPr>
        <w:t>详见施工图设计说明。</w:t>
      </w:r>
    </w:p>
    <w:p w14:paraId="760CC62E">
      <w:pPr>
        <w:rPr>
          <w:rFonts w:ascii="宋体" w:hAnsi="宋体"/>
          <w:b/>
          <w:bCs/>
          <w:color w:val="auto"/>
          <w:sz w:val="32"/>
          <w:szCs w:val="32"/>
          <w:highlight w:val="none"/>
        </w:rPr>
      </w:pPr>
      <w:r>
        <w:rPr>
          <w:rFonts w:ascii="宋体" w:hAnsi="宋体"/>
          <w:b/>
          <w:bCs/>
          <w:color w:val="auto"/>
          <w:sz w:val="32"/>
          <w:szCs w:val="32"/>
          <w:highlight w:val="none"/>
        </w:rPr>
        <w:br w:type="page"/>
      </w:r>
    </w:p>
    <w:p w14:paraId="1365FBAC">
      <w:pPr>
        <w:rPr>
          <w:rFonts w:ascii="宋体" w:hAnsi="宋体"/>
          <w:b/>
          <w:bCs/>
          <w:color w:val="auto"/>
          <w:sz w:val="32"/>
          <w:szCs w:val="32"/>
          <w:highlight w:val="none"/>
        </w:rPr>
      </w:pPr>
    </w:p>
    <w:p w14:paraId="74184F33">
      <w:pPr>
        <w:rPr>
          <w:rFonts w:ascii="宋体" w:hAnsi="宋体"/>
          <w:b/>
          <w:bCs/>
          <w:color w:val="auto"/>
          <w:sz w:val="32"/>
          <w:szCs w:val="32"/>
          <w:highlight w:val="none"/>
        </w:rPr>
      </w:pPr>
    </w:p>
    <w:p w14:paraId="23C748C7">
      <w:pPr>
        <w:rPr>
          <w:rFonts w:ascii="宋体" w:hAnsi="宋体"/>
          <w:b/>
          <w:bCs/>
          <w:color w:val="auto"/>
          <w:sz w:val="32"/>
          <w:szCs w:val="32"/>
          <w:highlight w:val="none"/>
        </w:rPr>
      </w:pPr>
    </w:p>
    <w:p w14:paraId="1A8BE717">
      <w:pPr>
        <w:rPr>
          <w:rFonts w:ascii="宋体" w:hAnsi="宋体"/>
          <w:b/>
          <w:bCs/>
          <w:color w:val="auto"/>
          <w:sz w:val="32"/>
          <w:szCs w:val="32"/>
          <w:highlight w:val="none"/>
        </w:rPr>
      </w:pPr>
    </w:p>
    <w:p w14:paraId="799D11F9">
      <w:pPr>
        <w:rPr>
          <w:rFonts w:ascii="宋体" w:hAnsi="宋体"/>
          <w:b/>
          <w:bCs/>
          <w:color w:val="auto"/>
          <w:sz w:val="32"/>
          <w:szCs w:val="32"/>
          <w:highlight w:val="none"/>
        </w:rPr>
      </w:pPr>
    </w:p>
    <w:p w14:paraId="5E0703EC">
      <w:pPr>
        <w:rPr>
          <w:rFonts w:ascii="宋体" w:hAnsi="宋体"/>
          <w:b/>
          <w:bCs/>
          <w:color w:val="auto"/>
          <w:sz w:val="32"/>
          <w:szCs w:val="32"/>
          <w:highlight w:val="none"/>
        </w:rPr>
      </w:pPr>
    </w:p>
    <w:p w14:paraId="17AE08F3">
      <w:pPr>
        <w:pStyle w:val="2"/>
        <w:rPr>
          <w:rFonts w:ascii="宋体" w:hAnsi="宋体" w:cs="黑体"/>
          <w:color w:val="auto"/>
          <w:highlight w:val="none"/>
        </w:rPr>
      </w:pPr>
      <w:bookmarkStart w:id="1311" w:name="_Toc490832368"/>
      <w:bookmarkStart w:id="1312" w:name="_Toc14150"/>
      <w:bookmarkStart w:id="1313" w:name="_Toc3316"/>
      <w:r>
        <w:rPr>
          <w:rFonts w:hint="eastAsia" w:ascii="宋体" w:hAnsi="宋体" w:cs="黑体"/>
          <w:color w:val="auto"/>
          <w:highlight w:val="none"/>
        </w:rPr>
        <w:t>第九章 投标文件格式</w:t>
      </w:r>
      <w:bookmarkEnd w:id="1311"/>
      <w:bookmarkEnd w:id="1312"/>
      <w:bookmarkEnd w:id="1313"/>
    </w:p>
    <w:p w14:paraId="21259308">
      <w:pPr>
        <w:rPr>
          <w:rFonts w:ascii="宋体" w:hAnsi="宋体"/>
          <w:b/>
          <w:bCs/>
          <w:color w:val="auto"/>
          <w:sz w:val="32"/>
          <w:szCs w:val="32"/>
          <w:highlight w:val="none"/>
        </w:rPr>
      </w:pPr>
    </w:p>
    <w:p w14:paraId="5D26DA91">
      <w:pPr>
        <w:rPr>
          <w:rFonts w:ascii="宋体" w:hAnsi="宋体"/>
          <w:b/>
          <w:bCs/>
          <w:color w:val="auto"/>
          <w:sz w:val="32"/>
          <w:szCs w:val="32"/>
          <w:highlight w:val="none"/>
        </w:rPr>
      </w:pPr>
    </w:p>
    <w:p w14:paraId="7BB5036F">
      <w:pPr>
        <w:rPr>
          <w:rFonts w:ascii="宋体" w:hAnsi="宋体"/>
          <w:b/>
          <w:bCs/>
          <w:color w:val="auto"/>
          <w:sz w:val="32"/>
          <w:szCs w:val="32"/>
          <w:highlight w:val="none"/>
        </w:rPr>
      </w:pPr>
    </w:p>
    <w:p w14:paraId="08729052">
      <w:pPr>
        <w:rPr>
          <w:rFonts w:ascii="宋体" w:hAnsi="宋体"/>
          <w:b/>
          <w:bCs/>
          <w:color w:val="auto"/>
          <w:sz w:val="32"/>
          <w:szCs w:val="32"/>
          <w:highlight w:val="none"/>
        </w:rPr>
      </w:pPr>
    </w:p>
    <w:p w14:paraId="08BDD419">
      <w:pPr>
        <w:autoSpaceDE w:val="0"/>
        <w:autoSpaceDN w:val="0"/>
        <w:adjustRightInd w:val="0"/>
        <w:spacing w:before="2" w:line="300" w:lineRule="auto"/>
        <w:rPr>
          <w:rFonts w:ascii="宋体" w:hAnsi="宋体"/>
          <w:b/>
          <w:color w:val="auto"/>
          <w:kern w:val="0"/>
          <w:sz w:val="36"/>
          <w:szCs w:val="36"/>
          <w:highlight w:val="none"/>
          <w:u w:val="single"/>
        </w:rPr>
      </w:pPr>
      <w:r>
        <w:rPr>
          <w:rFonts w:ascii="宋体" w:hAnsi="宋体"/>
          <w:b/>
          <w:color w:val="auto"/>
          <w:kern w:val="0"/>
          <w:sz w:val="36"/>
          <w:szCs w:val="36"/>
          <w:highlight w:val="none"/>
          <w:u w:val="single"/>
        </w:rPr>
        <w:br w:type="page"/>
      </w:r>
      <w:r>
        <w:rPr>
          <w:rFonts w:hint="eastAsia"/>
          <w:color w:val="auto"/>
          <w:sz w:val="24"/>
          <w:highlight w:val="none"/>
        </w:rPr>
        <w:t>（封面格式）</w:t>
      </w:r>
    </w:p>
    <w:p w14:paraId="620DE8E9">
      <w:pPr>
        <w:autoSpaceDE w:val="0"/>
        <w:autoSpaceDN w:val="0"/>
        <w:adjustRightInd w:val="0"/>
        <w:spacing w:before="2" w:line="300" w:lineRule="auto"/>
        <w:jc w:val="center"/>
        <w:rPr>
          <w:rFonts w:ascii="宋体" w:hAnsi="宋体"/>
          <w:b/>
          <w:color w:val="auto"/>
          <w:kern w:val="0"/>
          <w:sz w:val="36"/>
          <w:szCs w:val="36"/>
          <w:highlight w:val="none"/>
          <w:u w:val="single"/>
        </w:rPr>
      </w:pPr>
    </w:p>
    <w:p w14:paraId="1B9333A0">
      <w:pPr>
        <w:autoSpaceDE w:val="0"/>
        <w:autoSpaceDN w:val="0"/>
        <w:adjustRightInd w:val="0"/>
        <w:spacing w:before="2" w:line="300" w:lineRule="auto"/>
        <w:jc w:val="center"/>
        <w:rPr>
          <w:rFonts w:ascii="宋体" w:hAnsi="宋体"/>
          <w:b/>
          <w:color w:val="auto"/>
          <w:kern w:val="0"/>
          <w:sz w:val="36"/>
          <w:szCs w:val="36"/>
          <w:highlight w:val="none"/>
          <w:u w:val="single"/>
        </w:rPr>
      </w:pPr>
    </w:p>
    <w:p w14:paraId="78679837">
      <w:pPr>
        <w:autoSpaceDE w:val="0"/>
        <w:autoSpaceDN w:val="0"/>
        <w:adjustRightInd w:val="0"/>
        <w:spacing w:before="2" w:line="300" w:lineRule="auto"/>
        <w:jc w:val="center"/>
        <w:rPr>
          <w:rFonts w:ascii="宋体" w:hAnsi="宋体"/>
          <w:b/>
          <w:color w:val="auto"/>
          <w:kern w:val="0"/>
          <w:sz w:val="44"/>
          <w:szCs w:val="44"/>
          <w:highlight w:val="none"/>
        </w:rPr>
      </w:pPr>
      <w:r>
        <w:rPr>
          <w:rFonts w:hint="eastAsia" w:ascii="宋体" w:hAnsi="宋体"/>
          <w:b/>
          <w:color w:val="auto"/>
          <w:kern w:val="0"/>
          <w:sz w:val="36"/>
          <w:szCs w:val="36"/>
          <w:highlight w:val="none"/>
          <w:u w:val="single"/>
        </w:rPr>
        <w:t xml:space="preserve">            （项目名称）</w:t>
      </w:r>
    </w:p>
    <w:p w14:paraId="39DF51A2">
      <w:pPr>
        <w:adjustRightInd w:val="0"/>
        <w:snapToGrid w:val="0"/>
        <w:spacing w:line="300" w:lineRule="auto"/>
        <w:jc w:val="center"/>
        <w:rPr>
          <w:rFonts w:ascii="宋体" w:hAnsi="宋体" w:cs="黑体"/>
          <w:b/>
          <w:color w:val="auto"/>
          <w:sz w:val="32"/>
          <w:highlight w:val="none"/>
        </w:rPr>
      </w:pPr>
    </w:p>
    <w:p w14:paraId="2CEF55E4">
      <w:pPr>
        <w:adjustRightInd w:val="0"/>
        <w:snapToGrid w:val="0"/>
        <w:spacing w:line="300" w:lineRule="auto"/>
        <w:jc w:val="center"/>
        <w:rPr>
          <w:rFonts w:ascii="宋体" w:hAnsi="宋体" w:cs="黑体"/>
          <w:b/>
          <w:color w:val="auto"/>
          <w:sz w:val="32"/>
          <w:highlight w:val="none"/>
          <w:u w:val="single"/>
        </w:rPr>
      </w:pPr>
      <w:r>
        <w:rPr>
          <w:rFonts w:hint="eastAsia" w:ascii="宋体" w:hAnsi="宋体" w:cs="黑体"/>
          <w:b/>
          <w:color w:val="auto"/>
          <w:sz w:val="32"/>
          <w:highlight w:val="none"/>
        </w:rPr>
        <w:t xml:space="preserve">    （招标编号：</w:t>
      </w:r>
      <w:r>
        <w:rPr>
          <w:rFonts w:hint="eastAsia" w:ascii="宋体" w:hAnsi="宋体" w:cs="黑体"/>
          <w:b/>
          <w:color w:val="auto"/>
          <w:sz w:val="32"/>
          <w:highlight w:val="none"/>
          <w:u w:val="single"/>
        </w:rPr>
        <w:t xml:space="preserve">        </w:t>
      </w:r>
      <w:r>
        <w:rPr>
          <w:rFonts w:hint="eastAsia" w:ascii="宋体" w:hAnsi="宋体" w:cs="黑体"/>
          <w:b/>
          <w:color w:val="auto"/>
          <w:sz w:val="32"/>
          <w:highlight w:val="none"/>
        </w:rPr>
        <w:t>）</w:t>
      </w:r>
    </w:p>
    <w:p w14:paraId="36F3F1B3">
      <w:pPr>
        <w:adjustRightInd w:val="0"/>
        <w:snapToGrid w:val="0"/>
        <w:spacing w:line="300" w:lineRule="auto"/>
        <w:jc w:val="center"/>
        <w:rPr>
          <w:rFonts w:ascii="宋体" w:hAnsi="宋体" w:cs="黑体"/>
          <w:b/>
          <w:color w:val="auto"/>
          <w:sz w:val="32"/>
          <w:highlight w:val="none"/>
        </w:rPr>
      </w:pPr>
    </w:p>
    <w:p w14:paraId="6FD70FC8">
      <w:pPr>
        <w:adjustRightInd w:val="0"/>
        <w:snapToGrid w:val="0"/>
        <w:spacing w:line="300" w:lineRule="auto"/>
        <w:jc w:val="center"/>
        <w:rPr>
          <w:rFonts w:ascii="宋体" w:hAnsi="宋体" w:cs="黑体"/>
          <w:b/>
          <w:color w:val="auto"/>
          <w:sz w:val="32"/>
          <w:highlight w:val="none"/>
        </w:rPr>
      </w:pPr>
    </w:p>
    <w:p w14:paraId="31F63F18">
      <w:pPr>
        <w:pStyle w:val="3"/>
        <w:rPr>
          <w:rFonts w:ascii="宋体" w:hAnsi="宋体" w:cs="黑体"/>
          <w:color w:val="auto"/>
          <w:sz w:val="72"/>
          <w:szCs w:val="72"/>
          <w:highlight w:val="none"/>
        </w:rPr>
      </w:pPr>
      <w:bookmarkStart w:id="1314" w:name="_Toc24570"/>
      <w:bookmarkStart w:id="1315" w:name="_Toc383512772"/>
      <w:bookmarkStart w:id="1316" w:name="_Toc419729439"/>
      <w:bookmarkStart w:id="1317" w:name="_Toc16973"/>
      <w:bookmarkStart w:id="1318" w:name="_Toc490832369"/>
      <w:bookmarkStart w:id="1319" w:name="_Toc25439"/>
      <w:bookmarkStart w:id="1320" w:name="_Toc419825084"/>
      <w:bookmarkStart w:id="1321" w:name="_Toc383013080"/>
      <w:bookmarkStart w:id="1322" w:name="_Toc383006553"/>
      <w:bookmarkStart w:id="1323" w:name="_Toc463799111"/>
      <w:bookmarkStart w:id="1324" w:name="_Toc419724371"/>
      <w:bookmarkStart w:id="1325" w:name="_Toc419825432"/>
      <w:bookmarkStart w:id="1326" w:name="_Toc382998027"/>
      <w:r>
        <w:rPr>
          <w:rFonts w:hint="eastAsia" w:ascii="宋体" w:hAnsi="宋体" w:cs="黑体"/>
          <w:color w:val="auto"/>
          <w:sz w:val="72"/>
          <w:szCs w:val="72"/>
          <w:highlight w:val="none"/>
        </w:rPr>
        <w:t>投 标 文 件</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14:paraId="304B1F18">
      <w:pPr>
        <w:adjustRightInd w:val="0"/>
        <w:snapToGrid w:val="0"/>
        <w:spacing w:line="300" w:lineRule="auto"/>
        <w:jc w:val="center"/>
        <w:rPr>
          <w:rFonts w:ascii="宋体" w:hAnsi="宋体"/>
          <w:b/>
          <w:color w:val="auto"/>
          <w:sz w:val="44"/>
          <w:highlight w:val="none"/>
        </w:rPr>
      </w:pPr>
    </w:p>
    <w:p w14:paraId="4D3FBF83">
      <w:pPr>
        <w:adjustRightInd w:val="0"/>
        <w:snapToGrid w:val="0"/>
        <w:spacing w:line="300" w:lineRule="auto"/>
        <w:jc w:val="center"/>
        <w:rPr>
          <w:rFonts w:ascii="宋体" w:hAnsi="宋体"/>
          <w:b/>
          <w:color w:val="auto"/>
          <w:sz w:val="44"/>
          <w:highlight w:val="none"/>
        </w:rPr>
      </w:pPr>
    </w:p>
    <w:p w14:paraId="088C422D">
      <w:pPr>
        <w:adjustRightInd w:val="0"/>
        <w:snapToGrid w:val="0"/>
        <w:spacing w:line="300" w:lineRule="auto"/>
        <w:ind w:firstLine="2891"/>
        <w:rPr>
          <w:rFonts w:ascii="宋体" w:hAnsi="宋体"/>
          <w:b/>
          <w:color w:val="auto"/>
          <w:sz w:val="32"/>
          <w:highlight w:val="none"/>
        </w:rPr>
      </w:pPr>
    </w:p>
    <w:p w14:paraId="1ED29C80">
      <w:pPr>
        <w:adjustRightInd w:val="0"/>
        <w:snapToGrid w:val="0"/>
        <w:spacing w:line="300" w:lineRule="auto"/>
        <w:ind w:firstLine="2891"/>
        <w:rPr>
          <w:rFonts w:ascii="宋体" w:hAnsi="宋体"/>
          <w:b/>
          <w:color w:val="auto"/>
          <w:sz w:val="32"/>
          <w:highlight w:val="none"/>
        </w:rPr>
      </w:pPr>
    </w:p>
    <w:p w14:paraId="35A07BAE">
      <w:pPr>
        <w:spacing w:line="360" w:lineRule="auto"/>
        <w:rPr>
          <w:rFonts w:ascii="宋体" w:hAnsi="宋体"/>
          <w:color w:val="auto"/>
          <w:szCs w:val="21"/>
          <w:highlight w:val="none"/>
        </w:rPr>
      </w:pPr>
    </w:p>
    <w:p w14:paraId="0DECB3A5">
      <w:pPr>
        <w:spacing w:line="360" w:lineRule="auto"/>
        <w:ind w:firstLine="1124" w:firstLineChars="400"/>
        <w:rPr>
          <w:rFonts w:ascii="宋体" w:hAnsi="宋体"/>
          <w:b/>
          <w:color w:val="auto"/>
          <w:sz w:val="28"/>
          <w:szCs w:val="28"/>
          <w:highlight w:val="none"/>
        </w:rPr>
      </w:pPr>
      <w:r>
        <w:rPr>
          <w:rFonts w:hint="eastAsia" w:ascii="宋体" w:hAnsi="宋体"/>
          <w:b/>
          <w:color w:val="auto"/>
          <w:sz w:val="28"/>
          <w:szCs w:val="28"/>
          <w:highlight w:val="none"/>
        </w:rPr>
        <w:t>投标人：</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（盖单位电子章）</w:t>
      </w:r>
    </w:p>
    <w:p w14:paraId="6833248C">
      <w:pPr>
        <w:spacing w:line="360" w:lineRule="auto"/>
        <w:ind w:firstLine="1124" w:firstLineChars="400"/>
        <w:rPr>
          <w:rFonts w:ascii="宋体" w:hAnsi="宋体"/>
          <w:b/>
          <w:color w:val="auto"/>
          <w:sz w:val="28"/>
          <w:szCs w:val="28"/>
          <w:highlight w:val="none"/>
        </w:rPr>
      </w:pPr>
    </w:p>
    <w:p w14:paraId="26AFAA35">
      <w:pPr>
        <w:spacing w:line="360" w:lineRule="auto"/>
        <w:jc w:val="center"/>
        <w:rPr>
          <w:rFonts w:ascii="宋体" w:hAnsi="宋体"/>
          <w:b/>
          <w:color w:val="auto"/>
          <w:szCs w:val="21"/>
          <w:highlight w:val="none"/>
          <w:u w:val="single"/>
        </w:rPr>
      </w:pPr>
    </w:p>
    <w:p w14:paraId="3625FC07">
      <w:pPr>
        <w:spacing w:line="360" w:lineRule="auto"/>
        <w:jc w:val="center"/>
        <w:rPr>
          <w:rFonts w:ascii="宋体" w:hAnsi="宋体"/>
          <w:b/>
          <w:color w:val="auto"/>
          <w:szCs w:val="21"/>
          <w:highlight w:val="none"/>
        </w:rPr>
        <w:sectPr>
          <w:footerReference r:id="rId12" w:type="default"/>
          <w:pgSz w:w="11905" w:h="16838"/>
          <w:pgMar w:top="1440" w:right="1417" w:bottom="1440" w:left="1417" w:header="850" w:footer="992" w:gutter="0"/>
          <w:cols w:space="720" w:num="1"/>
          <w:docGrid w:type="lines" w:linePitch="317" w:charSpace="0"/>
        </w:sectPr>
      </w:pPr>
      <w:r>
        <w:rPr>
          <w:rFonts w:hint="eastAsia" w:ascii="宋体" w:hAnsi="宋体"/>
          <w:b/>
          <w:color w:val="auto"/>
          <w:szCs w:val="21"/>
          <w:highlight w:val="none"/>
          <w:u w:val="single"/>
        </w:rPr>
        <w:t xml:space="preserve">         </w:t>
      </w:r>
      <w:r>
        <w:rPr>
          <w:rFonts w:hint="eastAsia" w:ascii="宋体" w:hAnsi="宋体"/>
          <w:b/>
          <w:color w:val="auto"/>
          <w:sz w:val="28"/>
          <w:szCs w:val="28"/>
          <w:highlight w:val="none"/>
        </w:rPr>
        <w:t>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578B7D69">
      <w:pPr>
        <w:autoSpaceDE w:val="0"/>
        <w:autoSpaceDN w:val="0"/>
        <w:adjustRightInd w:val="0"/>
        <w:spacing w:line="300" w:lineRule="auto"/>
        <w:ind w:right="186"/>
        <w:rPr>
          <w:color w:val="auto"/>
          <w:sz w:val="44"/>
          <w:szCs w:val="44"/>
          <w:highlight w:val="none"/>
        </w:rPr>
      </w:pPr>
      <w:r>
        <w:rPr>
          <w:rFonts w:hint="eastAsia" w:ascii="宋体" w:hAnsi="宋体"/>
          <w:color w:val="auto"/>
          <w:kern w:val="0"/>
          <w:sz w:val="24"/>
          <w:highlight w:val="none"/>
        </w:rPr>
        <w:t xml:space="preserve">                       </w:t>
      </w:r>
    </w:p>
    <w:p w14:paraId="25E8A2D4">
      <w:pPr>
        <w:pStyle w:val="4"/>
        <w:jc w:val="center"/>
        <w:rPr>
          <w:color w:val="auto"/>
          <w:sz w:val="44"/>
          <w:szCs w:val="44"/>
          <w:highlight w:val="none"/>
        </w:rPr>
      </w:pPr>
      <w:bookmarkStart w:id="1327" w:name="_Toc15737"/>
      <w:bookmarkStart w:id="1328" w:name="_Toc290198800"/>
      <w:bookmarkStart w:id="1329" w:name="_Toc490832370"/>
      <w:bookmarkStart w:id="1330" w:name="_Toc419825433"/>
      <w:bookmarkStart w:id="1331" w:name="_Toc419825085"/>
      <w:bookmarkStart w:id="1332" w:name="_Toc463799112"/>
      <w:r>
        <w:rPr>
          <w:rFonts w:hint="eastAsia"/>
          <w:color w:val="auto"/>
          <w:sz w:val="44"/>
          <w:szCs w:val="44"/>
          <w:highlight w:val="none"/>
        </w:rPr>
        <w:t>目  录</w:t>
      </w:r>
      <w:bookmarkEnd w:id="1327"/>
      <w:bookmarkEnd w:id="1328"/>
      <w:bookmarkEnd w:id="1329"/>
      <w:bookmarkEnd w:id="1330"/>
      <w:bookmarkEnd w:id="1331"/>
      <w:bookmarkEnd w:id="1332"/>
    </w:p>
    <w:p w14:paraId="10490757">
      <w:pPr>
        <w:spacing w:line="360" w:lineRule="auto"/>
        <w:ind w:firstLine="420" w:firstLineChars="200"/>
        <w:rPr>
          <w:rFonts w:ascii="宋体" w:hAnsi="宋体"/>
          <w:color w:val="auto"/>
          <w:szCs w:val="21"/>
          <w:highlight w:val="none"/>
        </w:rPr>
      </w:pPr>
    </w:p>
    <w:p w14:paraId="458CA756">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）投标函及投标函附录；</w:t>
      </w:r>
    </w:p>
    <w:p w14:paraId="6CBB3F02">
      <w:pPr>
        <w:spacing w:line="400" w:lineRule="exact"/>
        <w:ind w:firstLine="359" w:firstLineChars="171"/>
        <w:rPr>
          <w:color w:val="auto"/>
          <w:highlight w:val="none"/>
        </w:rPr>
      </w:pPr>
      <w:r>
        <w:rPr>
          <w:rFonts w:hint="eastAsia"/>
          <w:color w:val="auto"/>
          <w:highlight w:val="none"/>
        </w:rPr>
        <w:t>（</w:t>
      </w:r>
      <w:r>
        <w:rPr>
          <w:color w:val="auto"/>
          <w:highlight w:val="none"/>
        </w:rPr>
        <w:t>2</w:t>
      </w:r>
      <w:r>
        <w:rPr>
          <w:rFonts w:hint="eastAsia"/>
          <w:color w:val="auto"/>
          <w:highlight w:val="none"/>
        </w:rPr>
        <w:t>）法定代表人身份证明；</w:t>
      </w:r>
    </w:p>
    <w:p w14:paraId="029C3199">
      <w:pPr>
        <w:spacing w:line="400" w:lineRule="exact"/>
        <w:ind w:firstLine="359" w:firstLineChars="171"/>
        <w:rPr>
          <w:color w:val="auto"/>
          <w:highlight w:val="none"/>
        </w:rPr>
      </w:pPr>
      <w:r>
        <w:rPr>
          <w:rFonts w:hint="eastAsia"/>
          <w:color w:val="auto"/>
          <w:highlight w:val="none"/>
        </w:rPr>
        <w:t>（3）授权委托书</w:t>
      </w:r>
      <w:r>
        <w:rPr>
          <w:rFonts w:hint="eastAsia" w:ascii="宋体" w:hAnsi="宋体"/>
          <w:color w:val="auto"/>
          <w:szCs w:val="21"/>
          <w:highlight w:val="none"/>
        </w:rPr>
        <w:t>（若有授权）</w:t>
      </w:r>
      <w:r>
        <w:rPr>
          <w:rFonts w:hint="eastAsia"/>
          <w:color w:val="auto"/>
          <w:highlight w:val="none"/>
        </w:rPr>
        <w:t>；</w:t>
      </w:r>
    </w:p>
    <w:p w14:paraId="2C94B844">
      <w:pPr>
        <w:spacing w:line="400" w:lineRule="exact"/>
        <w:ind w:firstLine="359" w:firstLineChars="171"/>
        <w:rPr>
          <w:color w:val="auto"/>
          <w:highlight w:val="none"/>
        </w:rPr>
      </w:pPr>
      <w:r>
        <w:rPr>
          <w:rFonts w:hint="eastAsia"/>
          <w:color w:val="auto"/>
          <w:highlight w:val="none"/>
        </w:rPr>
        <w:t>（4）联合体协议书</w:t>
      </w:r>
      <w:r>
        <w:rPr>
          <w:rFonts w:hint="eastAsia" w:ascii="宋体" w:hAnsi="宋体"/>
          <w:color w:val="auto"/>
          <w:szCs w:val="21"/>
          <w:highlight w:val="none"/>
        </w:rPr>
        <w:t>（若有）</w:t>
      </w:r>
      <w:r>
        <w:rPr>
          <w:rFonts w:hint="eastAsia"/>
          <w:color w:val="auto"/>
          <w:highlight w:val="none"/>
        </w:rPr>
        <w:t>；</w:t>
      </w:r>
    </w:p>
    <w:p w14:paraId="367E59DC">
      <w:pPr>
        <w:spacing w:line="400" w:lineRule="exact"/>
        <w:ind w:firstLine="359" w:firstLineChars="171"/>
        <w:rPr>
          <w:color w:val="auto"/>
          <w:highlight w:val="none"/>
        </w:rPr>
      </w:pPr>
      <w:r>
        <w:rPr>
          <w:rFonts w:hint="eastAsia"/>
          <w:color w:val="auto"/>
          <w:highlight w:val="none"/>
        </w:rPr>
        <w:t>（5）投标保证金；</w:t>
      </w:r>
    </w:p>
    <w:p w14:paraId="42A5118C">
      <w:pPr>
        <w:spacing w:line="400" w:lineRule="exact"/>
        <w:ind w:firstLine="359" w:firstLineChars="171"/>
        <w:rPr>
          <w:color w:val="auto"/>
          <w:highlight w:val="none"/>
        </w:rPr>
      </w:pPr>
      <w:r>
        <w:rPr>
          <w:rFonts w:hint="eastAsia"/>
          <w:color w:val="auto"/>
          <w:highlight w:val="none"/>
        </w:rPr>
        <w:t>（6）项目管理机构；</w:t>
      </w:r>
    </w:p>
    <w:p w14:paraId="091D3F0C">
      <w:pPr>
        <w:spacing w:line="400" w:lineRule="exact"/>
        <w:ind w:firstLine="359" w:firstLineChars="171"/>
        <w:rPr>
          <w:color w:val="auto"/>
          <w:highlight w:val="none"/>
        </w:rPr>
      </w:pPr>
      <w:r>
        <w:rPr>
          <w:rFonts w:hint="eastAsia"/>
          <w:color w:val="auto"/>
          <w:highlight w:val="none"/>
        </w:rPr>
        <w:t>（7）资格审查资料；</w:t>
      </w:r>
    </w:p>
    <w:p w14:paraId="73680B27">
      <w:pPr>
        <w:spacing w:line="400" w:lineRule="exact"/>
        <w:ind w:firstLine="359" w:firstLineChars="171"/>
        <w:rPr>
          <w:color w:val="auto"/>
          <w:highlight w:val="none"/>
        </w:rPr>
      </w:pPr>
      <w:r>
        <w:rPr>
          <w:rFonts w:hint="eastAsia"/>
          <w:color w:val="auto"/>
          <w:highlight w:val="none"/>
        </w:rPr>
        <w:t>（8）承诺函；</w:t>
      </w:r>
    </w:p>
    <w:p w14:paraId="58659E8D">
      <w:pPr>
        <w:spacing w:line="400" w:lineRule="exact"/>
        <w:ind w:firstLine="359" w:firstLineChars="171"/>
        <w:rPr>
          <w:color w:val="auto"/>
          <w:highlight w:val="none"/>
        </w:rPr>
      </w:pPr>
      <w:r>
        <w:rPr>
          <w:rFonts w:hint="eastAsia"/>
          <w:color w:val="auto"/>
          <w:highlight w:val="none"/>
        </w:rPr>
        <w:t>（9）已标价工程量清单</w:t>
      </w:r>
    </w:p>
    <w:p w14:paraId="2828B52F">
      <w:pPr>
        <w:spacing w:line="400" w:lineRule="exact"/>
        <w:ind w:firstLine="359" w:firstLineChars="171"/>
        <w:rPr>
          <w:color w:val="auto"/>
          <w:highlight w:val="none"/>
        </w:rPr>
      </w:pPr>
      <w:r>
        <w:rPr>
          <w:rFonts w:hint="eastAsia"/>
          <w:color w:val="auto"/>
          <w:highlight w:val="none"/>
        </w:rPr>
        <w:t>（10）定标要素情况表</w:t>
      </w:r>
    </w:p>
    <w:p w14:paraId="0CC25E4A">
      <w:pPr>
        <w:spacing w:line="400" w:lineRule="exact"/>
        <w:ind w:firstLine="359" w:firstLineChars="171"/>
        <w:rPr>
          <w:color w:val="auto"/>
          <w:highlight w:val="none"/>
        </w:rPr>
      </w:pPr>
      <w:r>
        <w:rPr>
          <w:rFonts w:hint="eastAsia"/>
          <w:color w:val="auto"/>
          <w:highlight w:val="none"/>
        </w:rPr>
        <w:t>（</w:t>
      </w:r>
      <w:r>
        <w:rPr>
          <w:color w:val="auto"/>
          <w:highlight w:val="none"/>
        </w:rPr>
        <w:t>1</w:t>
      </w:r>
      <w:r>
        <w:rPr>
          <w:rFonts w:hint="eastAsia"/>
          <w:color w:val="auto"/>
          <w:highlight w:val="none"/>
        </w:rPr>
        <w:t>1）其他材料。</w:t>
      </w:r>
    </w:p>
    <w:p w14:paraId="561FC545">
      <w:pPr>
        <w:spacing w:line="360" w:lineRule="auto"/>
        <w:ind w:firstLine="420" w:firstLineChars="200"/>
        <w:rPr>
          <w:rFonts w:ascii="宋体" w:hAnsi="宋体"/>
          <w:color w:val="auto"/>
          <w:szCs w:val="21"/>
          <w:highlight w:val="none"/>
        </w:rPr>
      </w:pPr>
    </w:p>
    <w:p w14:paraId="341F5188">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605461F8">
      <w:pPr>
        <w:pStyle w:val="4"/>
        <w:jc w:val="center"/>
        <w:rPr>
          <w:color w:val="auto"/>
          <w:highlight w:val="none"/>
        </w:rPr>
      </w:pPr>
      <w:bookmarkStart w:id="1333" w:name="_Toc463799113"/>
      <w:bookmarkStart w:id="1334" w:name="_Toc290198801"/>
      <w:bookmarkStart w:id="1335" w:name="_Toc7401"/>
      <w:bookmarkStart w:id="1336" w:name="_Toc419825434"/>
      <w:bookmarkStart w:id="1337" w:name="_Toc419825086"/>
      <w:bookmarkStart w:id="1338" w:name="_Toc490832371"/>
      <w:r>
        <w:rPr>
          <w:rFonts w:hint="eastAsia"/>
          <w:color w:val="auto"/>
          <w:highlight w:val="none"/>
        </w:rPr>
        <w:t>一、投标函及投标函附录</w:t>
      </w:r>
      <w:bookmarkEnd w:id="1333"/>
      <w:bookmarkEnd w:id="1334"/>
      <w:bookmarkEnd w:id="1335"/>
      <w:bookmarkEnd w:id="1336"/>
      <w:bookmarkEnd w:id="1337"/>
      <w:bookmarkEnd w:id="1338"/>
    </w:p>
    <w:p w14:paraId="6FF3777D">
      <w:pPr>
        <w:pStyle w:val="5"/>
        <w:jc w:val="center"/>
        <w:rPr>
          <w:color w:val="auto"/>
          <w:highlight w:val="none"/>
        </w:rPr>
      </w:pPr>
      <w:r>
        <w:rPr>
          <w:rFonts w:hint="eastAsia"/>
          <w:color w:val="auto"/>
          <w:highlight w:val="none"/>
        </w:rPr>
        <w:t>（一）投标函</w:t>
      </w:r>
    </w:p>
    <w:p w14:paraId="202FB055">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（招标人名称）: </w:t>
      </w:r>
    </w:p>
    <w:p w14:paraId="2879CA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1．我方已仔细研究了</w:t>
      </w:r>
      <w:r>
        <w:rPr>
          <w:rFonts w:hint="eastAsia" w:ascii="宋体" w:hAnsi="宋体"/>
          <w:color w:val="auto"/>
          <w:szCs w:val="21"/>
          <w:highlight w:val="none"/>
          <w:u w:val="single"/>
        </w:rPr>
        <w:t xml:space="preserve">    </w:t>
      </w:r>
      <w:r>
        <w:rPr>
          <w:rFonts w:hint="eastAsia" w:ascii="宋体" w:hAnsi="宋体"/>
          <w:color w:val="auto"/>
          <w:szCs w:val="21"/>
          <w:highlight w:val="none"/>
        </w:rPr>
        <w:t>施工招标文件的全部内容，愿意以人民币（大写）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）的投标总报价，工期</w:t>
      </w: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rPr>
        <w:t>，按合同约定实施和完成承包工程，修补工程中的任何缺陷，工程质量达到</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43519C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2．我方承诺在投标有效期内不修改、撤销投标文件。</w:t>
      </w:r>
    </w:p>
    <w:p w14:paraId="36E216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3．□随同本投标函提交投标保证金一份，金额为人民币（大写）          元（¥            元）（符合招标文件规定的投标保证金优惠情形的，此处按实际金额填写）；</w:t>
      </w:r>
    </w:p>
    <w:p w14:paraId="30F99C8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□我方按招标文件规定免缴投标保证金。</w:t>
      </w:r>
    </w:p>
    <w:p w14:paraId="2DF045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4．如我方中标：</w:t>
      </w:r>
    </w:p>
    <w:p w14:paraId="3E8B8B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(l）我方承诺在收到中标通知书后，在中标通知书规定的期限内与你方签订合同。</w:t>
      </w:r>
    </w:p>
    <w:p w14:paraId="47906B7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(2）随同本投标函递交的投标函附录属于合同文件的组成部分。</w:t>
      </w:r>
    </w:p>
    <w:p w14:paraId="15DCC4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(3）我方承诺按照招标文件规定向你方递交履约担保。</w:t>
      </w:r>
    </w:p>
    <w:p w14:paraId="41BA8E6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(4）我方承诺在合同约定的期限内完成并移交全部合同工程。</w:t>
      </w:r>
    </w:p>
    <w:p w14:paraId="12E716A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5．我方在此声明，所递交的投标文件及有关资料内容完整、真实和准确，且不存在第二章“投标人须知”第1.4.3 项规定的任何一种情形。</w:t>
      </w:r>
    </w:p>
    <w:p w14:paraId="4520519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olor w:val="auto"/>
          <w:szCs w:val="21"/>
          <w:highlight w:val="none"/>
          <w:u w:val="single"/>
        </w:rPr>
        <w:t xml:space="preserve">                     </w:t>
      </w:r>
      <w:r>
        <w:rPr>
          <w:rFonts w:hint="eastAsia" w:ascii="宋体" w:hAnsi="宋体"/>
          <w:color w:val="auto"/>
          <w:szCs w:val="21"/>
          <w:highlight w:val="none"/>
        </w:rPr>
        <w:t>（其他补充说明）。</w:t>
      </w:r>
    </w:p>
    <w:p w14:paraId="0348C8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7.如我方为满足投标保证金优惠规定的投标人，出现法律法规规定的没收投标保证金情形的，我方承诺按招标文件要求的金额缴足投标保证金。</w:t>
      </w:r>
    </w:p>
    <w:p w14:paraId="1AEF085C">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14:paraId="23527F87">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13907B6D">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网址：</w:t>
      </w:r>
      <w:r>
        <w:rPr>
          <w:rFonts w:hint="eastAsia" w:ascii="宋体" w:hAnsi="宋体"/>
          <w:color w:val="auto"/>
          <w:szCs w:val="21"/>
          <w:highlight w:val="none"/>
          <w:u w:val="single"/>
        </w:rPr>
        <w:t xml:space="preserve">                                 </w:t>
      </w:r>
    </w:p>
    <w:p w14:paraId="10BF1BB5">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p>
    <w:p w14:paraId="1D754E44">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 xml:space="preserve">                                 </w:t>
      </w:r>
    </w:p>
    <w:p w14:paraId="2EB23B71">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14:paraId="2200526C">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359E265">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48A923A2">
      <w:pPr>
        <w:pStyle w:val="5"/>
        <w:jc w:val="center"/>
        <w:rPr>
          <w:color w:val="auto"/>
          <w:highlight w:val="none"/>
        </w:rPr>
      </w:pPr>
      <w:r>
        <w:rPr>
          <w:rFonts w:hint="eastAsia"/>
          <w:color w:val="auto"/>
          <w:highlight w:val="none"/>
        </w:rPr>
        <w:t>（二）投标函附录</w:t>
      </w:r>
    </w:p>
    <w:p w14:paraId="28899FBB">
      <w:pPr>
        <w:spacing w:line="360" w:lineRule="auto"/>
        <w:ind w:firstLine="420" w:firstLineChars="200"/>
        <w:rPr>
          <w:rFonts w:ascii="宋体" w:hAnsi="宋体"/>
          <w:color w:val="auto"/>
          <w:szCs w:val="21"/>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573"/>
        <w:gridCol w:w="1417"/>
        <w:gridCol w:w="3270"/>
        <w:gridCol w:w="1004"/>
      </w:tblGrid>
      <w:tr w14:paraId="7CE07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88" w:type="dxa"/>
            <w:vAlign w:val="center"/>
          </w:tcPr>
          <w:p w14:paraId="70D9920F">
            <w:pPr>
              <w:jc w:val="center"/>
              <w:rPr>
                <w:rFonts w:ascii="宋体" w:hAnsi="宋体"/>
                <w:color w:val="auto"/>
                <w:szCs w:val="21"/>
                <w:highlight w:val="none"/>
              </w:rPr>
            </w:pPr>
            <w:r>
              <w:rPr>
                <w:rFonts w:hint="eastAsia" w:ascii="宋体" w:hAnsi="宋体"/>
                <w:color w:val="auto"/>
                <w:szCs w:val="21"/>
                <w:highlight w:val="none"/>
              </w:rPr>
              <w:t>序号</w:t>
            </w:r>
          </w:p>
        </w:tc>
        <w:tc>
          <w:tcPr>
            <w:tcW w:w="2573" w:type="dxa"/>
            <w:vAlign w:val="center"/>
          </w:tcPr>
          <w:p w14:paraId="5001B3B1">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14:paraId="4620ACAA">
            <w:pPr>
              <w:jc w:val="center"/>
              <w:rPr>
                <w:rFonts w:ascii="宋体" w:hAnsi="宋体"/>
                <w:color w:val="auto"/>
                <w:szCs w:val="21"/>
                <w:highlight w:val="none"/>
              </w:rPr>
            </w:pPr>
            <w:r>
              <w:rPr>
                <w:rFonts w:hint="eastAsia" w:ascii="宋体" w:hAnsi="宋体"/>
                <w:color w:val="auto"/>
                <w:szCs w:val="21"/>
                <w:highlight w:val="none"/>
              </w:rPr>
              <w:t>合同条款号</w:t>
            </w:r>
          </w:p>
        </w:tc>
        <w:tc>
          <w:tcPr>
            <w:tcW w:w="3270" w:type="dxa"/>
            <w:vAlign w:val="center"/>
          </w:tcPr>
          <w:p w14:paraId="1407A456">
            <w:pPr>
              <w:jc w:val="center"/>
              <w:rPr>
                <w:rFonts w:ascii="宋体" w:hAnsi="宋体"/>
                <w:color w:val="auto"/>
                <w:szCs w:val="21"/>
                <w:highlight w:val="none"/>
              </w:rPr>
            </w:pPr>
            <w:r>
              <w:rPr>
                <w:rFonts w:hint="eastAsia" w:ascii="宋体" w:hAnsi="宋体"/>
                <w:color w:val="auto"/>
                <w:szCs w:val="21"/>
                <w:highlight w:val="none"/>
              </w:rPr>
              <w:t>约定内容</w:t>
            </w:r>
          </w:p>
        </w:tc>
        <w:tc>
          <w:tcPr>
            <w:tcW w:w="1004" w:type="dxa"/>
            <w:vAlign w:val="center"/>
          </w:tcPr>
          <w:p w14:paraId="6CD0608F">
            <w:pPr>
              <w:jc w:val="center"/>
              <w:rPr>
                <w:rFonts w:ascii="宋体" w:hAnsi="宋体"/>
                <w:color w:val="auto"/>
                <w:szCs w:val="21"/>
                <w:highlight w:val="none"/>
              </w:rPr>
            </w:pPr>
            <w:r>
              <w:rPr>
                <w:rFonts w:hint="eastAsia" w:ascii="宋体" w:hAnsi="宋体"/>
                <w:color w:val="auto"/>
                <w:szCs w:val="21"/>
                <w:highlight w:val="none"/>
              </w:rPr>
              <w:t>备注</w:t>
            </w:r>
          </w:p>
        </w:tc>
      </w:tr>
      <w:tr w14:paraId="0244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88" w:type="dxa"/>
            <w:vAlign w:val="center"/>
          </w:tcPr>
          <w:p w14:paraId="3650A00B">
            <w:pPr>
              <w:jc w:val="center"/>
              <w:rPr>
                <w:rFonts w:ascii="宋体" w:hAnsi="宋体"/>
                <w:color w:val="auto"/>
                <w:szCs w:val="21"/>
                <w:highlight w:val="none"/>
              </w:rPr>
            </w:pPr>
            <w:r>
              <w:rPr>
                <w:rFonts w:hint="eastAsia" w:ascii="宋体" w:hAnsi="宋体"/>
                <w:color w:val="auto"/>
                <w:szCs w:val="21"/>
                <w:highlight w:val="none"/>
              </w:rPr>
              <w:t>1</w:t>
            </w:r>
          </w:p>
        </w:tc>
        <w:tc>
          <w:tcPr>
            <w:tcW w:w="2573" w:type="dxa"/>
            <w:vAlign w:val="center"/>
          </w:tcPr>
          <w:p w14:paraId="1FCF25A5">
            <w:pP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14:paraId="72B786DA">
            <w:pPr>
              <w:rPr>
                <w:rFonts w:ascii="宋体" w:hAnsi="宋体"/>
                <w:color w:val="auto"/>
                <w:szCs w:val="21"/>
                <w:highlight w:val="none"/>
              </w:rPr>
            </w:pPr>
            <w:r>
              <w:rPr>
                <w:rFonts w:hint="eastAsia" w:ascii="宋体" w:hAnsi="宋体"/>
                <w:color w:val="auto"/>
                <w:szCs w:val="21"/>
                <w:highlight w:val="none"/>
              </w:rPr>
              <w:t>1.1.2.4</w:t>
            </w:r>
          </w:p>
        </w:tc>
        <w:tc>
          <w:tcPr>
            <w:tcW w:w="3270" w:type="dxa"/>
            <w:vAlign w:val="center"/>
          </w:tcPr>
          <w:p w14:paraId="538EE048">
            <w:pPr>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14:paraId="15785F7B">
            <w:pPr>
              <w:rPr>
                <w:rFonts w:ascii="宋体" w:hAnsi="宋体"/>
                <w:color w:val="auto"/>
                <w:szCs w:val="21"/>
                <w:highlight w:val="none"/>
              </w:rPr>
            </w:pPr>
            <w:r>
              <w:rPr>
                <w:rFonts w:hint="eastAsia" w:ascii="宋体" w:hAnsi="宋体"/>
                <w:color w:val="auto"/>
                <w:szCs w:val="21"/>
                <w:highlight w:val="none"/>
              </w:rPr>
              <w:t>职称证书及编号：</w:t>
            </w:r>
            <w:r>
              <w:rPr>
                <w:rFonts w:hint="eastAsia" w:ascii="宋体" w:hAnsi="宋体"/>
                <w:color w:val="auto"/>
                <w:szCs w:val="21"/>
                <w:highlight w:val="none"/>
                <w:u w:val="single"/>
              </w:rPr>
              <w:t xml:space="preserve">             </w:t>
            </w:r>
          </w:p>
          <w:p w14:paraId="1C076DF6">
            <w:pPr>
              <w:rPr>
                <w:rFonts w:ascii="宋体" w:hAnsi="宋体"/>
                <w:color w:val="auto"/>
                <w:szCs w:val="21"/>
                <w:highlight w:val="none"/>
              </w:rPr>
            </w:pPr>
            <w:r>
              <w:rPr>
                <w:rFonts w:hint="eastAsia" w:ascii="宋体" w:hAnsi="宋体"/>
                <w:color w:val="auto"/>
                <w:szCs w:val="21"/>
                <w:highlight w:val="none"/>
              </w:rPr>
              <w:t>执业资格证书及编号：</w:t>
            </w:r>
            <w:r>
              <w:rPr>
                <w:rFonts w:hint="eastAsia" w:ascii="宋体" w:hAnsi="宋体"/>
                <w:color w:val="auto"/>
                <w:szCs w:val="21"/>
                <w:highlight w:val="none"/>
                <w:u w:val="single"/>
              </w:rPr>
              <w:t xml:space="preserve">         </w:t>
            </w:r>
          </w:p>
        </w:tc>
        <w:tc>
          <w:tcPr>
            <w:tcW w:w="1004" w:type="dxa"/>
          </w:tcPr>
          <w:p w14:paraId="0F9847C2">
            <w:pPr>
              <w:spacing w:line="360" w:lineRule="auto"/>
              <w:rPr>
                <w:rFonts w:ascii="宋体" w:hAnsi="宋体"/>
                <w:color w:val="auto"/>
                <w:szCs w:val="21"/>
                <w:highlight w:val="none"/>
              </w:rPr>
            </w:pPr>
          </w:p>
        </w:tc>
      </w:tr>
      <w:tr w14:paraId="0A01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88" w:type="dxa"/>
            <w:vAlign w:val="center"/>
          </w:tcPr>
          <w:p w14:paraId="3D7F9373">
            <w:pPr>
              <w:jc w:val="center"/>
              <w:rPr>
                <w:rFonts w:ascii="宋体" w:hAnsi="宋体"/>
                <w:color w:val="auto"/>
                <w:szCs w:val="21"/>
                <w:highlight w:val="none"/>
              </w:rPr>
            </w:pPr>
          </w:p>
        </w:tc>
        <w:tc>
          <w:tcPr>
            <w:tcW w:w="2573" w:type="dxa"/>
            <w:vAlign w:val="center"/>
          </w:tcPr>
          <w:p w14:paraId="6BA2F5A4">
            <w:pPr>
              <w:rPr>
                <w:rFonts w:ascii="宋体" w:hAnsi="宋体"/>
                <w:color w:val="auto"/>
                <w:szCs w:val="21"/>
                <w:highlight w:val="none"/>
              </w:rPr>
            </w:pPr>
            <w:r>
              <w:rPr>
                <w:rFonts w:hint="eastAsia" w:ascii="宋体" w:hAnsi="宋体"/>
                <w:color w:val="auto"/>
                <w:szCs w:val="21"/>
                <w:highlight w:val="none"/>
              </w:rPr>
              <w:t>技术负责人</w:t>
            </w:r>
          </w:p>
        </w:tc>
        <w:tc>
          <w:tcPr>
            <w:tcW w:w="1417" w:type="dxa"/>
            <w:vAlign w:val="center"/>
          </w:tcPr>
          <w:p w14:paraId="35EC2505">
            <w:pPr>
              <w:rPr>
                <w:rFonts w:ascii="宋体" w:hAnsi="宋体"/>
                <w:color w:val="auto"/>
                <w:szCs w:val="21"/>
                <w:highlight w:val="none"/>
              </w:rPr>
            </w:pPr>
          </w:p>
        </w:tc>
        <w:tc>
          <w:tcPr>
            <w:tcW w:w="3270" w:type="dxa"/>
            <w:vAlign w:val="center"/>
          </w:tcPr>
          <w:p w14:paraId="2DCF55F9">
            <w:pPr>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p>
          <w:p w14:paraId="2F595506">
            <w:pPr>
              <w:rPr>
                <w:rFonts w:ascii="宋体" w:hAnsi="宋体"/>
                <w:color w:val="auto"/>
                <w:szCs w:val="21"/>
                <w:highlight w:val="none"/>
              </w:rPr>
            </w:pPr>
            <w:r>
              <w:rPr>
                <w:rFonts w:hint="eastAsia" w:ascii="宋体" w:hAnsi="宋体"/>
                <w:color w:val="auto"/>
                <w:szCs w:val="21"/>
                <w:highlight w:val="none"/>
              </w:rPr>
              <w:t xml:space="preserve">职称证书及编号：           </w:t>
            </w:r>
          </w:p>
        </w:tc>
        <w:tc>
          <w:tcPr>
            <w:tcW w:w="1004" w:type="dxa"/>
          </w:tcPr>
          <w:p w14:paraId="5FBC067C">
            <w:pPr>
              <w:spacing w:line="360" w:lineRule="auto"/>
              <w:rPr>
                <w:rFonts w:ascii="宋体" w:hAnsi="宋体"/>
                <w:color w:val="auto"/>
                <w:szCs w:val="21"/>
                <w:highlight w:val="none"/>
              </w:rPr>
            </w:pPr>
          </w:p>
        </w:tc>
      </w:tr>
      <w:tr w14:paraId="11A0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45386152">
            <w:pPr>
              <w:jc w:val="center"/>
              <w:rPr>
                <w:rFonts w:ascii="宋体" w:hAnsi="宋体"/>
                <w:color w:val="auto"/>
                <w:szCs w:val="21"/>
                <w:highlight w:val="none"/>
              </w:rPr>
            </w:pPr>
            <w:r>
              <w:rPr>
                <w:rFonts w:hint="eastAsia" w:ascii="宋体" w:hAnsi="宋体"/>
                <w:color w:val="auto"/>
                <w:szCs w:val="21"/>
                <w:highlight w:val="none"/>
              </w:rPr>
              <w:t>2</w:t>
            </w:r>
          </w:p>
        </w:tc>
        <w:tc>
          <w:tcPr>
            <w:tcW w:w="2573" w:type="dxa"/>
            <w:vAlign w:val="center"/>
          </w:tcPr>
          <w:p w14:paraId="1D2AA922">
            <w:pPr>
              <w:rPr>
                <w:rFonts w:ascii="宋体" w:hAnsi="宋体"/>
                <w:color w:val="auto"/>
                <w:szCs w:val="21"/>
                <w:highlight w:val="none"/>
              </w:rPr>
            </w:pPr>
            <w:r>
              <w:rPr>
                <w:rFonts w:hint="eastAsia" w:ascii="宋体" w:hAnsi="宋体"/>
                <w:color w:val="auto"/>
                <w:szCs w:val="21"/>
                <w:highlight w:val="none"/>
              </w:rPr>
              <w:t>工期</w:t>
            </w:r>
          </w:p>
        </w:tc>
        <w:tc>
          <w:tcPr>
            <w:tcW w:w="1417" w:type="dxa"/>
            <w:vAlign w:val="center"/>
          </w:tcPr>
          <w:p w14:paraId="4AC195A3">
            <w:pPr>
              <w:rPr>
                <w:rFonts w:ascii="宋体" w:hAnsi="宋体"/>
                <w:color w:val="auto"/>
                <w:szCs w:val="21"/>
                <w:highlight w:val="none"/>
              </w:rPr>
            </w:pPr>
            <w:r>
              <w:rPr>
                <w:rFonts w:hint="eastAsia" w:ascii="宋体" w:hAnsi="宋体"/>
                <w:color w:val="auto"/>
                <w:szCs w:val="21"/>
                <w:highlight w:val="none"/>
              </w:rPr>
              <w:t>1.1.4.3</w:t>
            </w:r>
          </w:p>
        </w:tc>
        <w:tc>
          <w:tcPr>
            <w:tcW w:w="3270" w:type="dxa"/>
            <w:vAlign w:val="center"/>
          </w:tcPr>
          <w:p w14:paraId="2E96A25A">
            <w:pPr>
              <w:rPr>
                <w:rFonts w:ascii="宋体" w:hAnsi="宋体"/>
                <w:color w:val="auto"/>
                <w:szCs w:val="21"/>
                <w:highlight w:val="none"/>
              </w:rPr>
            </w:pPr>
            <w:r>
              <w:rPr>
                <w:rFonts w:hint="eastAsia"/>
                <w:color w:val="auto"/>
                <w:szCs w:val="21"/>
                <w:highlight w:val="none"/>
                <w:u w:val="single"/>
              </w:rPr>
              <w:t xml:space="preserve">      </w:t>
            </w:r>
            <w:r>
              <w:rPr>
                <w:rFonts w:hint="eastAsia"/>
                <w:color w:val="auto"/>
                <w:szCs w:val="21"/>
                <w:highlight w:val="none"/>
              </w:rPr>
              <w:t>日历天</w:t>
            </w:r>
            <w:r>
              <w:rPr>
                <w:rFonts w:hint="eastAsia" w:ascii="宋体" w:hAnsi="宋体"/>
                <w:color w:val="auto"/>
                <w:szCs w:val="21"/>
                <w:highlight w:val="none"/>
                <w:u w:val="single"/>
              </w:rPr>
              <w:t xml:space="preserve">      </w:t>
            </w:r>
          </w:p>
        </w:tc>
        <w:tc>
          <w:tcPr>
            <w:tcW w:w="1004" w:type="dxa"/>
          </w:tcPr>
          <w:p w14:paraId="07E0B01E">
            <w:pPr>
              <w:spacing w:line="360" w:lineRule="auto"/>
              <w:rPr>
                <w:rFonts w:ascii="宋体" w:hAnsi="宋体"/>
                <w:color w:val="auto"/>
                <w:szCs w:val="21"/>
                <w:highlight w:val="none"/>
              </w:rPr>
            </w:pPr>
          </w:p>
        </w:tc>
      </w:tr>
      <w:tr w14:paraId="6CEE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0ED4BC49">
            <w:pPr>
              <w:jc w:val="center"/>
              <w:rPr>
                <w:rFonts w:ascii="宋体" w:hAnsi="宋体"/>
                <w:color w:val="auto"/>
                <w:szCs w:val="21"/>
                <w:highlight w:val="none"/>
              </w:rPr>
            </w:pPr>
            <w:r>
              <w:rPr>
                <w:rFonts w:hint="eastAsia" w:ascii="宋体" w:hAnsi="宋体"/>
                <w:color w:val="auto"/>
                <w:szCs w:val="21"/>
                <w:highlight w:val="none"/>
              </w:rPr>
              <w:t>3</w:t>
            </w:r>
          </w:p>
        </w:tc>
        <w:tc>
          <w:tcPr>
            <w:tcW w:w="2573" w:type="dxa"/>
            <w:vAlign w:val="center"/>
          </w:tcPr>
          <w:p w14:paraId="6B8F1CE3">
            <w:pPr>
              <w:rPr>
                <w:rFonts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14:paraId="15C9C8B4">
            <w:pPr>
              <w:rPr>
                <w:rFonts w:ascii="宋体" w:hAnsi="宋体"/>
                <w:color w:val="auto"/>
                <w:szCs w:val="21"/>
                <w:highlight w:val="none"/>
              </w:rPr>
            </w:pPr>
            <w:r>
              <w:rPr>
                <w:rFonts w:hint="eastAsia" w:ascii="宋体" w:hAnsi="宋体"/>
                <w:color w:val="auto"/>
                <w:szCs w:val="21"/>
                <w:highlight w:val="none"/>
              </w:rPr>
              <w:t>1.1.4.5</w:t>
            </w:r>
          </w:p>
        </w:tc>
        <w:tc>
          <w:tcPr>
            <w:tcW w:w="3270" w:type="dxa"/>
            <w:vAlign w:val="center"/>
          </w:tcPr>
          <w:p w14:paraId="73628766">
            <w:pPr>
              <w:rPr>
                <w:rFonts w:ascii="宋体" w:hAnsi="宋体"/>
                <w:color w:val="auto"/>
                <w:szCs w:val="21"/>
                <w:highlight w:val="none"/>
              </w:rPr>
            </w:pPr>
          </w:p>
        </w:tc>
        <w:tc>
          <w:tcPr>
            <w:tcW w:w="1004" w:type="dxa"/>
          </w:tcPr>
          <w:p w14:paraId="5C3F36F4">
            <w:pPr>
              <w:spacing w:line="360" w:lineRule="auto"/>
              <w:rPr>
                <w:rFonts w:ascii="宋体" w:hAnsi="宋体"/>
                <w:color w:val="auto"/>
                <w:szCs w:val="21"/>
                <w:highlight w:val="none"/>
              </w:rPr>
            </w:pPr>
          </w:p>
        </w:tc>
      </w:tr>
      <w:tr w14:paraId="0571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4B1A408E">
            <w:pPr>
              <w:jc w:val="center"/>
              <w:rPr>
                <w:rFonts w:ascii="宋体" w:hAnsi="宋体"/>
                <w:color w:val="auto"/>
                <w:szCs w:val="21"/>
                <w:highlight w:val="none"/>
              </w:rPr>
            </w:pPr>
            <w:r>
              <w:rPr>
                <w:rFonts w:hint="eastAsia" w:ascii="宋体" w:hAnsi="宋体"/>
                <w:color w:val="auto"/>
                <w:szCs w:val="21"/>
                <w:highlight w:val="none"/>
              </w:rPr>
              <w:t>4</w:t>
            </w:r>
          </w:p>
        </w:tc>
        <w:tc>
          <w:tcPr>
            <w:tcW w:w="2573" w:type="dxa"/>
            <w:vAlign w:val="center"/>
          </w:tcPr>
          <w:p w14:paraId="7AFDC0B7">
            <w:pPr>
              <w:rPr>
                <w:rFonts w:ascii="宋体" w:hAnsi="宋体"/>
                <w:color w:val="auto"/>
                <w:szCs w:val="21"/>
                <w:highlight w:val="none"/>
              </w:rPr>
            </w:pPr>
            <w:r>
              <w:rPr>
                <w:rFonts w:hint="eastAsia" w:ascii="宋体" w:hAnsi="宋体"/>
                <w:color w:val="auto"/>
                <w:szCs w:val="21"/>
                <w:highlight w:val="none"/>
              </w:rPr>
              <w:t>分包</w:t>
            </w:r>
          </w:p>
        </w:tc>
        <w:tc>
          <w:tcPr>
            <w:tcW w:w="1417" w:type="dxa"/>
            <w:vAlign w:val="center"/>
          </w:tcPr>
          <w:p w14:paraId="431BFB71">
            <w:pPr>
              <w:rPr>
                <w:rFonts w:ascii="宋体" w:hAnsi="宋体"/>
                <w:color w:val="auto"/>
                <w:szCs w:val="21"/>
                <w:highlight w:val="none"/>
              </w:rPr>
            </w:pPr>
            <w:r>
              <w:rPr>
                <w:rFonts w:hint="eastAsia" w:ascii="宋体" w:hAnsi="宋体"/>
                <w:color w:val="auto"/>
                <w:szCs w:val="21"/>
                <w:highlight w:val="none"/>
              </w:rPr>
              <w:t>4.3.4</w:t>
            </w:r>
          </w:p>
        </w:tc>
        <w:tc>
          <w:tcPr>
            <w:tcW w:w="3270" w:type="dxa"/>
            <w:vAlign w:val="center"/>
          </w:tcPr>
          <w:p w14:paraId="1683D7CD">
            <w:pPr>
              <w:rPr>
                <w:rFonts w:ascii="宋体" w:hAnsi="宋体"/>
                <w:color w:val="auto"/>
                <w:szCs w:val="21"/>
                <w:highlight w:val="none"/>
              </w:rPr>
            </w:pPr>
          </w:p>
        </w:tc>
        <w:tc>
          <w:tcPr>
            <w:tcW w:w="1004" w:type="dxa"/>
          </w:tcPr>
          <w:p w14:paraId="4FD86598">
            <w:pPr>
              <w:spacing w:line="360" w:lineRule="auto"/>
              <w:rPr>
                <w:rFonts w:ascii="宋体" w:hAnsi="宋体"/>
                <w:color w:val="auto"/>
                <w:szCs w:val="21"/>
                <w:highlight w:val="none"/>
              </w:rPr>
            </w:pPr>
          </w:p>
        </w:tc>
      </w:tr>
      <w:tr w14:paraId="2402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2AA1966E">
            <w:pPr>
              <w:jc w:val="center"/>
              <w:rPr>
                <w:rFonts w:ascii="宋体" w:hAnsi="宋体"/>
                <w:color w:val="auto"/>
                <w:szCs w:val="21"/>
                <w:highlight w:val="none"/>
              </w:rPr>
            </w:pPr>
            <w:r>
              <w:rPr>
                <w:rFonts w:hint="eastAsia" w:ascii="宋体" w:hAnsi="宋体"/>
                <w:color w:val="auto"/>
                <w:szCs w:val="21"/>
                <w:highlight w:val="none"/>
              </w:rPr>
              <w:t>5</w:t>
            </w:r>
          </w:p>
        </w:tc>
        <w:tc>
          <w:tcPr>
            <w:tcW w:w="2573" w:type="dxa"/>
            <w:vAlign w:val="center"/>
          </w:tcPr>
          <w:p w14:paraId="0C4B9CE4">
            <w:pPr>
              <w:rPr>
                <w:rFonts w:ascii="宋体" w:hAnsi="宋体"/>
                <w:color w:val="auto"/>
                <w:szCs w:val="21"/>
                <w:highlight w:val="none"/>
              </w:rPr>
            </w:pPr>
            <w:r>
              <w:rPr>
                <w:rFonts w:hint="eastAsia" w:ascii="宋体" w:hAnsi="宋体"/>
                <w:color w:val="auto"/>
                <w:szCs w:val="21"/>
                <w:highlight w:val="none"/>
              </w:rPr>
              <w:t>投标有效期</w:t>
            </w:r>
          </w:p>
        </w:tc>
        <w:tc>
          <w:tcPr>
            <w:tcW w:w="1417" w:type="dxa"/>
          </w:tcPr>
          <w:p w14:paraId="46DAA88B">
            <w:pPr>
              <w:rPr>
                <w:rFonts w:ascii="宋体" w:hAnsi="宋体"/>
                <w:color w:val="auto"/>
                <w:szCs w:val="21"/>
                <w:highlight w:val="none"/>
              </w:rPr>
            </w:pPr>
          </w:p>
        </w:tc>
        <w:tc>
          <w:tcPr>
            <w:tcW w:w="3270" w:type="dxa"/>
            <w:vAlign w:val="center"/>
          </w:tcPr>
          <w:p w14:paraId="40AA5660">
            <w:pPr>
              <w:rPr>
                <w:rFonts w:ascii="宋体" w:hAnsi="宋体"/>
                <w:color w:val="auto"/>
                <w:szCs w:val="21"/>
                <w:highlight w:val="none"/>
              </w:rPr>
            </w:pPr>
            <w:r>
              <w:rPr>
                <w:rFonts w:hint="eastAsia" w:ascii="宋体" w:hAnsi="宋体"/>
                <w:color w:val="auto"/>
                <w:szCs w:val="21"/>
                <w:highlight w:val="none"/>
              </w:rPr>
              <w:t xml:space="preserve">      天</w:t>
            </w:r>
          </w:p>
        </w:tc>
        <w:tc>
          <w:tcPr>
            <w:tcW w:w="1004" w:type="dxa"/>
          </w:tcPr>
          <w:p w14:paraId="48A85317">
            <w:pPr>
              <w:spacing w:line="360" w:lineRule="auto"/>
              <w:rPr>
                <w:rFonts w:ascii="宋体" w:hAnsi="宋体"/>
                <w:color w:val="auto"/>
                <w:szCs w:val="21"/>
                <w:highlight w:val="none"/>
              </w:rPr>
            </w:pPr>
          </w:p>
        </w:tc>
      </w:tr>
      <w:tr w14:paraId="3385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4EEB718B">
            <w:pPr>
              <w:jc w:val="center"/>
              <w:rPr>
                <w:rFonts w:ascii="宋体" w:hAnsi="宋体"/>
                <w:color w:val="auto"/>
                <w:szCs w:val="21"/>
                <w:highlight w:val="none"/>
              </w:rPr>
            </w:pPr>
            <w:r>
              <w:rPr>
                <w:rFonts w:hint="eastAsia" w:ascii="宋体" w:hAnsi="宋体"/>
                <w:color w:val="auto"/>
                <w:szCs w:val="21"/>
                <w:highlight w:val="none"/>
              </w:rPr>
              <w:t>6</w:t>
            </w:r>
          </w:p>
        </w:tc>
        <w:tc>
          <w:tcPr>
            <w:tcW w:w="2573" w:type="dxa"/>
            <w:vAlign w:val="center"/>
          </w:tcPr>
          <w:p w14:paraId="62D01C75">
            <w:pPr>
              <w:rPr>
                <w:rFonts w:ascii="宋体" w:hAnsi="宋体"/>
                <w:color w:val="auto"/>
                <w:szCs w:val="21"/>
                <w:highlight w:val="none"/>
              </w:rPr>
            </w:pPr>
            <w:r>
              <w:rPr>
                <w:rFonts w:hint="eastAsia" w:ascii="宋体" w:hAnsi="宋体"/>
                <w:color w:val="auto"/>
                <w:szCs w:val="21"/>
                <w:highlight w:val="none"/>
              </w:rPr>
              <w:t>投标保证金</w:t>
            </w:r>
          </w:p>
        </w:tc>
        <w:tc>
          <w:tcPr>
            <w:tcW w:w="1417" w:type="dxa"/>
            <w:vAlign w:val="center"/>
          </w:tcPr>
          <w:p w14:paraId="6ED7A985">
            <w:pPr>
              <w:rPr>
                <w:rFonts w:ascii="宋体" w:hAnsi="宋体"/>
                <w:color w:val="auto"/>
                <w:szCs w:val="21"/>
                <w:highlight w:val="none"/>
              </w:rPr>
            </w:pPr>
          </w:p>
        </w:tc>
        <w:tc>
          <w:tcPr>
            <w:tcW w:w="3270" w:type="dxa"/>
            <w:vAlign w:val="center"/>
          </w:tcPr>
          <w:p w14:paraId="7D8FD40B">
            <w:pPr>
              <w:rPr>
                <w:rFonts w:ascii="宋体" w:hAnsi="宋体"/>
                <w:color w:val="auto"/>
                <w:szCs w:val="21"/>
                <w:highlight w:val="none"/>
              </w:rPr>
            </w:pPr>
            <w:r>
              <w:rPr>
                <w:rFonts w:hint="eastAsia" w:ascii="宋体" w:hAnsi="宋体"/>
                <w:color w:val="auto"/>
                <w:szCs w:val="21"/>
                <w:highlight w:val="none"/>
              </w:rPr>
              <w:t xml:space="preserve">       元</w:t>
            </w:r>
          </w:p>
        </w:tc>
        <w:tc>
          <w:tcPr>
            <w:tcW w:w="1004" w:type="dxa"/>
          </w:tcPr>
          <w:p w14:paraId="00591E38">
            <w:pPr>
              <w:spacing w:line="360" w:lineRule="auto"/>
              <w:rPr>
                <w:rFonts w:ascii="宋体" w:hAnsi="宋体"/>
                <w:color w:val="auto"/>
                <w:szCs w:val="21"/>
                <w:highlight w:val="none"/>
              </w:rPr>
            </w:pPr>
          </w:p>
        </w:tc>
      </w:tr>
      <w:tr w14:paraId="16CA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13AD4322">
            <w:pPr>
              <w:jc w:val="center"/>
              <w:rPr>
                <w:rFonts w:ascii="宋体" w:hAnsi="宋体"/>
                <w:color w:val="auto"/>
                <w:szCs w:val="21"/>
                <w:highlight w:val="none"/>
              </w:rPr>
            </w:pPr>
            <w:r>
              <w:rPr>
                <w:rFonts w:hint="eastAsia" w:ascii="宋体" w:hAnsi="宋体"/>
                <w:color w:val="auto"/>
                <w:szCs w:val="21"/>
                <w:highlight w:val="none"/>
              </w:rPr>
              <w:t>7</w:t>
            </w:r>
          </w:p>
        </w:tc>
        <w:tc>
          <w:tcPr>
            <w:tcW w:w="2573" w:type="dxa"/>
            <w:vAlign w:val="center"/>
          </w:tcPr>
          <w:p w14:paraId="65CF033D">
            <w:pPr>
              <w:rPr>
                <w:rFonts w:ascii="宋体" w:hAnsi="宋体"/>
                <w:color w:val="auto"/>
                <w:szCs w:val="21"/>
                <w:highlight w:val="none"/>
              </w:rPr>
            </w:pPr>
            <w:r>
              <w:rPr>
                <w:rFonts w:hint="eastAsia" w:ascii="宋体" w:hAnsi="宋体"/>
                <w:color w:val="auto"/>
                <w:szCs w:val="21"/>
                <w:highlight w:val="none"/>
              </w:rPr>
              <w:t>权利义务</w:t>
            </w:r>
          </w:p>
        </w:tc>
        <w:tc>
          <w:tcPr>
            <w:tcW w:w="1417" w:type="dxa"/>
          </w:tcPr>
          <w:p w14:paraId="632A131C">
            <w:pPr>
              <w:rPr>
                <w:rFonts w:ascii="宋体" w:hAnsi="宋体"/>
                <w:color w:val="auto"/>
                <w:szCs w:val="21"/>
                <w:highlight w:val="none"/>
              </w:rPr>
            </w:pPr>
          </w:p>
        </w:tc>
        <w:tc>
          <w:tcPr>
            <w:tcW w:w="3270" w:type="dxa"/>
          </w:tcPr>
          <w:p w14:paraId="15FB8359">
            <w:pPr>
              <w:rPr>
                <w:rFonts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第五章“合同条款及格式”规定</w:t>
            </w:r>
          </w:p>
        </w:tc>
        <w:tc>
          <w:tcPr>
            <w:tcW w:w="1004" w:type="dxa"/>
            <w:vAlign w:val="center"/>
          </w:tcPr>
          <w:p w14:paraId="7374236C">
            <w:pPr>
              <w:rPr>
                <w:rFonts w:ascii="宋体" w:hAnsi="宋体"/>
                <w:color w:val="auto"/>
                <w:szCs w:val="21"/>
                <w:highlight w:val="none"/>
              </w:rPr>
            </w:pPr>
          </w:p>
        </w:tc>
      </w:tr>
      <w:tr w14:paraId="4DE1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6AF37EC2">
            <w:pPr>
              <w:jc w:val="center"/>
              <w:rPr>
                <w:rFonts w:ascii="宋体" w:hAnsi="宋体"/>
                <w:color w:val="auto"/>
                <w:szCs w:val="21"/>
                <w:highlight w:val="none"/>
              </w:rPr>
            </w:pPr>
            <w:r>
              <w:rPr>
                <w:rFonts w:hint="eastAsia" w:ascii="宋体" w:hAnsi="宋体"/>
                <w:color w:val="auto"/>
                <w:szCs w:val="21"/>
                <w:highlight w:val="none"/>
              </w:rPr>
              <w:t>8</w:t>
            </w:r>
          </w:p>
        </w:tc>
        <w:tc>
          <w:tcPr>
            <w:tcW w:w="2573" w:type="dxa"/>
            <w:vAlign w:val="center"/>
          </w:tcPr>
          <w:p w14:paraId="6AA2155B">
            <w:pPr>
              <w:rPr>
                <w:rFonts w:ascii="宋体" w:hAnsi="宋体"/>
                <w:color w:val="auto"/>
                <w:szCs w:val="21"/>
                <w:highlight w:val="none"/>
              </w:rPr>
            </w:pPr>
            <w:r>
              <w:rPr>
                <w:rFonts w:hint="eastAsia" w:ascii="宋体" w:hAnsi="宋体"/>
                <w:color w:val="auto"/>
                <w:szCs w:val="21"/>
                <w:highlight w:val="none"/>
              </w:rPr>
              <w:t>技术标准和要求</w:t>
            </w:r>
          </w:p>
        </w:tc>
        <w:tc>
          <w:tcPr>
            <w:tcW w:w="1417" w:type="dxa"/>
          </w:tcPr>
          <w:p w14:paraId="0295D0AE">
            <w:pPr>
              <w:rPr>
                <w:rFonts w:ascii="宋体" w:hAnsi="宋体"/>
                <w:color w:val="auto"/>
                <w:szCs w:val="21"/>
                <w:highlight w:val="none"/>
              </w:rPr>
            </w:pPr>
          </w:p>
        </w:tc>
        <w:tc>
          <w:tcPr>
            <w:tcW w:w="3270" w:type="dxa"/>
          </w:tcPr>
          <w:p w14:paraId="14AF2165">
            <w:pPr>
              <w:rPr>
                <w:rFonts w:ascii="宋体" w:hAnsi="宋体"/>
                <w:color w:val="auto"/>
                <w:szCs w:val="21"/>
                <w:highlight w:val="none"/>
              </w:rPr>
            </w:pPr>
            <w:r>
              <w:rPr>
                <w:rFonts w:hint="eastAsia" w:ascii="宋体" w:hAnsi="宋体"/>
                <w:color w:val="auto"/>
                <w:szCs w:val="21"/>
                <w:highlight w:val="none"/>
              </w:rPr>
              <w:t>按</w:t>
            </w:r>
            <w:r>
              <w:rPr>
                <w:rFonts w:hint="eastAsia"/>
                <w:color w:val="auto"/>
                <w:highlight w:val="none"/>
              </w:rPr>
              <w:t>招标文件</w:t>
            </w:r>
            <w:r>
              <w:rPr>
                <w:rFonts w:hint="eastAsia" w:ascii="宋体" w:hAnsi="宋体"/>
                <w:color w:val="auto"/>
                <w:szCs w:val="21"/>
                <w:highlight w:val="none"/>
              </w:rPr>
              <w:t>第八章“技术标准和要求”规定</w:t>
            </w:r>
          </w:p>
        </w:tc>
        <w:tc>
          <w:tcPr>
            <w:tcW w:w="1004" w:type="dxa"/>
            <w:vAlign w:val="center"/>
          </w:tcPr>
          <w:p w14:paraId="5FB0C2C7">
            <w:pPr>
              <w:rPr>
                <w:rFonts w:ascii="宋体" w:hAnsi="宋体"/>
                <w:color w:val="auto"/>
                <w:szCs w:val="21"/>
                <w:highlight w:val="none"/>
              </w:rPr>
            </w:pPr>
          </w:p>
        </w:tc>
      </w:tr>
      <w:tr w14:paraId="02D0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5FFC6DA4">
            <w:pPr>
              <w:jc w:val="center"/>
              <w:rPr>
                <w:rFonts w:ascii="宋体" w:hAnsi="宋体"/>
                <w:color w:val="auto"/>
                <w:szCs w:val="21"/>
                <w:highlight w:val="none"/>
              </w:rPr>
            </w:pPr>
            <w:r>
              <w:rPr>
                <w:rFonts w:hint="eastAsia" w:ascii="宋体" w:hAnsi="宋体"/>
                <w:color w:val="auto"/>
                <w:szCs w:val="21"/>
                <w:highlight w:val="none"/>
              </w:rPr>
              <w:t>9</w:t>
            </w:r>
          </w:p>
        </w:tc>
        <w:tc>
          <w:tcPr>
            <w:tcW w:w="2573" w:type="dxa"/>
            <w:vAlign w:val="center"/>
          </w:tcPr>
          <w:p w14:paraId="30FDF648">
            <w:pPr>
              <w:rPr>
                <w:rFonts w:ascii="宋体" w:hAnsi="宋体"/>
                <w:color w:val="auto"/>
                <w:szCs w:val="21"/>
                <w:highlight w:val="none"/>
              </w:rPr>
            </w:pPr>
            <w:r>
              <w:rPr>
                <w:rFonts w:hint="eastAsia" w:ascii="宋体" w:hAnsi="宋体"/>
                <w:color w:val="auto"/>
                <w:szCs w:val="21"/>
                <w:highlight w:val="none"/>
              </w:rPr>
              <w:t>信誉承诺</w:t>
            </w:r>
          </w:p>
        </w:tc>
        <w:tc>
          <w:tcPr>
            <w:tcW w:w="1417" w:type="dxa"/>
            <w:vAlign w:val="center"/>
          </w:tcPr>
          <w:p w14:paraId="7BD6E96C">
            <w:pPr>
              <w:rPr>
                <w:rFonts w:ascii="宋体" w:hAnsi="宋体"/>
                <w:color w:val="auto"/>
                <w:szCs w:val="21"/>
                <w:highlight w:val="none"/>
              </w:rPr>
            </w:pPr>
          </w:p>
        </w:tc>
        <w:tc>
          <w:tcPr>
            <w:tcW w:w="3270" w:type="dxa"/>
          </w:tcPr>
          <w:p w14:paraId="44178462">
            <w:pPr>
              <w:rPr>
                <w:rFonts w:ascii="宋体" w:hAnsi="宋体"/>
                <w:color w:val="auto"/>
                <w:szCs w:val="21"/>
                <w:highlight w:val="none"/>
              </w:rPr>
            </w:pPr>
          </w:p>
        </w:tc>
        <w:tc>
          <w:tcPr>
            <w:tcW w:w="1004" w:type="dxa"/>
            <w:vAlign w:val="center"/>
          </w:tcPr>
          <w:p w14:paraId="2C1C8A8F">
            <w:pPr>
              <w:rPr>
                <w:rFonts w:ascii="宋体" w:hAnsi="宋体"/>
                <w:color w:val="auto"/>
                <w:szCs w:val="21"/>
                <w:highlight w:val="none"/>
              </w:rPr>
            </w:pPr>
          </w:p>
        </w:tc>
      </w:tr>
      <w:tr w14:paraId="6CC4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2E448B4D">
            <w:pPr>
              <w:jc w:val="center"/>
              <w:rPr>
                <w:rFonts w:ascii="宋体" w:hAnsi="宋体"/>
                <w:color w:val="auto"/>
                <w:szCs w:val="21"/>
                <w:highlight w:val="none"/>
              </w:rPr>
            </w:pPr>
            <w:r>
              <w:rPr>
                <w:rFonts w:hint="eastAsia" w:ascii="宋体" w:hAnsi="宋体"/>
                <w:color w:val="auto"/>
                <w:szCs w:val="21"/>
                <w:highlight w:val="none"/>
              </w:rPr>
              <w:t>10</w:t>
            </w:r>
          </w:p>
        </w:tc>
        <w:tc>
          <w:tcPr>
            <w:tcW w:w="2573" w:type="dxa"/>
            <w:vAlign w:val="center"/>
          </w:tcPr>
          <w:p w14:paraId="3D23B9F6">
            <w:pPr>
              <w:rPr>
                <w:rFonts w:ascii="宋体" w:hAnsi="宋体"/>
                <w:color w:val="auto"/>
                <w:szCs w:val="21"/>
                <w:highlight w:val="none"/>
              </w:rPr>
            </w:pPr>
            <w:r>
              <w:rPr>
                <w:rFonts w:hint="eastAsia" w:ascii="宋体" w:hAnsi="宋体"/>
                <w:color w:val="auto"/>
                <w:szCs w:val="21"/>
                <w:highlight w:val="none"/>
              </w:rPr>
              <w:t>其他主要人员配置</w:t>
            </w:r>
          </w:p>
        </w:tc>
        <w:tc>
          <w:tcPr>
            <w:tcW w:w="1417" w:type="dxa"/>
            <w:vAlign w:val="center"/>
          </w:tcPr>
          <w:p w14:paraId="2BAA646E">
            <w:pPr>
              <w:rPr>
                <w:rFonts w:ascii="宋体" w:hAnsi="宋体"/>
                <w:color w:val="auto"/>
                <w:szCs w:val="21"/>
                <w:highlight w:val="none"/>
              </w:rPr>
            </w:pPr>
          </w:p>
        </w:tc>
        <w:tc>
          <w:tcPr>
            <w:tcW w:w="3270" w:type="dxa"/>
            <w:vAlign w:val="center"/>
          </w:tcPr>
          <w:p w14:paraId="48855522">
            <w:pPr>
              <w:rPr>
                <w:color w:val="auto"/>
                <w:highlight w:val="none"/>
              </w:rPr>
            </w:pPr>
            <w:r>
              <w:rPr>
                <w:rFonts w:hint="eastAsia"/>
                <w:color w:val="auto"/>
                <w:highlight w:val="none"/>
              </w:rPr>
              <w:t>按招标文件中“其他主要管理人员和技术人员最低要求”配置。</w:t>
            </w:r>
          </w:p>
        </w:tc>
        <w:tc>
          <w:tcPr>
            <w:tcW w:w="1004" w:type="dxa"/>
            <w:vAlign w:val="center"/>
          </w:tcPr>
          <w:p w14:paraId="0981F924">
            <w:pPr>
              <w:rPr>
                <w:rFonts w:ascii="宋体" w:hAnsi="宋体"/>
                <w:color w:val="auto"/>
                <w:szCs w:val="21"/>
                <w:highlight w:val="none"/>
              </w:rPr>
            </w:pPr>
          </w:p>
        </w:tc>
      </w:tr>
      <w:tr w14:paraId="3B263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43830FAC">
            <w:pPr>
              <w:jc w:val="center"/>
              <w:rPr>
                <w:rFonts w:ascii="宋体" w:hAnsi="宋体"/>
                <w:color w:val="auto"/>
                <w:szCs w:val="21"/>
                <w:highlight w:val="none"/>
              </w:rPr>
            </w:pPr>
            <w:r>
              <w:rPr>
                <w:rFonts w:hint="eastAsia" w:ascii="宋体" w:hAnsi="宋体"/>
                <w:color w:val="auto"/>
                <w:szCs w:val="21"/>
                <w:highlight w:val="none"/>
              </w:rPr>
              <w:t>11</w:t>
            </w:r>
          </w:p>
        </w:tc>
        <w:tc>
          <w:tcPr>
            <w:tcW w:w="2573" w:type="dxa"/>
            <w:vAlign w:val="center"/>
          </w:tcPr>
          <w:p w14:paraId="54F731C6">
            <w:pPr>
              <w:rPr>
                <w:rFonts w:ascii="宋体" w:hAnsi="宋体"/>
                <w:color w:val="auto"/>
                <w:szCs w:val="21"/>
                <w:highlight w:val="none"/>
              </w:rPr>
            </w:pPr>
            <w:r>
              <w:rPr>
                <w:rFonts w:hint="eastAsia" w:ascii="宋体" w:hAnsi="宋体"/>
                <w:color w:val="auto"/>
                <w:szCs w:val="21"/>
                <w:highlight w:val="none"/>
              </w:rPr>
              <w:t>企业财务</w:t>
            </w:r>
          </w:p>
        </w:tc>
        <w:tc>
          <w:tcPr>
            <w:tcW w:w="1417" w:type="dxa"/>
            <w:vAlign w:val="center"/>
          </w:tcPr>
          <w:p w14:paraId="03EE6D04">
            <w:pPr>
              <w:rPr>
                <w:rFonts w:ascii="宋体" w:hAnsi="宋体"/>
                <w:color w:val="auto"/>
                <w:szCs w:val="21"/>
                <w:highlight w:val="none"/>
              </w:rPr>
            </w:pPr>
          </w:p>
        </w:tc>
        <w:tc>
          <w:tcPr>
            <w:tcW w:w="3270" w:type="dxa"/>
            <w:vAlign w:val="center"/>
          </w:tcPr>
          <w:p w14:paraId="6C953B16">
            <w:pPr>
              <w:rPr>
                <w:color w:val="auto"/>
                <w:highlight w:val="none"/>
              </w:rPr>
            </w:pPr>
          </w:p>
        </w:tc>
        <w:tc>
          <w:tcPr>
            <w:tcW w:w="1004" w:type="dxa"/>
            <w:vAlign w:val="center"/>
          </w:tcPr>
          <w:p w14:paraId="71C8CA12">
            <w:pPr>
              <w:rPr>
                <w:rFonts w:ascii="宋体" w:hAnsi="宋体"/>
                <w:color w:val="auto"/>
                <w:szCs w:val="21"/>
                <w:highlight w:val="none"/>
              </w:rPr>
            </w:pPr>
          </w:p>
        </w:tc>
      </w:tr>
      <w:tr w14:paraId="5536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273F0A68">
            <w:pPr>
              <w:jc w:val="center"/>
              <w:rPr>
                <w:rFonts w:ascii="宋体" w:hAnsi="宋体"/>
                <w:color w:val="auto"/>
                <w:szCs w:val="21"/>
                <w:highlight w:val="none"/>
              </w:rPr>
            </w:pPr>
            <w:r>
              <w:rPr>
                <w:rFonts w:hint="eastAsia" w:ascii="宋体" w:hAnsi="宋体"/>
                <w:color w:val="auto"/>
                <w:szCs w:val="21"/>
                <w:highlight w:val="none"/>
              </w:rPr>
              <w:t>…</w:t>
            </w:r>
          </w:p>
        </w:tc>
        <w:tc>
          <w:tcPr>
            <w:tcW w:w="2573" w:type="dxa"/>
            <w:vAlign w:val="center"/>
          </w:tcPr>
          <w:p w14:paraId="78349B07">
            <w:pPr>
              <w:rPr>
                <w:rFonts w:ascii="宋体" w:hAnsi="宋体"/>
                <w:color w:val="auto"/>
                <w:szCs w:val="21"/>
                <w:highlight w:val="none"/>
              </w:rPr>
            </w:pPr>
            <w:r>
              <w:rPr>
                <w:rFonts w:hint="eastAsia" w:ascii="宋体" w:hAnsi="宋体"/>
                <w:color w:val="auto"/>
                <w:szCs w:val="21"/>
                <w:highlight w:val="none"/>
              </w:rPr>
              <w:t>…</w:t>
            </w:r>
          </w:p>
        </w:tc>
        <w:tc>
          <w:tcPr>
            <w:tcW w:w="1417" w:type="dxa"/>
            <w:vAlign w:val="center"/>
          </w:tcPr>
          <w:p w14:paraId="0EA44E3B">
            <w:pPr>
              <w:rPr>
                <w:rFonts w:ascii="宋体" w:hAnsi="宋体"/>
                <w:color w:val="auto"/>
                <w:szCs w:val="21"/>
                <w:highlight w:val="none"/>
              </w:rPr>
            </w:pPr>
            <w:r>
              <w:rPr>
                <w:rFonts w:hint="eastAsia" w:ascii="宋体" w:hAnsi="宋体"/>
                <w:color w:val="auto"/>
                <w:szCs w:val="21"/>
                <w:highlight w:val="none"/>
              </w:rPr>
              <w:t>…</w:t>
            </w:r>
          </w:p>
        </w:tc>
        <w:tc>
          <w:tcPr>
            <w:tcW w:w="3270" w:type="dxa"/>
          </w:tcPr>
          <w:p w14:paraId="5EE36D93">
            <w:pPr>
              <w:rPr>
                <w:color w:val="auto"/>
                <w:highlight w:val="none"/>
              </w:rPr>
            </w:pPr>
            <w:r>
              <w:rPr>
                <w:rFonts w:hint="eastAsia" w:ascii="宋体" w:hAnsi="宋体"/>
                <w:color w:val="auto"/>
                <w:szCs w:val="21"/>
                <w:highlight w:val="none"/>
              </w:rPr>
              <w:t>…</w:t>
            </w:r>
          </w:p>
        </w:tc>
        <w:tc>
          <w:tcPr>
            <w:tcW w:w="1004" w:type="dxa"/>
            <w:vAlign w:val="center"/>
          </w:tcPr>
          <w:p w14:paraId="0953AF94">
            <w:pPr>
              <w:rPr>
                <w:rFonts w:ascii="宋体" w:hAnsi="宋体"/>
                <w:color w:val="auto"/>
                <w:szCs w:val="21"/>
                <w:highlight w:val="none"/>
              </w:rPr>
            </w:pPr>
          </w:p>
        </w:tc>
      </w:tr>
    </w:tbl>
    <w:p w14:paraId="43F112F7">
      <w:pPr>
        <w:spacing w:line="360" w:lineRule="auto"/>
        <w:rPr>
          <w:rFonts w:ascii="宋体" w:hAnsi="宋体"/>
          <w:color w:val="auto"/>
          <w:szCs w:val="21"/>
          <w:highlight w:val="none"/>
        </w:rPr>
      </w:pPr>
    </w:p>
    <w:p w14:paraId="748237FE">
      <w:pPr>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14:paraId="0118AE4B">
      <w:pPr>
        <w:spacing w:line="360" w:lineRule="auto"/>
        <w:jc w:val="right"/>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1D57E56">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7F2E2A81">
      <w:pPr>
        <w:pStyle w:val="4"/>
        <w:jc w:val="center"/>
        <w:rPr>
          <w:color w:val="auto"/>
          <w:highlight w:val="none"/>
        </w:rPr>
      </w:pPr>
      <w:bookmarkStart w:id="1339" w:name="_Toc290198802"/>
      <w:bookmarkStart w:id="1340" w:name="_Toc419825435"/>
      <w:bookmarkStart w:id="1341" w:name="_Toc463799114"/>
      <w:bookmarkStart w:id="1342" w:name="_Toc18176"/>
      <w:bookmarkStart w:id="1343" w:name="_Toc419825087"/>
      <w:bookmarkStart w:id="1344" w:name="_Toc490832372"/>
      <w:r>
        <w:rPr>
          <w:rFonts w:hint="eastAsia"/>
          <w:color w:val="auto"/>
          <w:highlight w:val="none"/>
        </w:rPr>
        <w:t>二、法定代表人身份证明</w:t>
      </w:r>
      <w:bookmarkEnd w:id="1339"/>
      <w:bookmarkEnd w:id="1340"/>
      <w:bookmarkEnd w:id="1341"/>
      <w:bookmarkEnd w:id="1342"/>
      <w:bookmarkEnd w:id="1343"/>
      <w:bookmarkEnd w:id="1344"/>
    </w:p>
    <w:p w14:paraId="0D7C2B02">
      <w:pPr>
        <w:spacing w:line="360" w:lineRule="auto"/>
        <w:ind w:firstLine="420" w:firstLineChars="200"/>
        <w:rPr>
          <w:rFonts w:ascii="宋体" w:hAnsi="宋体"/>
          <w:color w:val="auto"/>
          <w:szCs w:val="21"/>
          <w:highlight w:val="none"/>
        </w:rPr>
      </w:pPr>
    </w:p>
    <w:p w14:paraId="6F829F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_____________________________</w:t>
      </w:r>
    </w:p>
    <w:p w14:paraId="7657AE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________________________________                                  </w:t>
      </w:r>
      <w:r>
        <w:rPr>
          <w:rFonts w:hint="eastAsia" w:ascii="宋体" w:hAnsi="宋体"/>
          <w:color w:val="auto"/>
          <w:szCs w:val="21"/>
          <w:highlight w:val="none"/>
        </w:rPr>
        <w:t xml:space="preserve"> </w:t>
      </w:r>
    </w:p>
    <w:p w14:paraId="2708845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______________________________________             </w:t>
      </w:r>
      <w:r>
        <w:rPr>
          <w:rFonts w:hint="eastAsia" w:ascii="宋体" w:hAnsi="宋体"/>
          <w:color w:val="auto"/>
          <w:szCs w:val="21"/>
          <w:highlight w:val="none"/>
        </w:rPr>
        <w:t xml:space="preserve"> </w:t>
      </w:r>
    </w:p>
    <w:p w14:paraId="3423E6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139D97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_______________________                                </w:t>
      </w:r>
      <w:r>
        <w:rPr>
          <w:rFonts w:hint="eastAsia" w:ascii="宋体" w:hAnsi="宋体"/>
          <w:color w:val="auto"/>
          <w:szCs w:val="21"/>
          <w:highlight w:val="none"/>
        </w:rPr>
        <w:t xml:space="preserve"> </w:t>
      </w:r>
    </w:p>
    <w:p w14:paraId="0F8878B6">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p>
    <w:p w14:paraId="33A2622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w:t>
      </w:r>
    </w:p>
    <w:p w14:paraId="55CAC63E">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rPr>
        <w:t>特此证明。</w:t>
      </w:r>
    </w:p>
    <w:p w14:paraId="698215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附：法定代表人身份证正反面扫描件。</w:t>
      </w:r>
    </w:p>
    <w:p w14:paraId="71C548DD">
      <w:pPr>
        <w:spacing w:line="360" w:lineRule="auto"/>
        <w:ind w:firstLine="420" w:firstLineChars="200"/>
        <w:rPr>
          <w:rFonts w:ascii="宋体" w:hAnsi="宋体"/>
          <w:color w:val="auto"/>
          <w:szCs w:val="21"/>
          <w:highlight w:val="none"/>
        </w:rPr>
      </w:pPr>
    </w:p>
    <w:p w14:paraId="32C01635">
      <w:pPr>
        <w:spacing w:line="360" w:lineRule="auto"/>
        <w:ind w:firstLine="420" w:firstLineChars="200"/>
        <w:rPr>
          <w:rFonts w:ascii="宋体" w:hAnsi="宋体"/>
          <w:color w:val="auto"/>
          <w:szCs w:val="21"/>
          <w:highlight w:val="none"/>
        </w:rPr>
      </w:pPr>
    </w:p>
    <w:p w14:paraId="737416AE">
      <w:pPr>
        <w:spacing w:line="360" w:lineRule="auto"/>
        <w:ind w:firstLine="420" w:firstLineChars="200"/>
        <w:rPr>
          <w:rFonts w:ascii="宋体" w:hAnsi="宋体"/>
          <w:color w:val="auto"/>
          <w:szCs w:val="21"/>
          <w:highlight w:val="none"/>
        </w:rPr>
      </w:pPr>
    </w:p>
    <w:p w14:paraId="22E79C8A">
      <w:pPr>
        <w:spacing w:line="360" w:lineRule="auto"/>
        <w:ind w:firstLine="4200" w:firstLineChars="200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（盖单位电子章）</w:t>
      </w:r>
    </w:p>
    <w:p w14:paraId="05226B62">
      <w:pPr>
        <w:spacing w:line="360" w:lineRule="auto"/>
        <w:ind w:firstLine="4515" w:firstLineChars="215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7FE6B1E">
      <w:pPr>
        <w:spacing w:line="360" w:lineRule="auto"/>
        <w:ind w:firstLine="480" w:firstLineChars="200"/>
        <w:rPr>
          <w:rFonts w:ascii="宋体" w:hAnsi="宋体"/>
          <w:color w:val="auto"/>
          <w:szCs w:val="21"/>
          <w:highlight w:val="none"/>
        </w:rPr>
      </w:pPr>
      <w:r>
        <w:rPr>
          <w:rFonts w:hint="eastAsia" w:ascii="宋体" w:hAnsi="宋体"/>
          <w:snapToGrid w:val="0"/>
          <w:color w:val="auto"/>
          <w:kern w:val="0"/>
          <w:sz w:val="24"/>
          <w:highlight w:val="none"/>
        </w:rPr>
        <w:t>（注：联合体投标，非牵头人方可采用盖章彩色扫描件上传）</w:t>
      </w:r>
    </w:p>
    <w:p w14:paraId="4821A961">
      <w:pPr>
        <w:spacing w:line="360" w:lineRule="auto"/>
        <w:ind w:firstLine="420" w:firstLineChars="200"/>
        <w:rPr>
          <w:rFonts w:ascii="宋体" w:hAnsi="宋体"/>
          <w:color w:val="auto"/>
          <w:szCs w:val="21"/>
          <w:highlight w:val="none"/>
        </w:rPr>
      </w:pPr>
    </w:p>
    <w:p w14:paraId="591A672F">
      <w:pPr>
        <w:spacing w:line="360" w:lineRule="auto"/>
        <w:ind w:firstLine="420" w:firstLineChars="200"/>
        <w:rPr>
          <w:rFonts w:ascii="宋体" w:hAnsi="宋体"/>
          <w:color w:val="auto"/>
          <w:szCs w:val="21"/>
          <w:highlight w:val="none"/>
        </w:rPr>
      </w:pPr>
    </w:p>
    <w:p w14:paraId="0AB2BB4B">
      <w:pPr>
        <w:spacing w:line="360" w:lineRule="auto"/>
        <w:ind w:firstLine="420" w:firstLineChars="200"/>
        <w:rPr>
          <w:rFonts w:ascii="宋体" w:hAnsi="宋体"/>
          <w:color w:val="auto"/>
          <w:szCs w:val="21"/>
          <w:highlight w:val="none"/>
        </w:rPr>
      </w:pPr>
    </w:p>
    <w:p w14:paraId="7177A8A8">
      <w:pPr>
        <w:spacing w:line="360" w:lineRule="auto"/>
        <w:ind w:firstLine="420" w:firstLineChars="200"/>
        <w:rPr>
          <w:rFonts w:ascii="宋体" w:hAnsi="宋体"/>
          <w:color w:val="auto"/>
          <w:szCs w:val="21"/>
          <w:highlight w:val="none"/>
        </w:rPr>
      </w:pPr>
    </w:p>
    <w:p w14:paraId="08066761">
      <w:pPr>
        <w:spacing w:line="360" w:lineRule="auto"/>
        <w:ind w:firstLine="420" w:firstLineChars="200"/>
        <w:rPr>
          <w:rFonts w:ascii="宋体" w:hAnsi="宋体"/>
          <w:color w:val="auto"/>
          <w:szCs w:val="21"/>
          <w:highlight w:val="none"/>
        </w:rPr>
      </w:pPr>
    </w:p>
    <w:p w14:paraId="19F5352C">
      <w:pPr>
        <w:spacing w:line="360" w:lineRule="auto"/>
        <w:ind w:firstLine="420" w:firstLineChars="200"/>
        <w:rPr>
          <w:rFonts w:ascii="宋体" w:hAnsi="宋体"/>
          <w:color w:val="auto"/>
          <w:szCs w:val="21"/>
          <w:highlight w:val="none"/>
        </w:rPr>
      </w:pPr>
    </w:p>
    <w:p w14:paraId="09AB88AC">
      <w:pPr>
        <w:spacing w:line="360" w:lineRule="auto"/>
        <w:rPr>
          <w:rFonts w:ascii="宋体" w:hAnsi="宋体"/>
          <w:color w:val="auto"/>
          <w:szCs w:val="21"/>
          <w:highlight w:val="none"/>
        </w:rPr>
      </w:pPr>
    </w:p>
    <w:p w14:paraId="4FD93129">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770D1E87">
      <w:pPr>
        <w:pStyle w:val="4"/>
        <w:jc w:val="center"/>
        <w:rPr>
          <w:color w:val="auto"/>
          <w:highlight w:val="none"/>
        </w:rPr>
      </w:pPr>
      <w:bookmarkStart w:id="1345" w:name="_Toc419825088"/>
      <w:bookmarkStart w:id="1346" w:name="_Toc290198803"/>
      <w:bookmarkStart w:id="1347" w:name="_Toc419825436"/>
      <w:bookmarkStart w:id="1348" w:name="_Toc463799115"/>
      <w:bookmarkStart w:id="1349" w:name="_Toc7930"/>
      <w:bookmarkStart w:id="1350" w:name="_Toc490832373"/>
      <w:r>
        <w:rPr>
          <w:rFonts w:hint="eastAsia"/>
          <w:color w:val="auto"/>
          <w:highlight w:val="none"/>
        </w:rPr>
        <w:t>三、授权委托书</w:t>
      </w:r>
      <w:bookmarkEnd w:id="1345"/>
      <w:bookmarkEnd w:id="1346"/>
      <w:bookmarkEnd w:id="1347"/>
      <w:bookmarkEnd w:id="1348"/>
      <w:bookmarkEnd w:id="1349"/>
      <w:r>
        <w:rPr>
          <w:rStyle w:val="48"/>
          <w:rFonts w:hint="eastAsia"/>
          <w:color w:val="auto"/>
          <w:highlight w:val="none"/>
        </w:rPr>
        <w:footnoteReference w:id="14"/>
      </w:r>
      <w:r>
        <w:rPr>
          <w:rFonts w:hint="eastAsia" w:ascii="宋体" w:hAnsi="宋体"/>
          <w:color w:val="auto"/>
          <w:szCs w:val="21"/>
          <w:highlight w:val="none"/>
        </w:rPr>
        <w:t>（若有授权）</w:t>
      </w:r>
      <w:bookmarkEnd w:id="1350"/>
    </w:p>
    <w:p w14:paraId="7E145C55">
      <w:pPr>
        <w:spacing w:line="360" w:lineRule="auto"/>
        <w:ind w:firstLine="420" w:firstLineChars="200"/>
        <w:rPr>
          <w:rFonts w:ascii="宋体" w:hAnsi="宋体"/>
          <w:color w:val="auto"/>
          <w:szCs w:val="21"/>
          <w:highlight w:val="none"/>
        </w:rPr>
      </w:pPr>
    </w:p>
    <w:p w14:paraId="0A31275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（项目名称）施工投标文件、签订合同和处理有关事宜，其法律后果由我方承担。</w:t>
      </w:r>
    </w:p>
    <w:p w14:paraId="4F8B46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p>
    <w:p w14:paraId="0C24A94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代理人无转委托权。</w:t>
      </w:r>
    </w:p>
    <w:p w14:paraId="44A8C27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附：委托代理人身份证正反面扫描件</w:t>
      </w:r>
    </w:p>
    <w:p w14:paraId="055BDDCA">
      <w:pPr>
        <w:spacing w:line="360" w:lineRule="auto"/>
        <w:ind w:firstLine="420" w:firstLineChars="200"/>
        <w:rPr>
          <w:rFonts w:ascii="宋体" w:hAnsi="宋体"/>
          <w:color w:val="auto"/>
          <w:szCs w:val="21"/>
          <w:highlight w:val="none"/>
        </w:rPr>
      </w:pPr>
    </w:p>
    <w:p w14:paraId="725DACEF">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30CA093E">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0EBE89D3">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14:paraId="6FE8BDA4">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14:paraId="73FF283F">
      <w:pPr>
        <w:spacing w:line="360" w:lineRule="auto"/>
        <w:ind w:firstLine="4725" w:firstLineChars="2250"/>
        <w:rPr>
          <w:rFonts w:ascii="宋体" w:hAnsi="宋体"/>
          <w:color w:val="auto"/>
          <w:szCs w:val="21"/>
          <w:highlight w:val="non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______________________       </w:t>
      </w:r>
    </w:p>
    <w:p w14:paraId="40B7DD82">
      <w:pPr>
        <w:spacing w:line="360" w:lineRule="auto"/>
        <w:ind w:firstLine="5040" w:firstLineChars="24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4B411041">
      <w:pPr>
        <w:spacing w:line="400" w:lineRule="exact"/>
        <w:ind w:left="1050" w:leftChars="200" w:hanging="630" w:hangingChars="300"/>
        <w:rPr>
          <w:rFonts w:ascii="宋体" w:hAnsi="宋体"/>
          <w:color w:val="auto"/>
          <w:szCs w:val="21"/>
          <w:highlight w:val="none"/>
        </w:rPr>
      </w:pPr>
    </w:p>
    <w:p w14:paraId="334FBC01">
      <w:pPr>
        <w:spacing w:line="400" w:lineRule="exact"/>
        <w:ind w:left="1050" w:leftChars="200" w:hanging="630" w:hangingChars="300"/>
        <w:rPr>
          <w:rFonts w:ascii="宋体" w:hAnsi="宋体"/>
          <w:color w:val="auto"/>
          <w:szCs w:val="21"/>
          <w:highlight w:val="none"/>
        </w:rPr>
      </w:pPr>
      <w:r>
        <w:rPr>
          <w:rFonts w:hint="eastAsia" w:ascii="宋体" w:hAnsi="宋体"/>
          <w:color w:val="auto"/>
          <w:szCs w:val="21"/>
          <w:highlight w:val="none"/>
        </w:rPr>
        <w:t>（联合体投标，联合体各方可采用盖章彩色扫描件上传）</w:t>
      </w:r>
    </w:p>
    <w:p w14:paraId="76238612">
      <w:pPr>
        <w:spacing w:line="360" w:lineRule="auto"/>
        <w:ind w:firstLine="420" w:firstLineChars="200"/>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0E018B1F">
      <w:pPr>
        <w:pStyle w:val="4"/>
        <w:jc w:val="center"/>
        <w:rPr>
          <w:color w:val="auto"/>
          <w:highlight w:val="none"/>
        </w:rPr>
      </w:pPr>
      <w:bookmarkStart w:id="1351" w:name="_Toc17913"/>
      <w:bookmarkStart w:id="1352" w:name="_Toc463799116"/>
      <w:bookmarkStart w:id="1353" w:name="_Toc419825089"/>
      <w:bookmarkStart w:id="1354" w:name="_Toc419825437"/>
      <w:bookmarkStart w:id="1355" w:name="_Toc290198804"/>
      <w:bookmarkStart w:id="1356" w:name="_Toc490832374"/>
      <w:r>
        <w:rPr>
          <w:rFonts w:hint="eastAsia"/>
          <w:color w:val="auto"/>
          <w:highlight w:val="none"/>
        </w:rPr>
        <w:t>四、联合体协议书</w:t>
      </w:r>
      <w:bookmarkEnd w:id="1351"/>
      <w:bookmarkEnd w:id="1352"/>
      <w:bookmarkEnd w:id="1353"/>
      <w:bookmarkEnd w:id="1354"/>
      <w:bookmarkEnd w:id="1355"/>
      <w:r>
        <w:rPr>
          <w:rFonts w:hint="eastAsia" w:ascii="宋体" w:hAnsi="宋体"/>
          <w:color w:val="auto"/>
          <w:szCs w:val="21"/>
          <w:highlight w:val="none"/>
        </w:rPr>
        <w:t>（若有）</w:t>
      </w:r>
      <w:bookmarkEnd w:id="1356"/>
    </w:p>
    <w:p w14:paraId="14598851">
      <w:pPr>
        <w:spacing w:line="360" w:lineRule="auto"/>
        <w:ind w:firstLine="420" w:firstLineChars="200"/>
        <w:rPr>
          <w:rFonts w:ascii="宋体" w:hAnsi="宋体"/>
          <w:color w:val="auto"/>
          <w:szCs w:val="21"/>
          <w:highlight w:val="none"/>
        </w:rPr>
      </w:pPr>
    </w:p>
    <w:p w14:paraId="7ECE91A7">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u w:val="single"/>
        </w:rPr>
        <w:t xml:space="preserve">                      （所有成员单位名称）</w:t>
      </w:r>
      <w:r>
        <w:rPr>
          <w:rFonts w:hint="eastAsia" w:hAnsi="Times New Roman"/>
          <w:color w:val="auto"/>
          <w:sz w:val="21"/>
          <w:szCs w:val="21"/>
          <w:highlight w:val="none"/>
        </w:rPr>
        <w:t>自愿组成</w:t>
      </w:r>
      <w:r>
        <w:rPr>
          <w:rFonts w:hint="eastAsia" w:hAnsi="Times New Roman"/>
          <w:color w:val="auto"/>
          <w:sz w:val="21"/>
          <w:szCs w:val="21"/>
          <w:highlight w:val="none"/>
          <w:u w:val="single"/>
        </w:rPr>
        <w:t xml:space="preserve">       （联合体名称）</w:t>
      </w:r>
      <w:r>
        <w:rPr>
          <w:rFonts w:hint="eastAsia" w:hAnsi="Times New Roman"/>
          <w:color w:val="auto"/>
          <w:sz w:val="21"/>
          <w:szCs w:val="21"/>
          <w:highlight w:val="none"/>
        </w:rPr>
        <w:t>联合体，共同参加</w:t>
      </w:r>
      <w:r>
        <w:rPr>
          <w:rFonts w:hint="eastAsia" w:hAnsi="Times New Roman"/>
          <w:color w:val="auto"/>
          <w:sz w:val="21"/>
          <w:szCs w:val="21"/>
          <w:highlight w:val="none"/>
          <w:u w:val="single"/>
        </w:rPr>
        <w:t xml:space="preserve">          </w:t>
      </w:r>
      <w:r>
        <w:rPr>
          <w:rFonts w:hint="eastAsia" w:hAnsi="Times New Roman"/>
          <w:color w:val="auto"/>
          <w:kern w:val="2"/>
          <w:sz w:val="21"/>
          <w:szCs w:val="21"/>
          <w:highlight w:val="none"/>
          <w:u w:val="single"/>
        </w:rPr>
        <w:t>　　          （项目名称及标段）</w:t>
      </w:r>
      <w:r>
        <w:rPr>
          <w:rFonts w:hint="eastAsia" w:hAnsi="Times New Roman"/>
          <w:color w:val="auto"/>
          <w:sz w:val="21"/>
          <w:szCs w:val="21"/>
          <w:highlight w:val="none"/>
        </w:rPr>
        <w:t>施工投标。现就联合体投标事宜订立如下协议：</w:t>
      </w:r>
    </w:p>
    <w:p w14:paraId="552571DE">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 xml:space="preserve">1. </w:t>
      </w:r>
      <w:r>
        <w:rPr>
          <w:rFonts w:hint="eastAsia" w:hAnsi="Times New Roman"/>
          <w:color w:val="auto"/>
          <w:sz w:val="21"/>
          <w:szCs w:val="21"/>
          <w:highlight w:val="none"/>
          <w:u w:val="single"/>
        </w:rPr>
        <w:t xml:space="preserve">                      （牵头人单位名称）</w:t>
      </w:r>
      <w:r>
        <w:rPr>
          <w:rFonts w:hint="eastAsia" w:hAnsi="Times New Roman"/>
          <w:color w:val="auto"/>
          <w:sz w:val="21"/>
          <w:szCs w:val="21"/>
          <w:highlight w:val="none"/>
        </w:rPr>
        <w:t>为</w:t>
      </w:r>
      <w:r>
        <w:rPr>
          <w:rFonts w:hint="eastAsia" w:hAnsi="Times New Roman"/>
          <w:color w:val="auto"/>
          <w:sz w:val="21"/>
          <w:szCs w:val="21"/>
          <w:highlight w:val="none"/>
          <w:u w:val="single"/>
        </w:rPr>
        <w:t xml:space="preserve">       （联合体名称）</w:t>
      </w:r>
      <w:r>
        <w:rPr>
          <w:rFonts w:hint="eastAsia" w:hAnsi="Times New Roman"/>
          <w:color w:val="auto"/>
          <w:sz w:val="21"/>
          <w:szCs w:val="21"/>
          <w:highlight w:val="none"/>
        </w:rPr>
        <w:t>牵头人。</w:t>
      </w:r>
    </w:p>
    <w:p w14:paraId="3190F552">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704A4613">
      <w:pPr>
        <w:tabs>
          <w:tab w:val="left" w:pos="1600"/>
        </w:tabs>
        <w:adjustRightInd w:val="0"/>
        <w:snapToGrid w:val="0"/>
        <w:spacing w:line="360" w:lineRule="auto"/>
        <w:ind w:firstLine="482"/>
        <w:textAlignment w:val="baseline"/>
        <w:rPr>
          <w:rFonts w:hAnsi="Times New Roman"/>
          <w:color w:val="auto"/>
          <w:sz w:val="21"/>
          <w:szCs w:val="21"/>
          <w:highlight w:val="none"/>
        </w:rPr>
      </w:pPr>
      <w:r>
        <w:rPr>
          <w:rFonts w:hint="eastAsia" w:hAnsi="Times New Roman"/>
          <w:color w:val="auto"/>
          <w:sz w:val="21"/>
          <w:szCs w:val="21"/>
          <w:highlight w:val="none"/>
        </w:rPr>
        <w:t>3.联合体将严格按照招标文件的各项要求，递交投标文件，履行合同，并对外承担连带责任。</w:t>
      </w:r>
    </w:p>
    <w:p w14:paraId="7832FB0F">
      <w:pPr>
        <w:tabs>
          <w:tab w:val="left" w:pos="1600"/>
        </w:tabs>
        <w:adjustRightInd w:val="0"/>
        <w:snapToGrid w:val="0"/>
        <w:spacing w:line="360" w:lineRule="auto"/>
        <w:ind w:firstLine="482"/>
        <w:jc w:val="left"/>
        <w:textAlignment w:val="baseline"/>
        <w:rPr>
          <w:rFonts w:hAnsi="Times New Roman"/>
          <w:color w:val="auto"/>
          <w:sz w:val="21"/>
          <w:szCs w:val="21"/>
          <w:highlight w:val="none"/>
        </w:rPr>
      </w:pPr>
      <w:r>
        <w:rPr>
          <w:rFonts w:hint="eastAsia" w:hAnsi="Times New Roman"/>
          <w:color w:val="auto"/>
          <w:sz w:val="21"/>
          <w:szCs w:val="21"/>
          <w:highlight w:val="none"/>
        </w:rPr>
        <w:t>4. 本联合体</w:t>
      </w:r>
      <w:r>
        <w:rPr>
          <w:rFonts w:hint="eastAsia"/>
          <w:color w:val="auto"/>
          <w:sz w:val="21"/>
          <w:szCs w:val="21"/>
          <w:highlight w:val="none"/>
          <w:u w:val="single"/>
        </w:rPr>
        <w:t xml:space="preserve">   </w:t>
      </w:r>
      <w:r>
        <w:rPr>
          <w:rFonts w:hint="eastAsia"/>
          <w:color w:val="auto"/>
          <w:sz w:val="21"/>
          <w:szCs w:val="21"/>
          <w:highlight w:val="none"/>
        </w:rPr>
        <w:t>（是、不是）</w:t>
      </w:r>
      <w:r>
        <w:rPr>
          <w:rFonts w:hint="eastAsia" w:cs="宋体"/>
          <w:color w:val="auto"/>
          <w:sz w:val="21"/>
          <w:szCs w:val="21"/>
          <w:highlight w:val="none"/>
        </w:rPr>
        <w:t>按照</w:t>
      </w:r>
      <w:r>
        <w:rPr>
          <w:rFonts w:hint="eastAsia" w:cs="宋体"/>
          <w:color w:val="auto"/>
          <w:sz w:val="21"/>
          <w:szCs w:val="21"/>
          <w:highlight w:val="none"/>
          <w:lang w:val="en-US" w:eastAsia="zh-CN"/>
        </w:rPr>
        <w:t>投标人须知前附表第1.4.2项第1条</w:t>
      </w:r>
      <w:r>
        <w:rPr>
          <w:rFonts w:hint="eastAsia" w:cs="宋体"/>
          <w:color w:val="auto"/>
          <w:sz w:val="21"/>
          <w:szCs w:val="21"/>
          <w:highlight w:val="none"/>
        </w:rPr>
        <w:t>组成。按照</w:t>
      </w:r>
      <w:r>
        <w:rPr>
          <w:rFonts w:hint="eastAsia" w:cs="宋体"/>
          <w:color w:val="auto"/>
          <w:sz w:val="21"/>
          <w:szCs w:val="21"/>
          <w:highlight w:val="none"/>
          <w:lang w:val="en-US" w:eastAsia="zh-CN"/>
        </w:rPr>
        <w:t>投标人须知前附表第1.4.2项第1条</w:t>
      </w:r>
      <w:r>
        <w:rPr>
          <w:rFonts w:hint="eastAsia" w:cs="宋体"/>
          <w:color w:val="auto"/>
          <w:sz w:val="21"/>
          <w:szCs w:val="21"/>
          <w:highlight w:val="none"/>
        </w:rPr>
        <w:t>组成联合体投标的，</w:t>
      </w:r>
      <w:r>
        <w:rPr>
          <w:rFonts w:hint="eastAsia" w:hAnsi="Times New Roman"/>
          <w:color w:val="auto"/>
          <w:sz w:val="21"/>
          <w:szCs w:val="21"/>
          <w:highlight w:val="none"/>
        </w:rPr>
        <w:t>本联合体协议书明确以下事项：</w:t>
      </w:r>
    </w:p>
    <w:p w14:paraId="32947BCC">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hAnsi="Times New Roman"/>
          <w:color w:val="auto"/>
          <w:sz w:val="21"/>
          <w:szCs w:val="21"/>
          <w:highlight w:val="none"/>
        </w:rPr>
        <w:t>（1）</w:t>
      </w:r>
      <w:r>
        <w:rPr>
          <w:rFonts w:hint="eastAsia" w:cs="宋体"/>
          <w:color w:val="auto"/>
          <w:sz w:val="21"/>
          <w:szCs w:val="21"/>
          <w:highlight w:val="none"/>
        </w:rPr>
        <w:t>联合体投标人的业绩以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的业绩为准，前述业绩指投标人须知前附</w:t>
      </w:r>
      <w:r>
        <w:rPr>
          <w:rFonts w:hint="eastAsia" w:ascii="Times New Roman" w:hAnsi="Times New Roman" w:eastAsia="宋体" w:cs="宋体"/>
          <w:color w:val="auto"/>
          <w:sz w:val="21"/>
          <w:szCs w:val="21"/>
          <w:highlight w:val="none"/>
        </w:rPr>
        <w:t>表</w:t>
      </w:r>
      <w:r>
        <w:rPr>
          <w:rFonts w:hint="eastAsia" w:ascii="Times New Roman" w:hAnsi="Times New Roman" w:cs="宋体"/>
          <w:color w:val="auto"/>
          <w:sz w:val="21"/>
          <w:szCs w:val="21"/>
          <w:highlight w:val="none"/>
          <w:lang w:val="en-US" w:eastAsia="zh-CN"/>
        </w:rPr>
        <w:t>附件</w:t>
      </w:r>
      <w:r>
        <w:rPr>
          <w:rFonts w:hint="eastAsia" w:ascii="Times New Roman" w:hAnsi="Times New Roman" w:eastAsia="宋体" w:cs="宋体"/>
          <w:color w:val="auto"/>
          <w:sz w:val="21"/>
          <w:szCs w:val="21"/>
          <w:highlight w:val="none"/>
          <w:shd w:val="clear" w:color="auto" w:fill="auto"/>
        </w:rPr>
        <w:t>3 资格审查条件（业绩最低要求）</w:t>
      </w:r>
      <w:r>
        <w:rPr>
          <w:rFonts w:hint="eastAsia" w:ascii="Times New Roman" w:hAnsi="Times New Roman" w:eastAsia="宋体" w:cs="宋体"/>
          <w:color w:val="auto"/>
          <w:sz w:val="21"/>
          <w:szCs w:val="21"/>
          <w:highlight w:val="none"/>
        </w:rPr>
        <w:t>的</w:t>
      </w:r>
      <w:r>
        <w:rPr>
          <w:rFonts w:hint="eastAsia" w:cs="宋体"/>
          <w:color w:val="auto"/>
          <w:sz w:val="21"/>
          <w:szCs w:val="21"/>
          <w:highlight w:val="none"/>
        </w:rPr>
        <w:t>类似工程业绩。</w:t>
      </w:r>
    </w:p>
    <w:p w14:paraId="56D9649A">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cs="宋体"/>
          <w:color w:val="auto"/>
          <w:sz w:val="21"/>
          <w:szCs w:val="21"/>
          <w:highlight w:val="none"/>
        </w:rPr>
        <w:t>（2）</w:t>
      </w:r>
      <w:r>
        <w:rPr>
          <w:rFonts w:hint="eastAsia" w:hAnsi="Times New Roman"/>
          <w:color w:val="auto"/>
          <w:sz w:val="21"/>
          <w:szCs w:val="21"/>
          <w:highlight w:val="none"/>
        </w:rPr>
        <w:t>本联合体协议书明确</w:t>
      </w:r>
      <w:r>
        <w:rPr>
          <w:rFonts w:hint="eastAsia" w:cs="宋体"/>
          <w:color w:val="auto"/>
          <w:sz w:val="21"/>
          <w:szCs w:val="21"/>
          <w:highlight w:val="none"/>
        </w:rPr>
        <w:t>联合体投标人的厦门市建筑施工企业信用综合评价结果（包括信用等级和综合得分）以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为准。</w:t>
      </w:r>
    </w:p>
    <w:p w14:paraId="17305A9B">
      <w:pPr>
        <w:tabs>
          <w:tab w:val="left" w:pos="1600"/>
        </w:tabs>
        <w:adjustRightInd w:val="0"/>
        <w:snapToGrid w:val="0"/>
        <w:spacing w:line="360" w:lineRule="auto"/>
        <w:ind w:firstLine="482"/>
        <w:jc w:val="left"/>
        <w:textAlignment w:val="baseline"/>
        <w:rPr>
          <w:rFonts w:cs="宋体"/>
          <w:color w:val="auto"/>
          <w:sz w:val="21"/>
          <w:szCs w:val="21"/>
          <w:highlight w:val="none"/>
        </w:rPr>
      </w:pPr>
      <w:r>
        <w:rPr>
          <w:rFonts w:hint="eastAsia" w:cs="宋体"/>
          <w:color w:val="auto"/>
          <w:sz w:val="21"/>
          <w:szCs w:val="21"/>
          <w:highlight w:val="none"/>
        </w:rPr>
        <w:t>（3）</w:t>
      </w:r>
      <w:r>
        <w:rPr>
          <w:rFonts w:hint="eastAsia" w:hAnsi="Times New Roman"/>
          <w:color w:val="auto"/>
          <w:sz w:val="21"/>
          <w:szCs w:val="21"/>
          <w:highlight w:val="none"/>
        </w:rPr>
        <w:t>本联合体协议书明确</w:t>
      </w:r>
      <w:r>
        <w:rPr>
          <w:rFonts w:hint="eastAsia" w:cs="宋体"/>
          <w:color w:val="auto"/>
          <w:sz w:val="21"/>
          <w:szCs w:val="21"/>
          <w:highlight w:val="none"/>
        </w:rPr>
        <w:t>联合体投标人的</w:t>
      </w:r>
      <w:r>
        <w:rPr>
          <w:rFonts w:hint="eastAsia"/>
          <w:color w:val="auto"/>
          <w:sz w:val="21"/>
          <w:szCs w:val="21"/>
          <w:highlight w:val="none"/>
          <w:shd w:val="clear" w:color="auto" w:fill="auto"/>
          <w:lang w:val="en-US" w:eastAsia="zh-CN"/>
        </w:rPr>
        <w:t>福建省交通建设市场信用考核评价结果</w:t>
      </w:r>
      <w:r>
        <w:rPr>
          <w:rFonts w:hint="eastAsia" w:cs="宋体"/>
          <w:color w:val="auto"/>
          <w:sz w:val="21"/>
          <w:szCs w:val="21"/>
          <w:highlight w:val="none"/>
        </w:rPr>
        <w:t>以</w:t>
      </w:r>
      <w:r>
        <w:rPr>
          <w:rFonts w:hint="eastAsia" w:cs="宋体"/>
          <w:color w:val="auto"/>
          <w:sz w:val="21"/>
          <w:szCs w:val="21"/>
          <w:highlight w:val="none"/>
          <w:u w:val="single"/>
        </w:rPr>
        <w:t xml:space="preserve">                   （联合体成员单位名称）</w:t>
      </w:r>
      <w:r>
        <w:rPr>
          <w:rFonts w:hint="eastAsia" w:cs="宋体"/>
          <w:color w:val="auto"/>
          <w:sz w:val="21"/>
          <w:szCs w:val="21"/>
          <w:highlight w:val="none"/>
        </w:rPr>
        <w:t>为准。</w:t>
      </w:r>
    </w:p>
    <w:p w14:paraId="25629887">
      <w:pPr>
        <w:tabs>
          <w:tab w:val="left" w:pos="1600"/>
        </w:tabs>
        <w:adjustRightInd w:val="0"/>
        <w:snapToGrid w:val="0"/>
        <w:spacing w:line="360" w:lineRule="auto"/>
        <w:ind w:firstLine="482"/>
        <w:jc w:val="left"/>
        <w:textAlignment w:val="baseline"/>
        <w:rPr>
          <w:rFonts w:hAnsi="Times New Roman"/>
          <w:color w:val="auto"/>
          <w:sz w:val="21"/>
          <w:szCs w:val="21"/>
          <w:highlight w:val="none"/>
        </w:rPr>
      </w:pPr>
      <w:r>
        <w:rPr>
          <w:rFonts w:hint="eastAsia" w:hAnsi="Times New Roman"/>
          <w:color w:val="auto"/>
          <w:sz w:val="21"/>
          <w:szCs w:val="21"/>
          <w:highlight w:val="none"/>
        </w:rPr>
        <w:t>5.联合体各成员单位内部的职责分工如下：</w:t>
      </w:r>
    </w:p>
    <w:p w14:paraId="2CB2B201">
      <w:pPr>
        <w:tabs>
          <w:tab w:val="left" w:pos="1600"/>
        </w:tabs>
        <w:adjustRightInd w:val="0"/>
        <w:snapToGrid w:val="0"/>
        <w:spacing w:line="360" w:lineRule="auto"/>
        <w:ind w:firstLine="482"/>
        <w:jc w:val="left"/>
        <w:textAlignment w:val="baseline"/>
        <w:rPr>
          <w:rFonts w:hAnsi="Times New Roman"/>
          <w:color w:val="auto"/>
          <w:kern w:val="2"/>
          <w:sz w:val="21"/>
          <w:szCs w:val="21"/>
          <w:highlight w:val="none"/>
        </w:rPr>
      </w:pPr>
      <w:r>
        <w:rPr>
          <w:rFonts w:hint="eastAsia" w:hAnsi="Times New Roman"/>
          <w:color w:val="auto"/>
          <w:sz w:val="21"/>
          <w:szCs w:val="21"/>
          <w:highlight w:val="none"/>
          <w:u w:val="single"/>
        </w:rPr>
        <w:t xml:space="preserve">                        </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w:t>
      </w:r>
    </w:p>
    <w:p w14:paraId="06CDC274">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6.本协议书自签署之日起生效，合同履行完毕后自动失效。</w:t>
      </w:r>
    </w:p>
    <w:p w14:paraId="524F40F3">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7.本协议书一式</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份，联合体各方和招标人各执一份。</w:t>
      </w:r>
    </w:p>
    <w:p w14:paraId="58F61728">
      <w:pPr>
        <w:tabs>
          <w:tab w:val="left" w:pos="1600"/>
        </w:tabs>
        <w:adjustRightInd w:val="0"/>
        <w:snapToGrid w:val="0"/>
        <w:spacing w:line="360" w:lineRule="auto"/>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注：本协议书由委托代理人盖章的，应附法定代表人的授权委托书。</w:t>
      </w:r>
    </w:p>
    <w:p w14:paraId="61EE74FA">
      <w:pPr>
        <w:tabs>
          <w:tab w:val="left" w:pos="1600"/>
        </w:tabs>
        <w:adjustRightInd w:val="0"/>
        <w:snapToGrid w:val="0"/>
        <w:spacing w:line="360" w:lineRule="auto"/>
        <w:ind w:firstLine="482"/>
        <w:textAlignment w:val="baseline"/>
        <w:rPr>
          <w:rFonts w:hAnsi="Times New Roman"/>
          <w:color w:val="auto"/>
          <w:kern w:val="2"/>
          <w:sz w:val="21"/>
          <w:szCs w:val="21"/>
          <w:highlight w:val="none"/>
        </w:rPr>
      </w:pPr>
    </w:p>
    <w:p w14:paraId="55F32978">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联合体牵头人名称：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14:paraId="5B1E63F6">
      <w:pPr>
        <w:tabs>
          <w:tab w:val="left" w:pos="1600"/>
        </w:tabs>
        <w:adjustRightInd w:val="0"/>
        <w:snapToGrid w:val="0"/>
        <w:spacing w:line="240" w:lineRule="exact"/>
        <w:ind w:firstLine="482"/>
        <w:textAlignment w:val="baseline"/>
        <w:rPr>
          <w:rFonts w:hAnsi="Times New Roman"/>
          <w:color w:val="auto"/>
          <w:kern w:val="2"/>
          <w:sz w:val="21"/>
          <w:szCs w:val="21"/>
          <w:highlight w:val="none"/>
          <w:u w:val="singl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14:paraId="1CA881B6">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14:paraId="03BD9AEB">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一名称：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14:paraId="59ED5DE2">
      <w:pPr>
        <w:tabs>
          <w:tab w:val="left" w:pos="1600"/>
        </w:tabs>
        <w:adjustRightInd w:val="0"/>
        <w:snapToGrid w:val="0"/>
        <w:spacing w:line="240" w:lineRule="exact"/>
        <w:ind w:firstLine="482"/>
        <w:textAlignment w:val="baseline"/>
        <w:rPr>
          <w:rFonts w:hAnsi="Times New Roman"/>
          <w:color w:val="auto"/>
          <w:kern w:val="2"/>
          <w:sz w:val="21"/>
          <w:szCs w:val="21"/>
          <w:highlight w:val="none"/>
          <w:u w:val="singl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14:paraId="658C8126">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14:paraId="357AD225">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二名称：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14:paraId="7EE7D0CD">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14:paraId="5BEA5BEE">
      <w:pPr>
        <w:tabs>
          <w:tab w:val="left" w:pos="1600"/>
        </w:tabs>
        <w:adjustRightInd w:val="0"/>
        <w:snapToGrid w:val="0"/>
        <w:spacing w:line="240" w:lineRule="exact"/>
        <w:ind w:firstLine="482"/>
        <w:textAlignment w:val="baseline"/>
        <w:rPr>
          <w:rFonts w:hAnsi="Times New Roman"/>
          <w:color w:val="auto"/>
          <w:kern w:val="2"/>
          <w:sz w:val="21"/>
          <w:szCs w:val="21"/>
          <w:highlight w:val="none"/>
        </w:rPr>
      </w:pPr>
    </w:p>
    <w:p w14:paraId="5FDE3610">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联合体</w:t>
      </w:r>
      <w:r>
        <w:rPr>
          <w:rFonts w:hint="eastAsia" w:hAnsi="Times New Roman"/>
          <w:color w:val="auto"/>
          <w:sz w:val="21"/>
          <w:szCs w:val="21"/>
          <w:highlight w:val="none"/>
        </w:rPr>
        <w:t>成员</w:t>
      </w:r>
      <w:r>
        <w:rPr>
          <w:rFonts w:hint="eastAsia" w:hAnsi="Times New Roman"/>
          <w:color w:val="auto"/>
          <w:kern w:val="2"/>
          <w:sz w:val="21"/>
          <w:szCs w:val="21"/>
          <w:highlight w:val="none"/>
        </w:rPr>
        <w:t>三名称：</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（盖单位公章）</w:t>
      </w:r>
    </w:p>
    <w:p w14:paraId="58DD8FEF">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法定代表人：</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（盖章）</w:t>
      </w:r>
    </w:p>
    <w:p w14:paraId="39E09D0E">
      <w:pPr>
        <w:tabs>
          <w:tab w:val="left" w:pos="1600"/>
        </w:tabs>
        <w:adjustRightInd w:val="0"/>
        <w:snapToGrid w:val="0"/>
        <w:spacing w:line="240" w:lineRule="exact"/>
        <w:ind w:firstLine="482"/>
        <w:textAlignment w:val="baseline"/>
        <w:rPr>
          <w:rFonts w:hAnsi="Times New Roman"/>
          <w:color w:val="auto"/>
          <w:kern w:val="2"/>
          <w:sz w:val="21"/>
          <w:szCs w:val="21"/>
          <w:highlight w:val="none"/>
        </w:rPr>
      </w:pPr>
      <w:r>
        <w:rPr>
          <w:rFonts w:hint="eastAsia" w:hAnsi="Times New Roman"/>
          <w:color w:val="auto"/>
          <w:kern w:val="2"/>
          <w:sz w:val="21"/>
          <w:szCs w:val="21"/>
          <w:highlight w:val="none"/>
        </w:rPr>
        <w:t>……</w:t>
      </w:r>
    </w:p>
    <w:p w14:paraId="29F99649">
      <w:pPr>
        <w:tabs>
          <w:tab w:val="left" w:pos="1600"/>
        </w:tabs>
        <w:adjustRightInd w:val="0"/>
        <w:snapToGrid w:val="0"/>
        <w:spacing w:line="360" w:lineRule="auto"/>
        <w:ind w:firstLine="482"/>
        <w:textAlignment w:val="baseline"/>
        <w:rPr>
          <w:rFonts w:hAnsi="Times New Roman"/>
          <w:color w:val="auto"/>
          <w:kern w:val="2"/>
          <w:sz w:val="21"/>
          <w:szCs w:val="21"/>
          <w:highlight w:val="none"/>
        </w:rPr>
      </w:pPr>
    </w:p>
    <w:p w14:paraId="39B19FA0">
      <w:pPr>
        <w:spacing w:line="360" w:lineRule="auto"/>
        <w:ind w:firstLine="420" w:firstLineChars="200"/>
        <w:rPr>
          <w:rFonts w:hint="eastAsia" w:hAnsi="Times New Roman"/>
          <w:color w:val="auto"/>
          <w:kern w:val="2"/>
          <w:sz w:val="21"/>
          <w:szCs w:val="21"/>
          <w:highlight w:val="none"/>
        </w:rPr>
        <w:sectPr>
          <w:pgSz w:w="11905" w:h="16838"/>
          <w:pgMar w:top="1440" w:right="1417" w:bottom="1440" w:left="1417" w:header="850" w:footer="992" w:gutter="0"/>
          <w:cols w:space="720" w:num="1"/>
          <w:docGrid w:type="lines" w:linePitch="317" w:charSpace="0"/>
        </w:sectPr>
      </w:pPr>
      <w:r>
        <w:rPr>
          <w:rFonts w:hint="eastAsia" w:hAnsi="Times New Roman"/>
          <w:color w:val="auto"/>
          <w:kern w:val="2"/>
          <w:sz w:val="21"/>
          <w:szCs w:val="21"/>
          <w:highlight w:val="none"/>
        </w:rPr>
        <w:t xml:space="preserve">                                              </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年</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月</w:t>
      </w:r>
      <w:r>
        <w:rPr>
          <w:rFonts w:hint="eastAsia" w:hAnsi="Times New Roman"/>
          <w:color w:val="auto"/>
          <w:kern w:val="2"/>
          <w:sz w:val="21"/>
          <w:szCs w:val="21"/>
          <w:highlight w:val="none"/>
          <w:u w:val="single"/>
        </w:rPr>
        <w:t xml:space="preserve">    </w:t>
      </w:r>
      <w:r>
        <w:rPr>
          <w:rFonts w:hint="eastAsia" w:hAnsi="Times New Roman"/>
          <w:color w:val="auto"/>
          <w:kern w:val="2"/>
          <w:sz w:val="21"/>
          <w:szCs w:val="21"/>
          <w:highlight w:val="none"/>
        </w:rPr>
        <w:t>日</w:t>
      </w:r>
    </w:p>
    <w:p w14:paraId="424A562E">
      <w:pPr>
        <w:pStyle w:val="4"/>
        <w:numPr>
          <w:ilvl w:val="0"/>
          <w:numId w:val="14"/>
        </w:numPr>
        <w:jc w:val="center"/>
        <w:rPr>
          <w:rFonts w:hint="eastAsia"/>
          <w:color w:val="auto"/>
          <w:highlight w:val="none"/>
        </w:rPr>
      </w:pPr>
      <w:bookmarkStart w:id="1357" w:name="_Toc463799117"/>
      <w:bookmarkStart w:id="1358" w:name="_Toc490832375"/>
      <w:bookmarkStart w:id="1359" w:name="_Toc28452"/>
      <w:bookmarkStart w:id="1360" w:name="_Toc419825438"/>
      <w:bookmarkStart w:id="1361" w:name="_Toc419825090"/>
      <w:bookmarkStart w:id="1362" w:name="_Toc290198805"/>
      <w:r>
        <w:rPr>
          <w:rFonts w:hint="eastAsia"/>
          <w:color w:val="auto"/>
          <w:highlight w:val="none"/>
        </w:rPr>
        <w:t>投标保证金</w:t>
      </w:r>
      <w:bookmarkEnd w:id="1357"/>
      <w:bookmarkEnd w:id="1358"/>
      <w:bookmarkEnd w:id="1359"/>
      <w:bookmarkEnd w:id="1360"/>
      <w:bookmarkEnd w:id="1361"/>
      <w:bookmarkEnd w:id="1362"/>
      <w:r>
        <w:rPr>
          <w:rStyle w:val="48"/>
          <w:rFonts w:hint="eastAsia"/>
          <w:color w:val="auto"/>
          <w:highlight w:val="none"/>
        </w:rPr>
        <w:footnoteReference w:id="15"/>
      </w:r>
    </w:p>
    <w:p w14:paraId="1EC40F72">
      <w:pPr>
        <w:wordWrap w:val="0"/>
        <w:spacing w:before="240" w:beforeLines="100" w:line="300" w:lineRule="auto"/>
        <w:jc w:val="center"/>
        <w:rPr>
          <w:rFonts w:eastAsia="黑体"/>
          <w:bCs/>
          <w:color w:val="auto"/>
          <w:kern w:val="44"/>
          <w:sz w:val="28"/>
          <w:szCs w:val="28"/>
          <w:highlight w:val="none"/>
          <w:shd w:val="clear" w:color="auto" w:fill="auto"/>
        </w:rPr>
      </w:pPr>
      <w:bookmarkStart w:id="1363" w:name="_Toc838584650_WPSOffice_Level2"/>
      <w:r>
        <w:rPr>
          <w:rFonts w:hint="eastAsia" w:eastAsia="黑体"/>
          <w:bCs/>
          <w:color w:val="auto"/>
          <w:kern w:val="44"/>
          <w:sz w:val="28"/>
          <w:szCs w:val="28"/>
          <w:highlight w:val="none"/>
          <w:shd w:val="clear" w:color="auto" w:fill="auto"/>
        </w:rPr>
        <w:t>（一）投标保证金</w:t>
      </w:r>
      <w:bookmarkEnd w:id="1363"/>
      <w:r>
        <w:rPr>
          <w:rFonts w:hint="eastAsia" w:eastAsia="黑体"/>
          <w:bCs/>
          <w:color w:val="auto"/>
          <w:kern w:val="44"/>
          <w:sz w:val="28"/>
          <w:szCs w:val="28"/>
          <w:highlight w:val="none"/>
          <w:shd w:val="clear" w:color="auto" w:fill="auto"/>
          <w:lang w:val="en-US" w:eastAsia="zh-CN"/>
        </w:rPr>
        <w:t>凭证</w:t>
      </w:r>
    </w:p>
    <w:p w14:paraId="6EB11EC6">
      <w:pPr>
        <w:numPr>
          <w:ilvl w:val="-1"/>
          <w:numId w:val="0"/>
        </w:numPr>
        <w:jc w:val="center"/>
        <w:rPr>
          <w:color w:val="auto"/>
          <w:highlight w:val="none"/>
        </w:rPr>
      </w:pPr>
      <w:r>
        <w:rPr>
          <w:rFonts w:hint="eastAsia"/>
          <w:color w:val="auto"/>
          <w:sz w:val="24"/>
          <w:highlight w:val="none"/>
          <w:shd w:val="clear" w:color="auto" w:fill="auto"/>
        </w:rPr>
        <w:t>（上传转账、电汇单据的扫描件）</w:t>
      </w:r>
      <w:r>
        <w:rPr>
          <w:rFonts w:hint="eastAsia"/>
          <w:color w:val="auto"/>
          <w:sz w:val="24"/>
          <w:highlight w:val="none"/>
          <w:shd w:val="clear" w:color="auto" w:fill="auto"/>
        </w:rPr>
        <w:br w:type="page"/>
      </w:r>
    </w:p>
    <w:p w14:paraId="315CA38D">
      <w:pPr>
        <w:numPr>
          <w:ilvl w:val="0"/>
          <w:numId w:val="15"/>
        </w:numPr>
        <w:spacing w:line="360" w:lineRule="auto"/>
        <w:ind w:firstLine="560" w:firstLineChars="200"/>
        <w:jc w:val="center"/>
        <w:rPr>
          <w:rFonts w:hint="eastAsia" w:eastAsia="黑体"/>
          <w:bCs/>
          <w:color w:val="auto"/>
          <w:kern w:val="44"/>
          <w:sz w:val="28"/>
          <w:szCs w:val="28"/>
          <w:highlight w:val="none"/>
          <w:shd w:val="clear" w:color="auto" w:fill="auto"/>
        </w:rPr>
      </w:pPr>
      <w:r>
        <w:rPr>
          <w:rFonts w:hint="eastAsia" w:eastAsia="黑体"/>
          <w:bCs/>
          <w:color w:val="auto"/>
          <w:kern w:val="44"/>
          <w:sz w:val="28"/>
          <w:szCs w:val="28"/>
          <w:highlight w:val="none"/>
          <w:shd w:val="clear" w:color="auto" w:fill="auto"/>
        </w:rPr>
        <w:t>投标保函（独立保函）</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如有</w:t>
      </w:r>
      <w:r>
        <w:rPr>
          <w:rFonts w:hint="eastAsia" w:eastAsia="黑体"/>
          <w:bCs/>
          <w:color w:val="auto"/>
          <w:kern w:val="44"/>
          <w:sz w:val="28"/>
          <w:szCs w:val="28"/>
          <w:highlight w:val="none"/>
          <w:shd w:val="clear" w:color="auto" w:fill="auto"/>
          <w:lang w:eastAsia="zh-CN"/>
        </w:rPr>
        <w:t>）</w:t>
      </w:r>
    </w:p>
    <w:p w14:paraId="36D4A813">
      <w:pPr>
        <w:spacing w:line="400" w:lineRule="exact"/>
        <w:ind w:firstLine="480" w:firstLineChars="200"/>
        <w:rPr>
          <w:color w:val="auto"/>
          <w:sz w:val="24"/>
          <w:highlight w:val="none"/>
        </w:rPr>
      </w:pPr>
    </w:p>
    <w:p w14:paraId="78D557FD">
      <w:pPr>
        <w:spacing w:line="400" w:lineRule="exact"/>
        <w:ind w:firstLine="480" w:firstLineChars="200"/>
        <w:rPr>
          <w:color w:val="auto"/>
          <w:sz w:val="24"/>
          <w:highlight w:val="none"/>
        </w:rPr>
      </w:pPr>
    </w:p>
    <w:p w14:paraId="1BE66A3C">
      <w:pPr>
        <w:spacing w:line="240" w:lineRule="auto"/>
        <w:rPr>
          <w:rFonts w:hint="eastAsia" w:ascii="宋体" w:hAnsi="宋体"/>
          <w:color w:val="auto"/>
          <w:sz w:val="28"/>
          <w:szCs w:val="28"/>
          <w:highlight w:val="none"/>
        </w:rPr>
      </w:pPr>
      <w:r>
        <w:rPr>
          <w:rFonts w:hint="eastAsia" w:ascii="宋体" w:hAnsi="宋体"/>
          <w:color w:val="auto"/>
          <w:sz w:val="28"/>
          <w:szCs w:val="28"/>
          <w:highlight w:val="none"/>
        </w:rPr>
        <w:br w:type="page"/>
      </w:r>
    </w:p>
    <w:p w14:paraId="02034A09">
      <w:pPr>
        <w:numPr>
          <w:ilvl w:val="0"/>
          <w:numId w:val="15"/>
        </w:numPr>
        <w:spacing w:line="360" w:lineRule="auto"/>
        <w:ind w:firstLine="560" w:firstLineChars="200"/>
        <w:jc w:val="center"/>
        <w:rPr>
          <w:rFonts w:hint="eastAsia" w:ascii="Calibri" w:hAnsi="Calibri" w:eastAsia="黑体"/>
          <w:bCs/>
          <w:color w:val="auto"/>
          <w:kern w:val="44"/>
          <w:sz w:val="28"/>
          <w:szCs w:val="28"/>
          <w:highlight w:val="none"/>
          <w:shd w:val="clear" w:color="auto" w:fill="auto"/>
        </w:rPr>
      </w:pPr>
      <w:r>
        <w:rPr>
          <w:rFonts w:hint="eastAsia" w:ascii="Calibri" w:hAnsi="Calibri" w:eastAsia="黑体"/>
          <w:bCs/>
          <w:color w:val="auto"/>
          <w:kern w:val="44"/>
          <w:sz w:val="28"/>
          <w:szCs w:val="28"/>
          <w:highlight w:val="none"/>
          <w:shd w:val="clear" w:color="auto" w:fill="auto"/>
        </w:rPr>
        <w:t>免缴投标保证金承诺函</w:t>
      </w:r>
      <w:r>
        <w:rPr>
          <w:rFonts w:hint="eastAsia" w:eastAsia="黑体"/>
          <w:bCs/>
          <w:color w:val="auto"/>
          <w:kern w:val="44"/>
          <w:sz w:val="28"/>
          <w:szCs w:val="28"/>
          <w:highlight w:val="none"/>
          <w:shd w:val="clear" w:color="auto" w:fill="auto"/>
          <w:lang w:eastAsia="zh-CN"/>
        </w:rPr>
        <w:t>（</w:t>
      </w:r>
      <w:r>
        <w:rPr>
          <w:rFonts w:hint="eastAsia" w:eastAsia="黑体"/>
          <w:bCs/>
          <w:color w:val="auto"/>
          <w:kern w:val="44"/>
          <w:sz w:val="28"/>
          <w:szCs w:val="28"/>
          <w:highlight w:val="none"/>
          <w:shd w:val="clear" w:color="auto" w:fill="auto"/>
          <w:lang w:val="en-US" w:eastAsia="zh-CN"/>
        </w:rPr>
        <w:t>如有</w:t>
      </w:r>
      <w:r>
        <w:rPr>
          <w:rFonts w:hint="eastAsia" w:eastAsia="黑体"/>
          <w:bCs/>
          <w:color w:val="auto"/>
          <w:kern w:val="44"/>
          <w:sz w:val="28"/>
          <w:szCs w:val="28"/>
          <w:highlight w:val="none"/>
          <w:shd w:val="clear" w:color="auto" w:fill="auto"/>
          <w:lang w:eastAsia="zh-CN"/>
        </w:rPr>
        <w:t>）</w:t>
      </w:r>
    </w:p>
    <w:p w14:paraId="23D1316B">
      <w:pPr>
        <w:adjustRightInd w:val="0"/>
        <w:spacing w:line="360" w:lineRule="auto"/>
        <w:jc w:val="center"/>
        <w:textAlignment w:val="baseline"/>
        <w:rPr>
          <w:rFonts w:ascii="黑体" w:hAnsi="黑体" w:eastAsia="黑体"/>
          <w:color w:val="auto"/>
          <w:kern w:val="1"/>
          <w:highlight w:val="none"/>
        </w:rPr>
      </w:pPr>
      <w:r>
        <w:rPr>
          <w:rFonts w:hint="eastAsia" w:ascii="黑体" w:hAnsi="黑体" w:eastAsia="黑体"/>
          <w:color w:val="auto"/>
          <w:kern w:val="1"/>
          <w:highlight w:val="none"/>
        </w:rPr>
        <w:t>免缴投标保证金承诺函</w:t>
      </w:r>
    </w:p>
    <w:p w14:paraId="644B9431">
      <w:pPr>
        <w:widowControl/>
        <w:adjustRightInd w:val="0"/>
        <w:spacing w:line="360" w:lineRule="auto"/>
        <w:jc w:val="left"/>
        <w:textAlignment w:val="bottom"/>
        <w:rPr>
          <w:rFonts w:cs="宋体"/>
          <w:color w:val="auto"/>
          <w:szCs w:val="21"/>
          <w:highlight w:val="none"/>
        </w:rPr>
      </w:pPr>
      <w:r>
        <w:rPr>
          <w:rFonts w:hint="eastAsia" w:cs="宋体"/>
          <w:color w:val="auto"/>
          <w:szCs w:val="21"/>
          <w:highlight w:val="none"/>
          <w:u w:val="single"/>
        </w:rPr>
        <w:t xml:space="preserve">                         （招标人名称）</w:t>
      </w:r>
      <w:r>
        <w:rPr>
          <w:rFonts w:hint="eastAsia" w:cs="宋体"/>
          <w:color w:val="auto"/>
          <w:szCs w:val="21"/>
          <w:highlight w:val="none"/>
        </w:rPr>
        <w:t>：</w:t>
      </w:r>
    </w:p>
    <w:p w14:paraId="5BC79561">
      <w:pPr>
        <w:widowControl/>
        <w:adjustRightInd w:val="0"/>
        <w:spacing w:line="360" w:lineRule="auto"/>
        <w:ind w:firstLine="480"/>
        <w:jc w:val="left"/>
        <w:textAlignment w:val="bottom"/>
        <w:rPr>
          <w:color w:val="auto"/>
          <w:szCs w:val="21"/>
          <w:highlight w:val="none"/>
        </w:rPr>
      </w:pPr>
      <w:r>
        <w:rPr>
          <w:rFonts w:hint="eastAsia" w:cs="宋体"/>
          <w:color w:val="auto"/>
          <w:szCs w:val="21"/>
          <w:highlight w:val="none"/>
        </w:rPr>
        <w:t>我司参加</w:t>
      </w:r>
      <w:r>
        <w:rPr>
          <w:rFonts w:hint="eastAsia" w:cs="宋体"/>
          <w:color w:val="auto"/>
          <w:szCs w:val="21"/>
          <w:highlight w:val="none"/>
          <w:u w:val="single"/>
        </w:rPr>
        <w:t xml:space="preserve">                        （招标项目名称及标段）   </w:t>
      </w:r>
      <w:r>
        <w:rPr>
          <w:rFonts w:hint="eastAsia" w:cs="宋体"/>
          <w:color w:val="auto"/>
          <w:szCs w:val="21"/>
          <w:highlight w:val="none"/>
        </w:rPr>
        <w:t>投标活动，符合招标文件规定的允许免缴投标保证金第</w:t>
      </w:r>
      <w:r>
        <w:rPr>
          <w:rFonts w:hint="eastAsia" w:cs="宋体"/>
          <w:color w:val="auto"/>
          <w:szCs w:val="21"/>
          <w:highlight w:val="none"/>
          <w:u w:val="single"/>
        </w:rPr>
        <w:t xml:space="preserve">         </w:t>
      </w:r>
      <w:r>
        <w:rPr>
          <w:rFonts w:hint="eastAsia" w:cs="宋体"/>
          <w:color w:val="auto"/>
          <w:szCs w:val="21"/>
          <w:highlight w:val="none"/>
        </w:rPr>
        <w:t>种情形，现免缴投标保证金参与投标。我司承诺按照招</w:t>
      </w:r>
      <w:r>
        <w:rPr>
          <w:rFonts w:hint="eastAsia"/>
          <w:color w:val="auto"/>
          <w:szCs w:val="21"/>
          <w:highlight w:val="none"/>
        </w:rPr>
        <w:t>标文件要求依法履行投标人义务。若我司存在下列任何一种事实的，收到你方书面通知，我司在7日内无条件地向你方全额付清本招标文件规定的投标保证金金额。</w:t>
      </w:r>
    </w:p>
    <w:p w14:paraId="76CBCAC1">
      <w:pPr>
        <w:spacing w:line="360" w:lineRule="auto"/>
        <w:ind w:left="480"/>
        <w:rPr>
          <w:color w:val="auto"/>
          <w:szCs w:val="21"/>
          <w:highlight w:val="none"/>
        </w:rPr>
      </w:pPr>
      <w:r>
        <w:rPr>
          <w:rFonts w:hint="eastAsia"/>
          <w:color w:val="auto"/>
          <w:szCs w:val="21"/>
          <w:highlight w:val="none"/>
        </w:rPr>
        <w:t>（1）投标人在投标有效期内撤销其投标文件。</w:t>
      </w:r>
      <w:r>
        <w:rPr>
          <w:color w:val="auto"/>
          <w:szCs w:val="21"/>
          <w:highlight w:val="none"/>
        </w:rPr>
        <w:t xml:space="preserve"> </w:t>
      </w:r>
    </w:p>
    <w:p w14:paraId="4EBF0D3A">
      <w:pPr>
        <w:spacing w:line="360" w:lineRule="auto"/>
        <w:ind w:firstLine="480"/>
        <w:rPr>
          <w:color w:val="auto"/>
          <w:szCs w:val="21"/>
          <w:highlight w:val="none"/>
        </w:rPr>
      </w:pPr>
      <w:r>
        <w:rPr>
          <w:rFonts w:hint="eastAsia"/>
          <w:color w:val="auto"/>
          <w:szCs w:val="21"/>
          <w:highlight w:val="none"/>
        </w:rPr>
        <w:t>（2）中标人无正当理由不与招标人订立合同，在签订合同时向贵方提出附加条件，或者不按照招标文件要求提交履约保证金。</w:t>
      </w:r>
      <w:r>
        <w:rPr>
          <w:color w:val="auto"/>
          <w:szCs w:val="21"/>
          <w:highlight w:val="none"/>
        </w:rPr>
        <w:t xml:space="preserve"> </w:t>
      </w:r>
    </w:p>
    <w:p w14:paraId="12B1DE7F">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（3）投标人的投标文件存在雷同情形；</w:t>
      </w:r>
    </w:p>
    <w:p w14:paraId="5963CEC6">
      <w:pPr>
        <w:tabs>
          <w:tab w:val="left" w:pos="800"/>
          <w:tab w:val="left" w:pos="1134"/>
        </w:tabs>
        <w:spacing w:line="360" w:lineRule="auto"/>
        <w:ind w:left="-210" w:leftChars="-100" w:firstLine="735" w:firstLineChars="350"/>
        <w:rPr>
          <w:color w:val="auto"/>
          <w:szCs w:val="21"/>
          <w:highlight w:val="none"/>
        </w:rPr>
      </w:pPr>
      <w:r>
        <w:rPr>
          <w:rFonts w:hint="eastAsia"/>
          <w:color w:val="auto"/>
          <w:szCs w:val="21"/>
          <w:highlight w:val="none"/>
        </w:rPr>
        <w:t>（4）因中标人的违法行为导致中标被依法确认无效；</w:t>
      </w:r>
    </w:p>
    <w:p w14:paraId="4CFBBC60">
      <w:pPr>
        <w:spacing w:line="360" w:lineRule="auto"/>
        <w:ind w:firstLine="420" w:firstLineChars="200"/>
        <w:rPr>
          <w:color w:val="auto"/>
          <w:szCs w:val="21"/>
          <w:highlight w:val="none"/>
        </w:rPr>
      </w:pPr>
      <w:r>
        <w:rPr>
          <w:rFonts w:hint="eastAsia"/>
          <w:color w:val="auto"/>
          <w:szCs w:val="21"/>
          <w:highlight w:val="none"/>
        </w:rPr>
        <w:t>（5）法律、法规规定的其他情形。</w:t>
      </w:r>
    </w:p>
    <w:p w14:paraId="1FA95D50">
      <w:pPr>
        <w:adjustRightInd w:val="0"/>
        <w:spacing w:line="360" w:lineRule="auto"/>
        <w:textAlignment w:val="baseline"/>
        <w:rPr>
          <w:rFonts w:cs="宋体"/>
          <w:b/>
          <w:bCs/>
          <w:color w:val="auto"/>
          <w:szCs w:val="21"/>
          <w:highlight w:val="none"/>
        </w:rPr>
      </w:pPr>
    </w:p>
    <w:p w14:paraId="2F785609">
      <w:pPr>
        <w:widowControl/>
        <w:tabs>
          <w:tab w:val="left" w:pos="0"/>
          <w:tab w:val="left" w:pos="993"/>
          <w:tab w:val="left" w:pos="1134"/>
        </w:tabs>
        <w:spacing w:line="360" w:lineRule="auto"/>
        <w:ind w:firstLine="422" w:firstLineChars="200"/>
        <w:rPr>
          <w:rFonts w:cs="宋体"/>
          <w:b/>
          <w:bCs/>
          <w:color w:val="auto"/>
          <w:szCs w:val="21"/>
          <w:highlight w:val="none"/>
        </w:rPr>
      </w:pPr>
    </w:p>
    <w:p w14:paraId="3EBBA9D0">
      <w:pPr>
        <w:widowControl/>
        <w:tabs>
          <w:tab w:val="left" w:pos="0"/>
          <w:tab w:val="left" w:pos="993"/>
          <w:tab w:val="left" w:pos="1134"/>
        </w:tabs>
        <w:spacing w:line="360" w:lineRule="auto"/>
        <w:ind w:firstLine="422" w:firstLineChars="200"/>
        <w:rPr>
          <w:rFonts w:cs="宋体"/>
          <w:b/>
          <w:bCs/>
          <w:color w:val="auto"/>
          <w:szCs w:val="21"/>
          <w:highlight w:val="none"/>
        </w:rPr>
      </w:pPr>
    </w:p>
    <w:p w14:paraId="37FDED76">
      <w:pPr>
        <w:adjustRightInd w:val="0"/>
        <w:spacing w:line="360" w:lineRule="auto"/>
        <w:ind w:firstLine="210" w:firstLineChars="100"/>
        <w:jc w:val="right"/>
        <w:textAlignment w:val="baseline"/>
        <w:rPr>
          <w:rFonts w:cs="宋体"/>
          <w:color w:val="auto"/>
          <w:szCs w:val="21"/>
          <w:highlight w:val="none"/>
        </w:rPr>
      </w:pPr>
      <w:r>
        <w:rPr>
          <w:rFonts w:hint="eastAsia" w:cs="宋体"/>
          <w:color w:val="auto"/>
          <w:szCs w:val="21"/>
          <w:highlight w:val="none"/>
        </w:rPr>
        <w:t>投标人：</w:t>
      </w:r>
      <w:r>
        <w:rPr>
          <w:rFonts w:hint="eastAsia" w:cs="宋体"/>
          <w:color w:val="auto"/>
          <w:szCs w:val="21"/>
          <w:highlight w:val="none"/>
          <w:u w:val="single"/>
        </w:rPr>
        <w:t xml:space="preserve">             </w:t>
      </w:r>
      <w:r>
        <w:rPr>
          <w:rFonts w:hint="eastAsia" w:cs="宋体"/>
          <w:color w:val="auto"/>
          <w:szCs w:val="21"/>
          <w:highlight w:val="none"/>
        </w:rPr>
        <w:t>（盖单位章）</w:t>
      </w:r>
    </w:p>
    <w:p w14:paraId="015343AB">
      <w:pPr>
        <w:pStyle w:val="38"/>
        <w:spacing w:line="360" w:lineRule="auto"/>
        <w:ind w:firstLine="4524" w:firstLineChars="1885"/>
        <w:jc w:val="left"/>
        <w:rPr>
          <w:rFonts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14:paraId="77125A31">
      <w:pPr>
        <w:jc w:val="left"/>
        <w:rPr>
          <w:rFonts w:ascii="黑体" w:hAnsi="黑体" w:eastAsia="黑体"/>
          <w:color w:val="auto"/>
          <w:kern w:val="1"/>
          <w:highlight w:val="none"/>
        </w:rPr>
        <w:sectPr>
          <w:pgSz w:w="11905" w:h="16838"/>
          <w:pgMar w:top="1440" w:right="1417" w:bottom="1440" w:left="1417" w:header="850" w:footer="992" w:gutter="0"/>
          <w:cols w:space="720" w:num="1"/>
          <w:docGrid w:type="lines" w:linePitch="317" w:charSpace="0"/>
        </w:sectPr>
      </w:pPr>
      <w:r>
        <w:rPr>
          <w:rFonts w:cs="宋体"/>
          <w:color w:val="auto"/>
          <w:szCs w:val="21"/>
          <w:highlight w:val="none"/>
        </w:rPr>
        <w:br w:type="page"/>
      </w:r>
    </w:p>
    <w:p w14:paraId="524CA015">
      <w:pPr>
        <w:rPr>
          <w:rFonts w:ascii="宋体" w:hAnsi="宋体" w:cs="宋体"/>
          <w:color w:val="auto"/>
          <w:szCs w:val="21"/>
          <w:highlight w:val="none"/>
        </w:rPr>
      </w:pPr>
    </w:p>
    <w:p w14:paraId="737B6628">
      <w:pPr>
        <w:jc w:val="center"/>
        <w:rPr>
          <w:rFonts w:ascii="宋体" w:hAnsi="宋体" w:cs="宋体"/>
          <w:color w:val="auto"/>
          <w:sz w:val="24"/>
          <w:szCs w:val="24"/>
          <w:highlight w:val="none"/>
        </w:rPr>
      </w:pPr>
      <w:r>
        <w:rPr>
          <w:rFonts w:hint="eastAsia" w:ascii="宋体" w:hAnsi="宋体" w:cs="宋体"/>
          <w:color w:val="auto"/>
          <w:sz w:val="24"/>
          <w:szCs w:val="24"/>
          <w:highlight w:val="none"/>
        </w:rPr>
        <w:t>符合减缴/免缴投标保证金形式规定的证明材料</w:t>
      </w:r>
    </w:p>
    <w:p w14:paraId="25D186D2">
      <w:pPr>
        <w:ind w:firstLine="420" w:firstLineChars="200"/>
        <w:rPr>
          <w:rFonts w:ascii="宋体" w:hAnsi="宋体" w:cs="宋体"/>
          <w:color w:val="auto"/>
          <w:szCs w:val="21"/>
          <w:highlight w:val="none"/>
        </w:rPr>
      </w:pPr>
    </w:p>
    <w:p w14:paraId="573E6E75">
      <w:pPr>
        <w:ind w:firstLine="420" w:firstLineChars="200"/>
        <w:rPr>
          <w:rFonts w:ascii="宋体" w:hAnsi="宋体" w:cs="宋体"/>
          <w:color w:val="auto"/>
          <w:szCs w:val="21"/>
          <w:highlight w:val="none"/>
        </w:rPr>
      </w:pPr>
    </w:p>
    <w:p w14:paraId="3D988B91">
      <w:pPr>
        <w:ind w:firstLine="420" w:firstLineChars="200"/>
        <w:rPr>
          <w:rFonts w:ascii="宋体" w:hAnsi="宋体" w:cs="宋体"/>
          <w:color w:val="auto"/>
          <w:szCs w:val="21"/>
          <w:highlight w:val="none"/>
        </w:rPr>
      </w:pPr>
    </w:p>
    <w:p w14:paraId="7AE578CE">
      <w:pPr>
        <w:ind w:firstLine="420" w:firstLineChars="200"/>
        <w:rPr>
          <w:rFonts w:ascii="宋体" w:hAnsi="宋体" w:cs="宋体"/>
          <w:color w:val="auto"/>
          <w:szCs w:val="21"/>
          <w:highlight w:val="none"/>
        </w:rPr>
      </w:pPr>
    </w:p>
    <w:p w14:paraId="55795472">
      <w:pPr>
        <w:ind w:firstLine="5250" w:firstLineChars="2500"/>
        <w:rPr>
          <w:rFonts w:ascii="宋体" w:hAnsi="宋体" w:cs="宋体"/>
          <w:color w:val="auto"/>
          <w:kern w:val="0"/>
          <w:szCs w:val="21"/>
          <w:highlight w:val="none"/>
        </w:rPr>
      </w:pPr>
    </w:p>
    <w:p w14:paraId="25CA1B4C">
      <w:pPr>
        <w:ind w:firstLine="5250" w:firstLineChars="2500"/>
        <w:rPr>
          <w:rFonts w:ascii="宋体" w:hAnsi="宋体" w:cs="宋体"/>
          <w:color w:val="auto"/>
          <w:kern w:val="0"/>
          <w:szCs w:val="21"/>
          <w:highlight w:val="none"/>
        </w:rPr>
      </w:pPr>
    </w:p>
    <w:p w14:paraId="5FB5C964">
      <w:pPr>
        <w:ind w:firstLine="5250" w:firstLineChars="2500"/>
        <w:rPr>
          <w:rFonts w:ascii="宋体" w:hAnsi="宋体" w:cs="宋体"/>
          <w:color w:val="auto"/>
          <w:kern w:val="0"/>
          <w:szCs w:val="21"/>
          <w:highlight w:val="none"/>
        </w:rPr>
      </w:pPr>
    </w:p>
    <w:p w14:paraId="1EC3B63F">
      <w:pPr>
        <w:ind w:firstLine="5250" w:firstLineChars="2500"/>
        <w:rPr>
          <w:rFonts w:ascii="宋体" w:hAnsi="宋体" w:cs="宋体"/>
          <w:color w:val="auto"/>
          <w:kern w:val="0"/>
          <w:szCs w:val="21"/>
          <w:highlight w:val="none"/>
        </w:rPr>
      </w:pPr>
    </w:p>
    <w:p w14:paraId="12C43D0D">
      <w:pPr>
        <w:ind w:firstLine="5250" w:firstLineChars="2500"/>
        <w:rPr>
          <w:rFonts w:ascii="宋体" w:hAnsi="宋体" w:cs="宋体"/>
          <w:color w:val="auto"/>
          <w:kern w:val="0"/>
          <w:szCs w:val="21"/>
          <w:highlight w:val="none"/>
        </w:rPr>
      </w:pPr>
    </w:p>
    <w:p w14:paraId="54BDB541">
      <w:pPr>
        <w:ind w:firstLine="5250" w:firstLineChars="2500"/>
        <w:rPr>
          <w:rFonts w:ascii="宋体" w:hAnsi="宋体" w:cs="宋体"/>
          <w:color w:val="auto"/>
          <w:kern w:val="0"/>
          <w:szCs w:val="21"/>
          <w:highlight w:val="none"/>
        </w:rPr>
      </w:pPr>
    </w:p>
    <w:p w14:paraId="7E45CDDA">
      <w:pPr>
        <w:ind w:firstLine="5250" w:firstLineChars="2500"/>
        <w:rPr>
          <w:rFonts w:ascii="宋体" w:hAnsi="宋体" w:cs="宋体"/>
          <w:color w:val="auto"/>
          <w:kern w:val="0"/>
          <w:szCs w:val="21"/>
          <w:highlight w:val="none"/>
        </w:rPr>
      </w:pPr>
    </w:p>
    <w:p w14:paraId="75CDA721">
      <w:pPr>
        <w:ind w:firstLine="5250" w:firstLineChars="2500"/>
        <w:rPr>
          <w:rFonts w:ascii="宋体" w:hAnsi="宋体" w:cs="宋体"/>
          <w:color w:val="auto"/>
          <w:kern w:val="0"/>
          <w:szCs w:val="21"/>
          <w:highlight w:val="none"/>
        </w:rPr>
      </w:pPr>
    </w:p>
    <w:p w14:paraId="5D64CAA1">
      <w:pPr>
        <w:ind w:firstLine="5250" w:firstLineChars="2500"/>
        <w:rPr>
          <w:rFonts w:ascii="宋体" w:hAnsi="宋体" w:cs="宋体"/>
          <w:color w:val="auto"/>
          <w:kern w:val="0"/>
          <w:szCs w:val="21"/>
          <w:highlight w:val="none"/>
        </w:rPr>
      </w:pPr>
    </w:p>
    <w:p w14:paraId="6ECCF693">
      <w:pPr>
        <w:ind w:firstLine="5250" w:firstLineChars="2500"/>
        <w:rPr>
          <w:rFonts w:ascii="宋体" w:hAnsi="宋体" w:cs="宋体"/>
          <w:color w:val="auto"/>
          <w:kern w:val="0"/>
          <w:szCs w:val="21"/>
          <w:highlight w:val="none"/>
        </w:rPr>
      </w:pPr>
    </w:p>
    <w:p w14:paraId="1F9033A4">
      <w:pPr>
        <w:ind w:firstLine="5250" w:firstLineChars="2500"/>
        <w:rPr>
          <w:rFonts w:ascii="宋体" w:hAnsi="宋体" w:cs="宋体"/>
          <w:color w:val="auto"/>
          <w:kern w:val="0"/>
          <w:szCs w:val="21"/>
          <w:highlight w:val="none"/>
        </w:rPr>
      </w:pPr>
    </w:p>
    <w:p w14:paraId="27D6AD94">
      <w:pPr>
        <w:ind w:firstLine="5250" w:firstLineChars="2500"/>
        <w:rPr>
          <w:rFonts w:ascii="宋体" w:hAnsi="宋体" w:cs="宋体"/>
          <w:color w:val="auto"/>
          <w:kern w:val="0"/>
          <w:szCs w:val="21"/>
          <w:highlight w:val="none"/>
        </w:rPr>
      </w:pPr>
    </w:p>
    <w:p w14:paraId="5245A357">
      <w:pPr>
        <w:ind w:firstLine="5250" w:firstLineChars="2500"/>
        <w:rPr>
          <w:rFonts w:ascii="宋体" w:hAnsi="宋体" w:cs="宋体"/>
          <w:color w:val="auto"/>
          <w:kern w:val="0"/>
          <w:szCs w:val="21"/>
          <w:highlight w:val="none"/>
        </w:rPr>
      </w:pPr>
    </w:p>
    <w:p w14:paraId="6D4A0AEC">
      <w:pPr>
        <w:ind w:firstLine="5250" w:firstLineChars="2500"/>
        <w:rPr>
          <w:rFonts w:ascii="宋体" w:hAnsi="宋体" w:cs="宋体"/>
          <w:color w:val="auto"/>
          <w:kern w:val="0"/>
          <w:szCs w:val="21"/>
          <w:highlight w:val="none"/>
        </w:rPr>
      </w:pPr>
    </w:p>
    <w:p w14:paraId="1B1EEE95">
      <w:pPr>
        <w:ind w:firstLine="5250" w:firstLineChars="2500"/>
        <w:rPr>
          <w:rFonts w:ascii="宋体" w:hAnsi="宋体" w:cs="宋体"/>
          <w:color w:val="auto"/>
          <w:kern w:val="0"/>
          <w:szCs w:val="21"/>
          <w:highlight w:val="none"/>
        </w:rPr>
      </w:pPr>
    </w:p>
    <w:p w14:paraId="054B3054">
      <w:pPr>
        <w:ind w:firstLine="5250" w:firstLineChars="2500"/>
        <w:rPr>
          <w:rFonts w:ascii="宋体" w:hAnsi="宋体" w:cs="宋体"/>
          <w:color w:val="auto"/>
          <w:kern w:val="0"/>
          <w:szCs w:val="21"/>
          <w:highlight w:val="none"/>
        </w:rPr>
      </w:pPr>
    </w:p>
    <w:p w14:paraId="58BC3F1A">
      <w:pPr>
        <w:ind w:firstLine="5250" w:firstLineChars="2500"/>
        <w:rPr>
          <w:rFonts w:ascii="宋体" w:hAnsi="宋体" w:cs="宋体"/>
          <w:color w:val="auto"/>
          <w:kern w:val="0"/>
          <w:szCs w:val="21"/>
          <w:highlight w:val="none"/>
        </w:rPr>
      </w:pPr>
    </w:p>
    <w:p w14:paraId="312FF0B4">
      <w:pPr>
        <w:ind w:firstLine="5250" w:firstLineChars="2500"/>
        <w:rPr>
          <w:rFonts w:ascii="宋体" w:hAnsi="宋体" w:cs="宋体"/>
          <w:color w:val="auto"/>
          <w:kern w:val="0"/>
          <w:szCs w:val="21"/>
          <w:highlight w:val="none"/>
        </w:rPr>
      </w:pPr>
    </w:p>
    <w:p w14:paraId="09462C8E">
      <w:pPr>
        <w:ind w:firstLine="5250" w:firstLineChars="2500"/>
        <w:rPr>
          <w:rFonts w:ascii="宋体" w:hAnsi="宋体" w:cs="宋体"/>
          <w:color w:val="auto"/>
          <w:kern w:val="0"/>
          <w:szCs w:val="21"/>
          <w:highlight w:val="none"/>
        </w:rPr>
      </w:pPr>
    </w:p>
    <w:p w14:paraId="01979DF6">
      <w:pPr>
        <w:ind w:firstLine="5250" w:firstLineChars="2500"/>
        <w:rPr>
          <w:rFonts w:ascii="宋体" w:hAnsi="宋体" w:cs="宋体"/>
          <w:color w:val="auto"/>
          <w:kern w:val="0"/>
          <w:szCs w:val="21"/>
          <w:highlight w:val="none"/>
        </w:rPr>
      </w:pPr>
    </w:p>
    <w:p w14:paraId="33C616F1">
      <w:pPr>
        <w:spacing w:before="634" w:beforeLines="200" w:after="317" w:afterLines="100"/>
        <w:jc w:val="right"/>
        <w:outlineLvl w:val="0"/>
        <w:rPr>
          <w:rFonts w:ascii="宋体" w:hAnsi="宋体" w:eastAsia="黑体" w:cs="宋体"/>
          <w:color w:val="auto"/>
          <w:kern w:val="0"/>
          <w:szCs w:val="21"/>
          <w:highlight w:val="none"/>
        </w:rPr>
      </w:pPr>
      <w:r>
        <w:rPr>
          <w:rFonts w:hint="eastAsia" w:ascii="宋体" w:hAnsi="宋体" w:eastAsia="黑体" w:cs="宋体"/>
          <w:color w:val="auto"/>
          <w:kern w:val="0"/>
          <w:szCs w:val="21"/>
          <w:highlight w:val="none"/>
        </w:rPr>
        <w:t>投标人：</w:t>
      </w:r>
      <w:r>
        <w:rPr>
          <w:rFonts w:hint="eastAsia" w:ascii="宋体" w:hAnsi="宋体" w:eastAsia="黑体" w:cs="宋体"/>
          <w:color w:val="auto"/>
          <w:kern w:val="0"/>
          <w:szCs w:val="21"/>
          <w:highlight w:val="none"/>
          <w:u w:val="single"/>
        </w:rPr>
        <w:t xml:space="preserve">             </w:t>
      </w:r>
      <w:r>
        <w:rPr>
          <w:rFonts w:hint="eastAsia" w:ascii="宋体" w:hAnsi="宋体" w:eastAsia="黑体" w:cs="宋体"/>
          <w:color w:val="auto"/>
          <w:kern w:val="0"/>
          <w:szCs w:val="21"/>
          <w:highlight w:val="none"/>
        </w:rPr>
        <w:t>（盖单位公章）</w:t>
      </w:r>
    </w:p>
    <w:p w14:paraId="3FE6B764">
      <w:pPr>
        <w:spacing w:before="634" w:beforeLines="200" w:after="317" w:afterLines="100"/>
        <w:jc w:val="right"/>
        <w:outlineLvl w:val="0"/>
        <w:rPr>
          <w:rFonts w:ascii="宋体" w:hAnsi="宋体" w:eastAsia="黑体" w:cs="宋体"/>
          <w:color w:val="auto"/>
          <w:kern w:val="0"/>
          <w:szCs w:val="21"/>
          <w:highlight w:val="none"/>
        </w:rPr>
      </w:pPr>
    </w:p>
    <w:p w14:paraId="1FAE9577">
      <w:pPr>
        <w:pStyle w:val="38"/>
        <w:ind w:firstLine="523"/>
        <w:rPr>
          <w:color w:val="auto"/>
          <w:highlight w:val="none"/>
        </w:rPr>
        <w:sectPr>
          <w:pgSz w:w="11905" w:h="16838"/>
          <w:pgMar w:top="1440" w:right="1417" w:bottom="1440" w:left="1417" w:header="850" w:footer="992" w:gutter="0"/>
          <w:cols w:space="720" w:num="1"/>
          <w:docGrid w:type="lines" w:linePitch="317" w:charSpace="0"/>
        </w:sectPr>
      </w:pPr>
      <w:r>
        <w:rPr>
          <w:rFonts w:hint="eastAsia" w:ascii="宋体" w:hAnsi="宋体"/>
          <w:snapToGrid w:val="0"/>
          <w:color w:val="auto"/>
          <w:kern w:val="0"/>
          <w:highlight w:val="none"/>
        </w:rPr>
        <w:t>（注：联合体投标，联合体各方可采用盖章彩色扫描件上传）</w:t>
      </w:r>
    </w:p>
    <w:p w14:paraId="7C435116">
      <w:pPr>
        <w:pStyle w:val="4"/>
        <w:jc w:val="center"/>
        <w:rPr>
          <w:color w:val="auto"/>
          <w:highlight w:val="none"/>
        </w:rPr>
      </w:pPr>
      <w:bookmarkStart w:id="1364" w:name="_Toc28047"/>
      <w:bookmarkStart w:id="1365" w:name="_Toc463799121"/>
      <w:bookmarkStart w:id="1366" w:name="_Toc419825441"/>
      <w:bookmarkStart w:id="1367" w:name="_Toc290198808"/>
      <w:bookmarkStart w:id="1368" w:name="_Toc490832376"/>
      <w:bookmarkStart w:id="1369" w:name="_Toc419825093"/>
      <w:r>
        <w:rPr>
          <w:rFonts w:hint="eastAsia"/>
          <w:color w:val="auto"/>
          <w:highlight w:val="none"/>
        </w:rPr>
        <w:t>六、项目管理机构</w:t>
      </w:r>
      <w:bookmarkEnd w:id="1364"/>
      <w:bookmarkEnd w:id="1365"/>
      <w:bookmarkEnd w:id="1366"/>
      <w:bookmarkEnd w:id="1367"/>
      <w:bookmarkEnd w:id="1368"/>
      <w:bookmarkEnd w:id="1369"/>
    </w:p>
    <w:p w14:paraId="55DE137B">
      <w:pPr>
        <w:rPr>
          <w:color w:val="auto"/>
          <w:highlight w:val="none"/>
        </w:rPr>
      </w:pPr>
    </w:p>
    <w:p w14:paraId="33918170">
      <w:pPr>
        <w:pStyle w:val="5"/>
        <w:jc w:val="center"/>
        <w:rPr>
          <w:color w:val="auto"/>
          <w:highlight w:val="none"/>
        </w:rPr>
      </w:pPr>
      <w:r>
        <w:rPr>
          <w:rFonts w:hint="eastAsia"/>
          <w:color w:val="auto"/>
          <w:highlight w:val="none"/>
        </w:rPr>
        <w:t>主要人员简历表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328"/>
        <w:gridCol w:w="1516"/>
        <w:gridCol w:w="1029"/>
        <w:gridCol w:w="841"/>
        <w:gridCol w:w="507"/>
        <w:gridCol w:w="1180"/>
        <w:gridCol w:w="685"/>
        <w:gridCol w:w="1670"/>
      </w:tblGrid>
      <w:tr w14:paraId="0E46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24" w:type="dxa"/>
            <w:gridSpan w:val="2"/>
            <w:vAlign w:val="center"/>
          </w:tcPr>
          <w:p w14:paraId="65E54F4A">
            <w:pPr>
              <w:rPr>
                <w:rFonts w:ascii="宋体" w:hAnsi="宋体"/>
                <w:color w:val="auto"/>
                <w:szCs w:val="21"/>
                <w:highlight w:val="none"/>
              </w:rPr>
            </w:pPr>
            <w:r>
              <w:rPr>
                <w:rFonts w:hint="eastAsia" w:ascii="宋体" w:hAnsi="宋体"/>
                <w:color w:val="auto"/>
                <w:szCs w:val="21"/>
                <w:highlight w:val="none"/>
              </w:rPr>
              <w:t>姓名</w:t>
            </w:r>
          </w:p>
        </w:tc>
        <w:tc>
          <w:tcPr>
            <w:tcW w:w="1516" w:type="dxa"/>
            <w:vAlign w:val="center"/>
          </w:tcPr>
          <w:p w14:paraId="6B78FE1C">
            <w:pPr>
              <w:rPr>
                <w:rFonts w:ascii="宋体" w:hAnsi="宋体"/>
                <w:color w:val="auto"/>
                <w:szCs w:val="21"/>
                <w:highlight w:val="none"/>
              </w:rPr>
            </w:pPr>
          </w:p>
        </w:tc>
        <w:tc>
          <w:tcPr>
            <w:tcW w:w="1029" w:type="dxa"/>
            <w:vAlign w:val="center"/>
          </w:tcPr>
          <w:p w14:paraId="1A021616">
            <w:pPr>
              <w:rPr>
                <w:rFonts w:ascii="宋体" w:hAnsi="宋体"/>
                <w:color w:val="auto"/>
                <w:szCs w:val="21"/>
                <w:highlight w:val="none"/>
              </w:rPr>
            </w:pPr>
            <w:r>
              <w:rPr>
                <w:rFonts w:hint="eastAsia" w:ascii="宋体" w:hAnsi="宋体"/>
                <w:color w:val="auto"/>
                <w:szCs w:val="21"/>
                <w:highlight w:val="none"/>
              </w:rPr>
              <w:t>年龄</w:t>
            </w:r>
          </w:p>
        </w:tc>
        <w:tc>
          <w:tcPr>
            <w:tcW w:w="1348" w:type="dxa"/>
            <w:gridSpan w:val="2"/>
            <w:vAlign w:val="center"/>
          </w:tcPr>
          <w:p w14:paraId="7DB0D26A">
            <w:pPr>
              <w:rPr>
                <w:rFonts w:ascii="宋体" w:hAnsi="宋体"/>
                <w:color w:val="auto"/>
                <w:szCs w:val="21"/>
                <w:highlight w:val="none"/>
              </w:rPr>
            </w:pPr>
          </w:p>
        </w:tc>
        <w:tc>
          <w:tcPr>
            <w:tcW w:w="1865" w:type="dxa"/>
            <w:gridSpan w:val="2"/>
            <w:vAlign w:val="center"/>
          </w:tcPr>
          <w:p w14:paraId="3F3218E7">
            <w:pPr>
              <w:rPr>
                <w:rFonts w:ascii="宋体" w:hAnsi="宋体"/>
                <w:color w:val="auto"/>
                <w:szCs w:val="21"/>
                <w:highlight w:val="none"/>
              </w:rPr>
            </w:pPr>
            <w:r>
              <w:rPr>
                <w:rFonts w:hint="eastAsia" w:ascii="宋体" w:hAnsi="宋体"/>
                <w:color w:val="auto"/>
                <w:szCs w:val="21"/>
                <w:highlight w:val="none"/>
              </w:rPr>
              <w:t>学          历</w:t>
            </w:r>
          </w:p>
        </w:tc>
        <w:tc>
          <w:tcPr>
            <w:tcW w:w="1670" w:type="dxa"/>
            <w:vAlign w:val="center"/>
          </w:tcPr>
          <w:p w14:paraId="18613D06">
            <w:pPr>
              <w:rPr>
                <w:rFonts w:ascii="宋体" w:hAnsi="宋体"/>
                <w:color w:val="auto"/>
                <w:szCs w:val="21"/>
                <w:highlight w:val="none"/>
              </w:rPr>
            </w:pPr>
          </w:p>
        </w:tc>
      </w:tr>
      <w:tr w14:paraId="6BA3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524" w:type="dxa"/>
            <w:gridSpan w:val="2"/>
            <w:vAlign w:val="center"/>
          </w:tcPr>
          <w:p w14:paraId="0FABC7BF">
            <w:pPr>
              <w:rPr>
                <w:rFonts w:ascii="宋体" w:hAnsi="宋体"/>
                <w:color w:val="auto"/>
                <w:szCs w:val="21"/>
                <w:highlight w:val="none"/>
              </w:rPr>
            </w:pPr>
            <w:r>
              <w:rPr>
                <w:rFonts w:hint="eastAsia" w:ascii="宋体" w:hAnsi="宋体"/>
                <w:color w:val="auto"/>
                <w:szCs w:val="21"/>
                <w:highlight w:val="none"/>
              </w:rPr>
              <w:t>职称</w:t>
            </w:r>
          </w:p>
        </w:tc>
        <w:tc>
          <w:tcPr>
            <w:tcW w:w="1516" w:type="dxa"/>
            <w:vAlign w:val="center"/>
          </w:tcPr>
          <w:p w14:paraId="2A1549EF">
            <w:pPr>
              <w:rPr>
                <w:rFonts w:ascii="宋体" w:hAnsi="宋体"/>
                <w:color w:val="auto"/>
                <w:szCs w:val="21"/>
                <w:highlight w:val="none"/>
              </w:rPr>
            </w:pPr>
          </w:p>
        </w:tc>
        <w:tc>
          <w:tcPr>
            <w:tcW w:w="1029" w:type="dxa"/>
            <w:vAlign w:val="center"/>
          </w:tcPr>
          <w:p w14:paraId="5A2F4EA9">
            <w:pPr>
              <w:rPr>
                <w:rFonts w:ascii="宋体" w:hAnsi="宋体"/>
                <w:color w:val="auto"/>
                <w:szCs w:val="21"/>
                <w:highlight w:val="none"/>
              </w:rPr>
            </w:pPr>
            <w:r>
              <w:rPr>
                <w:rFonts w:hint="eastAsia" w:ascii="宋体" w:hAnsi="宋体"/>
                <w:color w:val="auto"/>
                <w:szCs w:val="21"/>
                <w:highlight w:val="none"/>
              </w:rPr>
              <w:t>职务</w:t>
            </w:r>
          </w:p>
        </w:tc>
        <w:tc>
          <w:tcPr>
            <w:tcW w:w="1348" w:type="dxa"/>
            <w:gridSpan w:val="2"/>
            <w:vAlign w:val="center"/>
          </w:tcPr>
          <w:p w14:paraId="0514B805">
            <w:pPr>
              <w:rPr>
                <w:rFonts w:ascii="宋体" w:hAnsi="宋体"/>
                <w:color w:val="auto"/>
                <w:szCs w:val="21"/>
                <w:highlight w:val="none"/>
              </w:rPr>
            </w:pPr>
          </w:p>
        </w:tc>
        <w:tc>
          <w:tcPr>
            <w:tcW w:w="1865" w:type="dxa"/>
            <w:gridSpan w:val="2"/>
            <w:vAlign w:val="center"/>
          </w:tcPr>
          <w:p w14:paraId="7AA2E835">
            <w:pPr>
              <w:rPr>
                <w:rFonts w:ascii="宋体" w:hAnsi="宋体"/>
                <w:color w:val="auto"/>
                <w:szCs w:val="21"/>
                <w:highlight w:val="none"/>
              </w:rPr>
            </w:pPr>
            <w:r>
              <w:rPr>
                <w:rFonts w:hint="eastAsia" w:ascii="宋体" w:hAnsi="宋体"/>
                <w:color w:val="auto"/>
                <w:szCs w:val="21"/>
                <w:highlight w:val="none"/>
              </w:rPr>
              <w:t>拟在本合同任职</w:t>
            </w:r>
          </w:p>
        </w:tc>
        <w:tc>
          <w:tcPr>
            <w:tcW w:w="1670" w:type="dxa"/>
            <w:vAlign w:val="center"/>
          </w:tcPr>
          <w:p w14:paraId="3DE63BDB">
            <w:pPr>
              <w:rPr>
                <w:rFonts w:ascii="宋体" w:hAnsi="宋体"/>
                <w:color w:val="auto"/>
                <w:szCs w:val="21"/>
                <w:highlight w:val="none"/>
              </w:rPr>
            </w:pPr>
          </w:p>
        </w:tc>
      </w:tr>
      <w:tr w14:paraId="271C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4" w:type="dxa"/>
            <w:gridSpan w:val="2"/>
            <w:vAlign w:val="center"/>
          </w:tcPr>
          <w:p w14:paraId="4040B43B">
            <w:pPr>
              <w:rPr>
                <w:rFonts w:ascii="宋体" w:hAnsi="宋体"/>
                <w:color w:val="auto"/>
                <w:szCs w:val="21"/>
                <w:highlight w:val="none"/>
              </w:rPr>
            </w:pPr>
            <w:r>
              <w:rPr>
                <w:rFonts w:hint="eastAsia" w:ascii="宋体" w:hAnsi="宋体"/>
                <w:color w:val="auto"/>
                <w:szCs w:val="21"/>
                <w:highlight w:val="none"/>
              </w:rPr>
              <w:t>毕业学校</w:t>
            </w:r>
          </w:p>
        </w:tc>
        <w:tc>
          <w:tcPr>
            <w:tcW w:w="7428" w:type="dxa"/>
            <w:gridSpan w:val="7"/>
            <w:vAlign w:val="center"/>
          </w:tcPr>
          <w:p w14:paraId="15D2F2FC">
            <w:pPr>
              <w:ind w:firstLine="525"/>
              <w:rPr>
                <w:rFonts w:ascii="宋体" w:hAnsi="宋体"/>
                <w:color w:val="auto"/>
                <w:szCs w:val="21"/>
                <w:highlight w:val="none"/>
              </w:rPr>
            </w:pPr>
            <w:r>
              <w:rPr>
                <w:rFonts w:hint="eastAsia" w:ascii="宋体" w:hAnsi="宋体"/>
                <w:color w:val="auto"/>
                <w:szCs w:val="21"/>
                <w:highlight w:val="none"/>
              </w:rPr>
              <w:t>年毕业于                 学校         专业</w:t>
            </w:r>
          </w:p>
        </w:tc>
      </w:tr>
      <w:tr w14:paraId="5820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52" w:type="dxa"/>
            <w:gridSpan w:val="9"/>
            <w:vAlign w:val="center"/>
          </w:tcPr>
          <w:p w14:paraId="1FECF28F">
            <w:pPr>
              <w:rPr>
                <w:rFonts w:ascii="宋体" w:hAnsi="宋体"/>
                <w:color w:val="auto"/>
                <w:szCs w:val="21"/>
                <w:highlight w:val="none"/>
              </w:rPr>
            </w:pPr>
            <w:r>
              <w:rPr>
                <w:rFonts w:hint="eastAsia" w:ascii="宋体" w:hAnsi="宋体"/>
                <w:color w:val="auto"/>
                <w:szCs w:val="21"/>
                <w:highlight w:val="none"/>
              </w:rPr>
              <w:t>主要工作经历</w:t>
            </w:r>
          </w:p>
        </w:tc>
      </w:tr>
      <w:tr w14:paraId="3A71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vAlign w:val="center"/>
          </w:tcPr>
          <w:p w14:paraId="3B4B9DB6">
            <w:pPr>
              <w:jc w:val="center"/>
              <w:rPr>
                <w:rFonts w:ascii="宋体" w:hAnsi="宋体"/>
                <w:color w:val="auto"/>
                <w:szCs w:val="21"/>
                <w:highlight w:val="none"/>
              </w:rPr>
            </w:pPr>
            <w:r>
              <w:rPr>
                <w:rFonts w:hint="eastAsia" w:ascii="宋体" w:hAnsi="宋体"/>
                <w:color w:val="auto"/>
                <w:szCs w:val="21"/>
                <w:highlight w:val="none"/>
              </w:rPr>
              <w:t>时间</w:t>
            </w:r>
          </w:p>
        </w:tc>
        <w:tc>
          <w:tcPr>
            <w:tcW w:w="3714" w:type="dxa"/>
            <w:gridSpan w:val="4"/>
            <w:vAlign w:val="center"/>
          </w:tcPr>
          <w:p w14:paraId="172A94EE">
            <w:pPr>
              <w:jc w:val="center"/>
              <w:rPr>
                <w:rFonts w:ascii="宋体" w:hAnsi="宋体"/>
                <w:color w:val="auto"/>
                <w:szCs w:val="21"/>
                <w:highlight w:val="none"/>
              </w:rPr>
            </w:pPr>
            <w:r>
              <w:rPr>
                <w:rFonts w:hint="eastAsia" w:ascii="宋体" w:hAnsi="宋体"/>
                <w:color w:val="auto"/>
                <w:szCs w:val="21"/>
                <w:highlight w:val="none"/>
              </w:rPr>
              <w:t>参加过的类似项目</w:t>
            </w:r>
          </w:p>
        </w:tc>
        <w:tc>
          <w:tcPr>
            <w:tcW w:w="1687" w:type="dxa"/>
            <w:gridSpan w:val="2"/>
            <w:vAlign w:val="center"/>
          </w:tcPr>
          <w:p w14:paraId="3CC95575">
            <w:pPr>
              <w:jc w:val="center"/>
              <w:rPr>
                <w:rFonts w:ascii="宋体" w:hAnsi="宋体"/>
                <w:color w:val="auto"/>
                <w:szCs w:val="21"/>
                <w:highlight w:val="none"/>
              </w:rPr>
            </w:pPr>
            <w:r>
              <w:rPr>
                <w:rFonts w:hint="eastAsia" w:ascii="宋体" w:hAnsi="宋体"/>
                <w:color w:val="auto"/>
                <w:szCs w:val="21"/>
                <w:highlight w:val="none"/>
              </w:rPr>
              <w:t>担任职务</w:t>
            </w:r>
          </w:p>
        </w:tc>
        <w:tc>
          <w:tcPr>
            <w:tcW w:w="2355" w:type="dxa"/>
            <w:gridSpan w:val="2"/>
            <w:vAlign w:val="center"/>
          </w:tcPr>
          <w:p w14:paraId="75384E9E">
            <w:pPr>
              <w:jc w:val="center"/>
              <w:rPr>
                <w:rFonts w:ascii="宋体" w:hAnsi="宋体"/>
                <w:color w:val="auto"/>
                <w:szCs w:val="21"/>
                <w:highlight w:val="none"/>
              </w:rPr>
            </w:pPr>
            <w:r>
              <w:rPr>
                <w:rFonts w:hint="eastAsia" w:ascii="宋体" w:hAnsi="宋体"/>
                <w:color w:val="auto"/>
                <w:szCs w:val="21"/>
                <w:highlight w:val="none"/>
              </w:rPr>
              <w:t>发包人及联系电话</w:t>
            </w:r>
          </w:p>
        </w:tc>
      </w:tr>
      <w:tr w14:paraId="115A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tcPr>
          <w:p w14:paraId="3679FF33">
            <w:pPr>
              <w:spacing w:line="360" w:lineRule="auto"/>
              <w:rPr>
                <w:rFonts w:ascii="宋体" w:hAnsi="宋体"/>
                <w:color w:val="auto"/>
                <w:szCs w:val="21"/>
                <w:highlight w:val="none"/>
              </w:rPr>
            </w:pPr>
          </w:p>
        </w:tc>
        <w:tc>
          <w:tcPr>
            <w:tcW w:w="3714" w:type="dxa"/>
            <w:gridSpan w:val="4"/>
          </w:tcPr>
          <w:p w14:paraId="058DC0B2">
            <w:pPr>
              <w:spacing w:line="360" w:lineRule="auto"/>
              <w:rPr>
                <w:rFonts w:ascii="宋体" w:hAnsi="宋体"/>
                <w:color w:val="auto"/>
                <w:szCs w:val="21"/>
                <w:highlight w:val="none"/>
              </w:rPr>
            </w:pPr>
          </w:p>
        </w:tc>
        <w:tc>
          <w:tcPr>
            <w:tcW w:w="1687" w:type="dxa"/>
            <w:gridSpan w:val="2"/>
          </w:tcPr>
          <w:p w14:paraId="2ACB7A57">
            <w:pPr>
              <w:spacing w:line="360" w:lineRule="auto"/>
              <w:rPr>
                <w:rFonts w:ascii="宋体" w:hAnsi="宋体"/>
                <w:color w:val="auto"/>
                <w:szCs w:val="21"/>
                <w:highlight w:val="none"/>
              </w:rPr>
            </w:pPr>
          </w:p>
        </w:tc>
        <w:tc>
          <w:tcPr>
            <w:tcW w:w="2355" w:type="dxa"/>
            <w:gridSpan w:val="2"/>
          </w:tcPr>
          <w:p w14:paraId="11DCD56D">
            <w:pPr>
              <w:spacing w:line="360" w:lineRule="auto"/>
              <w:rPr>
                <w:rFonts w:ascii="宋体" w:hAnsi="宋体"/>
                <w:color w:val="auto"/>
                <w:szCs w:val="21"/>
                <w:highlight w:val="none"/>
              </w:rPr>
            </w:pPr>
          </w:p>
        </w:tc>
      </w:tr>
      <w:tr w14:paraId="53F4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96" w:type="dxa"/>
          </w:tcPr>
          <w:p w14:paraId="45608A3A">
            <w:pPr>
              <w:spacing w:line="360" w:lineRule="auto"/>
              <w:rPr>
                <w:rFonts w:ascii="宋体" w:hAnsi="宋体"/>
                <w:color w:val="auto"/>
                <w:szCs w:val="21"/>
                <w:highlight w:val="none"/>
              </w:rPr>
            </w:pPr>
          </w:p>
        </w:tc>
        <w:tc>
          <w:tcPr>
            <w:tcW w:w="3714" w:type="dxa"/>
            <w:gridSpan w:val="4"/>
          </w:tcPr>
          <w:p w14:paraId="2BD8088B">
            <w:pPr>
              <w:spacing w:line="360" w:lineRule="auto"/>
              <w:rPr>
                <w:rFonts w:ascii="宋体" w:hAnsi="宋体"/>
                <w:color w:val="auto"/>
                <w:szCs w:val="21"/>
                <w:highlight w:val="none"/>
              </w:rPr>
            </w:pPr>
          </w:p>
        </w:tc>
        <w:tc>
          <w:tcPr>
            <w:tcW w:w="1687" w:type="dxa"/>
            <w:gridSpan w:val="2"/>
          </w:tcPr>
          <w:p w14:paraId="2A8817E3">
            <w:pPr>
              <w:spacing w:line="360" w:lineRule="auto"/>
              <w:rPr>
                <w:rFonts w:ascii="宋体" w:hAnsi="宋体"/>
                <w:color w:val="auto"/>
                <w:szCs w:val="21"/>
                <w:highlight w:val="none"/>
              </w:rPr>
            </w:pPr>
          </w:p>
        </w:tc>
        <w:tc>
          <w:tcPr>
            <w:tcW w:w="2355" w:type="dxa"/>
            <w:gridSpan w:val="2"/>
          </w:tcPr>
          <w:p w14:paraId="473B8C2F">
            <w:pPr>
              <w:spacing w:line="360" w:lineRule="auto"/>
              <w:rPr>
                <w:rFonts w:ascii="宋体" w:hAnsi="宋体"/>
                <w:color w:val="auto"/>
                <w:szCs w:val="21"/>
                <w:highlight w:val="none"/>
              </w:rPr>
            </w:pPr>
          </w:p>
        </w:tc>
      </w:tr>
      <w:tr w14:paraId="3D54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96" w:type="dxa"/>
          </w:tcPr>
          <w:p w14:paraId="580A9743">
            <w:pPr>
              <w:spacing w:line="360" w:lineRule="auto"/>
              <w:rPr>
                <w:rFonts w:ascii="宋体" w:hAnsi="宋体"/>
                <w:color w:val="auto"/>
                <w:szCs w:val="21"/>
                <w:highlight w:val="none"/>
              </w:rPr>
            </w:pPr>
          </w:p>
        </w:tc>
        <w:tc>
          <w:tcPr>
            <w:tcW w:w="3714" w:type="dxa"/>
            <w:gridSpan w:val="4"/>
          </w:tcPr>
          <w:p w14:paraId="06431BB9">
            <w:pPr>
              <w:spacing w:line="360" w:lineRule="auto"/>
              <w:rPr>
                <w:rFonts w:ascii="宋体" w:hAnsi="宋体"/>
                <w:color w:val="auto"/>
                <w:szCs w:val="21"/>
                <w:highlight w:val="none"/>
              </w:rPr>
            </w:pPr>
          </w:p>
        </w:tc>
        <w:tc>
          <w:tcPr>
            <w:tcW w:w="1687" w:type="dxa"/>
            <w:gridSpan w:val="2"/>
          </w:tcPr>
          <w:p w14:paraId="1D950E0A">
            <w:pPr>
              <w:spacing w:line="360" w:lineRule="auto"/>
              <w:rPr>
                <w:rFonts w:ascii="宋体" w:hAnsi="宋体"/>
                <w:color w:val="auto"/>
                <w:szCs w:val="21"/>
                <w:highlight w:val="none"/>
              </w:rPr>
            </w:pPr>
          </w:p>
        </w:tc>
        <w:tc>
          <w:tcPr>
            <w:tcW w:w="2355" w:type="dxa"/>
            <w:gridSpan w:val="2"/>
          </w:tcPr>
          <w:p w14:paraId="7D2B6527">
            <w:pPr>
              <w:spacing w:line="360" w:lineRule="auto"/>
              <w:rPr>
                <w:rFonts w:ascii="宋体" w:hAnsi="宋体"/>
                <w:color w:val="auto"/>
                <w:szCs w:val="21"/>
                <w:highlight w:val="none"/>
              </w:rPr>
            </w:pPr>
          </w:p>
        </w:tc>
      </w:tr>
      <w:tr w14:paraId="5113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tcPr>
          <w:p w14:paraId="315985C1">
            <w:pPr>
              <w:spacing w:line="360" w:lineRule="auto"/>
              <w:rPr>
                <w:rFonts w:ascii="宋体" w:hAnsi="宋体"/>
                <w:color w:val="auto"/>
                <w:szCs w:val="21"/>
                <w:highlight w:val="none"/>
              </w:rPr>
            </w:pPr>
          </w:p>
        </w:tc>
        <w:tc>
          <w:tcPr>
            <w:tcW w:w="3714" w:type="dxa"/>
            <w:gridSpan w:val="4"/>
          </w:tcPr>
          <w:p w14:paraId="22D9A427">
            <w:pPr>
              <w:spacing w:line="360" w:lineRule="auto"/>
              <w:rPr>
                <w:rFonts w:ascii="宋体" w:hAnsi="宋体"/>
                <w:color w:val="auto"/>
                <w:szCs w:val="21"/>
                <w:highlight w:val="none"/>
              </w:rPr>
            </w:pPr>
          </w:p>
        </w:tc>
        <w:tc>
          <w:tcPr>
            <w:tcW w:w="1687" w:type="dxa"/>
            <w:gridSpan w:val="2"/>
          </w:tcPr>
          <w:p w14:paraId="6E3B84CB">
            <w:pPr>
              <w:spacing w:line="360" w:lineRule="auto"/>
              <w:rPr>
                <w:rFonts w:ascii="宋体" w:hAnsi="宋体"/>
                <w:color w:val="auto"/>
                <w:szCs w:val="21"/>
                <w:highlight w:val="none"/>
              </w:rPr>
            </w:pPr>
          </w:p>
        </w:tc>
        <w:tc>
          <w:tcPr>
            <w:tcW w:w="2355" w:type="dxa"/>
            <w:gridSpan w:val="2"/>
          </w:tcPr>
          <w:p w14:paraId="5E8C6F37">
            <w:pPr>
              <w:spacing w:line="360" w:lineRule="auto"/>
              <w:rPr>
                <w:rFonts w:ascii="宋体" w:hAnsi="宋体"/>
                <w:color w:val="auto"/>
                <w:szCs w:val="21"/>
                <w:highlight w:val="none"/>
              </w:rPr>
            </w:pPr>
          </w:p>
        </w:tc>
      </w:tr>
      <w:tr w14:paraId="67E1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196" w:type="dxa"/>
          </w:tcPr>
          <w:p w14:paraId="7A61E88B">
            <w:pPr>
              <w:spacing w:line="360" w:lineRule="auto"/>
              <w:rPr>
                <w:rFonts w:ascii="宋体" w:hAnsi="宋体"/>
                <w:color w:val="auto"/>
                <w:szCs w:val="21"/>
                <w:highlight w:val="none"/>
              </w:rPr>
            </w:pPr>
          </w:p>
        </w:tc>
        <w:tc>
          <w:tcPr>
            <w:tcW w:w="3714" w:type="dxa"/>
            <w:gridSpan w:val="4"/>
          </w:tcPr>
          <w:p w14:paraId="75B02623">
            <w:pPr>
              <w:spacing w:line="360" w:lineRule="auto"/>
              <w:rPr>
                <w:rFonts w:ascii="宋体" w:hAnsi="宋体"/>
                <w:color w:val="auto"/>
                <w:szCs w:val="21"/>
                <w:highlight w:val="none"/>
              </w:rPr>
            </w:pPr>
          </w:p>
        </w:tc>
        <w:tc>
          <w:tcPr>
            <w:tcW w:w="1687" w:type="dxa"/>
            <w:gridSpan w:val="2"/>
          </w:tcPr>
          <w:p w14:paraId="3FCDF103">
            <w:pPr>
              <w:spacing w:line="360" w:lineRule="auto"/>
              <w:rPr>
                <w:rFonts w:ascii="宋体" w:hAnsi="宋体"/>
                <w:color w:val="auto"/>
                <w:szCs w:val="21"/>
                <w:highlight w:val="none"/>
              </w:rPr>
            </w:pPr>
          </w:p>
        </w:tc>
        <w:tc>
          <w:tcPr>
            <w:tcW w:w="2355" w:type="dxa"/>
            <w:gridSpan w:val="2"/>
          </w:tcPr>
          <w:p w14:paraId="01DF05B4">
            <w:pPr>
              <w:spacing w:line="360" w:lineRule="auto"/>
              <w:rPr>
                <w:rFonts w:ascii="宋体" w:hAnsi="宋体"/>
                <w:color w:val="auto"/>
                <w:szCs w:val="21"/>
                <w:highlight w:val="none"/>
              </w:rPr>
            </w:pPr>
          </w:p>
        </w:tc>
      </w:tr>
      <w:tr w14:paraId="10DC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196" w:type="dxa"/>
          </w:tcPr>
          <w:p w14:paraId="1B7231E1">
            <w:pPr>
              <w:spacing w:line="360" w:lineRule="auto"/>
              <w:rPr>
                <w:rFonts w:ascii="宋体" w:hAnsi="宋体"/>
                <w:color w:val="auto"/>
                <w:szCs w:val="21"/>
                <w:highlight w:val="none"/>
              </w:rPr>
            </w:pPr>
          </w:p>
        </w:tc>
        <w:tc>
          <w:tcPr>
            <w:tcW w:w="3714" w:type="dxa"/>
            <w:gridSpan w:val="4"/>
          </w:tcPr>
          <w:p w14:paraId="0B33C341">
            <w:pPr>
              <w:spacing w:line="360" w:lineRule="auto"/>
              <w:rPr>
                <w:rFonts w:ascii="宋体" w:hAnsi="宋体"/>
                <w:color w:val="auto"/>
                <w:szCs w:val="21"/>
                <w:highlight w:val="none"/>
              </w:rPr>
            </w:pPr>
          </w:p>
        </w:tc>
        <w:tc>
          <w:tcPr>
            <w:tcW w:w="1687" w:type="dxa"/>
            <w:gridSpan w:val="2"/>
          </w:tcPr>
          <w:p w14:paraId="119A9460">
            <w:pPr>
              <w:spacing w:line="360" w:lineRule="auto"/>
              <w:rPr>
                <w:rFonts w:ascii="宋体" w:hAnsi="宋体"/>
                <w:color w:val="auto"/>
                <w:szCs w:val="21"/>
                <w:highlight w:val="none"/>
              </w:rPr>
            </w:pPr>
          </w:p>
        </w:tc>
        <w:tc>
          <w:tcPr>
            <w:tcW w:w="2355" w:type="dxa"/>
            <w:gridSpan w:val="2"/>
          </w:tcPr>
          <w:p w14:paraId="4ED70B4B">
            <w:pPr>
              <w:spacing w:line="360" w:lineRule="auto"/>
              <w:rPr>
                <w:rFonts w:ascii="宋体" w:hAnsi="宋体"/>
                <w:color w:val="auto"/>
                <w:szCs w:val="21"/>
                <w:highlight w:val="none"/>
              </w:rPr>
            </w:pPr>
          </w:p>
        </w:tc>
      </w:tr>
      <w:tr w14:paraId="7C79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6" w:type="dxa"/>
          </w:tcPr>
          <w:p w14:paraId="0F2FF5AB">
            <w:pPr>
              <w:spacing w:line="360" w:lineRule="auto"/>
              <w:rPr>
                <w:rFonts w:ascii="宋体" w:hAnsi="宋体"/>
                <w:color w:val="auto"/>
                <w:szCs w:val="21"/>
                <w:highlight w:val="none"/>
              </w:rPr>
            </w:pPr>
          </w:p>
        </w:tc>
        <w:tc>
          <w:tcPr>
            <w:tcW w:w="3714" w:type="dxa"/>
            <w:gridSpan w:val="4"/>
          </w:tcPr>
          <w:p w14:paraId="7BCE4D65">
            <w:pPr>
              <w:spacing w:line="360" w:lineRule="auto"/>
              <w:rPr>
                <w:rFonts w:ascii="宋体" w:hAnsi="宋体"/>
                <w:color w:val="auto"/>
                <w:szCs w:val="21"/>
                <w:highlight w:val="none"/>
              </w:rPr>
            </w:pPr>
          </w:p>
        </w:tc>
        <w:tc>
          <w:tcPr>
            <w:tcW w:w="1687" w:type="dxa"/>
            <w:gridSpan w:val="2"/>
          </w:tcPr>
          <w:p w14:paraId="10B59425">
            <w:pPr>
              <w:spacing w:line="360" w:lineRule="auto"/>
              <w:rPr>
                <w:rFonts w:ascii="宋体" w:hAnsi="宋体"/>
                <w:color w:val="auto"/>
                <w:szCs w:val="21"/>
                <w:highlight w:val="none"/>
              </w:rPr>
            </w:pPr>
          </w:p>
        </w:tc>
        <w:tc>
          <w:tcPr>
            <w:tcW w:w="2355" w:type="dxa"/>
            <w:gridSpan w:val="2"/>
          </w:tcPr>
          <w:p w14:paraId="42D3D79A">
            <w:pPr>
              <w:spacing w:line="360" w:lineRule="auto"/>
              <w:rPr>
                <w:rFonts w:ascii="宋体" w:hAnsi="宋体"/>
                <w:color w:val="auto"/>
                <w:szCs w:val="21"/>
                <w:highlight w:val="none"/>
              </w:rPr>
            </w:pPr>
          </w:p>
        </w:tc>
      </w:tr>
      <w:tr w14:paraId="3021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96" w:type="dxa"/>
          </w:tcPr>
          <w:p w14:paraId="0E965072">
            <w:pPr>
              <w:spacing w:line="360" w:lineRule="auto"/>
              <w:rPr>
                <w:rFonts w:ascii="宋体" w:hAnsi="宋体"/>
                <w:color w:val="auto"/>
                <w:szCs w:val="21"/>
                <w:highlight w:val="none"/>
              </w:rPr>
            </w:pPr>
          </w:p>
        </w:tc>
        <w:tc>
          <w:tcPr>
            <w:tcW w:w="3714" w:type="dxa"/>
            <w:gridSpan w:val="4"/>
          </w:tcPr>
          <w:p w14:paraId="27A2D8F9">
            <w:pPr>
              <w:spacing w:line="360" w:lineRule="auto"/>
              <w:rPr>
                <w:rFonts w:ascii="宋体" w:hAnsi="宋体"/>
                <w:color w:val="auto"/>
                <w:szCs w:val="21"/>
                <w:highlight w:val="none"/>
              </w:rPr>
            </w:pPr>
          </w:p>
        </w:tc>
        <w:tc>
          <w:tcPr>
            <w:tcW w:w="1687" w:type="dxa"/>
            <w:gridSpan w:val="2"/>
          </w:tcPr>
          <w:p w14:paraId="252362BA">
            <w:pPr>
              <w:spacing w:line="360" w:lineRule="auto"/>
              <w:rPr>
                <w:rFonts w:ascii="宋体" w:hAnsi="宋体"/>
                <w:color w:val="auto"/>
                <w:szCs w:val="21"/>
                <w:highlight w:val="none"/>
              </w:rPr>
            </w:pPr>
          </w:p>
        </w:tc>
        <w:tc>
          <w:tcPr>
            <w:tcW w:w="2355" w:type="dxa"/>
            <w:gridSpan w:val="2"/>
          </w:tcPr>
          <w:p w14:paraId="1462E291">
            <w:pPr>
              <w:spacing w:line="360" w:lineRule="auto"/>
              <w:rPr>
                <w:rFonts w:ascii="宋体" w:hAnsi="宋体"/>
                <w:color w:val="auto"/>
                <w:szCs w:val="21"/>
                <w:highlight w:val="none"/>
              </w:rPr>
            </w:pPr>
          </w:p>
        </w:tc>
      </w:tr>
      <w:tr w14:paraId="7BD9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96" w:type="dxa"/>
          </w:tcPr>
          <w:p w14:paraId="27DDA09A">
            <w:pPr>
              <w:spacing w:line="360" w:lineRule="auto"/>
              <w:rPr>
                <w:rFonts w:ascii="宋体" w:hAnsi="宋体"/>
                <w:color w:val="auto"/>
                <w:szCs w:val="21"/>
                <w:highlight w:val="none"/>
              </w:rPr>
            </w:pPr>
          </w:p>
        </w:tc>
        <w:tc>
          <w:tcPr>
            <w:tcW w:w="3714" w:type="dxa"/>
            <w:gridSpan w:val="4"/>
          </w:tcPr>
          <w:p w14:paraId="1F1B5B79">
            <w:pPr>
              <w:spacing w:line="360" w:lineRule="auto"/>
              <w:rPr>
                <w:rFonts w:ascii="宋体" w:hAnsi="宋体"/>
                <w:color w:val="auto"/>
                <w:szCs w:val="21"/>
                <w:highlight w:val="none"/>
              </w:rPr>
            </w:pPr>
          </w:p>
        </w:tc>
        <w:tc>
          <w:tcPr>
            <w:tcW w:w="1687" w:type="dxa"/>
            <w:gridSpan w:val="2"/>
          </w:tcPr>
          <w:p w14:paraId="1DE655FE">
            <w:pPr>
              <w:spacing w:line="360" w:lineRule="auto"/>
              <w:rPr>
                <w:rFonts w:ascii="宋体" w:hAnsi="宋体"/>
                <w:color w:val="auto"/>
                <w:szCs w:val="21"/>
                <w:highlight w:val="none"/>
              </w:rPr>
            </w:pPr>
          </w:p>
        </w:tc>
        <w:tc>
          <w:tcPr>
            <w:tcW w:w="2355" w:type="dxa"/>
            <w:gridSpan w:val="2"/>
          </w:tcPr>
          <w:p w14:paraId="7802215C">
            <w:pPr>
              <w:spacing w:line="360" w:lineRule="auto"/>
              <w:rPr>
                <w:rFonts w:ascii="宋体" w:hAnsi="宋体"/>
                <w:color w:val="auto"/>
                <w:szCs w:val="21"/>
                <w:highlight w:val="none"/>
              </w:rPr>
            </w:pPr>
          </w:p>
        </w:tc>
      </w:tr>
    </w:tbl>
    <w:p w14:paraId="28DE5E45">
      <w:pPr>
        <w:spacing w:line="360" w:lineRule="auto"/>
        <w:ind w:firstLine="630" w:firstLineChars="300"/>
        <w:rPr>
          <w:rFonts w:ascii="宋体" w:hAnsi="宋体"/>
          <w:bCs/>
          <w:color w:val="auto"/>
          <w:szCs w:val="21"/>
          <w:highlight w:val="none"/>
        </w:rPr>
      </w:pPr>
      <w:r>
        <w:rPr>
          <w:rFonts w:hint="eastAsia" w:ascii="宋体" w:hAnsi="宋体"/>
          <w:color w:val="auto"/>
          <w:szCs w:val="21"/>
          <w:highlight w:val="none"/>
        </w:rPr>
        <w:t>注：项目经理应附注册建造师证、身份证、职称证、</w:t>
      </w:r>
      <w:r>
        <w:rPr>
          <w:rFonts w:ascii="宋体" w:hAnsi="宋体"/>
          <w:color w:val="auto"/>
          <w:szCs w:val="21"/>
          <w:highlight w:val="none"/>
        </w:rPr>
        <w:t>安全生产考核合格证书B证</w:t>
      </w:r>
      <w:r>
        <w:rPr>
          <w:rFonts w:hint="eastAsia" w:ascii="宋体" w:hAnsi="宋体"/>
          <w:color w:val="auto"/>
          <w:szCs w:val="21"/>
          <w:highlight w:val="none"/>
        </w:rPr>
        <w:t>、连续六月</w:t>
      </w:r>
      <w:r>
        <w:rPr>
          <w:rFonts w:ascii="宋体" w:hAnsi="宋体"/>
          <w:color w:val="auto"/>
          <w:szCs w:val="21"/>
          <w:highlight w:val="none"/>
        </w:rPr>
        <w:t>社保缴费</w:t>
      </w:r>
      <w:r>
        <w:rPr>
          <w:rFonts w:hint="eastAsia" w:ascii="宋体" w:hAnsi="宋体"/>
          <w:color w:val="auto"/>
          <w:szCs w:val="21"/>
          <w:highlight w:val="none"/>
        </w:rPr>
        <w:t>证明扫描件；技术负责人应附身份证、职称证、连续六个月</w:t>
      </w:r>
      <w:r>
        <w:rPr>
          <w:rFonts w:ascii="宋体" w:hAnsi="宋体"/>
          <w:color w:val="auto"/>
          <w:szCs w:val="21"/>
          <w:highlight w:val="none"/>
        </w:rPr>
        <w:t>社保缴费</w:t>
      </w:r>
      <w:r>
        <w:rPr>
          <w:rFonts w:hint="eastAsia" w:ascii="宋体" w:hAnsi="宋体"/>
          <w:color w:val="auto"/>
          <w:szCs w:val="21"/>
          <w:highlight w:val="none"/>
        </w:rPr>
        <w:t>证明</w:t>
      </w:r>
      <w:r>
        <w:rPr>
          <w:rFonts w:ascii="宋体" w:hAnsi="宋体"/>
          <w:b/>
          <w:color w:val="auto"/>
          <w:sz w:val="20"/>
          <w:szCs w:val="20"/>
          <w:highlight w:val="none"/>
        </w:rPr>
        <w:t>（</w:t>
      </w:r>
      <w:r>
        <w:rPr>
          <w:rFonts w:hint="eastAsia" w:ascii="宋体" w:hAnsi="宋体"/>
          <w:bCs/>
          <w:color w:val="auto"/>
          <w:sz w:val="20"/>
          <w:szCs w:val="20"/>
          <w:highlight w:val="none"/>
        </w:rPr>
        <w:t>社保缴费证明：其证明资料可以是社保部门或税务机关开具的资料，也可以是社会劳动保险或税务机关公共服务平台的附带二维码及校验码的社保权益记录信息资料</w:t>
      </w:r>
      <w:r>
        <w:rPr>
          <w:rFonts w:ascii="宋体" w:hAnsi="宋体"/>
          <w:bCs/>
          <w:color w:val="auto"/>
          <w:sz w:val="20"/>
          <w:szCs w:val="20"/>
          <w:highlight w:val="none"/>
        </w:rPr>
        <w:t>）</w:t>
      </w:r>
      <w:r>
        <w:rPr>
          <w:rFonts w:hint="eastAsia" w:ascii="宋体" w:hAnsi="宋体"/>
          <w:bCs/>
          <w:color w:val="auto"/>
          <w:szCs w:val="21"/>
          <w:highlight w:val="none"/>
        </w:rPr>
        <w:t>。</w:t>
      </w:r>
      <w:r>
        <w:rPr>
          <w:rFonts w:hint="eastAsia" w:ascii="宋体" w:hAnsi="宋体"/>
          <w:bCs/>
          <w:color w:val="auto"/>
          <w:sz w:val="20"/>
          <w:szCs w:val="20"/>
          <w:highlight w:val="none"/>
        </w:rPr>
        <w:t>注册建造师证书的专业以建造师证书上注明的专业为准，职称的专业以职称证书上注明的专业为准。</w:t>
      </w:r>
    </w:p>
    <w:p w14:paraId="774CF591">
      <w:pPr>
        <w:pStyle w:val="4"/>
        <w:jc w:val="center"/>
        <w:rPr>
          <w:rFonts w:ascii="宋体" w:hAnsi="宋体"/>
          <w:color w:val="auto"/>
          <w:szCs w:val="21"/>
          <w:highlight w:val="none"/>
        </w:rPr>
      </w:pPr>
    </w:p>
    <w:p w14:paraId="724596B1">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p>
    <w:p w14:paraId="74C2A150">
      <w:pPr>
        <w:pStyle w:val="4"/>
        <w:jc w:val="center"/>
        <w:rPr>
          <w:color w:val="auto"/>
          <w:highlight w:val="none"/>
        </w:rPr>
      </w:pPr>
      <w:bookmarkStart w:id="1370" w:name="_Toc490832378"/>
      <w:bookmarkStart w:id="1371" w:name="_Toc419825095"/>
      <w:bookmarkStart w:id="1372" w:name="_Toc290198810"/>
      <w:bookmarkStart w:id="1373" w:name="_Toc463799123"/>
      <w:bookmarkStart w:id="1374" w:name="_Toc419825443"/>
      <w:bookmarkStart w:id="1375" w:name="_Toc13227"/>
      <w:r>
        <w:rPr>
          <w:rFonts w:hint="eastAsia"/>
          <w:color w:val="auto"/>
          <w:highlight w:val="none"/>
        </w:rPr>
        <w:t>七、</w:t>
      </w:r>
      <w:bookmarkStart w:id="1376" w:name="_Toc215537424"/>
      <w:bookmarkStart w:id="1377" w:name="_Toc200777825"/>
      <w:bookmarkStart w:id="1378" w:name="_Toc215308997"/>
      <w:r>
        <w:rPr>
          <w:rFonts w:hint="eastAsia"/>
          <w:color w:val="auto"/>
          <w:highlight w:val="none"/>
        </w:rPr>
        <w:t>资格审查资料</w:t>
      </w:r>
      <w:bookmarkEnd w:id="1370"/>
      <w:bookmarkEnd w:id="1371"/>
      <w:bookmarkEnd w:id="1372"/>
      <w:bookmarkEnd w:id="1373"/>
      <w:bookmarkEnd w:id="1374"/>
      <w:bookmarkEnd w:id="1375"/>
      <w:bookmarkEnd w:id="1376"/>
      <w:bookmarkEnd w:id="1377"/>
      <w:bookmarkEnd w:id="1378"/>
    </w:p>
    <w:p w14:paraId="372A0684">
      <w:pPr>
        <w:pStyle w:val="5"/>
        <w:jc w:val="center"/>
        <w:rPr>
          <w:color w:val="auto"/>
          <w:highlight w:val="none"/>
        </w:rPr>
      </w:pPr>
      <w:bookmarkStart w:id="1379" w:name="_Toc200777826"/>
      <w:r>
        <w:rPr>
          <w:rFonts w:hint="eastAsia"/>
          <w:color w:val="auto"/>
          <w:highlight w:val="none"/>
        </w:rPr>
        <w:t>（一）投标人基本情况表</w:t>
      </w:r>
    </w:p>
    <w:p w14:paraId="52187834">
      <w:pPr>
        <w:spacing w:line="360" w:lineRule="auto"/>
        <w:rPr>
          <w:rFonts w:ascii="宋体" w:hAnsi="宋体"/>
          <w:color w:val="auto"/>
          <w:szCs w:val="21"/>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089"/>
        <w:gridCol w:w="176"/>
        <w:gridCol w:w="723"/>
        <w:gridCol w:w="1077"/>
      </w:tblGrid>
      <w:tr w14:paraId="49A2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980" w:type="dxa"/>
            <w:vAlign w:val="center"/>
          </w:tcPr>
          <w:p w14:paraId="05ACF35E">
            <w:pPr>
              <w:rPr>
                <w:rFonts w:ascii="宋体" w:hAnsi="宋体"/>
                <w:color w:val="auto"/>
                <w:szCs w:val="21"/>
                <w:highlight w:val="none"/>
              </w:rPr>
            </w:pPr>
            <w:r>
              <w:rPr>
                <w:rFonts w:hint="eastAsia" w:ascii="宋体" w:hAnsi="宋体"/>
                <w:color w:val="auto"/>
                <w:szCs w:val="21"/>
                <w:highlight w:val="none"/>
              </w:rPr>
              <w:t>投标人名称</w:t>
            </w:r>
          </w:p>
        </w:tc>
        <w:tc>
          <w:tcPr>
            <w:tcW w:w="7197" w:type="dxa"/>
            <w:gridSpan w:val="8"/>
          </w:tcPr>
          <w:p w14:paraId="0C310294">
            <w:pPr>
              <w:spacing w:line="360" w:lineRule="auto"/>
              <w:rPr>
                <w:rFonts w:ascii="宋体" w:hAnsi="宋体"/>
                <w:color w:val="auto"/>
                <w:szCs w:val="21"/>
                <w:highlight w:val="none"/>
              </w:rPr>
            </w:pPr>
          </w:p>
        </w:tc>
      </w:tr>
      <w:tr w14:paraId="7206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0" w:type="dxa"/>
            <w:vAlign w:val="center"/>
          </w:tcPr>
          <w:p w14:paraId="544A071A">
            <w:pPr>
              <w:rPr>
                <w:rFonts w:ascii="宋体" w:hAnsi="宋体"/>
                <w:color w:val="auto"/>
                <w:szCs w:val="21"/>
                <w:highlight w:val="none"/>
              </w:rPr>
            </w:pPr>
            <w:r>
              <w:rPr>
                <w:rFonts w:hint="eastAsia" w:ascii="宋体" w:hAnsi="宋体"/>
                <w:color w:val="auto"/>
                <w:szCs w:val="21"/>
                <w:highlight w:val="none"/>
              </w:rPr>
              <w:t>注册地址</w:t>
            </w:r>
          </w:p>
        </w:tc>
        <w:tc>
          <w:tcPr>
            <w:tcW w:w="4132" w:type="dxa"/>
            <w:gridSpan w:val="4"/>
          </w:tcPr>
          <w:p w14:paraId="0188D391">
            <w:pPr>
              <w:spacing w:line="360" w:lineRule="auto"/>
              <w:rPr>
                <w:rFonts w:ascii="宋体" w:hAnsi="宋体"/>
                <w:color w:val="auto"/>
                <w:szCs w:val="21"/>
                <w:highlight w:val="none"/>
              </w:rPr>
            </w:pPr>
          </w:p>
        </w:tc>
        <w:tc>
          <w:tcPr>
            <w:tcW w:w="1089" w:type="dxa"/>
            <w:vAlign w:val="center"/>
          </w:tcPr>
          <w:p w14:paraId="0A6F0092">
            <w:pPr>
              <w:jc w:val="center"/>
              <w:rPr>
                <w:rFonts w:ascii="宋体" w:hAnsi="宋体"/>
                <w:color w:val="auto"/>
                <w:szCs w:val="21"/>
                <w:highlight w:val="none"/>
              </w:rPr>
            </w:pPr>
            <w:r>
              <w:rPr>
                <w:rFonts w:hint="eastAsia" w:ascii="宋体" w:hAnsi="宋体"/>
                <w:color w:val="auto"/>
                <w:szCs w:val="21"/>
                <w:highlight w:val="none"/>
              </w:rPr>
              <w:t>邮政编码</w:t>
            </w:r>
          </w:p>
        </w:tc>
        <w:tc>
          <w:tcPr>
            <w:tcW w:w="1976" w:type="dxa"/>
            <w:gridSpan w:val="3"/>
          </w:tcPr>
          <w:p w14:paraId="5CD50F87">
            <w:pPr>
              <w:spacing w:line="360" w:lineRule="auto"/>
              <w:rPr>
                <w:rFonts w:ascii="宋体" w:hAnsi="宋体"/>
                <w:color w:val="auto"/>
                <w:szCs w:val="21"/>
                <w:highlight w:val="none"/>
              </w:rPr>
            </w:pPr>
          </w:p>
        </w:tc>
      </w:tr>
      <w:tr w14:paraId="297AB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vAlign w:val="center"/>
          </w:tcPr>
          <w:p w14:paraId="14313081">
            <w:pPr>
              <w:rPr>
                <w:rFonts w:ascii="宋体" w:hAnsi="宋体"/>
                <w:color w:val="auto"/>
                <w:szCs w:val="21"/>
                <w:highlight w:val="none"/>
              </w:rPr>
            </w:pPr>
            <w:r>
              <w:rPr>
                <w:rFonts w:hint="eastAsia" w:ascii="宋体" w:hAnsi="宋体"/>
                <w:color w:val="auto"/>
                <w:szCs w:val="21"/>
                <w:highlight w:val="none"/>
              </w:rPr>
              <w:t>联系方式</w:t>
            </w:r>
          </w:p>
        </w:tc>
        <w:tc>
          <w:tcPr>
            <w:tcW w:w="1077" w:type="dxa"/>
            <w:vAlign w:val="center"/>
          </w:tcPr>
          <w:p w14:paraId="0F61DD48">
            <w:pPr>
              <w:jc w:val="center"/>
              <w:rPr>
                <w:rFonts w:ascii="宋体" w:hAnsi="宋体"/>
                <w:color w:val="auto"/>
                <w:szCs w:val="21"/>
                <w:highlight w:val="none"/>
              </w:rPr>
            </w:pPr>
            <w:r>
              <w:rPr>
                <w:rFonts w:hint="eastAsia" w:ascii="宋体" w:hAnsi="宋体"/>
                <w:color w:val="auto"/>
                <w:szCs w:val="21"/>
                <w:highlight w:val="none"/>
              </w:rPr>
              <w:t>联系人</w:t>
            </w:r>
          </w:p>
        </w:tc>
        <w:tc>
          <w:tcPr>
            <w:tcW w:w="3055" w:type="dxa"/>
            <w:gridSpan w:val="3"/>
          </w:tcPr>
          <w:p w14:paraId="57210C44">
            <w:pPr>
              <w:spacing w:line="360" w:lineRule="auto"/>
              <w:rPr>
                <w:rFonts w:ascii="宋体" w:hAnsi="宋体"/>
                <w:color w:val="auto"/>
                <w:szCs w:val="21"/>
                <w:highlight w:val="none"/>
              </w:rPr>
            </w:pPr>
          </w:p>
        </w:tc>
        <w:tc>
          <w:tcPr>
            <w:tcW w:w="1089" w:type="dxa"/>
            <w:vAlign w:val="center"/>
          </w:tcPr>
          <w:p w14:paraId="0535BBE9">
            <w:pPr>
              <w:jc w:val="center"/>
              <w:rPr>
                <w:rFonts w:ascii="宋体" w:hAnsi="宋体"/>
                <w:color w:val="auto"/>
                <w:szCs w:val="21"/>
                <w:highlight w:val="none"/>
              </w:rPr>
            </w:pPr>
            <w:r>
              <w:rPr>
                <w:rFonts w:hint="eastAsia" w:ascii="宋体" w:hAnsi="宋体"/>
                <w:color w:val="auto"/>
                <w:szCs w:val="21"/>
                <w:highlight w:val="none"/>
              </w:rPr>
              <w:t>电话</w:t>
            </w:r>
          </w:p>
        </w:tc>
        <w:tc>
          <w:tcPr>
            <w:tcW w:w="1976" w:type="dxa"/>
            <w:gridSpan w:val="3"/>
          </w:tcPr>
          <w:p w14:paraId="5A449A5C">
            <w:pPr>
              <w:spacing w:line="360" w:lineRule="auto"/>
              <w:rPr>
                <w:rFonts w:ascii="宋体" w:hAnsi="宋体"/>
                <w:color w:val="auto"/>
                <w:szCs w:val="21"/>
                <w:highlight w:val="none"/>
              </w:rPr>
            </w:pPr>
          </w:p>
        </w:tc>
      </w:tr>
      <w:tr w14:paraId="5205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tcPr>
          <w:p w14:paraId="401199F4">
            <w:pPr>
              <w:spacing w:line="360" w:lineRule="auto"/>
              <w:rPr>
                <w:rFonts w:ascii="宋体" w:hAnsi="宋体"/>
                <w:color w:val="auto"/>
                <w:szCs w:val="21"/>
                <w:highlight w:val="none"/>
              </w:rPr>
            </w:pPr>
          </w:p>
        </w:tc>
        <w:tc>
          <w:tcPr>
            <w:tcW w:w="1077" w:type="dxa"/>
            <w:vAlign w:val="center"/>
          </w:tcPr>
          <w:p w14:paraId="7A837E48">
            <w:pPr>
              <w:jc w:val="center"/>
              <w:rPr>
                <w:rFonts w:ascii="宋体" w:hAnsi="宋体"/>
                <w:color w:val="auto"/>
                <w:szCs w:val="21"/>
                <w:highlight w:val="none"/>
              </w:rPr>
            </w:pPr>
            <w:r>
              <w:rPr>
                <w:rFonts w:hint="eastAsia" w:ascii="宋体" w:hAnsi="宋体"/>
                <w:color w:val="auto"/>
                <w:szCs w:val="21"/>
                <w:highlight w:val="none"/>
              </w:rPr>
              <w:t>传真</w:t>
            </w:r>
          </w:p>
        </w:tc>
        <w:tc>
          <w:tcPr>
            <w:tcW w:w="3055" w:type="dxa"/>
            <w:gridSpan w:val="3"/>
          </w:tcPr>
          <w:p w14:paraId="16345AE8">
            <w:pPr>
              <w:spacing w:line="360" w:lineRule="auto"/>
              <w:rPr>
                <w:rFonts w:ascii="宋体" w:hAnsi="宋体"/>
                <w:color w:val="auto"/>
                <w:szCs w:val="21"/>
                <w:highlight w:val="none"/>
              </w:rPr>
            </w:pPr>
          </w:p>
        </w:tc>
        <w:tc>
          <w:tcPr>
            <w:tcW w:w="1089" w:type="dxa"/>
            <w:vAlign w:val="center"/>
          </w:tcPr>
          <w:p w14:paraId="7AAB866F">
            <w:pPr>
              <w:jc w:val="center"/>
              <w:rPr>
                <w:rFonts w:ascii="宋体" w:hAnsi="宋体"/>
                <w:color w:val="auto"/>
                <w:szCs w:val="21"/>
                <w:highlight w:val="none"/>
              </w:rPr>
            </w:pPr>
            <w:r>
              <w:rPr>
                <w:rFonts w:hint="eastAsia" w:ascii="宋体" w:hAnsi="宋体"/>
                <w:color w:val="auto"/>
                <w:szCs w:val="21"/>
                <w:highlight w:val="none"/>
              </w:rPr>
              <w:t>网址</w:t>
            </w:r>
          </w:p>
        </w:tc>
        <w:tc>
          <w:tcPr>
            <w:tcW w:w="1976" w:type="dxa"/>
            <w:gridSpan w:val="3"/>
          </w:tcPr>
          <w:p w14:paraId="34CA52A7">
            <w:pPr>
              <w:spacing w:line="360" w:lineRule="auto"/>
              <w:rPr>
                <w:rFonts w:ascii="宋体" w:hAnsi="宋体"/>
                <w:color w:val="auto"/>
                <w:szCs w:val="21"/>
                <w:highlight w:val="none"/>
              </w:rPr>
            </w:pPr>
          </w:p>
        </w:tc>
      </w:tr>
      <w:tr w14:paraId="328C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14:paraId="1906A3EE">
            <w:pPr>
              <w:rPr>
                <w:rFonts w:ascii="宋体" w:hAnsi="宋体"/>
                <w:color w:val="auto"/>
                <w:szCs w:val="21"/>
                <w:highlight w:val="none"/>
              </w:rPr>
            </w:pPr>
            <w:r>
              <w:rPr>
                <w:rFonts w:hint="eastAsia" w:ascii="宋体" w:hAnsi="宋体"/>
                <w:color w:val="auto"/>
                <w:szCs w:val="21"/>
                <w:highlight w:val="none"/>
              </w:rPr>
              <w:t>组织结构</w:t>
            </w:r>
          </w:p>
        </w:tc>
        <w:tc>
          <w:tcPr>
            <w:tcW w:w="7197" w:type="dxa"/>
            <w:gridSpan w:val="8"/>
          </w:tcPr>
          <w:p w14:paraId="5586E6AC">
            <w:pPr>
              <w:spacing w:line="360" w:lineRule="auto"/>
              <w:jc w:val="center"/>
              <w:rPr>
                <w:rFonts w:ascii="宋体" w:hAnsi="宋体"/>
                <w:color w:val="auto"/>
                <w:szCs w:val="21"/>
                <w:highlight w:val="none"/>
              </w:rPr>
            </w:pPr>
          </w:p>
        </w:tc>
      </w:tr>
      <w:tr w14:paraId="1474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vAlign w:val="center"/>
          </w:tcPr>
          <w:p w14:paraId="7E08C2AC">
            <w:pPr>
              <w:rPr>
                <w:rFonts w:ascii="宋体" w:hAnsi="宋体"/>
                <w:color w:val="auto"/>
                <w:szCs w:val="21"/>
                <w:highlight w:val="none"/>
              </w:rPr>
            </w:pPr>
            <w:r>
              <w:rPr>
                <w:rFonts w:hint="eastAsia" w:ascii="宋体" w:hAnsi="宋体"/>
                <w:color w:val="auto"/>
                <w:szCs w:val="21"/>
                <w:highlight w:val="none"/>
              </w:rPr>
              <w:t>法定代表人</w:t>
            </w:r>
          </w:p>
        </w:tc>
        <w:tc>
          <w:tcPr>
            <w:tcW w:w="1077" w:type="dxa"/>
            <w:vAlign w:val="center"/>
          </w:tcPr>
          <w:p w14:paraId="7F6EB47B">
            <w:pPr>
              <w:jc w:val="center"/>
              <w:rPr>
                <w:rFonts w:ascii="宋体" w:hAnsi="宋体"/>
                <w:color w:val="auto"/>
                <w:szCs w:val="21"/>
                <w:highlight w:val="none"/>
              </w:rPr>
            </w:pPr>
            <w:r>
              <w:rPr>
                <w:rFonts w:hint="eastAsia" w:ascii="宋体" w:hAnsi="宋体"/>
                <w:color w:val="auto"/>
                <w:szCs w:val="21"/>
                <w:highlight w:val="none"/>
              </w:rPr>
              <w:t>姓名</w:t>
            </w:r>
          </w:p>
        </w:tc>
        <w:tc>
          <w:tcPr>
            <w:tcW w:w="1803" w:type="dxa"/>
          </w:tcPr>
          <w:p w14:paraId="1BF7565F">
            <w:pPr>
              <w:spacing w:line="360" w:lineRule="auto"/>
              <w:rPr>
                <w:rFonts w:ascii="宋体" w:hAnsi="宋体"/>
                <w:color w:val="auto"/>
                <w:szCs w:val="21"/>
                <w:highlight w:val="none"/>
              </w:rPr>
            </w:pPr>
          </w:p>
        </w:tc>
        <w:tc>
          <w:tcPr>
            <w:tcW w:w="1252" w:type="dxa"/>
            <w:gridSpan w:val="2"/>
            <w:vAlign w:val="center"/>
          </w:tcPr>
          <w:p w14:paraId="144DBA70">
            <w:pPr>
              <w:rPr>
                <w:rFonts w:ascii="宋体" w:hAnsi="宋体"/>
                <w:color w:val="auto"/>
                <w:szCs w:val="21"/>
                <w:highlight w:val="none"/>
              </w:rPr>
            </w:pPr>
            <w:r>
              <w:rPr>
                <w:rFonts w:hint="eastAsia" w:ascii="宋体" w:hAnsi="宋体"/>
                <w:color w:val="auto"/>
                <w:szCs w:val="21"/>
                <w:highlight w:val="none"/>
              </w:rPr>
              <w:t>技术职称</w:t>
            </w:r>
          </w:p>
        </w:tc>
        <w:tc>
          <w:tcPr>
            <w:tcW w:w="1265" w:type="dxa"/>
            <w:gridSpan w:val="2"/>
          </w:tcPr>
          <w:p w14:paraId="31AA70F0">
            <w:pPr>
              <w:spacing w:line="360" w:lineRule="auto"/>
              <w:rPr>
                <w:rFonts w:ascii="宋体" w:hAnsi="宋体"/>
                <w:color w:val="auto"/>
                <w:szCs w:val="21"/>
                <w:highlight w:val="none"/>
              </w:rPr>
            </w:pPr>
          </w:p>
        </w:tc>
        <w:tc>
          <w:tcPr>
            <w:tcW w:w="723" w:type="dxa"/>
            <w:vAlign w:val="center"/>
          </w:tcPr>
          <w:p w14:paraId="5ACC1835">
            <w:pPr>
              <w:rPr>
                <w:rFonts w:ascii="宋体" w:hAnsi="宋体"/>
                <w:color w:val="auto"/>
                <w:szCs w:val="21"/>
                <w:highlight w:val="none"/>
              </w:rPr>
            </w:pPr>
            <w:r>
              <w:rPr>
                <w:rFonts w:hint="eastAsia" w:ascii="宋体" w:hAnsi="宋体"/>
                <w:color w:val="auto"/>
                <w:szCs w:val="21"/>
                <w:highlight w:val="none"/>
              </w:rPr>
              <w:t>电话</w:t>
            </w:r>
          </w:p>
        </w:tc>
        <w:tc>
          <w:tcPr>
            <w:tcW w:w="1077" w:type="dxa"/>
          </w:tcPr>
          <w:p w14:paraId="4FBA29EC">
            <w:pPr>
              <w:spacing w:line="360" w:lineRule="auto"/>
              <w:rPr>
                <w:rFonts w:ascii="宋体" w:hAnsi="宋体"/>
                <w:color w:val="auto"/>
                <w:szCs w:val="21"/>
                <w:highlight w:val="none"/>
              </w:rPr>
            </w:pPr>
          </w:p>
        </w:tc>
      </w:tr>
      <w:tr w14:paraId="0119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14:paraId="7390FE43">
            <w:pPr>
              <w:rPr>
                <w:rFonts w:ascii="宋体" w:hAnsi="宋体"/>
                <w:color w:val="auto"/>
                <w:szCs w:val="21"/>
                <w:highlight w:val="none"/>
              </w:rPr>
            </w:pPr>
            <w:r>
              <w:rPr>
                <w:rFonts w:hint="eastAsia" w:ascii="宋体" w:hAnsi="宋体"/>
                <w:color w:val="auto"/>
                <w:szCs w:val="21"/>
                <w:highlight w:val="none"/>
              </w:rPr>
              <w:t>技术负责人</w:t>
            </w:r>
          </w:p>
        </w:tc>
        <w:tc>
          <w:tcPr>
            <w:tcW w:w="1077" w:type="dxa"/>
            <w:vAlign w:val="center"/>
          </w:tcPr>
          <w:p w14:paraId="5C381BA2">
            <w:pPr>
              <w:jc w:val="center"/>
              <w:rPr>
                <w:rFonts w:ascii="宋体" w:hAnsi="宋体"/>
                <w:color w:val="auto"/>
                <w:szCs w:val="21"/>
                <w:highlight w:val="none"/>
              </w:rPr>
            </w:pPr>
            <w:r>
              <w:rPr>
                <w:rFonts w:hint="eastAsia" w:ascii="宋体" w:hAnsi="宋体"/>
                <w:color w:val="auto"/>
                <w:szCs w:val="21"/>
                <w:highlight w:val="none"/>
              </w:rPr>
              <w:t>姓名</w:t>
            </w:r>
          </w:p>
        </w:tc>
        <w:tc>
          <w:tcPr>
            <w:tcW w:w="1803" w:type="dxa"/>
          </w:tcPr>
          <w:p w14:paraId="54D19154">
            <w:pPr>
              <w:spacing w:line="360" w:lineRule="auto"/>
              <w:rPr>
                <w:rFonts w:ascii="宋体" w:hAnsi="宋体"/>
                <w:color w:val="auto"/>
                <w:szCs w:val="21"/>
                <w:highlight w:val="none"/>
              </w:rPr>
            </w:pPr>
          </w:p>
        </w:tc>
        <w:tc>
          <w:tcPr>
            <w:tcW w:w="1252" w:type="dxa"/>
            <w:gridSpan w:val="2"/>
            <w:vAlign w:val="center"/>
          </w:tcPr>
          <w:p w14:paraId="6C3F1F9A">
            <w:pPr>
              <w:rPr>
                <w:rFonts w:ascii="宋体" w:hAnsi="宋体"/>
                <w:color w:val="auto"/>
                <w:szCs w:val="21"/>
                <w:highlight w:val="none"/>
              </w:rPr>
            </w:pPr>
            <w:r>
              <w:rPr>
                <w:rFonts w:hint="eastAsia" w:ascii="宋体" w:hAnsi="宋体"/>
                <w:color w:val="auto"/>
                <w:szCs w:val="21"/>
                <w:highlight w:val="none"/>
              </w:rPr>
              <w:t>技术职称</w:t>
            </w:r>
          </w:p>
        </w:tc>
        <w:tc>
          <w:tcPr>
            <w:tcW w:w="1265" w:type="dxa"/>
            <w:gridSpan w:val="2"/>
          </w:tcPr>
          <w:p w14:paraId="3C14F5A1">
            <w:pPr>
              <w:spacing w:line="360" w:lineRule="auto"/>
              <w:rPr>
                <w:rFonts w:ascii="宋体" w:hAnsi="宋体"/>
                <w:color w:val="auto"/>
                <w:szCs w:val="21"/>
                <w:highlight w:val="none"/>
              </w:rPr>
            </w:pPr>
          </w:p>
        </w:tc>
        <w:tc>
          <w:tcPr>
            <w:tcW w:w="723" w:type="dxa"/>
            <w:vAlign w:val="center"/>
          </w:tcPr>
          <w:p w14:paraId="2ED0D136">
            <w:pPr>
              <w:rPr>
                <w:rFonts w:ascii="宋体" w:hAnsi="宋体"/>
                <w:color w:val="auto"/>
                <w:szCs w:val="21"/>
                <w:highlight w:val="none"/>
              </w:rPr>
            </w:pPr>
            <w:r>
              <w:rPr>
                <w:rFonts w:hint="eastAsia" w:ascii="宋体" w:hAnsi="宋体"/>
                <w:color w:val="auto"/>
                <w:szCs w:val="21"/>
                <w:highlight w:val="none"/>
              </w:rPr>
              <w:t>电话</w:t>
            </w:r>
          </w:p>
        </w:tc>
        <w:tc>
          <w:tcPr>
            <w:tcW w:w="1077" w:type="dxa"/>
          </w:tcPr>
          <w:p w14:paraId="21E00984">
            <w:pPr>
              <w:spacing w:line="360" w:lineRule="auto"/>
              <w:rPr>
                <w:rFonts w:ascii="宋体" w:hAnsi="宋体"/>
                <w:color w:val="auto"/>
                <w:szCs w:val="21"/>
                <w:highlight w:val="none"/>
              </w:rPr>
            </w:pPr>
          </w:p>
        </w:tc>
      </w:tr>
      <w:tr w14:paraId="066F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14:paraId="51B2F899">
            <w:pPr>
              <w:rPr>
                <w:rFonts w:ascii="宋体" w:hAnsi="宋体"/>
                <w:color w:val="auto"/>
                <w:szCs w:val="21"/>
                <w:highlight w:val="none"/>
              </w:rPr>
            </w:pPr>
            <w:r>
              <w:rPr>
                <w:rFonts w:hint="eastAsia" w:ascii="宋体" w:hAnsi="宋体"/>
                <w:color w:val="auto"/>
                <w:szCs w:val="21"/>
                <w:highlight w:val="none"/>
              </w:rPr>
              <w:t>成立时间</w:t>
            </w:r>
          </w:p>
        </w:tc>
        <w:tc>
          <w:tcPr>
            <w:tcW w:w="2880" w:type="dxa"/>
            <w:gridSpan w:val="2"/>
          </w:tcPr>
          <w:p w14:paraId="2E6A4A28">
            <w:pPr>
              <w:spacing w:line="360" w:lineRule="auto"/>
              <w:rPr>
                <w:rFonts w:ascii="宋体" w:hAnsi="宋体"/>
                <w:color w:val="auto"/>
                <w:szCs w:val="21"/>
                <w:highlight w:val="none"/>
              </w:rPr>
            </w:pPr>
          </w:p>
        </w:tc>
        <w:tc>
          <w:tcPr>
            <w:tcW w:w="4317" w:type="dxa"/>
            <w:gridSpan w:val="6"/>
            <w:vAlign w:val="center"/>
          </w:tcPr>
          <w:p w14:paraId="700EE3DE">
            <w:pPr>
              <w:jc w:val="center"/>
              <w:rPr>
                <w:rFonts w:ascii="宋体" w:hAnsi="宋体"/>
                <w:color w:val="auto"/>
                <w:szCs w:val="21"/>
                <w:highlight w:val="none"/>
              </w:rPr>
            </w:pPr>
            <w:r>
              <w:rPr>
                <w:rFonts w:hint="eastAsia" w:ascii="宋体" w:hAnsi="宋体"/>
                <w:color w:val="auto"/>
                <w:szCs w:val="21"/>
                <w:highlight w:val="none"/>
              </w:rPr>
              <w:t>员工总人数：</w:t>
            </w:r>
          </w:p>
        </w:tc>
      </w:tr>
      <w:tr w14:paraId="514E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Align w:val="center"/>
          </w:tcPr>
          <w:p w14:paraId="3877015E">
            <w:pPr>
              <w:rPr>
                <w:rFonts w:ascii="宋体" w:hAnsi="宋体"/>
                <w:color w:val="auto"/>
                <w:szCs w:val="21"/>
                <w:highlight w:val="none"/>
              </w:rPr>
            </w:pPr>
            <w:r>
              <w:rPr>
                <w:rFonts w:hint="eastAsia" w:ascii="宋体" w:hAnsi="宋体"/>
                <w:color w:val="auto"/>
                <w:szCs w:val="21"/>
                <w:highlight w:val="none"/>
              </w:rPr>
              <w:t>企业资质等级</w:t>
            </w:r>
          </w:p>
        </w:tc>
        <w:tc>
          <w:tcPr>
            <w:tcW w:w="2880" w:type="dxa"/>
            <w:gridSpan w:val="2"/>
          </w:tcPr>
          <w:p w14:paraId="6C150552">
            <w:pPr>
              <w:spacing w:line="360" w:lineRule="auto"/>
              <w:rPr>
                <w:rFonts w:ascii="宋体" w:hAnsi="宋体"/>
                <w:color w:val="auto"/>
                <w:szCs w:val="21"/>
                <w:highlight w:val="none"/>
              </w:rPr>
            </w:pPr>
          </w:p>
        </w:tc>
        <w:tc>
          <w:tcPr>
            <w:tcW w:w="714" w:type="dxa"/>
            <w:vMerge w:val="restart"/>
            <w:vAlign w:val="center"/>
          </w:tcPr>
          <w:p w14:paraId="7C410BED">
            <w:pPr>
              <w:spacing w:line="360" w:lineRule="auto"/>
              <w:jc w:val="center"/>
              <w:rPr>
                <w:rFonts w:ascii="宋体" w:hAnsi="宋体"/>
                <w:color w:val="auto"/>
                <w:szCs w:val="21"/>
                <w:highlight w:val="none"/>
              </w:rPr>
            </w:pPr>
            <w:r>
              <w:rPr>
                <w:rFonts w:hint="eastAsia" w:ascii="宋体" w:hAnsi="宋体"/>
                <w:color w:val="auto"/>
                <w:szCs w:val="21"/>
                <w:highlight w:val="none"/>
              </w:rPr>
              <w:t>其中</w:t>
            </w:r>
          </w:p>
        </w:tc>
        <w:tc>
          <w:tcPr>
            <w:tcW w:w="1803" w:type="dxa"/>
            <w:gridSpan w:val="3"/>
            <w:vAlign w:val="center"/>
          </w:tcPr>
          <w:p w14:paraId="4F394BC5">
            <w:pPr>
              <w:rPr>
                <w:rFonts w:ascii="宋体" w:hAnsi="宋体"/>
                <w:color w:val="auto"/>
                <w:szCs w:val="21"/>
                <w:highlight w:val="none"/>
              </w:rPr>
            </w:pPr>
            <w:r>
              <w:rPr>
                <w:rFonts w:hint="eastAsia" w:ascii="宋体" w:hAnsi="宋体"/>
                <w:color w:val="auto"/>
                <w:szCs w:val="21"/>
                <w:highlight w:val="none"/>
              </w:rPr>
              <w:t>项目经理</w:t>
            </w:r>
          </w:p>
        </w:tc>
        <w:tc>
          <w:tcPr>
            <w:tcW w:w="1800" w:type="dxa"/>
            <w:gridSpan w:val="2"/>
          </w:tcPr>
          <w:p w14:paraId="23863F33">
            <w:pPr>
              <w:spacing w:line="360" w:lineRule="auto"/>
              <w:rPr>
                <w:rFonts w:ascii="宋体" w:hAnsi="宋体"/>
                <w:color w:val="auto"/>
                <w:szCs w:val="21"/>
                <w:highlight w:val="none"/>
              </w:rPr>
            </w:pPr>
          </w:p>
        </w:tc>
      </w:tr>
      <w:tr w14:paraId="257B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14:paraId="5344F067">
            <w:pPr>
              <w:rPr>
                <w:rFonts w:ascii="宋体" w:hAnsi="宋体"/>
                <w:color w:val="auto"/>
                <w:szCs w:val="21"/>
                <w:highlight w:val="none"/>
              </w:rPr>
            </w:pPr>
            <w:r>
              <w:rPr>
                <w:rFonts w:hint="eastAsia" w:ascii="宋体" w:hAnsi="宋体"/>
                <w:color w:val="auto"/>
                <w:szCs w:val="21"/>
                <w:highlight w:val="none"/>
              </w:rPr>
              <w:t>营业执照号</w:t>
            </w:r>
          </w:p>
        </w:tc>
        <w:tc>
          <w:tcPr>
            <w:tcW w:w="2880" w:type="dxa"/>
            <w:gridSpan w:val="2"/>
          </w:tcPr>
          <w:p w14:paraId="3494741E">
            <w:pPr>
              <w:spacing w:line="360" w:lineRule="auto"/>
              <w:rPr>
                <w:rFonts w:ascii="宋体" w:hAnsi="宋体"/>
                <w:color w:val="auto"/>
                <w:szCs w:val="21"/>
                <w:highlight w:val="none"/>
              </w:rPr>
            </w:pPr>
          </w:p>
        </w:tc>
        <w:tc>
          <w:tcPr>
            <w:tcW w:w="714" w:type="dxa"/>
            <w:vMerge w:val="continue"/>
          </w:tcPr>
          <w:p w14:paraId="75A3DE07">
            <w:pPr>
              <w:spacing w:line="360" w:lineRule="auto"/>
              <w:rPr>
                <w:rFonts w:ascii="宋体" w:hAnsi="宋体"/>
                <w:color w:val="auto"/>
                <w:szCs w:val="21"/>
                <w:highlight w:val="none"/>
              </w:rPr>
            </w:pPr>
          </w:p>
        </w:tc>
        <w:tc>
          <w:tcPr>
            <w:tcW w:w="1803" w:type="dxa"/>
            <w:gridSpan w:val="3"/>
            <w:vAlign w:val="center"/>
          </w:tcPr>
          <w:p w14:paraId="3E0F266B">
            <w:pPr>
              <w:rPr>
                <w:rFonts w:ascii="宋体" w:hAnsi="宋体"/>
                <w:color w:val="auto"/>
                <w:szCs w:val="21"/>
                <w:highlight w:val="none"/>
              </w:rPr>
            </w:pPr>
            <w:r>
              <w:rPr>
                <w:rFonts w:hint="eastAsia" w:ascii="宋体" w:hAnsi="宋体"/>
                <w:color w:val="auto"/>
                <w:szCs w:val="21"/>
                <w:highlight w:val="none"/>
              </w:rPr>
              <w:t>高级职称人员</w:t>
            </w:r>
          </w:p>
        </w:tc>
        <w:tc>
          <w:tcPr>
            <w:tcW w:w="1800" w:type="dxa"/>
            <w:gridSpan w:val="2"/>
          </w:tcPr>
          <w:p w14:paraId="3DC4F2E9">
            <w:pPr>
              <w:spacing w:line="360" w:lineRule="auto"/>
              <w:rPr>
                <w:rFonts w:ascii="宋体" w:hAnsi="宋体"/>
                <w:color w:val="auto"/>
                <w:szCs w:val="21"/>
                <w:highlight w:val="none"/>
              </w:rPr>
            </w:pPr>
          </w:p>
        </w:tc>
      </w:tr>
      <w:tr w14:paraId="4954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vAlign w:val="center"/>
          </w:tcPr>
          <w:p w14:paraId="5F128514">
            <w:pPr>
              <w:rPr>
                <w:rFonts w:ascii="宋体" w:hAnsi="宋体"/>
                <w:color w:val="auto"/>
                <w:szCs w:val="21"/>
                <w:highlight w:val="none"/>
              </w:rPr>
            </w:pPr>
            <w:r>
              <w:rPr>
                <w:rFonts w:hint="eastAsia" w:ascii="宋体" w:hAnsi="宋体"/>
                <w:color w:val="auto"/>
                <w:szCs w:val="21"/>
                <w:highlight w:val="none"/>
              </w:rPr>
              <w:t>注册资金</w:t>
            </w:r>
          </w:p>
        </w:tc>
        <w:tc>
          <w:tcPr>
            <w:tcW w:w="2880" w:type="dxa"/>
            <w:gridSpan w:val="2"/>
          </w:tcPr>
          <w:p w14:paraId="51D505FF">
            <w:pPr>
              <w:spacing w:line="360" w:lineRule="auto"/>
              <w:rPr>
                <w:rFonts w:ascii="宋体" w:hAnsi="宋体"/>
                <w:color w:val="auto"/>
                <w:szCs w:val="21"/>
                <w:highlight w:val="none"/>
              </w:rPr>
            </w:pPr>
          </w:p>
        </w:tc>
        <w:tc>
          <w:tcPr>
            <w:tcW w:w="714" w:type="dxa"/>
            <w:vMerge w:val="continue"/>
          </w:tcPr>
          <w:p w14:paraId="2FE42037">
            <w:pPr>
              <w:spacing w:line="360" w:lineRule="auto"/>
              <w:rPr>
                <w:rFonts w:ascii="宋体" w:hAnsi="宋体"/>
                <w:color w:val="auto"/>
                <w:szCs w:val="21"/>
                <w:highlight w:val="none"/>
              </w:rPr>
            </w:pPr>
          </w:p>
        </w:tc>
        <w:tc>
          <w:tcPr>
            <w:tcW w:w="1803" w:type="dxa"/>
            <w:gridSpan w:val="3"/>
            <w:vAlign w:val="center"/>
          </w:tcPr>
          <w:p w14:paraId="269B1832">
            <w:pPr>
              <w:rPr>
                <w:rFonts w:ascii="宋体" w:hAnsi="宋体"/>
                <w:color w:val="auto"/>
                <w:szCs w:val="21"/>
                <w:highlight w:val="none"/>
              </w:rPr>
            </w:pPr>
            <w:r>
              <w:rPr>
                <w:rFonts w:hint="eastAsia" w:ascii="宋体" w:hAnsi="宋体"/>
                <w:color w:val="auto"/>
                <w:szCs w:val="21"/>
                <w:highlight w:val="none"/>
              </w:rPr>
              <w:t>中级职称人员</w:t>
            </w:r>
          </w:p>
        </w:tc>
        <w:tc>
          <w:tcPr>
            <w:tcW w:w="1800" w:type="dxa"/>
            <w:gridSpan w:val="2"/>
          </w:tcPr>
          <w:p w14:paraId="5A0FE8FC">
            <w:pPr>
              <w:spacing w:line="360" w:lineRule="auto"/>
              <w:rPr>
                <w:rFonts w:ascii="宋体" w:hAnsi="宋体"/>
                <w:color w:val="auto"/>
                <w:szCs w:val="21"/>
                <w:highlight w:val="none"/>
              </w:rPr>
            </w:pPr>
          </w:p>
        </w:tc>
      </w:tr>
      <w:tr w14:paraId="3A95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vAlign w:val="center"/>
          </w:tcPr>
          <w:p w14:paraId="22E8784C">
            <w:pPr>
              <w:rPr>
                <w:rFonts w:ascii="宋体" w:hAnsi="宋体"/>
                <w:color w:val="auto"/>
                <w:szCs w:val="21"/>
                <w:highlight w:val="none"/>
              </w:rPr>
            </w:pPr>
            <w:r>
              <w:rPr>
                <w:rFonts w:hint="eastAsia" w:ascii="宋体" w:hAnsi="宋体"/>
                <w:color w:val="auto"/>
                <w:szCs w:val="21"/>
                <w:highlight w:val="none"/>
              </w:rPr>
              <w:t>开户银行</w:t>
            </w:r>
          </w:p>
        </w:tc>
        <w:tc>
          <w:tcPr>
            <w:tcW w:w="2880" w:type="dxa"/>
            <w:gridSpan w:val="2"/>
          </w:tcPr>
          <w:p w14:paraId="0C2CE692">
            <w:pPr>
              <w:spacing w:line="360" w:lineRule="auto"/>
              <w:rPr>
                <w:rFonts w:ascii="宋体" w:hAnsi="宋体"/>
                <w:color w:val="auto"/>
                <w:szCs w:val="21"/>
                <w:highlight w:val="none"/>
              </w:rPr>
            </w:pPr>
          </w:p>
        </w:tc>
        <w:tc>
          <w:tcPr>
            <w:tcW w:w="714" w:type="dxa"/>
            <w:vMerge w:val="continue"/>
          </w:tcPr>
          <w:p w14:paraId="507D1556">
            <w:pPr>
              <w:spacing w:line="360" w:lineRule="auto"/>
              <w:rPr>
                <w:rFonts w:ascii="宋体" w:hAnsi="宋体"/>
                <w:color w:val="auto"/>
                <w:szCs w:val="21"/>
                <w:highlight w:val="none"/>
              </w:rPr>
            </w:pPr>
          </w:p>
        </w:tc>
        <w:tc>
          <w:tcPr>
            <w:tcW w:w="1803" w:type="dxa"/>
            <w:gridSpan w:val="3"/>
            <w:vAlign w:val="center"/>
          </w:tcPr>
          <w:p w14:paraId="3426E046">
            <w:pPr>
              <w:rPr>
                <w:rFonts w:ascii="宋体" w:hAnsi="宋体"/>
                <w:color w:val="auto"/>
                <w:szCs w:val="21"/>
                <w:highlight w:val="none"/>
              </w:rPr>
            </w:pPr>
            <w:r>
              <w:rPr>
                <w:rFonts w:hint="eastAsia" w:ascii="宋体" w:hAnsi="宋体"/>
                <w:color w:val="auto"/>
                <w:szCs w:val="21"/>
                <w:highlight w:val="none"/>
              </w:rPr>
              <w:t>初级职称人员</w:t>
            </w:r>
          </w:p>
        </w:tc>
        <w:tc>
          <w:tcPr>
            <w:tcW w:w="1800" w:type="dxa"/>
            <w:gridSpan w:val="2"/>
          </w:tcPr>
          <w:p w14:paraId="79100772">
            <w:pPr>
              <w:spacing w:line="360" w:lineRule="auto"/>
              <w:rPr>
                <w:rFonts w:ascii="宋体" w:hAnsi="宋体"/>
                <w:color w:val="auto"/>
                <w:szCs w:val="21"/>
                <w:highlight w:val="none"/>
              </w:rPr>
            </w:pPr>
          </w:p>
        </w:tc>
      </w:tr>
      <w:tr w14:paraId="0188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Align w:val="center"/>
          </w:tcPr>
          <w:p w14:paraId="1C533398">
            <w:pPr>
              <w:rPr>
                <w:rFonts w:ascii="宋体" w:hAnsi="宋体"/>
                <w:color w:val="auto"/>
                <w:szCs w:val="21"/>
                <w:highlight w:val="none"/>
              </w:rPr>
            </w:pPr>
            <w:r>
              <w:rPr>
                <w:rFonts w:hint="eastAsia" w:ascii="宋体" w:hAnsi="宋体"/>
                <w:color w:val="auto"/>
                <w:szCs w:val="21"/>
                <w:highlight w:val="none"/>
              </w:rPr>
              <w:t>账号</w:t>
            </w:r>
          </w:p>
        </w:tc>
        <w:tc>
          <w:tcPr>
            <w:tcW w:w="2880" w:type="dxa"/>
            <w:gridSpan w:val="2"/>
          </w:tcPr>
          <w:p w14:paraId="7955F4A1">
            <w:pPr>
              <w:spacing w:line="360" w:lineRule="auto"/>
              <w:rPr>
                <w:rFonts w:ascii="宋体" w:hAnsi="宋体"/>
                <w:color w:val="auto"/>
                <w:szCs w:val="21"/>
                <w:highlight w:val="none"/>
              </w:rPr>
            </w:pPr>
          </w:p>
        </w:tc>
        <w:tc>
          <w:tcPr>
            <w:tcW w:w="714" w:type="dxa"/>
            <w:vMerge w:val="continue"/>
          </w:tcPr>
          <w:p w14:paraId="387E19FD">
            <w:pPr>
              <w:spacing w:line="360" w:lineRule="auto"/>
              <w:rPr>
                <w:rFonts w:ascii="宋体" w:hAnsi="宋体"/>
                <w:color w:val="auto"/>
                <w:szCs w:val="21"/>
                <w:highlight w:val="none"/>
              </w:rPr>
            </w:pPr>
          </w:p>
        </w:tc>
        <w:tc>
          <w:tcPr>
            <w:tcW w:w="1803" w:type="dxa"/>
            <w:gridSpan w:val="3"/>
            <w:vAlign w:val="center"/>
          </w:tcPr>
          <w:p w14:paraId="6A6FD983">
            <w:pPr>
              <w:rPr>
                <w:rFonts w:ascii="宋体" w:hAnsi="宋体"/>
                <w:color w:val="auto"/>
                <w:szCs w:val="21"/>
                <w:highlight w:val="none"/>
              </w:rPr>
            </w:pPr>
            <w:r>
              <w:rPr>
                <w:rFonts w:hint="eastAsia" w:ascii="宋体" w:hAnsi="宋体"/>
                <w:color w:val="auto"/>
                <w:szCs w:val="21"/>
                <w:highlight w:val="none"/>
              </w:rPr>
              <w:t>技工</w:t>
            </w:r>
          </w:p>
        </w:tc>
        <w:tc>
          <w:tcPr>
            <w:tcW w:w="1800" w:type="dxa"/>
            <w:gridSpan w:val="2"/>
          </w:tcPr>
          <w:p w14:paraId="296B9316">
            <w:pPr>
              <w:spacing w:line="360" w:lineRule="auto"/>
              <w:rPr>
                <w:rFonts w:ascii="宋体" w:hAnsi="宋体"/>
                <w:color w:val="auto"/>
                <w:szCs w:val="21"/>
                <w:highlight w:val="none"/>
              </w:rPr>
            </w:pPr>
          </w:p>
        </w:tc>
      </w:tr>
      <w:tr w14:paraId="28E4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980" w:type="dxa"/>
            <w:vAlign w:val="center"/>
          </w:tcPr>
          <w:p w14:paraId="4BAABB74">
            <w:pPr>
              <w:rPr>
                <w:rFonts w:ascii="宋体" w:hAnsi="宋体"/>
                <w:color w:val="auto"/>
                <w:szCs w:val="21"/>
                <w:highlight w:val="none"/>
              </w:rPr>
            </w:pPr>
            <w:r>
              <w:rPr>
                <w:rFonts w:hint="eastAsia" w:ascii="宋体" w:hAnsi="宋体"/>
                <w:color w:val="auto"/>
                <w:szCs w:val="21"/>
                <w:highlight w:val="none"/>
              </w:rPr>
              <w:t>经营范围</w:t>
            </w:r>
          </w:p>
        </w:tc>
        <w:tc>
          <w:tcPr>
            <w:tcW w:w="7197" w:type="dxa"/>
            <w:gridSpan w:val="8"/>
          </w:tcPr>
          <w:p w14:paraId="21372453">
            <w:pPr>
              <w:spacing w:line="360" w:lineRule="auto"/>
              <w:ind w:firstLine="420" w:firstLineChars="200"/>
              <w:rPr>
                <w:rFonts w:ascii="宋体" w:hAnsi="宋体"/>
                <w:color w:val="auto"/>
                <w:szCs w:val="21"/>
                <w:highlight w:val="none"/>
              </w:rPr>
            </w:pPr>
          </w:p>
        </w:tc>
      </w:tr>
      <w:tr w14:paraId="095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80" w:type="dxa"/>
            <w:vAlign w:val="center"/>
          </w:tcPr>
          <w:p w14:paraId="7C43EF0E">
            <w:pPr>
              <w:rPr>
                <w:rFonts w:ascii="宋体" w:hAnsi="宋体"/>
                <w:color w:val="auto"/>
                <w:szCs w:val="21"/>
                <w:highlight w:val="none"/>
              </w:rPr>
            </w:pPr>
            <w:r>
              <w:rPr>
                <w:rFonts w:hint="eastAsia" w:ascii="宋体" w:hAnsi="宋体"/>
                <w:color w:val="auto"/>
                <w:szCs w:val="21"/>
                <w:highlight w:val="none"/>
              </w:rPr>
              <w:t>备注</w:t>
            </w:r>
          </w:p>
        </w:tc>
        <w:tc>
          <w:tcPr>
            <w:tcW w:w="7197" w:type="dxa"/>
            <w:gridSpan w:val="8"/>
          </w:tcPr>
          <w:p w14:paraId="5CD3C25B">
            <w:pPr>
              <w:spacing w:line="360" w:lineRule="auto"/>
              <w:ind w:firstLine="420" w:firstLineChars="200"/>
              <w:rPr>
                <w:rFonts w:ascii="宋体" w:hAnsi="宋体"/>
                <w:color w:val="auto"/>
                <w:szCs w:val="21"/>
                <w:highlight w:val="none"/>
              </w:rPr>
            </w:pPr>
          </w:p>
        </w:tc>
      </w:tr>
    </w:tbl>
    <w:p w14:paraId="58797B99">
      <w:pPr>
        <w:rPr>
          <w:rFonts w:ascii="宋体" w:hAnsi="宋体"/>
          <w:color w:val="auto"/>
          <w:szCs w:val="21"/>
          <w:highlight w:val="none"/>
        </w:rPr>
      </w:pPr>
      <w:r>
        <w:rPr>
          <w:rFonts w:hint="eastAsia" w:ascii="宋体" w:hAnsi="宋体"/>
          <w:color w:val="auto"/>
          <w:szCs w:val="21"/>
          <w:highlight w:val="none"/>
        </w:rPr>
        <w:t>注：在本表后附企业法人营业执照副本、施工资质证书副本、安全生产许可证副本的扫描件（均含变更记录）。</w:t>
      </w:r>
    </w:p>
    <w:p w14:paraId="5E1A8DF8">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rFonts w:hint="eastAsia" w:ascii="宋体" w:hAnsi="宋体"/>
          <w:color w:val="auto"/>
          <w:szCs w:val="21"/>
          <w:highlight w:val="none"/>
        </w:rPr>
        <w:t>联合体投标的，联合体各方应分别填写本表。</w:t>
      </w:r>
    </w:p>
    <w:p w14:paraId="1ACC2313">
      <w:pPr>
        <w:pStyle w:val="5"/>
        <w:jc w:val="center"/>
        <w:rPr>
          <w:color w:val="auto"/>
          <w:highlight w:val="none"/>
        </w:rPr>
      </w:pPr>
      <w:r>
        <w:rPr>
          <w:rFonts w:hint="eastAsia"/>
          <w:color w:val="auto"/>
          <w:highlight w:val="none"/>
        </w:rPr>
        <w:t>（二）</w:t>
      </w:r>
      <w:bookmarkStart w:id="1380" w:name="_Toc419825098"/>
      <w:bookmarkStart w:id="1381" w:name="_Toc419825446"/>
      <w:bookmarkStart w:id="1382" w:name="_Toc463799126"/>
      <w:r>
        <w:rPr>
          <w:rFonts w:hint="eastAsia"/>
          <w:color w:val="auto"/>
          <w:highlight w:val="none"/>
        </w:rPr>
        <w:t>投标人与其他单位资产隶属关系框图</w:t>
      </w:r>
      <w:bookmarkEnd w:id="1380"/>
      <w:bookmarkEnd w:id="1381"/>
      <w:bookmarkEnd w:id="1382"/>
    </w:p>
    <w:p w14:paraId="57B46AD8">
      <w:pPr>
        <w:spacing w:line="400" w:lineRule="exact"/>
        <w:ind w:firstLine="420" w:firstLineChars="200"/>
        <w:rPr>
          <w:rFonts w:ascii="宋体" w:hAnsi="宋体"/>
          <w:color w:val="auto"/>
          <w:szCs w:val="21"/>
          <w:highlight w:val="none"/>
        </w:rPr>
      </w:pPr>
    </w:p>
    <w:p w14:paraId="1056D04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（公章） </w:t>
      </w:r>
      <w:r>
        <w:rPr>
          <w:rFonts w:hint="eastAsia" w:ascii="宋体" w:hAnsi="宋体"/>
          <w:color w:val="auto"/>
          <w:szCs w:val="21"/>
          <w:highlight w:val="none"/>
        </w:rPr>
        <w:t xml:space="preserve">     </w:t>
      </w:r>
    </w:p>
    <w:tbl>
      <w:tblPr>
        <w:tblStyle w:val="39"/>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060"/>
      </w:tblGrid>
      <w:tr w14:paraId="65CC6A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59" w:hRule="atLeast"/>
        </w:trPr>
        <w:tc>
          <w:tcPr>
            <w:tcW w:w="9060" w:type="dxa"/>
            <w:tcBorders>
              <w:top w:val="single" w:color="000000" w:sz="12" w:space="0"/>
              <w:left w:val="single" w:color="000000" w:sz="12" w:space="0"/>
              <w:bottom w:val="single" w:color="000000" w:sz="12" w:space="0"/>
              <w:right w:val="single" w:color="000000" w:sz="12" w:space="0"/>
            </w:tcBorders>
          </w:tcPr>
          <w:p w14:paraId="22E4E37A">
            <w:pPr>
              <w:spacing w:line="360" w:lineRule="auto"/>
              <w:ind w:firstLine="480"/>
              <w:rPr>
                <w:rFonts w:ascii="宋体" w:hAnsi="宋体" w:cs="宋体"/>
                <w:color w:val="auto"/>
                <w:highlight w:val="none"/>
              </w:rPr>
            </w:pPr>
          </w:p>
          <w:p w14:paraId="2B2D1448">
            <w:pPr>
              <w:spacing w:line="400" w:lineRule="exact"/>
              <w:ind w:firstLine="420" w:firstLineChars="200"/>
              <w:rPr>
                <w:rFonts w:ascii="宋体" w:hAnsi="宋体"/>
                <w:color w:val="auto"/>
                <w:spacing w:val="-8"/>
                <w:highlight w:val="none"/>
              </w:rPr>
            </w:pPr>
            <w:r>
              <w:rPr>
                <w:rFonts w:hint="eastAsia" w:ascii="宋体" w:hAnsi="宋体"/>
                <w:color w:val="auto"/>
                <w:szCs w:val="21"/>
                <w:highlight w:val="none"/>
              </w:rPr>
              <w:t>以框图方式表示。</w:t>
            </w:r>
          </w:p>
        </w:tc>
      </w:tr>
    </w:tbl>
    <w:p w14:paraId="161AB649">
      <w:pPr>
        <w:spacing w:before="158" w:beforeLines="50" w:line="300" w:lineRule="exact"/>
        <w:rPr>
          <w:rFonts w:ascii="宋体" w:hAnsi="宋体"/>
          <w:strike/>
          <w:color w:val="auto"/>
          <w:szCs w:val="21"/>
          <w:highlight w:val="none"/>
        </w:rPr>
      </w:pPr>
      <w:r>
        <w:rPr>
          <w:rFonts w:hint="eastAsia" w:ascii="宋体" w:hAnsi="宋体"/>
          <w:color w:val="auto"/>
          <w:szCs w:val="21"/>
          <w:highlight w:val="none"/>
        </w:rPr>
        <w:t>注：1.本框图用于表示投标人具有直接管理和被管理关系的母子公司之间的隶属关联情况。</w:t>
      </w:r>
    </w:p>
    <w:p w14:paraId="5FB30663">
      <w:pPr>
        <w:ind w:firstLine="420" w:firstLineChars="200"/>
        <w:rPr>
          <w:rFonts w:ascii="宋体" w:hAnsi="宋体"/>
          <w:color w:val="auto"/>
          <w:szCs w:val="21"/>
          <w:highlight w:val="none"/>
        </w:rPr>
      </w:pPr>
      <w:r>
        <w:rPr>
          <w:rFonts w:hint="eastAsia" w:ascii="宋体" w:hAnsi="宋体"/>
          <w:color w:val="auto"/>
          <w:szCs w:val="21"/>
          <w:highlight w:val="none"/>
        </w:rPr>
        <w:t>2.应在本框图明确显示投标人的母公司、子公司、分公司及其控股。</w:t>
      </w:r>
    </w:p>
    <w:p w14:paraId="3010EE54">
      <w:pPr>
        <w:ind w:firstLine="420" w:firstLineChars="200"/>
        <w:rPr>
          <w:rFonts w:ascii="宋体" w:hAnsi="宋体"/>
          <w:strike/>
          <w:color w:val="auto"/>
          <w:szCs w:val="21"/>
          <w:highlight w:val="none"/>
        </w:rPr>
      </w:pPr>
      <w:r>
        <w:rPr>
          <w:rFonts w:hint="eastAsia" w:ascii="宋体" w:hAnsi="宋体"/>
          <w:color w:val="auto"/>
          <w:szCs w:val="21"/>
          <w:highlight w:val="none"/>
        </w:rPr>
        <w:t>联合体投标的，联合体各方应分别填写本表。</w:t>
      </w:r>
    </w:p>
    <w:p w14:paraId="6644061F">
      <w:pPr>
        <w:spacing w:line="360" w:lineRule="auto"/>
        <w:rPr>
          <w:rFonts w:ascii="宋体" w:hAnsi="宋体"/>
          <w:color w:val="auto"/>
          <w:szCs w:val="21"/>
          <w:highlight w:val="none"/>
        </w:rPr>
        <w:sectPr>
          <w:pgSz w:w="11905" w:h="16838"/>
          <w:pgMar w:top="1440" w:right="1417" w:bottom="1440" w:left="1417" w:header="850" w:footer="992" w:gutter="0"/>
          <w:cols w:space="720" w:num="1"/>
          <w:docGrid w:type="lines" w:linePitch="317" w:charSpace="0"/>
        </w:sectPr>
      </w:pPr>
      <w:r>
        <w:rPr>
          <w:color w:val="auto"/>
          <w:highlight w:val="none"/>
        </w:rPr>
        <w:br w:type="page"/>
      </w:r>
    </w:p>
    <w:p w14:paraId="6DA1E7F6">
      <w:pPr>
        <w:pStyle w:val="5"/>
        <w:jc w:val="center"/>
        <w:rPr>
          <w:color w:val="auto"/>
          <w:highlight w:val="none"/>
        </w:rPr>
      </w:pPr>
      <w:r>
        <w:rPr>
          <w:rFonts w:hint="eastAsia"/>
          <w:color w:val="auto"/>
          <w:highlight w:val="none"/>
        </w:rPr>
        <w:t>（三）近年完成的项目情况表</w:t>
      </w:r>
    </w:p>
    <w:tbl>
      <w:tblPr>
        <w:tblStyle w:val="39"/>
        <w:tblW w:w="0" w:type="auto"/>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6090"/>
      </w:tblGrid>
      <w:tr w14:paraId="616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3AE51CC9">
            <w:pPr>
              <w:ind w:firstLine="420" w:firstLineChars="200"/>
              <w:rPr>
                <w:rFonts w:ascii="宋体" w:hAnsi="宋体"/>
                <w:color w:val="auto"/>
                <w:szCs w:val="21"/>
                <w:highlight w:val="none"/>
              </w:rPr>
            </w:pPr>
            <w:r>
              <w:rPr>
                <w:rFonts w:hint="eastAsia" w:ascii="宋体" w:hAnsi="宋体"/>
                <w:color w:val="auto"/>
                <w:szCs w:val="21"/>
                <w:highlight w:val="none"/>
              </w:rPr>
              <w:t>项目名称</w:t>
            </w:r>
          </w:p>
        </w:tc>
        <w:tc>
          <w:tcPr>
            <w:tcW w:w="6090" w:type="dxa"/>
            <w:tcBorders>
              <w:top w:val="outset" w:color="auto" w:sz="6" w:space="0"/>
              <w:left w:val="outset" w:color="auto" w:sz="6" w:space="0"/>
              <w:bottom w:val="outset" w:color="auto" w:sz="6" w:space="0"/>
              <w:right w:val="outset" w:color="auto" w:sz="6" w:space="0"/>
            </w:tcBorders>
            <w:vAlign w:val="center"/>
          </w:tcPr>
          <w:p w14:paraId="0F9D938F">
            <w:pPr>
              <w:spacing w:line="360" w:lineRule="auto"/>
              <w:ind w:firstLine="420" w:firstLineChars="200"/>
              <w:rPr>
                <w:rFonts w:ascii="宋体" w:hAnsi="宋体"/>
                <w:color w:val="auto"/>
                <w:szCs w:val="21"/>
                <w:highlight w:val="none"/>
              </w:rPr>
            </w:pPr>
          </w:p>
        </w:tc>
      </w:tr>
      <w:tr w14:paraId="7193C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26C6DBC6">
            <w:pPr>
              <w:ind w:firstLine="420" w:firstLineChars="200"/>
              <w:rPr>
                <w:rFonts w:ascii="宋体" w:hAnsi="宋体"/>
                <w:color w:val="auto"/>
                <w:szCs w:val="21"/>
                <w:highlight w:val="none"/>
              </w:rPr>
            </w:pPr>
            <w:r>
              <w:rPr>
                <w:rFonts w:hint="eastAsia" w:ascii="宋体" w:hAnsi="宋体"/>
                <w:color w:val="auto"/>
                <w:szCs w:val="21"/>
                <w:highlight w:val="none"/>
              </w:rPr>
              <w:t>项目所在地</w:t>
            </w:r>
          </w:p>
        </w:tc>
        <w:tc>
          <w:tcPr>
            <w:tcW w:w="6090" w:type="dxa"/>
            <w:tcBorders>
              <w:top w:val="outset" w:color="auto" w:sz="6" w:space="0"/>
              <w:left w:val="outset" w:color="auto" w:sz="6" w:space="0"/>
              <w:bottom w:val="outset" w:color="auto" w:sz="6" w:space="0"/>
              <w:right w:val="outset" w:color="auto" w:sz="6" w:space="0"/>
            </w:tcBorders>
            <w:vAlign w:val="center"/>
          </w:tcPr>
          <w:p w14:paraId="6FD58A54">
            <w:pPr>
              <w:spacing w:line="360" w:lineRule="auto"/>
              <w:ind w:firstLine="420" w:firstLineChars="200"/>
              <w:rPr>
                <w:rFonts w:ascii="宋体" w:hAnsi="宋体"/>
                <w:color w:val="auto"/>
                <w:szCs w:val="21"/>
                <w:highlight w:val="none"/>
              </w:rPr>
            </w:pPr>
          </w:p>
        </w:tc>
      </w:tr>
      <w:tr w14:paraId="79DF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3A189D0B">
            <w:pPr>
              <w:ind w:firstLine="420" w:firstLineChars="200"/>
              <w:rPr>
                <w:rFonts w:ascii="宋体" w:hAnsi="宋体"/>
                <w:color w:val="auto"/>
                <w:szCs w:val="21"/>
                <w:highlight w:val="none"/>
              </w:rPr>
            </w:pPr>
            <w:r>
              <w:rPr>
                <w:rFonts w:hint="eastAsia" w:ascii="宋体" w:hAnsi="宋体"/>
                <w:color w:val="auto"/>
                <w:szCs w:val="21"/>
                <w:highlight w:val="none"/>
              </w:rPr>
              <w:t>发包人名称</w:t>
            </w:r>
          </w:p>
        </w:tc>
        <w:tc>
          <w:tcPr>
            <w:tcW w:w="6090" w:type="dxa"/>
            <w:tcBorders>
              <w:top w:val="outset" w:color="auto" w:sz="6" w:space="0"/>
              <w:left w:val="outset" w:color="auto" w:sz="6" w:space="0"/>
              <w:bottom w:val="outset" w:color="auto" w:sz="6" w:space="0"/>
              <w:right w:val="outset" w:color="auto" w:sz="6" w:space="0"/>
            </w:tcBorders>
            <w:vAlign w:val="center"/>
          </w:tcPr>
          <w:p w14:paraId="4561874B">
            <w:pPr>
              <w:spacing w:line="360" w:lineRule="auto"/>
              <w:ind w:firstLine="420" w:firstLineChars="200"/>
              <w:rPr>
                <w:rFonts w:ascii="宋体" w:hAnsi="宋体"/>
                <w:color w:val="auto"/>
                <w:szCs w:val="21"/>
                <w:highlight w:val="none"/>
              </w:rPr>
            </w:pPr>
          </w:p>
        </w:tc>
      </w:tr>
      <w:tr w14:paraId="6D1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18CDEB13">
            <w:pPr>
              <w:ind w:firstLine="420" w:firstLineChars="200"/>
              <w:rPr>
                <w:rFonts w:ascii="宋体" w:hAnsi="宋体"/>
                <w:color w:val="auto"/>
                <w:szCs w:val="21"/>
                <w:highlight w:val="none"/>
              </w:rPr>
            </w:pPr>
            <w:r>
              <w:rPr>
                <w:rFonts w:hint="eastAsia" w:ascii="宋体" w:hAnsi="宋体"/>
                <w:color w:val="auto"/>
                <w:szCs w:val="21"/>
                <w:highlight w:val="none"/>
              </w:rPr>
              <w:t>发包人地址</w:t>
            </w:r>
          </w:p>
        </w:tc>
        <w:tc>
          <w:tcPr>
            <w:tcW w:w="6090" w:type="dxa"/>
            <w:tcBorders>
              <w:top w:val="outset" w:color="auto" w:sz="6" w:space="0"/>
              <w:left w:val="outset" w:color="auto" w:sz="6" w:space="0"/>
              <w:bottom w:val="outset" w:color="auto" w:sz="6" w:space="0"/>
              <w:right w:val="outset" w:color="auto" w:sz="6" w:space="0"/>
            </w:tcBorders>
            <w:vAlign w:val="center"/>
          </w:tcPr>
          <w:p w14:paraId="726A73EA">
            <w:pPr>
              <w:spacing w:line="360" w:lineRule="auto"/>
              <w:ind w:firstLine="420" w:firstLineChars="200"/>
              <w:rPr>
                <w:rFonts w:ascii="宋体" w:hAnsi="宋体"/>
                <w:color w:val="auto"/>
                <w:szCs w:val="21"/>
                <w:highlight w:val="none"/>
              </w:rPr>
            </w:pPr>
          </w:p>
        </w:tc>
      </w:tr>
      <w:tr w14:paraId="1EC6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2B6D1653">
            <w:pPr>
              <w:ind w:firstLine="420" w:firstLineChars="200"/>
              <w:rPr>
                <w:rFonts w:ascii="宋体" w:hAnsi="宋体"/>
                <w:color w:val="auto"/>
                <w:szCs w:val="21"/>
                <w:highlight w:val="none"/>
              </w:rPr>
            </w:pPr>
            <w:r>
              <w:rPr>
                <w:rFonts w:hint="eastAsia" w:ascii="宋体" w:hAnsi="宋体"/>
                <w:color w:val="auto"/>
                <w:szCs w:val="21"/>
                <w:highlight w:val="none"/>
              </w:rPr>
              <w:t>发包人电话</w:t>
            </w:r>
          </w:p>
        </w:tc>
        <w:tc>
          <w:tcPr>
            <w:tcW w:w="6090" w:type="dxa"/>
            <w:tcBorders>
              <w:top w:val="outset" w:color="auto" w:sz="6" w:space="0"/>
              <w:left w:val="outset" w:color="auto" w:sz="6" w:space="0"/>
              <w:bottom w:val="outset" w:color="auto" w:sz="6" w:space="0"/>
              <w:right w:val="outset" w:color="auto" w:sz="6" w:space="0"/>
            </w:tcBorders>
            <w:vAlign w:val="center"/>
          </w:tcPr>
          <w:p w14:paraId="6F006C91">
            <w:pPr>
              <w:spacing w:line="360" w:lineRule="auto"/>
              <w:ind w:firstLine="420" w:firstLineChars="200"/>
              <w:rPr>
                <w:rFonts w:ascii="宋体" w:hAnsi="宋体"/>
                <w:color w:val="auto"/>
                <w:szCs w:val="21"/>
                <w:highlight w:val="none"/>
              </w:rPr>
            </w:pPr>
          </w:p>
        </w:tc>
      </w:tr>
      <w:tr w14:paraId="1957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4E0749D1">
            <w:pPr>
              <w:ind w:firstLine="420" w:firstLineChars="200"/>
              <w:rPr>
                <w:rFonts w:ascii="宋体" w:hAnsi="宋体"/>
                <w:color w:val="auto"/>
                <w:szCs w:val="21"/>
                <w:highlight w:val="none"/>
              </w:rPr>
            </w:pPr>
            <w:r>
              <w:rPr>
                <w:rFonts w:hint="eastAsia" w:ascii="宋体" w:hAnsi="宋体"/>
                <w:color w:val="auto"/>
                <w:szCs w:val="21"/>
                <w:highlight w:val="none"/>
              </w:rPr>
              <w:t>合同价格</w:t>
            </w:r>
          </w:p>
        </w:tc>
        <w:tc>
          <w:tcPr>
            <w:tcW w:w="6090" w:type="dxa"/>
            <w:tcBorders>
              <w:top w:val="outset" w:color="auto" w:sz="6" w:space="0"/>
              <w:left w:val="outset" w:color="auto" w:sz="6" w:space="0"/>
              <w:bottom w:val="outset" w:color="auto" w:sz="6" w:space="0"/>
              <w:right w:val="outset" w:color="auto" w:sz="6" w:space="0"/>
            </w:tcBorders>
            <w:vAlign w:val="center"/>
          </w:tcPr>
          <w:p w14:paraId="008C348C">
            <w:pPr>
              <w:spacing w:line="360" w:lineRule="auto"/>
              <w:ind w:firstLine="420" w:firstLineChars="200"/>
              <w:rPr>
                <w:rFonts w:ascii="宋体" w:hAnsi="宋体"/>
                <w:color w:val="auto"/>
                <w:szCs w:val="21"/>
                <w:highlight w:val="none"/>
              </w:rPr>
            </w:pPr>
          </w:p>
        </w:tc>
      </w:tr>
      <w:tr w14:paraId="6BA0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342FEF76">
            <w:pPr>
              <w:ind w:firstLine="420" w:firstLineChars="200"/>
              <w:rPr>
                <w:rFonts w:ascii="宋体" w:hAnsi="宋体"/>
                <w:color w:val="auto"/>
                <w:szCs w:val="21"/>
                <w:highlight w:val="none"/>
              </w:rPr>
            </w:pPr>
            <w:r>
              <w:rPr>
                <w:rFonts w:hint="eastAsia" w:ascii="宋体" w:hAnsi="宋体"/>
                <w:color w:val="auto"/>
                <w:szCs w:val="21"/>
                <w:highlight w:val="none"/>
              </w:rPr>
              <w:t>开工日期</w:t>
            </w:r>
          </w:p>
        </w:tc>
        <w:tc>
          <w:tcPr>
            <w:tcW w:w="6090" w:type="dxa"/>
            <w:tcBorders>
              <w:top w:val="outset" w:color="auto" w:sz="6" w:space="0"/>
              <w:left w:val="outset" w:color="auto" w:sz="6" w:space="0"/>
              <w:bottom w:val="outset" w:color="auto" w:sz="6" w:space="0"/>
              <w:right w:val="outset" w:color="auto" w:sz="6" w:space="0"/>
            </w:tcBorders>
            <w:vAlign w:val="center"/>
          </w:tcPr>
          <w:p w14:paraId="3BC2BFB0">
            <w:pPr>
              <w:spacing w:line="360" w:lineRule="auto"/>
              <w:ind w:firstLine="420" w:firstLineChars="200"/>
              <w:rPr>
                <w:rFonts w:ascii="宋体" w:hAnsi="宋体"/>
                <w:color w:val="auto"/>
                <w:szCs w:val="21"/>
                <w:highlight w:val="none"/>
              </w:rPr>
            </w:pPr>
          </w:p>
        </w:tc>
      </w:tr>
      <w:tr w14:paraId="4F30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586CCA6D">
            <w:pPr>
              <w:ind w:firstLine="420" w:firstLineChars="200"/>
              <w:rPr>
                <w:rFonts w:ascii="宋体" w:hAnsi="宋体"/>
                <w:color w:val="auto"/>
                <w:szCs w:val="21"/>
                <w:highlight w:val="none"/>
              </w:rPr>
            </w:pPr>
            <w:r>
              <w:rPr>
                <w:rFonts w:hint="eastAsia" w:ascii="宋体" w:hAnsi="宋体"/>
                <w:color w:val="auto"/>
                <w:szCs w:val="21"/>
                <w:highlight w:val="none"/>
              </w:rPr>
              <w:t>交（竣）工日期</w:t>
            </w:r>
          </w:p>
        </w:tc>
        <w:tc>
          <w:tcPr>
            <w:tcW w:w="6090" w:type="dxa"/>
            <w:tcBorders>
              <w:top w:val="outset" w:color="auto" w:sz="6" w:space="0"/>
              <w:left w:val="outset" w:color="auto" w:sz="6" w:space="0"/>
              <w:bottom w:val="outset" w:color="auto" w:sz="6" w:space="0"/>
              <w:right w:val="outset" w:color="auto" w:sz="6" w:space="0"/>
            </w:tcBorders>
            <w:vAlign w:val="center"/>
          </w:tcPr>
          <w:p w14:paraId="7C58F10F">
            <w:pPr>
              <w:spacing w:line="360" w:lineRule="auto"/>
              <w:ind w:firstLine="420" w:firstLineChars="200"/>
              <w:rPr>
                <w:rFonts w:ascii="宋体" w:hAnsi="宋体"/>
                <w:color w:val="auto"/>
                <w:szCs w:val="21"/>
                <w:highlight w:val="none"/>
              </w:rPr>
            </w:pPr>
          </w:p>
        </w:tc>
      </w:tr>
      <w:tr w14:paraId="26AE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7F25ECE5">
            <w:pPr>
              <w:ind w:firstLine="420" w:firstLineChars="200"/>
              <w:rPr>
                <w:rFonts w:ascii="宋体" w:hAnsi="宋体"/>
                <w:color w:val="auto"/>
                <w:szCs w:val="21"/>
                <w:highlight w:val="none"/>
              </w:rPr>
            </w:pPr>
            <w:r>
              <w:rPr>
                <w:rFonts w:hint="eastAsia" w:ascii="宋体" w:hAnsi="宋体"/>
                <w:color w:val="auto"/>
                <w:szCs w:val="21"/>
                <w:highlight w:val="none"/>
              </w:rPr>
              <w:t>承担的工作</w:t>
            </w:r>
          </w:p>
        </w:tc>
        <w:tc>
          <w:tcPr>
            <w:tcW w:w="6090" w:type="dxa"/>
            <w:tcBorders>
              <w:top w:val="outset" w:color="auto" w:sz="6" w:space="0"/>
              <w:left w:val="outset" w:color="auto" w:sz="6" w:space="0"/>
              <w:bottom w:val="outset" w:color="auto" w:sz="6" w:space="0"/>
              <w:right w:val="outset" w:color="auto" w:sz="6" w:space="0"/>
            </w:tcBorders>
            <w:vAlign w:val="center"/>
          </w:tcPr>
          <w:p w14:paraId="6AAB1987">
            <w:pPr>
              <w:spacing w:line="360" w:lineRule="auto"/>
              <w:ind w:firstLine="420" w:firstLineChars="200"/>
              <w:rPr>
                <w:rFonts w:ascii="宋体" w:hAnsi="宋体"/>
                <w:color w:val="auto"/>
                <w:szCs w:val="21"/>
                <w:highlight w:val="none"/>
              </w:rPr>
            </w:pPr>
          </w:p>
        </w:tc>
      </w:tr>
      <w:tr w14:paraId="3FC2D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7A9A63F8">
            <w:pPr>
              <w:ind w:firstLine="420" w:firstLineChars="200"/>
              <w:rPr>
                <w:rFonts w:ascii="宋体" w:hAnsi="宋体"/>
                <w:color w:val="auto"/>
                <w:szCs w:val="21"/>
                <w:highlight w:val="none"/>
              </w:rPr>
            </w:pPr>
            <w:r>
              <w:rPr>
                <w:rFonts w:hint="eastAsia" w:ascii="宋体" w:hAnsi="宋体"/>
                <w:color w:val="auto"/>
                <w:szCs w:val="21"/>
                <w:highlight w:val="none"/>
              </w:rPr>
              <w:t>工程质量</w:t>
            </w:r>
          </w:p>
        </w:tc>
        <w:tc>
          <w:tcPr>
            <w:tcW w:w="6090" w:type="dxa"/>
            <w:tcBorders>
              <w:top w:val="outset" w:color="auto" w:sz="6" w:space="0"/>
              <w:left w:val="outset" w:color="auto" w:sz="6" w:space="0"/>
              <w:bottom w:val="outset" w:color="auto" w:sz="6" w:space="0"/>
              <w:right w:val="outset" w:color="auto" w:sz="6" w:space="0"/>
            </w:tcBorders>
            <w:vAlign w:val="center"/>
          </w:tcPr>
          <w:p w14:paraId="0DDC09C8">
            <w:pPr>
              <w:spacing w:line="360" w:lineRule="auto"/>
              <w:ind w:firstLine="420" w:firstLineChars="200"/>
              <w:rPr>
                <w:rFonts w:ascii="宋体" w:hAnsi="宋体"/>
                <w:color w:val="auto"/>
                <w:szCs w:val="21"/>
                <w:highlight w:val="none"/>
              </w:rPr>
            </w:pPr>
          </w:p>
        </w:tc>
      </w:tr>
      <w:tr w14:paraId="6062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121FC337">
            <w:pPr>
              <w:ind w:firstLine="420" w:firstLineChars="200"/>
              <w:rPr>
                <w:rFonts w:ascii="宋体" w:hAnsi="宋体"/>
                <w:color w:val="auto"/>
                <w:szCs w:val="21"/>
                <w:highlight w:val="none"/>
              </w:rPr>
            </w:pPr>
            <w:r>
              <w:rPr>
                <w:rFonts w:hint="eastAsia" w:ascii="宋体" w:hAnsi="宋体"/>
                <w:color w:val="auto"/>
                <w:szCs w:val="21"/>
                <w:highlight w:val="none"/>
              </w:rPr>
              <w:t>项目经理</w:t>
            </w:r>
          </w:p>
        </w:tc>
        <w:tc>
          <w:tcPr>
            <w:tcW w:w="6090" w:type="dxa"/>
            <w:tcBorders>
              <w:top w:val="outset" w:color="auto" w:sz="6" w:space="0"/>
              <w:left w:val="outset" w:color="auto" w:sz="6" w:space="0"/>
              <w:bottom w:val="outset" w:color="auto" w:sz="6" w:space="0"/>
              <w:right w:val="outset" w:color="auto" w:sz="6" w:space="0"/>
            </w:tcBorders>
            <w:vAlign w:val="center"/>
          </w:tcPr>
          <w:p w14:paraId="26E2749D">
            <w:pPr>
              <w:spacing w:line="360" w:lineRule="auto"/>
              <w:ind w:firstLine="420" w:firstLineChars="200"/>
              <w:rPr>
                <w:rFonts w:ascii="宋体" w:hAnsi="宋体"/>
                <w:color w:val="auto"/>
                <w:szCs w:val="21"/>
                <w:highlight w:val="none"/>
              </w:rPr>
            </w:pPr>
          </w:p>
        </w:tc>
      </w:tr>
      <w:tr w14:paraId="420E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0AF8FA80">
            <w:pPr>
              <w:ind w:firstLine="420" w:firstLineChars="200"/>
              <w:rPr>
                <w:rFonts w:ascii="宋体" w:hAnsi="宋体"/>
                <w:color w:val="auto"/>
                <w:szCs w:val="21"/>
                <w:highlight w:val="none"/>
              </w:rPr>
            </w:pPr>
            <w:r>
              <w:rPr>
                <w:rFonts w:hint="eastAsia" w:ascii="宋体" w:hAnsi="宋体"/>
                <w:color w:val="auto"/>
                <w:szCs w:val="21"/>
                <w:highlight w:val="none"/>
              </w:rPr>
              <w:t>技术负责人</w:t>
            </w:r>
          </w:p>
        </w:tc>
        <w:tc>
          <w:tcPr>
            <w:tcW w:w="6090" w:type="dxa"/>
            <w:tcBorders>
              <w:top w:val="outset" w:color="auto" w:sz="6" w:space="0"/>
              <w:left w:val="outset" w:color="auto" w:sz="6" w:space="0"/>
              <w:bottom w:val="outset" w:color="auto" w:sz="6" w:space="0"/>
              <w:right w:val="outset" w:color="auto" w:sz="6" w:space="0"/>
            </w:tcBorders>
            <w:vAlign w:val="center"/>
          </w:tcPr>
          <w:p w14:paraId="64E5C831">
            <w:pPr>
              <w:spacing w:line="360" w:lineRule="auto"/>
              <w:ind w:firstLine="420" w:firstLineChars="200"/>
              <w:rPr>
                <w:rFonts w:ascii="宋体" w:hAnsi="宋体"/>
                <w:color w:val="auto"/>
                <w:szCs w:val="21"/>
                <w:highlight w:val="none"/>
              </w:rPr>
            </w:pPr>
          </w:p>
        </w:tc>
      </w:tr>
      <w:tr w14:paraId="113A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8" w:type="dxa"/>
            <w:tcBorders>
              <w:top w:val="outset" w:color="auto" w:sz="6" w:space="0"/>
              <w:left w:val="outset" w:color="auto" w:sz="6" w:space="0"/>
              <w:bottom w:val="outset" w:color="auto" w:sz="6" w:space="0"/>
              <w:right w:val="outset" w:color="auto" w:sz="6" w:space="0"/>
            </w:tcBorders>
            <w:vAlign w:val="center"/>
          </w:tcPr>
          <w:p w14:paraId="33D92C4C">
            <w:pPr>
              <w:ind w:firstLine="420" w:firstLineChars="200"/>
              <w:rPr>
                <w:rFonts w:ascii="宋体" w:hAnsi="宋体"/>
                <w:color w:val="auto"/>
                <w:szCs w:val="21"/>
                <w:highlight w:val="none"/>
              </w:rPr>
            </w:pPr>
            <w:r>
              <w:rPr>
                <w:rFonts w:hint="eastAsia" w:ascii="宋体" w:hAnsi="宋体"/>
                <w:color w:val="auto"/>
                <w:szCs w:val="21"/>
                <w:highlight w:val="none"/>
              </w:rPr>
              <w:t>总监理工程师及电话</w:t>
            </w:r>
          </w:p>
        </w:tc>
        <w:tc>
          <w:tcPr>
            <w:tcW w:w="6090" w:type="dxa"/>
            <w:tcBorders>
              <w:top w:val="outset" w:color="auto" w:sz="6" w:space="0"/>
              <w:left w:val="outset" w:color="auto" w:sz="6" w:space="0"/>
              <w:bottom w:val="outset" w:color="auto" w:sz="6" w:space="0"/>
              <w:right w:val="outset" w:color="auto" w:sz="6" w:space="0"/>
            </w:tcBorders>
            <w:vAlign w:val="center"/>
          </w:tcPr>
          <w:p w14:paraId="2BB86242">
            <w:pPr>
              <w:spacing w:line="360" w:lineRule="auto"/>
              <w:ind w:firstLine="420" w:firstLineChars="200"/>
              <w:rPr>
                <w:rFonts w:ascii="宋体" w:hAnsi="宋体"/>
                <w:color w:val="auto"/>
                <w:szCs w:val="21"/>
                <w:highlight w:val="none"/>
              </w:rPr>
            </w:pPr>
          </w:p>
        </w:tc>
      </w:tr>
      <w:tr w14:paraId="46084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98" w:type="dxa"/>
            <w:tcBorders>
              <w:top w:val="outset" w:color="auto" w:sz="6" w:space="0"/>
              <w:left w:val="outset" w:color="auto" w:sz="6" w:space="0"/>
              <w:bottom w:val="outset" w:color="auto" w:sz="6" w:space="0"/>
              <w:right w:val="outset" w:color="auto" w:sz="6" w:space="0"/>
            </w:tcBorders>
            <w:vAlign w:val="center"/>
          </w:tcPr>
          <w:p w14:paraId="73BA4E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项目描述</w:t>
            </w:r>
          </w:p>
        </w:tc>
        <w:tc>
          <w:tcPr>
            <w:tcW w:w="6090" w:type="dxa"/>
            <w:tcBorders>
              <w:top w:val="outset" w:color="auto" w:sz="6" w:space="0"/>
              <w:left w:val="outset" w:color="auto" w:sz="6" w:space="0"/>
              <w:bottom w:val="outset" w:color="auto" w:sz="6" w:space="0"/>
              <w:right w:val="outset" w:color="auto" w:sz="6" w:space="0"/>
            </w:tcBorders>
            <w:vAlign w:val="center"/>
          </w:tcPr>
          <w:p w14:paraId="12922C81">
            <w:pPr>
              <w:spacing w:line="360" w:lineRule="auto"/>
              <w:ind w:firstLine="420" w:firstLineChars="200"/>
              <w:rPr>
                <w:rFonts w:ascii="宋体" w:hAnsi="宋体"/>
                <w:color w:val="auto"/>
                <w:szCs w:val="21"/>
                <w:highlight w:val="none"/>
              </w:rPr>
            </w:pPr>
          </w:p>
        </w:tc>
      </w:tr>
      <w:tr w14:paraId="1682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98" w:type="dxa"/>
            <w:tcBorders>
              <w:top w:val="outset" w:color="auto" w:sz="6" w:space="0"/>
              <w:left w:val="outset" w:color="auto" w:sz="6" w:space="0"/>
              <w:bottom w:val="outset" w:color="auto" w:sz="6" w:space="0"/>
              <w:right w:val="outset" w:color="auto" w:sz="6" w:space="0"/>
            </w:tcBorders>
            <w:vAlign w:val="center"/>
          </w:tcPr>
          <w:p w14:paraId="61E8B5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w:t>
            </w:r>
          </w:p>
        </w:tc>
        <w:tc>
          <w:tcPr>
            <w:tcW w:w="6090" w:type="dxa"/>
            <w:tcBorders>
              <w:top w:val="outset" w:color="auto" w:sz="6" w:space="0"/>
              <w:left w:val="outset" w:color="auto" w:sz="6" w:space="0"/>
              <w:bottom w:val="outset" w:color="auto" w:sz="6" w:space="0"/>
              <w:right w:val="outset" w:color="auto" w:sz="6" w:space="0"/>
            </w:tcBorders>
            <w:vAlign w:val="center"/>
          </w:tcPr>
          <w:p w14:paraId="614EE3C9">
            <w:pPr>
              <w:spacing w:line="360" w:lineRule="auto"/>
              <w:ind w:firstLine="420" w:firstLineChars="200"/>
              <w:rPr>
                <w:rFonts w:ascii="宋体" w:hAnsi="宋体"/>
                <w:color w:val="auto"/>
                <w:szCs w:val="21"/>
                <w:highlight w:val="none"/>
              </w:rPr>
            </w:pPr>
          </w:p>
        </w:tc>
      </w:tr>
    </w:tbl>
    <w:p w14:paraId="42DA9A3A">
      <w:pPr>
        <w:spacing w:line="360" w:lineRule="auto"/>
        <w:ind w:firstLine="420" w:firstLineChars="200"/>
        <w:rPr>
          <w:rFonts w:ascii="宋体" w:hAnsi="宋体"/>
          <w:color w:val="auto"/>
          <w:szCs w:val="21"/>
          <w:highlight w:val="none"/>
        </w:rPr>
      </w:pPr>
    </w:p>
    <w:p w14:paraId="7B34C0A7">
      <w:pPr>
        <w:rPr>
          <w:rFonts w:ascii="宋体" w:hAnsi="宋体"/>
          <w:color w:val="auto"/>
          <w:szCs w:val="21"/>
          <w:highlight w:val="none"/>
        </w:rPr>
      </w:pPr>
      <w:r>
        <w:rPr>
          <w:rFonts w:hint="eastAsia" w:ascii="宋体" w:hAnsi="宋体"/>
          <w:color w:val="auto"/>
          <w:szCs w:val="21"/>
          <w:highlight w:val="none"/>
        </w:rPr>
        <w:t>注：1、每张表格只填写一个项目，并标明序号。</w:t>
      </w:r>
    </w:p>
    <w:p w14:paraId="5CBB0DCF">
      <w:pPr>
        <w:rPr>
          <w:rFonts w:ascii="宋体" w:hAnsi="宋体"/>
          <w:snapToGrid w:val="0"/>
          <w:color w:val="auto"/>
          <w:kern w:val="0"/>
          <w:szCs w:val="21"/>
          <w:highlight w:val="none"/>
        </w:rPr>
      </w:pPr>
      <w:r>
        <w:rPr>
          <w:rFonts w:hint="eastAsia" w:ascii="宋体" w:hAnsi="宋体"/>
          <w:color w:val="auto"/>
          <w:szCs w:val="21"/>
          <w:highlight w:val="none"/>
        </w:rPr>
        <w:t>2、本表后须附应附在交通运输部“全国水运建设市场信用信息管理系统”（https://wtis.mot.gov.cn/credit/index.html）中查询到的企业“业绩信息”相关项目网页截图扫描件，或附在“福建省交通公路水运建设与运输市场信用信息管理系统（信用交通·福建）”（http://220.160.53.3:30050/gzwz/）中查询到的网页截图（并注明查询路径）；并提供①合同文件扫描件，②交(竣)工验收证书或交工验收表</w:t>
      </w:r>
      <w:r>
        <w:rPr>
          <w:rFonts w:hint="eastAsia" w:ascii="宋体" w:hAnsi="宋体"/>
          <w:color w:val="auto"/>
          <w:szCs w:val="21"/>
          <w:highlight w:val="none"/>
          <w:lang w:val="en-US" w:eastAsia="zh-CN"/>
        </w:rPr>
        <w:t>或</w:t>
      </w:r>
      <w:r>
        <w:rPr>
          <w:rFonts w:hint="eastAsia" w:ascii="宋体" w:hAnsi="宋体"/>
          <w:color w:val="auto"/>
          <w:szCs w:val="21"/>
          <w:highlight w:val="none"/>
        </w:rPr>
        <w:t>竣工验收现场核查报告</w:t>
      </w:r>
      <w:r>
        <w:rPr>
          <w:rFonts w:hint="eastAsia" w:ascii="宋体" w:hAnsi="宋体"/>
          <w:color w:val="auto"/>
          <w:szCs w:val="21"/>
          <w:highlight w:val="none"/>
          <w:lang w:val="en-US" w:eastAsia="zh-CN"/>
        </w:rPr>
        <w:t>扫描件，③工程交工</w:t>
      </w:r>
      <w:r>
        <w:rPr>
          <w:rFonts w:hint="eastAsia" w:ascii="宋体" w:hAnsi="宋体"/>
          <w:color w:val="auto"/>
          <w:szCs w:val="21"/>
          <w:highlight w:val="none"/>
        </w:rPr>
        <w:t>质量</w:t>
      </w:r>
      <w:r>
        <w:rPr>
          <w:rFonts w:hint="eastAsia" w:ascii="宋体" w:hAnsi="宋体"/>
          <w:color w:val="auto"/>
          <w:szCs w:val="21"/>
          <w:highlight w:val="none"/>
          <w:lang w:val="en-US" w:eastAsia="zh-CN"/>
        </w:rPr>
        <w:t>核验意见或工程质量鉴定报告</w:t>
      </w:r>
      <w:r>
        <w:rPr>
          <w:rFonts w:hint="eastAsia" w:ascii="宋体" w:hAnsi="宋体"/>
          <w:color w:val="auto"/>
          <w:szCs w:val="21"/>
          <w:highlight w:val="none"/>
        </w:rPr>
        <w:t>扫描件</w:t>
      </w:r>
      <w:r>
        <w:rPr>
          <w:rFonts w:hint="eastAsia" w:ascii="宋体" w:hAnsi="宋体"/>
          <w:color w:val="auto"/>
          <w:szCs w:val="21"/>
          <w:highlight w:val="none"/>
          <w:lang w:eastAsia="zh-CN"/>
        </w:rPr>
        <w:t>。</w:t>
      </w:r>
      <w:r>
        <w:rPr>
          <w:rFonts w:hint="eastAsia" w:ascii="宋体" w:hAnsi="宋体"/>
          <w:color w:val="auto"/>
          <w:szCs w:val="21"/>
          <w:highlight w:val="none"/>
        </w:rPr>
        <w:t>航道工程还需提供单独立项的</w:t>
      </w:r>
      <w:r>
        <w:rPr>
          <w:rFonts w:hint="eastAsia" w:ascii="宋体" w:hAnsi="宋体"/>
          <w:color w:val="auto"/>
          <w:szCs w:val="21"/>
          <w:highlight w:val="none"/>
          <w:lang w:val="en-US" w:eastAsia="zh-CN"/>
        </w:rPr>
        <w:t>工可</w:t>
      </w:r>
      <w:r>
        <w:rPr>
          <w:rFonts w:hint="eastAsia" w:ascii="宋体" w:hAnsi="宋体"/>
          <w:color w:val="auto"/>
          <w:szCs w:val="21"/>
          <w:highlight w:val="none"/>
        </w:rPr>
        <w:t>批复文件扫描件。</w:t>
      </w:r>
    </w:p>
    <w:p w14:paraId="34D82000">
      <w:pPr>
        <w:spacing w:line="360" w:lineRule="auto"/>
        <w:ind w:firstLine="420" w:firstLineChars="200"/>
        <w:rPr>
          <w:rFonts w:ascii="宋体" w:hAnsi="宋体"/>
          <w:color w:val="auto"/>
          <w:szCs w:val="21"/>
          <w:highlight w:val="none"/>
        </w:rPr>
      </w:pPr>
    </w:p>
    <w:p w14:paraId="6C69C758">
      <w:pPr>
        <w:pStyle w:val="8"/>
        <w:spacing w:line="360" w:lineRule="auto"/>
        <w:jc w:val="right"/>
        <w:rPr>
          <w:rFonts w:hAnsi="宋体"/>
          <w:color w:val="auto"/>
          <w:sz w:val="24"/>
          <w:szCs w:val="24"/>
          <w:highlight w:val="none"/>
          <w:u w:val="single"/>
        </w:rPr>
        <w:sectPr>
          <w:pgSz w:w="11905" w:h="16838"/>
          <w:pgMar w:top="1440" w:right="1417" w:bottom="1440" w:left="1417" w:header="850" w:footer="992" w:gutter="0"/>
          <w:cols w:space="720" w:num="1"/>
          <w:docGrid w:type="lines" w:linePitch="317" w:charSpace="0"/>
        </w:sectPr>
      </w:pPr>
      <w:r>
        <w:rPr>
          <w:rFonts w:hint="eastAsia" w:hAnsi="宋体"/>
          <w:color w:val="auto"/>
          <w:sz w:val="24"/>
          <w:szCs w:val="24"/>
          <w:highlight w:val="none"/>
        </w:rPr>
        <w:t>投标人：</w:t>
      </w:r>
      <w:r>
        <w:rPr>
          <w:rFonts w:hint="eastAsia" w:hAnsi="宋体"/>
          <w:color w:val="auto"/>
          <w:sz w:val="24"/>
          <w:szCs w:val="24"/>
          <w:highlight w:val="none"/>
          <w:u w:val="single"/>
        </w:rPr>
        <w:t xml:space="preserve">                  (盖单位电子章)</w:t>
      </w:r>
    </w:p>
    <w:p w14:paraId="787EF5D9">
      <w:pPr>
        <w:pStyle w:val="5"/>
        <w:jc w:val="center"/>
        <w:rPr>
          <w:color w:val="auto"/>
          <w:highlight w:val="none"/>
        </w:rPr>
      </w:pPr>
      <w:r>
        <w:rPr>
          <w:rFonts w:hint="eastAsia"/>
          <w:color w:val="auto"/>
          <w:highlight w:val="none"/>
        </w:rPr>
        <w:t>（四）近三年发生的诉讼及仲裁情况</w:t>
      </w:r>
    </w:p>
    <w:p w14:paraId="7610CA46">
      <w:pPr>
        <w:rPr>
          <w:color w:val="auto"/>
          <w:highlight w:val="none"/>
        </w:rPr>
      </w:pPr>
    </w:p>
    <w:p w14:paraId="23B45790">
      <w:pPr>
        <w:rPr>
          <w:color w:val="auto"/>
          <w:highlight w:val="none"/>
        </w:rPr>
      </w:pPr>
    </w:p>
    <w:p w14:paraId="7DC6A85F">
      <w:pPr>
        <w:rPr>
          <w:color w:val="auto"/>
          <w:highlight w:val="none"/>
        </w:rPr>
      </w:pPr>
    </w:p>
    <w:p w14:paraId="3EFCD7BB">
      <w:pPr>
        <w:rPr>
          <w:color w:val="auto"/>
          <w:highlight w:val="none"/>
        </w:rPr>
      </w:pPr>
    </w:p>
    <w:p w14:paraId="4B4434BF">
      <w:pPr>
        <w:rPr>
          <w:color w:val="auto"/>
          <w:highlight w:val="none"/>
        </w:rPr>
      </w:pPr>
    </w:p>
    <w:p w14:paraId="586007FE">
      <w:pPr>
        <w:rPr>
          <w:color w:val="auto"/>
          <w:highlight w:val="none"/>
        </w:rPr>
      </w:pPr>
    </w:p>
    <w:p w14:paraId="48C6A22E">
      <w:pPr>
        <w:rPr>
          <w:color w:val="auto"/>
          <w:highlight w:val="none"/>
        </w:rPr>
      </w:pPr>
    </w:p>
    <w:p w14:paraId="3EF3BF77">
      <w:pPr>
        <w:rPr>
          <w:color w:val="auto"/>
          <w:highlight w:val="none"/>
        </w:rPr>
      </w:pPr>
    </w:p>
    <w:p w14:paraId="4F79CE27">
      <w:pPr>
        <w:rPr>
          <w:color w:val="auto"/>
          <w:highlight w:val="none"/>
        </w:rPr>
      </w:pPr>
    </w:p>
    <w:p w14:paraId="4B2DE7CB">
      <w:pPr>
        <w:rPr>
          <w:color w:val="auto"/>
          <w:highlight w:val="none"/>
        </w:rPr>
      </w:pPr>
    </w:p>
    <w:p w14:paraId="13391707">
      <w:pPr>
        <w:rPr>
          <w:color w:val="auto"/>
          <w:highlight w:val="none"/>
        </w:rPr>
      </w:pPr>
    </w:p>
    <w:p w14:paraId="79C0E7F3">
      <w:pPr>
        <w:rPr>
          <w:color w:val="auto"/>
          <w:highlight w:val="none"/>
        </w:rPr>
      </w:pPr>
    </w:p>
    <w:p w14:paraId="41811614">
      <w:pPr>
        <w:rPr>
          <w:color w:val="auto"/>
          <w:highlight w:val="none"/>
        </w:rPr>
      </w:pPr>
    </w:p>
    <w:p w14:paraId="06F0D3B8">
      <w:pPr>
        <w:rPr>
          <w:color w:val="auto"/>
          <w:highlight w:val="none"/>
        </w:rPr>
      </w:pPr>
    </w:p>
    <w:p w14:paraId="6C3B7B13">
      <w:pPr>
        <w:rPr>
          <w:color w:val="auto"/>
          <w:highlight w:val="none"/>
        </w:rPr>
      </w:pPr>
    </w:p>
    <w:p w14:paraId="6208AE46">
      <w:pPr>
        <w:rPr>
          <w:color w:val="auto"/>
          <w:highlight w:val="none"/>
        </w:rPr>
      </w:pPr>
    </w:p>
    <w:p w14:paraId="5E714E6A">
      <w:pPr>
        <w:rPr>
          <w:color w:val="auto"/>
          <w:highlight w:val="none"/>
        </w:rPr>
      </w:pPr>
    </w:p>
    <w:p w14:paraId="1D1E362E">
      <w:pPr>
        <w:rPr>
          <w:color w:val="auto"/>
          <w:highlight w:val="none"/>
        </w:rPr>
      </w:pPr>
    </w:p>
    <w:p w14:paraId="45FA5202">
      <w:pPr>
        <w:rPr>
          <w:color w:val="auto"/>
          <w:highlight w:val="none"/>
        </w:rPr>
      </w:pPr>
    </w:p>
    <w:p w14:paraId="3735B368">
      <w:pPr>
        <w:rPr>
          <w:color w:val="auto"/>
          <w:highlight w:val="none"/>
        </w:rPr>
      </w:pPr>
    </w:p>
    <w:p w14:paraId="0471BE84">
      <w:pPr>
        <w:rPr>
          <w:color w:val="auto"/>
          <w:highlight w:val="none"/>
        </w:rPr>
      </w:pPr>
    </w:p>
    <w:p w14:paraId="12DB266A">
      <w:pPr>
        <w:rPr>
          <w:color w:val="auto"/>
          <w:highlight w:val="none"/>
        </w:rPr>
      </w:pPr>
    </w:p>
    <w:p w14:paraId="514793E9">
      <w:pPr>
        <w:rPr>
          <w:color w:val="auto"/>
          <w:highlight w:val="none"/>
        </w:rPr>
      </w:pPr>
    </w:p>
    <w:p w14:paraId="5BEA3C3B">
      <w:pPr>
        <w:rPr>
          <w:color w:val="auto"/>
          <w:highlight w:val="none"/>
        </w:rPr>
      </w:pPr>
    </w:p>
    <w:p w14:paraId="4AC21FD4">
      <w:pPr>
        <w:rPr>
          <w:color w:val="auto"/>
          <w:highlight w:val="none"/>
        </w:rPr>
      </w:pPr>
    </w:p>
    <w:p w14:paraId="085F9BDE">
      <w:pPr>
        <w:rPr>
          <w:color w:val="auto"/>
          <w:highlight w:val="none"/>
        </w:rPr>
      </w:pPr>
    </w:p>
    <w:p w14:paraId="2D758B1B">
      <w:pPr>
        <w:rPr>
          <w:color w:val="auto"/>
          <w:highlight w:val="none"/>
        </w:rPr>
      </w:pPr>
    </w:p>
    <w:p w14:paraId="3D3ED8F3">
      <w:pPr>
        <w:rPr>
          <w:color w:val="auto"/>
          <w:highlight w:val="none"/>
        </w:rPr>
      </w:pPr>
    </w:p>
    <w:p w14:paraId="31E07493">
      <w:pPr>
        <w:rPr>
          <w:color w:val="auto"/>
          <w:highlight w:val="none"/>
        </w:rPr>
      </w:pPr>
    </w:p>
    <w:p w14:paraId="37CD9D12">
      <w:pPr>
        <w:rPr>
          <w:color w:val="auto"/>
          <w:highlight w:val="none"/>
        </w:rPr>
      </w:pPr>
    </w:p>
    <w:p w14:paraId="59F22C52">
      <w:pPr>
        <w:rPr>
          <w:color w:val="auto"/>
          <w:highlight w:val="none"/>
        </w:rPr>
      </w:pPr>
    </w:p>
    <w:p w14:paraId="4C2428F2">
      <w:pPr>
        <w:rPr>
          <w:color w:val="auto"/>
          <w:highlight w:val="none"/>
        </w:rPr>
      </w:pPr>
    </w:p>
    <w:p w14:paraId="7640EC54">
      <w:pPr>
        <w:rPr>
          <w:color w:val="auto"/>
          <w:highlight w:val="none"/>
        </w:rPr>
      </w:pPr>
    </w:p>
    <w:p w14:paraId="01894C57">
      <w:pPr>
        <w:rPr>
          <w:color w:val="auto"/>
          <w:highlight w:val="none"/>
        </w:rPr>
      </w:pPr>
    </w:p>
    <w:p w14:paraId="4CBEA1AF">
      <w:pPr>
        <w:rPr>
          <w:color w:val="auto"/>
          <w:highlight w:val="none"/>
        </w:rPr>
      </w:pPr>
    </w:p>
    <w:p w14:paraId="77E8ED37">
      <w:pPr>
        <w:rPr>
          <w:color w:val="auto"/>
          <w:highlight w:val="none"/>
        </w:rPr>
      </w:pPr>
    </w:p>
    <w:p w14:paraId="533319C0">
      <w:pPr>
        <w:rPr>
          <w:color w:val="auto"/>
          <w:highlight w:val="none"/>
        </w:rPr>
      </w:pPr>
    </w:p>
    <w:p w14:paraId="275A43B9">
      <w:pPr>
        <w:rPr>
          <w:color w:val="auto"/>
          <w:highlight w:val="none"/>
        </w:rPr>
      </w:pPr>
    </w:p>
    <w:p w14:paraId="546FD401">
      <w:pPr>
        <w:rPr>
          <w:color w:val="auto"/>
          <w:highlight w:val="none"/>
        </w:rPr>
      </w:pPr>
    </w:p>
    <w:p w14:paraId="0DC303BE">
      <w:pPr>
        <w:rPr>
          <w:color w:val="auto"/>
          <w:highlight w:val="none"/>
        </w:rPr>
      </w:pPr>
    </w:p>
    <w:p w14:paraId="1498BC2D">
      <w:pPr>
        <w:rPr>
          <w:color w:val="auto"/>
          <w:highlight w:val="none"/>
        </w:rPr>
      </w:pPr>
    </w:p>
    <w:p w14:paraId="2DA82372">
      <w:pPr>
        <w:jc w:val="center"/>
        <w:rPr>
          <w:color w:val="auto"/>
          <w:highlight w:val="none"/>
        </w:rPr>
      </w:pPr>
      <w:r>
        <w:rPr>
          <w:rFonts w:hint="eastAsia"/>
          <w:color w:val="auto"/>
          <w:highlight w:val="none"/>
        </w:rPr>
        <w:br w:type="page"/>
      </w:r>
    </w:p>
    <w:p w14:paraId="0C2FB4F3">
      <w:pPr>
        <w:pStyle w:val="5"/>
        <w:rPr>
          <w:rFonts w:hint="eastAsia"/>
          <w:color w:val="auto"/>
          <w:highlight w:val="none"/>
        </w:rPr>
      </w:pPr>
    </w:p>
    <w:p w14:paraId="5152E58B">
      <w:pPr>
        <w:wordWrap w:val="0"/>
        <w:spacing w:before="240" w:beforeLines="100" w:line="300" w:lineRule="auto"/>
        <w:jc w:val="center"/>
        <w:rPr>
          <w:rFonts w:hint="eastAsia" w:eastAsia="黑体"/>
          <w:bCs/>
          <w:color w:val="auto"/>
          <w:kern w:val="44"/>
          <w:sz w:val="28"/>
          <w:szCs w:val="28"/>
          <w:highlight w:val="none"/>
          <w:shd w:val="clear" w:color="auto" w:fill="auto"/>
        </w:rPr>
      </w:pPr>
      <w:bookmarkStart w:id="1383" w:name="_Toc300650506_WPSOffice_Level2"/>
      <w:r>
        <w:rPr>
          <w:rFonts w:hint="eastAsia" w:eastAsia="黑体"/>
          <w:bCs/>
          <w:color w:val="auto"/>
          <w:kern w:val="44"/>
          <w:sz w:val="28"/>
          <w:szCs w:val="28"/>
          <w:highlight w:val="none"/>
          <w:shd w:val="clear" w:color="auto" w:fill="auto"/>
        </w:rPr>
        <w:t>（五）投标人的信誉情况表</w:t>
      </w:r>
      <w:bookmarkEnd w:id="1383"/>
      <w:r>
        <w:rPr>
          <w:rStyle w:val="48"/>
          <w:rFonts w:hint="eastAsia" w:eastAsia="黑体"/>
          <w:bCs/>
          <w:color w:val="auto"/>
          <w:kern w:val="44"/>
          <w:sz w:val="28"/>
          <w:szCs w:val="28"/>
          <w:highlight w:val="none"/>
          <w:shd w:val="clear" w:color="auto" w:fill="auto"/>
        </w:rPr>
        <w:footnoteReference w:id="16"/>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164"/>
        <w:gridCol w:w="6598"/>
      </w:tblGrid>
      <w:tr w14:paraId="5E16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0" w:hRule="exact"/>
          <w:jc w:val="center"/>
        </w:trPr>
        <w:tc>
          <w:tcPr>
            <w:tcW w:w="2164" w:type="dxa"/>
            <w:shd w:val="clear" w:color="auto" w:fill="FFFFFF"/>
            <w:noWrap w:val="0"/>
            <w:vAlign w:val="center"/>
          </w:tcPr>
          <w:p w14:paraId="5910C1FE">
            <w:pPr>
              <w:pStyle w:val="101"/>
              <w:wordWrap w:val="0"/>
              <w:spacing w:before="120" w:beforeLines="50" w:line="300" w:lineRule="auto"/>
              <w:ind w:firstLine="0"/>
              <w:jc w:val="center"/>
              <w:rPr>
                <w:color w:val="auto"/>
                <w:sz w:val="21"/>
                <w:szCs w:val="21"/>
                <w:highlight w:val="none"/>
                <w:shd w:val="clear" w:color="auto" w:fill="auto"/>
              </w:rPr>
            </w:pPr>
            <w:bookmarkStart w:id="1384" w:name="bookmark1962"/>
            <w:r>
              <w:rPr>
                <w:color w:val="auto"/>
                <w:sz w:val="21"/>
                <w:szCs w:val="21"/>
                <w:highlight w:val="none"/>
                <w:shd w:val="clear" w:color="auto" w:fill="auto"/>
              </w:rPr>
              <w:t>项目</w:t>
            </w:r>
            <w:bookmarkEnd w:id="1384"/>
          </w:p>
        </w:tc>
        <w:tc>
          <w:tcPr>
            <w:tcW w:w="6598" w:type="dxa"/>
            <w:shd w:val="clear" w:color="auto" w:fill="FFFFFF"/>
            <w:noWrap w:val="0"/>
            <w:vAlign w:val="center"/>
          </w:tcPr>
          <w:p w14:paraId="19767414">
            <w:pPr>
              <w:pStyle w:val="101"/>
              <w:wordWrap w:val="0"/>
              <w:spacing w:before="120" w:beforeLines="50" w:line="300" w:lineRule="auto"/>
              <w:ind w:firstLine="0"/>
              <w:jc w:val="center"/>
              <w:rPr>
                <w:color w:val="auto"/>
                <w:sz w:val="21"/>
                <w:szCs w:val="21"/>
                <w:highlight w:val="none"/>
                <w:shd w:val="clear" w:color="auto" w:fill="auto"/>
              </w:rPr>
            </w:pPr>
            <w:r>
              <w:rPr>
                <w:color w:val="auto"/>
                <w:sz w:val="21"/>
                <w:szCs w:val="21"/>
                <w:highlight w:val="none"/>
                <w:shd w:val="clear" w:color="auto" w:fill="auto"/>
              </w:rPr>
              <w:t>投标人情况说明</w:t>
            </w:r>
          </w:p>
        </w:tc>
      </w:tr>
      <w:tr w14:paraId="0CD2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194CEF9C">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364C5FF5">
            <w:pPr>
              <w:wordWrap w:val="0"/>
              <w:spacing w:before="120" w:beforeLines="50" w:line="300" w:lineRule="auto"/>
              <w:rPr>
                <w:color w:val="auto"/>
                <w:szCs w:val="21"/>
                <w:highlight w:val="none"/>
                <w:shd w:val="clear" w:color="auto" w:fill="auto"/>
              </w:rPr>
            </w:pPr>
          </w:p>
        </w:tc>
      </w:tr>
      <w:tr w14:paraId="1112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19BFA1FE">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69F37F09">
            <w:pPr>
              <w:wordWrap w:val="0"/>
              <w:spacing w:before="120" w:beforeLines="50" w:line="300" w:lineRule="auto"/>
              <w:rPr>
                <w:color w:val="auto"/>
                <w:szCs w:val="21"/>
                <w:highlight w:val="none"/>
                <w:shd w:val="clear" w:color="auto" w:fill="auto"/>
              </w:rPr>
            </w:pPr>
          </w:p>
        </w:tc>
      </w:tr>
      <w:tr w14:paraId="1D68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7A67B48A">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38A3E85E">
            <w:pPr>
              <w:wordWrap w:val="0"/>
              <w:spacing w:before="120" w:beforeLines="50" w:line="300" w:lineRule="auto"/>
              <w:rPr>
                <w:color w:val="auto"/>
                <w:szCs w:val="21"/>
                <w:highlight w:val="none"/>
                <w:shd w:val="clear" w:color="auto" w:fill="auto"/>
              </w:rPr>
            </w:pPr>
          </w:p>
        </w:tc>
      </w:tr>
      <w:tr w14:paraId="407F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75B37A0F">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1EEB68AF">
            <w:pPr>
              <w:wordWrap w:val="0"/>
              <w:spacing w:before="120" w:beforeLines="50" w:line="300" w:lineRule="auto"/>
              <w:rPr>
                <w:color w:val="auto"/>
                <w:szCs w:val="21"/>
                <w:highlight w:val="none"/>
                <w:shd w:val="clear" w:color="auto" w:fill="auto"/>
              </w:rPr>
            </w:pPr>
          </w:p>
        </w:tc>
      </w:tr>
      <w:tr w14:paraId="23F5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3A8958B8">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E3FD990">
            <w:pPr>
              <w:wordWrap w:val="0"/>
              <w:spacing w:before="120" w:beforeLines="50" w:line="300" w:lineRule="auto"/>
              <w:rPr>
                <w:color w:val="auto"/>
                <w:szCs w:val="21"/>
                <w:highlight w:val="none"/>
                <w:shd w:val="clear" w:color="auto" w:fill="auto"/>
              </w:rPr>
            </w:pPr>
          </w:p>
        </w:tc>
      </w:tr>
      <w:tr w14:paraId="4A55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3" w:hRule="exact"/>
          <w:jc w:val="center"/>
        </w:trPr>
        <w:tc>
          <w:tcPr>
            <w:tcW w:w="2164" w:type="dxa"/>
            <w:shd w:val="clear" w:color="auto" w:fill="FFFFFF"/>
            <w:noWrap w:val="0"/>
            <w:vAlign w:val="top"/>
          </w:tcPr>
          <w:p w14:paraId="5A412244">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CC0E489">
            <w:pPr>
              <w:wordWrap w:val="0"/>
              <w:spacing w:before="120" w:beforeLines="50" w:line="300" w:lineRule="auto"/>
              <w:rPr>
                <w:color w:val="auto"/>
                <w:szCs w:val="21"/>
                <w:highlight w:val="none"/>
                <w:shd w:val="clear" w:color="auto" w:fill="auto"/>
              </w:rPr>
            </w:pPr>
          </w:p>
        </w:tc>
      </w:tr>
      <w:tr w14:paraId="7E8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8" w:hRule="exact"/>
          <w:jc w:val="center"/>
        </w:trPr>
        <w:tc>
          <w:tcPr>
            <w:tcW w:w="2164" w:type="dxa"/>
            <w:shd w:val="clear" w:color="auto" w:fill="FFFFFF"/>
            <w:noWrap w:val="0"/>
            <w:vAlign w:val="top"/>
          </w:tcPr>
          <w:p w14:paraId="68875F5A">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4354E60E">
            <w:pPr>
              <w:wordWrap w:val="0"/>
              <w:spacing w:before="120" w:beforeLines="50" w:line="300" w:lineRule="auto"/>
              <w:rPr>
                <w:color w:val="auto"/>
                <w:szCs w:val="21"/>
                <w:highlight w:val="none"/>
                <w:shd w:val="clear" w:color="auto" w:fill="auto"/>
              </w:rPr>
            </w:pPr>
          </w:p>
        </w:tc>
      </w:tr>
      <w:tr w14:paraId="719F4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2" w:hRule="exact"/>
          <w:jc w:val="center"/>
        </w:trPr>
        <w:tc>
          <w:tcPr>
            <w:tcW w:w="2164" w:type="dxa"/>
            <w:shd w:val="clear" w:color="auto" w:fill="FFFFFF"/>
            <w:noWrap w:val="0"/>
            <w:vAlign w:val="top"/>
          </w:tcPr>
          <w:p w14:paraId="172870D3">
            <w:pPr>
              <w:wordWrap w:val="0"/>
              <w:spacing w:before="120" w:beforeLines="50" w:line="300" w:lineRule="auto"/>
              <w:rPr>
                <w:color w:val="auto"/>
                <w:szCs w:val="21"/>
                <w:highlight w:val="none"/>
                <w:shd w:val="clear" w:color="auto" w:fill="auto"/>
              </w:rPr>
            </w:pPr>
          </w:p>
        </w:tc>
        <w:tc>
          <w:tcPr>
            <w:tcW w:w="6598" w:type="dxa"/>
            <w:shd w:val="clear" w:color="auto" w:fill="FFFFFF"/>
            <w:noWrap w:val="0"/>
            <w:vAlign w:val="top"/>
          </w:tcPr>
          <w:p w14:paraId="79BDAAB5">
            <w:pPr>
              <w:wordWrap w:val="0"/>
              <w:spacing w:before="120" w:beforeLines="50" w:line="300" w:lineRule="auto"/>
              <w:rPr>
                <w:color w:val="auto"/>
                <w:szCs w:val="21"/>
                <w:highlight w:val="none"/>
                <w:shd w:val="clear" w:color="auto" w:fill="auto"/>
              </w:rPr>
            </w:pPr>
          </w:p>
        </w:tc>
      </w:tr>
    </w:tbl>
    <w:p w14:paraId="04C9051B">
      <w:pPr>
        <w:rPr>
          <w:rFonts w:hint="eastAsia"/>
          <w:color w:val="auto"/>
          <w:sz w:val="24"/>
          <w:highlight w:val="none"/>
          <w:shd w:val="clear" w:color="auto" w:fill="auto"/>
        </w:rPr>
      </w:pPr>
      <w:r>
        <w:rPr>
          <w:rFonts w:hint="eastAsia"/>
          <w:color w:val="auto"/>
          <w:sz w:val="24"/>
          <w:highlight w:val="none"/>
          <w:shd w:val="clear" w:color="auto" w:fill="auto"/>
        </w:rPr>
        <w:br w:type="page"/>
      </w:r>
    </w:p>
    <w:p w14:paraId="64B955A1">
      <w:pPr>
        <w:pStyle w:val="4"/>
        <w:tabs>
          <w:tab w:val="left" w:leader="dot" w:pos="480"/>
        </w:tabs>
        <w:jc w:val="center"/>
        <w:rPr>
          <w:color w:val="auto"/>
          <w:highlight w:val="none"/>
        </w:rPr>
      </w:pPr>
      <w:r>
        <w:rPr>
          <w:rFonts w:hint="eastAsia"/>
          <w:color w:val="auto"/>
          <w:highlight w:val="none"/>
        </w:rPr>
        <w:t>无行贿犯罪记录承诺书</w:t>
      </w:r>
    </w:p>
    <w:p w14:paraId="67BA6D60">
      <w:pPr>
        <w:widowControl/>
        <w:adjustRightInd w:val="0"/>
        <w:spacing w:line="360" w:lineRule="auto"/>
        <w:jc w:val="left"/>
        <w:textAlignment w:val="bottom"/>
        <w:rPr>
          <w:rFonts w:ascii="宋体" w:hAnsi="宋体" w:cs="宋体"/>
          <w:color w:val="auto"/>
          <w:sz w:val="24"/>
          <w:highlight w:val="none"/>
          <w:u w:val="single"/>
        </w:rPr>
      </w:pPr>
    </w:p>
    <w:p w14:paraId="34FEA7DA">
      <w:pPr>
        <w:widowControl/>
        <w:adjustRightInd w:val="0"/>
        <w:spacing w:line="360" w:lineRule="auto"/>
        <w:jc w:val="left"/>
        <w:textAlignment w:val="bottom"/>
        <w:rPr>
          <w:rFonts w:ascii="宋体" w:hAnsi="宋体" w:cs="宋体"/>
          <w:color w:val="auto"/>
          <w:sz w:val="24"/>
          <w:highlight w:val="none"/>
        </w:rPr>
      </w:pPr>
      <w:r>
        <w:rPr>
          <w:rFonts w:hint="eastAsia" w:ascii="宋体" w:hAnsi="宋体" w:cs="宋体"/>
          <w:color w:val="auto"/>
          <w:sz w:val="24"/>
          <w:highlight w:val="none"/>
          <w:u w:val="single"/>
        </w:rPr>
        <w:t xml:space="preserve">                         （招标人名称）</w:t>
      </w:r>
      <w:r>
        <w:rPr>
          <w:rFonts w:hint="eastAsia" w:ascii="宋体" w:hAnsi="宋体" w:cs="宋体"/>
          <w:color w:val="auto"/>
          <w:sz w:val="24"/>
          <w:highlight w:val="none"/>
        </w:rPr>
        <w:t>：</w:t>
      </w:r>
    </w:p>
    <w:p w14:paraId="61E48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我方在此声明，本公司包括企业本身、法定代表人及拟委任的项目</w:t>
      </w:r>
      <w:r>
        <w:rPr>
          <w:rFonts w:hint="eastAsia" w:ascii="宋体" w:hAnsi="宋体" w:cs="宋体"/>
          <w:color w:val="auto"/>
          <w:sz w:val="24"/>
          <w:highlight w:val="none"/>
          <w:lang w:val="en-US" w:eastAsia="zh-CN"/>
        </w:rPr>
        <w:t>负责人</w:t>
      </w:r>
      <w:r>
        <w:rPr>
          <w:rFonts w:hint="eastAsia" w:ascii="宋体" w:hAnsi="宋体" w:cs="宋体"/>
          <w:color w:val="auto"/>
          <w:sz w:val="24"/>
          <w:highlight w:val="none"/>
        </w:rPr>
        <w:t>近三年内在检察机关无行贿犯罪记录。</w:t>
      </w:r>
    </w:p>
    <w:p w14:paraId="31BF27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我方保证上述信息的真实和准确，并愿意承担因我方就此弄虚作假所引起的一切法律后果。</w:t>
      </w:r>
    </w:p>
    <w:p w14:paraId="24446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1BAF18DE">
      <w:pPr>
        <w:spacing w:line="360" w:lineRule="auto"/>
        <w:ind w:firstLine="480" w:firstLineChars="200"/>
        <w:rPr>
          <w:rFonts w:ascii="宋体" w:hAnsi="宋体" w:cs="宋体"/>
          <w:color w:val="auto"/>
          <w:sz w:val="24"/>
          <w:highlight w:val="none"/>
        </w:rPr>
      </w:pPr>
    </w:p>
    <w:p w14:paraId="545E0817">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（盖单位电子章）</w:t>
      </w:r>
    </w:p>
    <w:p w14:paraId="05821DE9">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57327E8E">
      <w:pPr>
        <w:spacing w:line="400" w:lineRule="exact"/>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7F292550">
      <w:pPr>
        <w:spacing w:line="440" w:lineRule="exact"/>
        <w:ind w:firstLine="235" w:firstLineChars="98"/>
        <w:jc w:val="left"/>
        <w:rPr>
          <w:rFonts w:ascii="宋体" w:hAnsi="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color w:val="auto"/>
          <w:sz w:val="24"/>
          <w:highlight w:val="none"/>
          <w:shd w:val="clear" w:color="auto" w:fill="auto"/>
        </w:rPr>
        <w:br w:type="page"/>
      </w:r>
    </w:p>
    <w:p w14:paraId="0547A475">
      <w:pPr>
        <w:spacing w:line="440" w:lineRule="exact"/>
        <w:ind w:firstLine="205" w:firstLineChars="98"/>
        <w:jc w:val="left"/>
        <w:rPr>
          <w:rFonts w:ascii="宋体" w:hAnsi="宋体"/>
          <w:color w:val="auto"/>
          <w:szCs w:val="21"/>
          <w:highlight w:val="none"/>
        </w:rPr>
      </w:pPr>
    </w:p>
    <w:p w14:paraId="3CA285AC">
      <w:pPr>
        <w:spacing w:line="440" w:lineRule="exact"/>
        <w:ind w:firstLine="205" w:firstLineChars="98"/>
        <w:jc w:val="left"/>
        <w:rPr>
          <w:rFonts w:ascii="宋体" w:hAnsi="宋体"/>
          <w:color w:val="auto"/>
          <w:szCs w:val="21"/>
          <w:highlight w:val="none"/>
        </w:rPr>
      </w:pPr>
    </w:p>
    <w:p w14:paraId="0F336938">
      <w:pPr>
        <w:spacing w:line="440" w:lineRule="exact"/>
        <w:ind w:firstLine="205" w:firstLineChars="98"/>
        <w:jc w:val="left"/>
        <w:rPr>
          <w:rFonts w:ascii="宋体" w:hAnsi="宋体"/>
          <w:color w:val="auto"/>
          <w:szCs w:val="21"/>
          <w:highlight w:val="none"/>
        </w:rPr>
      </w:pPr>
    </w:p>
    <w:p w14:paraId="21D2F91A">
      <w:pPr>
        <w:spacing w:line="440" w:lineRule="exact"/>
        <w:ind w:firstLine="205" w:firstLineChars="98"/>
        <w:jc w:val="left"/>
        <w:rPr>
          <w:rFonts w:ascii="宋体" w:hAnsi="宋体"/>
          <w:color w:val="auto"/>
          <w:szCs w:val="21"/>
          <w:highlight w:val="none"/>
        </w:rPr>
      </w:pPr>
    </w:p>
    <w:bookmarkEnd w:id="1379"/>
    <w:p w14:paraId="21FD6C2F">
      <w:pPr>
        <w:pStyle w:val="4"/>
        <w:jc w:val="center"/>
        <w:rPr>
          <w:color w:val="auto"/>
          <w:highlight w:val="none"/>
        </w:rPr>
      </w:pPr>
      <w:bookmarkStart w:id="1385" w:name="_Toc245379354"/>
      <w:bookmarkStart w:id="1386" w:name="_Toc243796199"/>
      <w:bookmarkStart w:id="1387" w:name="_Toc353456420"/>
      <w:bookmarkStart w:id="1388" w:name="_Toc243924035"/>
      <w:bookmarkStart w:id="1389" w:name="_Toc234382989"/>
      <w:bookmarkStart w:id="1390" w:name="_Toc490832379"/>
      <w:bookmarkStart w:id="1391" w:name="_Toc418065430"/>
      <w:r>
        <w:rPr>
          <w:rFonts w:hint="eastAsia"/>
          <w:color w:val="auto"/>
          <w:highlight w:val="none"/>
        </w:rPr>
        <w:t>八、承诺函</w:t>
      </w:r>
      <w:bookmarkEnd w:id="1385"/>
      <w:bookmarkEnd w:id="1386"/>
      <w:bookmarkEnd w:id="1387"/>
      <w:bookmarkEnd w:id="1388"/>
      <w:bookmarkEnd w:id="1389"/>
      <w:bookmarkEnd w:id="1390"/>
    </w:p>
    <w:p w14:paraId="01AEBF06">
      <w:pPr>
        <w:spacing w:before="240" w:after="240" w:line="400" w:lineRule="exact"/>
        <w:rPr>
          <w:color w:val="auto"/>
          <w:szCs w:val="21"/>
          <w:highlight w:val="none"/>
        </w:rPr>
      </w:pPr>
      <w:r>
        <w:rPr>
          <w:rFonts w:hint="eastAsia"/>
          <w:color w:val="auto"/>
          <w:szCs w:val="21"/>
          <w:highlight w:val="none"/>
          <w:u w:val="single"/>
        </w:rPr>
        <w:t xml:space="preserve">                  （招标人）</w:t>
      </w:r>
      <w:r>
        <w:rPr>
          <w:color w:val="auto"/>
          <w:szCs w:val="21"/>
          <w:highlight w:val="none"/>
        </w:rPr>
        <w:t>：</w:t>
      </w:r>
    </w:p>
    <w:p w14:paraId="228E961D">
      <w:pPr>
        <w:spacing w:line="400" w:lineRule="exact"/>
        <w:ind w:firstLine="420" w:firstLineChars="200"/>
        <w:rPr>
          <w:color w:val="auto"/>
          <w:szCs w:val="21"/>
          <w:highlight w:val="none"/>
        </w:rPr>
      </w:pPr>
      <w:r>
        <w:rPr>
          <w:color w:val="auto"/>
          <w:szCs w:val="21"/>
          <w:highlight w:val="none"/>
        </w:rPr>
        <w:t>我方参加了</w:t>
      </w:r>
      <w:r>
        <w:rPr>
          <w:rFonts w:hint="eastAsia"/>
          <w:color w:val="auto"/>
          <w:szCs w:val="21"/>
          <w:highlight w:val="none"/>
          <w:u w:val="single"/>
        </w:rPr>
        <w:t xml:space="preserve">      </w:t>
      </w:r>
      <w:r>
        <w:rPr>
          <w:rFonts w:hint="eastAsia"/>
          <w:bCs/>
          <w:color w:val="auto"/>
          <w:kern w:val="0"/>
          <w:szCs w:val="21"/>
          <w:highlight w:val="none"/>
          <w:u w:val="single"/>
        </w:rPr>
        <w:t>（项目名称）</w:t>
      </w:r>
      <w:r>
        <w:rPr>
          <w:color w:val="auto"/>
          <w:szCs w:val="21"/>
          <w:highlight w:val="none"/>
        </w:rPr>
        <w:t>施工投标，</w:t>
      </w:r>
      <w:r>
        <w:rPr>
          <w:rFonts w:ascii="宋体" w:hAnsi="宋体"/>
          <w:color w:val="auto"/>
          <w:szCs w:val="21"/>
          <w:highlight w:val="none"/>
        </w:rPr>
        <w:t>若我方中标</w:t>
      </w:r>
      <w:r>
        <w:rPr>
          <w:color w:val="auto"/>
          <w:szCs w:val="21"/>
          <w:highlight w:val="none"/>
        </w:rPr>
        <w:t>，我方在此承诺：</w:t>
      </w:r>
    </w:p>
    <w:p w14:paraId="19437E59">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在</w:t>
      </w:r>
      <w:r>
        <w:rPr>
          <w:rFonts w:hint="eastAsia" w:ascii="宋体" w:hAnsi="宋体"/>
          <w:color w:val="auto"/>
          <w:szCs w:val="21"/>
          <w:highlight w:val="none"/>
        </w:rPr>
        <w:t>合同签订</w:t>
      </w:r>
      <w:r>
        <w:rPr>
          <w:rFonts w:ascii="宋体" w:hAnsi="宋体"/>
          <w:color w:val="auto"/>
          <w:szCs w:val="21"/>
          <w:highlight w:val="none"/>
        </w:rPr>
        <w:t>之前，我方将按照</w:t>
      </w:r>
      <w:r>
        <w:rPr>
          <w:rFonts w:hint="eastAsia" w:ascii="宋体" w:hAnsi="宋体"/>
          <w:color w:val="auto"/>
          <w:szCs w:val="21"/>
          <w:highlight w:val="none"/>
        </w:rPr>
        <w:t>项目需要配足其他主要项目管理人员和</w:t>
      </w:r>
      <w:r>
        <w:rPr>
          <w:rFonts w:ascii="宋体" w:hAnsi="宋体"/>
          <w:color w:val="auto"/>
          <w:szCs w:val="21"/>
          <w:highlight w:val="none"/>
        </w:rPr>
        <w:t>主要</w:t>
      </w:r>
      <w:r>
        <w:rPr>
          <w:rFonts w:hint="eastAsia" w:ascii="宋体" w:hAnsi="宋体"/>
          <w:color w:val="auto"/>
          <w:szCs w:val="21"/>
          <w:highlight w:val="none"/>
        </w:rPr>
        <w:t>船</w:t>
      </w:r>
      <w:r>
        <w:rPr>
          <w:rFonts w:ascii="宋体" w:hAnsi="宋体"/>
          <w:color w:val="auto"/>
          <w:szCs w:val="21"/>
          <w:highlight w:val="none"/>
        </w:rPr>
        <w:t>机</w:t>
      </w:r>
      <w:r>
        <w:rPr>
          <w:rFonts w:hint="eastAsia" w:ascii="宋体" w:hAnsi="宋体"/>
          <w:color w:val="auto"/>
          <w:szCs w:val="21"/>
          <w:highlight w:val="none"/>
        </w:rPr>
        <w:t>设备，</w:t>
      </w:r>
      <w:r>
        <w:rPr>
          <w:rFonts w:ascii="宋体" w:hAnsi="宋体"/>
          <w:color w:val="auto"/>
          <w:szCs w:val="21"/>
          <w:highlight w:val="none"/>
        </w:rPr>
        <w:t>在经审批后作为派驻本</w:t>
      </w:r>
      <w:r>
        <w:rPr>
          <w:rFonts w:hint="eastAsia" w:ascii="宋体" w:hAnsi="宋体"/>
          <w:color w:val="auto"/>
          <w:szCs w:val="21"/>
          <w:highlight w:val="none"/>
        </w:rPr>
        <w:t>工程</w:t>
      </w:r>
      <w:r>
        <w:rPr>
          <w:rFonts w:ascii="宋体" w:hAnsi="宋体"/>
          <w:color w:val="auto"/>
          <w:szCs w:val="21"/>
          <w:highlight w:val="none"/>
        </w:rPr>
        <w:t>的项目管理机构主要</w:t>
      </w:r>
      <w:r>
        <w:rPr>
          <w:rFonts w:hint="eastAsia" w:ascii="宋体" w:hAnsi="宋体"/>
          <w:color w:val="auto"/>
          <w:szCs w:val="21"/>
          <w:highlight w:val="none"/>
        </w:rPr>
        <w:t>施工管理</w:t>
      </w:r>
      <w:r>
        <w:rPr>
          <w:rFonts w:ascii="宋体" w:hAnsi="宋体"/>
          <w:color w:val="auto"/>
          <w:szCs w:val="21"/>
          <w:highlight w:val="none"/>
        </w:rPr>
        <w:t>人员和主要机械设备不进行更换。</w:t>
      </w:r>
    </w:p>
    <w:p w14:paraId="501B702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1、工程开工前，我方承诺按投标时填报的项目经理、技术负责人组建项目管理机构，并按要求到岗到位。</w:t>
      </w:r>
    </w:p>
    <w:p w14:paraId="38E5F336">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2、工程开工后，除不可抗力外，我方变更项目经理、技术负责人和其他主要施工管理人员的，按专用合同条款规定的数额向招标人交纳违约金。</w:t>
      </w:r>
    </w:p>
    <w:p w14:paraId="50917EA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3、为保证本项目按时开工，我方保证至少按照合同签订前批准的主要机械设备及进场计划时间到达指定海域并展开施工，未按承诺到场进行施工的，视为违约行为，按专用合同条款规定的数额向招标人交纳违约金。</w:t>
      </w:r>
    </w:p>
    <w:p w14:paraId="6129000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4、在工程实施期间，未经监理工程师批准，承包人应确保满足施工需要的施工船舶机械设备不得撤离现场，否则，按专用合同条款规定的数额向招标人交纳违约金。</w:t>
      </w:r>
    </w:p>
    <w:p w14:paraId="477DEB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我方也承诺，在合同实施期间，若有人员、机械设备不能满足要求，随时应招标人的要求予以增加或更换，直至</w:t>
      </w:r>
      <w:r>
        <w:rPr>
          <w:rFonts w:hint="eastAsia" w:ascii="宋体" w:hAnsi="宋体"/>
          <w:color w:val="auto"/>
          <w:szCs w:val="21"/>
          <w:highlight w:val="none"/>
        </w:rPr>
        <w:t>满足招标项目要求</w:t>
      </w:r>
      <w:r>
        <w:rPr>
          <w:rFonts w:ascii="宋体" w:hAnsi="宋体"/>
          <w:color w:val="auto"/>
          <w:szCs w:val="21"/>
          <w:highlight w:val="none"/>
        </w:rPr>
        <w:t>为止。</w:t>
      </w:r>
    </w:p>
    <w:p w14:paraId="7D39C9C3">
      <w:pPr>
        <w:spacing w:line="400" w:lineRule="exact"/>
        <w:ind w:firstLine="420" w:firstLineChars="200"/>
        <w:rPr>
          <w:rFonts w:ascii="宋体" w:hAnsi="宋体"/>
          <w:color w:val="auto"/>
          <w:szCs w:val="21"/>
          <w:highlight w:val="none"/>
          <w:lang w:bidi="en-US"/>
        </w:rPr>
      </w:pPr>
      <w:r>
        <w:rPr>
          <w:rFonts w:hint="eastAsia" w:ascii="宋体" w:hAnsi="宋体"/>
          <w:color w:val="auto"/>
          <w:szCs w:val="21"/>
          <w:highlight w:val="none"/>
          <w:lang w:bidi="en-US"/>
        </w:rPr>
        <w:t>三、如我方违背了上述承诺，招标人有权取消我方的中标资格，并由招标人将我方的违约行为上报省级交通主管部门，作为不良记录纳入交通建设市场信息管理系统；合同实施期间，如我方违背了上述承诺，愿意接受项目发包人按合同有关规定课以违约金、没收履约担保、切割工程、清退出场、终止合同等处理，并承担一切经济和法律责任；愿意接受相关行政主管部门作出的降低信用等级、直接定级、限制投标、禁止投标等市场准入与清出的处罚，并承担由此造成的一切后果。</w:t>
      </w:r>
    </w:p>
    <w:p w14:paraId="4AA867FA">
      <w:pPr>
        <w:spacing w:line="400" w:lineRule="exact"/>
        <w:rPr>
          <w:color w:val="auto"/>
          <w:szCs w:val="21"/>
          <w:highlight w:val="none"/>
        </w:rPr>
      </w:pPr>
    </w:p>
    <w:p w14:paraId="42EADFF8">
      <w:pPr>
        <w:spacing w:line="400" w:lineRule="exact"/>
        <w:rPr>
          <w:color w:val="auto"/>
          <w:szCs w:val="21"/>
          <w:highlight w:val="none"/>
        </w:rPr>
      </w:pPr>
      <w:r>
        <w:rPr>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14:paraId="4350F283">
      <w:pPr>
        <w:spacing w:line="400" w:lineRule="exact"/>
        <w:rPr>
          <w:color w:val="auto"/>
          <w:szCs w:val="21"/>
          <w:highlight w:val="none"/>
        </w:rPr>
      </w:pPr>
      <w:r>
        <w:rPr>
          <w:color w:val="auto"/>
          <w:szCs w:val="21"/>
          <w:highlight w:val="none"/>
        </w:rPr>
        <w:t xml:space="preserve">                                      </w:t>
      </w:r>
    </w:p>
    <w:p w14:paraId="050AC0EE">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14:paraId="5DCD947F">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14A78C12">
      <w:pPr>
        <w:pStyle w:val="4"/>
        <w:jc w:val="center"/>
        <w:rPr>
          <w:color w:val="auto"/>
          <w:highlight w:val="none"/>
        </w:rPr>
      </w:pPr>
      <w:r>
        <w:rPr>
          <w:rFonts w:hint="eastAsia" w:ascii="宋体" w:hAnsi="宋体"/>
          <w:color w:val="auto"/>
          <w:sz w:val="24"/>
          <w:highlight w:val="none"/>
        </w:rPr>
        <w:br w:type="page"/>
      </w:r>
      <w:bookmarkEnd w:id="1391"/>
      <w:bookmarkStart w:id="1392" w:name="_Toc490832380"/>
      <w:bookmarkStart w:id="1393" w:name="_Toc468869241"/>
      <w:r>
        <w:rPr>
          <w:rFonts w:hint="eastAsia"/>
          <w:color w:val="auto"/>
          <w:highlight w:val="none"/>
        </w:rPr>
        <w:t>九、已标价工程量清单</w:t>
      </w:r>
      <w:bookmarkEnd w:id="1392"/>
      <w:bookmarkEnd w:id="1393"/>
    </w:p>
    <w:p w14:paraId="31CB8693">
      <w:pPr>
        <w:pStyle w:val="5"/>
        <w:spacing w:before="0" w:after="0" w:line="240" w:lineRule="auto"/>
        <w:ind w:firstLine="211" w:firstLineChars="100"/>
        <w:rPr>
          <w:color w:val="auto"/>
          <w:sz w:val="21"/>
          <w:szCs w:val="21"/>
          <w:highlight w:val="none"/>
        </w:rPr>
      </w:pPr>
      <w:r>
        <w:rPr>
          <w:rFonts w:hint="eastAsia"/>
          <w:color w:val="auto"/>
          <w:sz w:val="21"/>
          <w:szCs w:val="21"/>
          <w:highlight w:val="none"/>
        </w:rPr>
        <w:t>9. 1投标报价说明</w:t>
      </w:r>
    </w:p>
    <w:p w14:paraId="102F0D68">
      <w:pPr>
        <w:rPr>
          <w:color w:val="auto"/>
          <w:szCs w:val="21"/>
          <w:highlight w:val="none"/>
        </w:rPr>
      </w:pPr>
      <w:r>
        <w:rPr>
          <w:rFonts w:hint="eastAsia"/>
          <w:color w:val="auto"/>
          <w:szCs w:val="21"/>
          <w:highlight w:val="none"/>
        </w:rPr>
        <w:t>（由投标人自行编制）</w:t>
      </w:r>
    </w:p>
    <w:p w14:paraId="3E1BA5F8">
      <w:pPr>
        <w:pStyle w:val="5"/>
        <w:spacing w:before="0" w:after="0" w:line="240" w:lineRule="auto"/>
        <w:ind w:firstLine="103" w:firstLineChars="49"/>
        <w:rPr>
          <w:color w:val="auto"/>
          <w:sz w:val="21"/>
          <w:szCs w:val="21"/>
          <w:highlight w:val="none"/>
        </w:rPr>
      </w:pPr>
      <w:r>
        <w:rPr>
          <w:rFonts w:hint="eastAsia"/>
          <w:color w:val="auto"/>
          <w:sz w:val="21"/>
          <w:szCs w:val="21"/>
          <w:highlight w:val="none"/>
        </w:rPr>
        <w:t>9 . 2工程量清单项目总价表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3450"/>
        <w:gridCol w:w="1950"/>
      </w:tblGrid>
      <w:tr w14:paraId="23B9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828" w:type="dxa"/>
            <w:tcBorders>
              <w:bottom w:val="single" w:color="auto" w:sz="4" w:space="0"/>
            </w:tcBorders>
            <w:vAlign w:val="center"/>
          </w:tcPr>
          <w:p w14:paraId="0A01A2B4">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60" w:type="dxa"/>
            <w:tcBorders>
              <w:bottom w:val="single" w:color="auto" w:sz="4" w:space="0"/>
            </w:tcBorders>
            <w:vAlign w:val="center"/>
          </w:tcPr>
          <w:p w14:paraId="4A7FB6D1">
            <w:pPr>
              <w:autoSpaceDE w:val="0"/>
              <w:autoSpaceDN w:val="0"/>
              <w:adjustRightInd w:val="0"/>
              <w:spacing w:line="420" w:lineRule="exact"/>
              <w:jc w:val="center"/>
              <w:rPr>
                <w:rFonts w:ascii="宋体" w:hAnsi="宋体"/>
                <w:color w:val="auto"/>
                <w:szCs w:val="21"/>
                <w:highlight w:val="none"/>
              </w:rPr>
            </w:pPr>
            <w:r>
              <w:rPr>
                <w:rFonts w:hint="eastAsia" w:ascii="宋体" w:hAnsi="宋体"/>
                <w:color w:val="auto"/>
                <w:szCs w:val="21"/>
                <w:highlight w:val="none"/>
              </w:rPr>
              <w:t>单位工程名称</w:t>
            </w:r>
          </w:p>
        </w:tc>
        <w:tc>
          <w:tcPr>
            <w:tcW w:w="3450" w:type="dxa"/>
            <w:tcBorders>
              <w:bottom w:val="single" w:color="auto" w:sz="4" w:space="0"/>
            </w:tcBorders>
            <w:vAlign w:val="center"/>
          </w:tcPr>
          <w:p w14:paraId="5D8E3064">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金 额（元）</w:t>
            </w:r>
          </w:p>
        </w:tc>
        <w:tc>
          <w:tcPr>
            <w:tcW w:w="1950" w:type="dxa"/>
            <w:tcBorders>
              <w:bottom w:val="single" w:color="auto" w:sz="4" w:space="0"/>
            </w:tcBorders>
            <w:vAlign w:val="center"/>
          </w:tcPr>
          <w:p w14:paraId="43CC2A82">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备注</w:t>
            </w:r>
          </w:p>
        </w:tc>
      </w:tr>
      <w:tr w14:paraId="60CF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28" w:type="dxa"/>
            <w:vAlign w:val="center"/>
          </w:tcPr>
          <w:p w14:paraId="2AE88C91">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w:t>
            </w:r>
          </w:p>
        </w:tc>
        <w:tc>
          <w:tcPr>
            <w:tcW w:w="3060" w:type="dxa"/>
            <w:vAlign w:val="center"/>
          </w:tcPr>
          <w:p w14:paraId="2635BFBD">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工程项目</w:t>
            </w:r>
          </w:p>
        </w:tc>
        <w:tc>
          <w:tcPr>
            <w:tcW w:w="3450" w:type="dxa"/>
            <w:vAlign w:val="center"/>
          </w:tcPr>
          <w:p w14:paraId="35D59FBB">
            <w:pPr>
              <w:autoSpaceDE w:val="0"/>
              <w:autoSpaceDN w:val="0"/>
              <w:adjustRightInd w:val="0"/>
              <w:jc w:val="center"/>
              <w:rPr>
                <w:rFonts w:ascii="宋体" w:hAnsi="宋体"/>
                <w:color w:val="auto"/>
                <w:szCs w:val="21"/>
                <w:highlight w:val="none"/>
              </w:rPr>
            </w:pPr>
          </w:p>
        </w:tc>
        <w:tc>
          <w:tcPr>
            <w:tcW w:w="1950" w:type="dxa"/>
            <w:vAlign w:val="center"/>
          </w:tcPr>
          <w:p w14:paraId="353C80CD">
            <w:pPr>
              <w:autoSpaceDE w:val="0"/>
              <w:autoSpaceDN w:val="0"/>
              <w:adjustRightInd w:val="0"/>
              <w:jc w:val="center"/>
              <w:rPr>
                <w:rFonts w:ascii="宋体" w:hAnsi="宋体"/>
                <w:color w:val="auto"/>
                <w:szCs w:val="21"/>
                <w:highlight w:val="none"/>
              </w:rPr>
            </w:pPr>
          </w:p>
        </w:tc>
      </w:tr>
      <w:tr w14:paraId="7B5D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28" w:type="dxa"/>
            <w:vAlign w:val="center"/>
          </w:tcPr>
          <w:p w14:paraId="3D05CDE2">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1</w:t>
            </w:r>
          </w:p>
        </w:tc>
        <w:tc>
          <w:tcPr>
            <w:tcW w:w="3060" w:type="dxa"/>
            <w:vAlign w:val="center"/>
          </w:tcPr>
          <w:p w14:paraId="786D327F">
            <w:pPr>
              <w:autoSpaceDE w:val="0"/>
              <w:autoSpaceDN w:val="0"/>
              <w:adjustRightInd w:val="0"/>
              <w:jc w:val="center"/>
              <w:rPr>
                <w:rFonts w:ascii="宋体" w:hAnsi="宋体"/>
                <w:color w:val="auto"/>
                <w:szCs w:val="21"/>
                <w:highlight w:val="none"/>
              </w:rPr>
            </w:pPr>
          </w:p>
        </w:tc>
        <w:tc>
          <w:tcPr>
            <w:tcW w:w="3450" w:type="dxa"/>
            <w:vAlign w:val="center"/>
          </w:tcPr>
          <w:p w14:paraId="5C32679E">
            <w:pPr>
              <w:autoSpaceDE w:val="0"/>
              <w:autoSpaceDN w:val="0"/>
              <w:adjustRightInd w:val="0"/>
              <w:jc w:val="center"/>
              <w:rPr>
                <w:rFonts w:ascii="宋体" w:hAnsi="宋体"/>
                <w:color w:val="auto"/>
                <w:szCs w:val="21"/>
                <w:highlight w:val="none"/>
              </w:rPr>
            </w:pPr>
          </w:p>
        </w:tc>
        <w:tc>
          <w:tcPr>
            <w:tcW w:w="1950" w:type="dxa"/>
            <w:vAlign w:val="center"/>
          </w:tcPr>
          <w:p w14:paraId="6C42287B">
            <w:pPr>
              <w:autoSpaceDE w:val="0"/>
              <w:autoSpaceDN w:val="0"/>
              <w:adjustRightInd w:val="0"/>
              <w:jc w:val="center"/>
              <w:rPr>
                <w:rFonts w:ascii="宋体" w:hAnsi="宋体"/>
                <w:color w:val="auto"/>
                <w:szCs w:val="21"/>
                <w:highlight w:val="none"/>
              </w:rPr>
            </w:pPr>
          </w:p>
        </w:tc>
      </w:tr>
      <w:tr w14:paraId="1D05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828" w:type="dxa"/>
            <w:vAlign w:val="center"/>
          </w:tcPr>
          <w:p w14:paraId="23B3462F">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2</w:t>
            </w:r>
          </w:p>
        </w:tc>
        <w:tc>
          <w:tcPr>
            <w:tcW w:w="3060" w:type="dxa"/>
            <w:vAlign w:val="center"/>
          </w:tcPr>
          <w:p w14:paraId="16A207FC">
            <w:pPr>
              <w:pStyle w:val="10"/>
              <w:autoSpaceDE w:val="0"/>
              <w:autoSpaceDN w:val="0"/>
              <w:adjustRightInd w:val="0"/>
              <w:spacing w:before="0"/>
              <w:jc w:val="center"/>
              <w:rPr>
                <w:rFonts w:ascii="宋体" w:hAnsi="宋体" w:cs="Times New Roman"/>
                <w:color w:val="auto"/>
                <w:sz w:val="21"/>
                <w:szCs w:val="21"/>
                <w:highlight w:val="none"/>
              </w:rPr>
            </w:pPr>
          </w:p>
        </w:tc>
        <w:tc>
          <w:tcPr>
            <w:tcW w:w="3450" w:type="dxa"/>
            <w:vAlign w:val="center"/>
          </w:tcPr>
          <w:p w14:paraId="18B408DD">
            <w:pPr>
              <w:autoSpaceDE w:val="0"/>
              <w:autoSpaceDN w:val="0"/>
              <w:adjustRightInd w:val="0"/>
              <w:jc w:val="center"/>
              <w:rPr>
                <w:rFonts w:ascii="宋体" w:hAnsi="宋体"/>
                <w:color w:val="auto"/>
                <w:szCs w:val="21"/>
                <w:highlight w:val="none"/>
              </w:rPr>
            </w:pPr>
          </w:p>
        </w:tc>
        <w:tc>
          <w:tcPr>
            <w:tcW w:w="1950" w:type="dxa"/>
            <w:vAlign w:val="center"/>
          </w:tcPr>
          <w:p w14:paraId="1E5BFCD6">
            <w:pPr>
              <w:autoSpaceDE w:val="0"/>
              <w:autoSpaceDN w:val="0"/>
              <w:adjustRightInd w:val="0"/>
              <w:jc w:val="center"/>
              <w:rPr>
                <w:rFonts w:ascii="宋体" w:hAnsi="宋体"/>
                <w:color w:val="auto"/>
                <w:szCs w:val="21"/>
                <w:highlight w:val="none"/>
              </w:rPr>
            </w:pPr>
          </w:p>
        </w:tc>
      </w:tr>
      <w:tr w14:paraId="4BAC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vAlign w:val="center"/>
          </w:tcPr>
          <w:p w14:paraId="71F22F50">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3</w:t>
            </w:r>
          </w:p>
        </w:tc>
        <w:tc>
          <w:tcPr>
            <w:tcW w:w="3060" w:type="dxa"/>
            <w:vAlign w:val="center"/>
          </w:tcPr>
          <w:p w14:paraId="67BE7511">
            <w:pPr>
              <w:pStyle w:val="10"/>
              <w:autoSpaceDE w:val="0"/>
              <w:autoSpaceDN w:val="0"/>
              <w:adjustRightInd w:val="0"/>
              <w:spacing w:before="0"/>
              <w:jc w:val="center"/>
              <w:rPr>
                <w:rFonts w:ascii="宋体" w:hAnsi="宋体" w:cs="Times New Roman"/>
                <w:color w:val="auto"/>
                <w:sz w:val="21"/>
                <w:szCs w:val="21"/>
                <w:highlight w:val="none"/>
              </w:rPr>
            </w:pPr>
          </w:p>
        </w:tc>
        <w:tc>
          <w:tcPr>
            <w:tcW w:w="3450" w:type="dxa"/>
            <w:vAlign w:val="center"/>
          </w:tcPr>
          <w:p w14:paraId="04A38168">
            <w:pPr>
              <w:autoSpaceDE w:val="0"/>
              <w:autoSpaceDN w:val="0"/>
              <w:adjustRightInd w:val="0"/>
              <w:jc w:val="center"/>
              <w:rPr>
                <w:rFonts w:ascii="宋体" w:hAnsi="宋体"/>
                <w:color w:val="auto"/>
                <w:szCs w:val="21"/>
                <w:highlight w:val="none"/>
              </w:rPr>
            </w:pPr>
          </w:p>
        </w:tc>
        <w:tc>
          <w:tcPr>
            <w:tcW w:w="1950" w:type="dxa"/>
            <w:vAlign w:val="center"/>
          </w:tcPr>
          <w:p w14:paraId="05E90DDC">
            <w:pPr>
              <w:autoSpaceDE w:val="0"/>
              <w:autoSpaceDN w:val="0"/>
              <w:adjustRightInd w:val="0"/>
              <w:jc w:val="center"/>
              <w:rPr>
                <w:rFonts w:ascii="宋体" w:hAnsi="宋体"/>
                <w:color w:val="auto"/>
                <w:szCs w:val="21"/>
                <w:highlight w:val="none"/>
              </w:rPr>
            </w:pPr>
          </w:p>
        </w:tc>
      </w:tr>
      <w:tr w14:paraId="3396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28" w:type="dxa"/>
            <w:vAlign w:val="center"/>
          </w:tcPr>
          <w:p w14:paraId="43E9AD2B">
            <w:pPr>
              <w:autoSpaceDE w:val="0"/>
              <w:autoSpaceDN w:val="0"/>
              <w:adjustRightInd w:val="0"/>
              <w:jc w:val="center"/>
              <w:rPr>
                <w:rFonts w:ascii="宋体" w:hAnsi="宋体"/>
                <w:color w:val="auto"/>
                <w:spacing w:val="-20"/>
                <w:szCs w:val="21"/>
                <w:highlight w:val="none"/>
              </w:rPr>
            </w:pPr>
          </w:p>
        </w:tc>
        <w:tc>
          <w:tcPr>
            <w:tcW w:w="3060" w:type="dxa"/>
            <w:vAlign w:val="center"/>
          </w:tcPr>
          <w:p w14:paraId="28AD4090">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w:t>
            </w:r>
          </w:p>
        </w:tc>
        <w:tc>
          <w:tcPr>
            <w:tcW w:w="3450" w:type="dxa"/>
            <w:vAlign w:val="center"/>
          </w:tcPr>
          <w:p w14:paraId="6661E5F7">
            <w:pPr>
              <w:autoSpaceDE w:val="0"/>
              <w:autoSpaceDN w:val="0"/>
              <w:adjustRightInd w:val="0"/>
              <w:jc w:val="center"/>
              <w:rPr>
                <w:rFonts w:ascii="宋体" w:hAnsi="宋体"/>
                <w:color w:val="auto"/>
                <w:szCs w:val="21"/>
                <w:highlight w:val="none"/>
              </w:rPr>
            </w:pPr>
          </w:p>
        </w:tc>
        <w:tc>
          <w:tcPr>
            <w:tcW w:w="1950" w:type="dxa"/>
            <w:vAlign w:val="center"/>
          </w:tcPr>
          <w:p w14:paraId="102558B8">
            <w:pPr>
              <w:autoSpaceDE w:val="0"/>
              <w:autoSpaceDN w:val="0"/>
              <w:adjustRightInd w:val="0"/>
              <w:jc w:val="center"/>
              <w:rPr>
                <w:rFonts w:ascii="宋体" w:hAnsi="宋体"/>
                <w:color w:val="auto"/>
                <w:szCs w:val="21"/>
                <w:highlight w:val="none"/>
              </w:rPr>
            </w:pPr>
          </w:p>
        </w:tc>
      </w:tr>
      <w:tr w14:paraId="1C47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1E9187DB">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二</w:t>
            </w:r>
          </w:p>
        </w:tc>
        <w:tc>
          <w:tcPr>
            <w:tcW w:w="3060" w:type="dxa"/>
            <w:vAlign w:val="center"/>
          </w:tcPr>
          <w:p w14:paraId="60DB1A44">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一般项目</w:t>
            </w:r>
          </w:p>
        </w:tc>
        <w:tc>
          <w:tcPr>
            <w:tcW w:w="3450" w:type="dxa"/>
            <w:vAlign w:val="center"/>
          </w:tcPr>
          <w:p w14:paraId="70F1A1C7">
            <w:pPr>
              <w:autoSpaceDE w:val="0"/>
              <w:autoSpaceDN w:val="0"/>
              <w:adjustRightInd w:val="0"/>
              <w:jc w:val="center"/>
              <w:rPr>
                <w:rFonts w:ascii="宋体" w:hAnsi="宋体"/>
                <w:color w:val="auto"/>
                <w:szCs w:val="21"/>
                <w:highlight w:val="none"/>
              </w:rPr>
            </w:pPr>
          </w:p>
        </w:tc>
        <w:tc>
          <w:tcPr>
            <w:tcW w:w="1950" w:type="dxa"/>
            <w:vAlign w:val="center"/>
          </w:tcPr>
          <w:p w14:paraId="1F812D30">
            <w:pPr>
              <w:autoSpaceDE w:val="0"/>
              <w:autoSpaceDN w:val="0"/>
              <w:adjustRightInd w:val="0"/>
              <w:jc w:val="center"/>
              <w:rPr>
                <w:rFonts w:ascii="宋体" w:hAnsi="宋体"/>
                <w:color w:val="auto"/>
                <w:szCs w:val="21"/>
                <w:highlight w:val="none"/>
              </w:rPr>
            </w:pPr>
          </w:p>
        </w:tc>
      </w:tr>
      <w:tr w14:paraId="7C25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249A51B9">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1</w:t>
            </w:r>
          </w:p>
        </w:tc>
        <w:tc>
          <w:tcPr>
            <w:tcW w:w="3060" w:type="dxa"/>
            <w:vAlign w:val="center"/>
          </w:tcPr>
          <w:p w14:paraId="6B83AD3B">
            <w:pPr>
              <w:autoSpaceDE w:val="0"/>
              <w:autoSpaceDN w:val="0"/>
              <w:adjustRightInd w:val="0"/>
              <w:jc w:val="center"/>
              <w:rPr>
                <w:rFonts w:ascii="宋体" w:hAnsi="宋体"/>
                <w:color w:val="auto"/>
                <w:szCs w:val="21"/>
                <w:highlight w:val="none"/>
              </w:rPr>
            </w:pPr>
          </w:p>
        </w:tc>
        <w:tc>
          <w:tcPr>
            <w:tcW w:w="3450" w:type="dxa"/>
            <w:vAlign w:val="center"/>
          </w:tcPr>
          <w:p w14:paraId="03C6FA45">
            <w:pPr>
              <w:autoSpaceDE w:val="0"/>
              <w:autoSpaceDN w:val="0"/>
              <w:adjustRightInd w:val="0"/>
              <w:jc w:val="center"/>
              <w:rPr>
                <w:rFonts w:ascii="宋体" w:hAnsi="宋体"/>
                <w:color w:val="auto"/>
                <w:szCs w:val="21"/>
                <w:highlight w:val="none"/>
              </w:rPr>
            </w:pPr>
          </w:p>
        </w:tc>
        <w:tc>
          <w:tcPr>
            <w:tcW w:w="1950" w:type="dxa"/>
            <w:vAlign w:val="center"/>
          </w:tcPr>
          <w:p w14:paraId="4DCF4A2D">
            <w:pPr>
              <w:autoSpaceDE w:val="0"/>
              <w:autoSpaceDN w:val="0"/>
              <w:adjustRightInd w:val="0"/>
              <w:jc w:val="center"/>
              <w:rPr>
                <w:rFonts w:ascii="宋体" w:hAnsi="宋体"/>
                <w:color w:val="auto"/>
                <w:szCs w:val="21"/>
                <w:highlight w:val="none"/>
              </w:rPr>
            </w:pPr>
          </w:p>
        </w:tc>
      </w:tr>
      <w:tr w14:paraId="73C3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4B9B4ADA">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2</w:t>
            </w:r>
          </w:p>
        </w:tc>
        <w:tc>
          <w:tcPr>
            <w:tcW w:w="3060" w:type="dxa"/>
            <w:vAlign w:val="center"/>
          </w:tcPr>
          <w:p w14:paraId="600CC29D">
            <w:pPr>
              <w:autoSpaceDE w:val="0"/>
              <w:autoSpaceDN w:val="0"/>
              <w:adjustRightInd w:val="0"/>
              <w:jc w:val="center"/>
              <w:rPr>
                <w:rFonts w:ascii="宋体" w:hAnsi="宋体"/>
                <w:color w:val="auto"/>
                <w:szCs w:val="21"/>
                <w:highlight w:val="none"/>
              </w:rPr>
            </w:pPr>
          </w:p>
        </w:tc>
        <w:tc>
          <w:tcPr>
            <w:tcW w:w="3450" w:type="dxa"/>
            <w:vAlign w:val="center"/>
          </w:tcPr>
          <w:p w14:paraId="1FCE9342">
            <w:pPr>
              <w:autoSpaceDE w:val="0"/>
              <w:autoSpaceDN w:val="0"/>
              <w:adjustRightInd w:val="0"/>
              <w:jc w:val="center"/>
              <w:rPr>
                <w:rFonts w:ascii="宋体" w:hAnsi="宋体"/>
                <w:color w:val="auto"/>
                <w:szCs w:val="21"/>
                <w:highlight w:val="none"/>
              </w:rPr>
            </w:pPr>
          </w:p>
        </w:tc>
        <w:tc>
          <w:tcPr>
            <w:tcW w:w="1950" w:type="dxa"/>
            <w:vAlign w:val="center"/>
          </w:tcPr>
          <w:p w14:paraId="2957D525">
            <w:pPr>
              <w:autoSpaceDE w:val="0"/>
              <w:autoSpaceDN w:val="0"/>
              <w:adjustRightInd w:val="0"/>
              <w:jc w:val="center"/>
              <w:rPr>
                <w:rFonts w:ascii="宋体" w:hAnsi="宋体"/>
                <w:color w:val="auto"/>
                <w:szCs w:val="21"/>
                <w:highlight w:val="none"/>
              </w:rPr>
            </w:pPr>
          </w:p>
        </w:tc>
      </w:tr>
      <w:tr w14:paraId="3591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4833F286">
            <w:pPr>
              <w:autoSpaceDE w:val="0"/>
              <w:autoSpaceDN w:val="0"/>
              <w:adjustRightInd w:val="0"/>
              <w:jc w:val="center"/>
              <w:rPr>
                <w:rFonts w:ascii="宋体" w:hAnsi="宋体"/>
                <w:color w:val="auto"/>
                <w:spacing w:val="-20"/>
                <w:szCs w:val="21"/>
                <w:highlight w:val="none"/>
              </w:rPr>
            </w:pPr>
          </w:p>
        </w:tc>
        <w:tc>
          <w:tcPr>
            <w:tcW w:w="3060" w:type="dxa"/>
            <w:vAlign w:val="center"/>
          </w:tcPr>
          <w:p w14:paraId="0561C3D9">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w:t>
            </w:r>
          </w:p>
        </w:tc>
        <w:tc>
          <w:tcPr>
            <w:tcW w:w="3450" w:type="dxa"/>
            <w:vAlign w:val="center"/>
          </w:tcPr>
          <w:p w14:paraId="2C150F5C">
            <w:pPr>
              <w:autoSpaceDE w:val="0"/>
              <w:autoSpaceDN w:val="0"/>
              <w:adjustRightInd w:val="0"/>
              <w:jc w:val="center"/>
              <w:rPr>
                <w:rFonts w:ascii="宋体" w:hAnsi="宋体"/>
                <w:color w:val="auto"/>
                <w:szCs w:val="21"/>
                <w:highlight w:val="none"/>
              </w:rPr>
            </w:pPr>
          </w:p>
        </w:tc>
        <w:tc>
          <w:tcPr>
            <w:tcW w:w="1950" w:type="dxa"/>
            <w:vAlign w:val="center"/>
          </w:tcPr>
          <w:p w14:paraId="42AC05C8">
            <w:pPr>
              <w:autoSpaceDE w:val="0"/>
              <w:autoSpaceDN w:val="0"/>
              <w:adjustRightInd w:val="0"/>
              <w:jc w:val="center"/>
              <w:rPr>
                <w:rFonts w:ascii="宋体" w:hAnsi="宋体"/>
                <w:color w:val="auto"/>
                <w:szCs w:val="21"/>
                <w:highlight w:val="none"/>
              </w:rPr>
            </w:pPr>
          </w:p>
        </w:tc>
      </w:tr>
      <w:tr w14:paraId="6E20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1BD6BB7B">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三</w:t>
            </w:r>
          </w:p>
        </w:tc>
        <w:tc>
          <w:tcPr>
            <w:tcW w:w="3060" w:type="dxa"/>
            <w:vAlign w:val="center"/>
          </w:tcPr>
          <w:p w14:paraId="25D079F2">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暂列金额</w:t>
            </w:r>
          </w:p>
        </w:tc>
        <w:tc>
          <w:tcPr>
            <w:tcW w:w="3450" w:type="dxa"/>
            <w:vAlign w:val="center"/>
          </w:tcPr>
          <w:p w14:paraId="0F798287">
            <w:pPr>
              <w:autoSpaceDE w:val="0"/>
              <w:autoSpaceDN w:val="0"/>
              <w:adjustRightInd w:val="0"/>
              <w:jc w:val="center"/>
              <w:rPr>
                <w:rFonts w:ascii="宋体" w:hAnsi="宋体"/>
                <w:color w:val="auto"/>
                <w:szCs w:val="21"/>
                <w:highlight w:val="none"/>
              </w:rPr>
            </w:pPr>
          </w:p>
        </w:tc>
        <w:tc>
          <w:tcPr>
            <w:tcW w:w="1950" w:type="dxa"/>
            <w:vAlign w:val="center"/>
          </w:tcPr>
          <w:p w14:paraId="2F56AB0C">
            <w:pPr>
              <w:autoSpaceDE w:val="0"/>
              <w:autoSpaceDN w:val="0"/>
              <w:adjustRightInd w:val="0"/>
              <w:rPr>
                <w:rFonts w:ascii="宋体" w:hAnsi="宋体"/>
                <w:color w:val="auto"/>
                <w:szCs w:val="21"/>
                <w:highlight w:val="none"/>
              </w:rPr>
            </w:pPr>
            <w:r>
              <w:rPr>
                <w:rFonts w:hint="eastAsia" w:ascii="宋体" w:hAnsi="宋体"/>
                <w:color w:val="auto"/>
                <w:szCs w:val="21"/>
                <w:highlight w:val="none"/>
              </w:rPr>
              <w:t>固定价，由招标人支配并按发生的实际费用支出。</w:t>
            </w:r>
          </w:p>
        </w:tc>
      </w:tr>
      <w:tr w14:paraId="62A1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28" w:type="dxa"/>
            <w:vAlign w:val="center"/>
          </w:tcPr>
          <w:p w14:paraId="7A76CE36">
            <w:pPr>
              <w:autoSpaceDE w:val="0"/>
              <w:autoSpaceDN w:val="0"/>
              <w:adjustRightInd w:val="0"/>
              <w:jc w:val="center"/>
              <w:rPr>
                <w:rFonts w:ascii="宋体" w:hAnsi="宋体"/>
                <w:color w:val="auto"/>
                <w:szCs w:val="21"/>
                <w:highlight w:val="none"/>
              </w:rPr>
            </w:pPr>
          </w:p>
        </w:tc>
        <w:tc>
          <w:tcPr>
            <w:tcW w:w="3060" w:type="dxa"/>
            <w:vAlign w:val="center"/>
          </w:tcPr>
          <w:p w14:paraId="52EE60BA">
            <w:pPr>
              <w:autoSpaceDE w:val="0"/>
              <w:autoSpaceDN w:val="0"/>
              <w:adjustRightInd w:val="0"/>
              <w:jc w:val="center"/>
              <w:rPr>
                <w:rFonts w:ascii="宋体" w:hAnsi="宋体"/>
                <w:b/>
                <w:color w:val="auto"/>
                <w:szCs w:val="21"/>
                <w:highlight w:val="none"/>
              </w:rPr>
            </w:pPr>
          </w:p>
        </w:tc>
        <w:tc>
          <w:tcPr>
            <w:tcW w:w="3450" w:type="dxa"/>
            <w:vAlign w:val="center"/>
          </w:tcPr>
          <w:p w14:paraId="3AEC5A66">
            <w:pPr>
              <w:autoSpaceDE w:val="0"/>
              <w:autoSpaceDN w:val="0"/>
              <w:adjustRightInd w:val="0"/>
              <w:jc w:val="center"/>
              <w:rPr>
                <w:rFonts w:ascii="宋体" w:hAnsi="宋体"/>
                <w:color w:val="auto"/>
                <w:szCs w:val="21"/>
                <w:highlight w:val="none"/>
              </w:rPr>
            </w:pPr>
          </w:p>
        </w:tc>
        <w:tc>
          <w:tcPr>
            <w:tcW w:w="1950" w:type="dxa"/>
            <w:vAlign w:val="center"/>
          </w:tcPr>
          <w:p w14:paraId="2C5581F9">
            <w:pPr>
              <w:autoSpaceDE w:val="0"/>
              <w:autoSpaceDN w:val="0"/>
              <w:adjustRightInd w:val="0"/>
              <w:rPr>
                <w:rFonts w:ascii="宋体" w:hAnsi="宋体"/>
                <w:color w:val="auto"/>
                <w:szCs w:val="21"/>
                <w:highlight w:val="none"/>
              </w:rPr>
            </w:pPr>
          </w:p>
        </w:tc>
      </w:tr>
      <w:tr w14:paraId="2E5E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828" w:type="dxa"/>
            <w:vAlign w:val="center"/>
          </w:tcPr>
          <w:p w14:paraId="312C67DD">
            <w:pPr>
              <w:autoSpaceDE w:val="0"/>
              <w:autoSpaceDN w:val="0"/>
              <w:adjustRightInd w:val="0"/>
              <w:jc w:val="center"/>
              <w:rPr>
                <w:rFonts w:ascii="宋体" w:hAnsi="宋体"/>
                <w:color w:val="auto"/>
                <w:spacing w:val="-20"/>
                <w:szCs w:val="21"/>
                <w:highlight w:val="none"/>
              </w:rPr>
            </w:pPr>
            <w:r>
              <w:rPr>
                <w:rFonts w:hint="eastAsia" w:ascii="宋体" w:hAnsi="宋体"/>
                <w:color w:val="auto"/>
                <w:spacing w:val="-20"/>
                <w:szCs w:val="21"/>
                <w:highlight w:val="none"/>
              </w:rPr>
              <w:t>四</w:t>
            </w:r>
          </w:p>
        </w:tc>
        <w:tc>
          <w:tcPr>
            <w:tcW w:w="3060" w:type="dxa"/>
            <w:vAlign w:val="center"/>
          </w:tcPr>
          <w:p w14:paraId="56B5E3F0">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总计</w:t>
            </w:r>
          </w:p>
        </w:tc>
        <w:tc>
          <w:tcPr>
            <w:tcW w:w="3450" w:type="dxa"/>
            <w:vAlign w:val="center"/>
          </w:tcPr>
          <w:p w14:paraId="3315F8C5">
            <w:pPr>
              <w:autoSpaceDE w:val="0"/>
              <w:autoSpaceDN w:val="0"/>
              <w:adjustRightInd w:val="0"/>
              <w:jc w:val="center"/>
              <w:rPr>
                <w:rFonts w:ascii="宋体" w:hAnsi="宋体"/>
                <w:color w:val="auto"/>
                <w:szCs w:val="21"/>
                <w:highlight w:val="none"/>
              </w:rPr>
            </w:pPr>
          </w:p>
        </w:tc>
        <w:tc>
          <w:tcPr>
            <w:tcW w:w="1950" w:type="dxa"/>
            <w:vAlign w:val="center"/>
          </w:tcPr>
          <w:p w14:paraId="295F4C7B">
            <w:pPr>
              <w:autoSpaceDE w:val="0"/>
              <w:autoSpaceDN w:val="0"/>
              <w:adjustRightInd w:val="0"/>
              <w:jc w:val="center"/>
              <w:rPr>
                <w:rFonts w:ascii="宋体" w:hAnsi="宋体"/>
                <w:color w:val="auto"/>
                <w:szCs w:val="21"/>
                <w:highlight w:val="none"/>
              </w:rPr>
            </w:pPr>
          </w:p>
        </w:tc>
      </w:tr>
    </w:tbl>
    <w:p w14:paraId="6CD7A710">
      <w:pPr>
        <w:autoSpaceDE w:val="0"/>
        <w:autoSpaceDN w:val="0"/>
        <w:adjustRightInd w:val="0"/>
        <w:spacing w:before="120" w:beforeLines="50"/>
        <w:rPr>
          <w:rFonts w:ascii="宋体" w:hAnsi="宋体"/>
          <w:color w:val="auto"/>
          <w:szCs w:val="21"/>
          <w:highlight w:val="none"/>
        </w:rPr>
      </w:pPr>
      <w:r>
        <w:rPr>
          <w:rFonts w:hint="eastAsia" w:ascii="宋体" w:hAnsi="宋体"/>
          <w:color w:val="auto"/>
          <w:szCs w:val="21"/>
          <w:highlight w:val="none"/>
        </w:rPr>
        <w:t>报价总价（大写）：</w:t>
      </w:r>
    </w:p>
    <w:p w14:paraId="6989E270">
      <w:pPr>
        <w:autoSpaceDE w:val="0"/>
        <w:autoSpaceDN w:val="0"/>
        <w:adjustRightInd w:val="0"/>
        <w:rPr>
          <w:rFonts w:ascii="宋体" w:hAnsi="宋体"/>
          <w:color w:val="auto"/>
          <w:szCs w:val="21"/>
          <w:highlight w:val="none"/>
        </w:rPr>
      </w:pPr>
    </w:p>
    <w:p w14:paraId="64261DBE">
      <w:pPr>
        <w:spacing w:line="400" w:lineRule="exact"/>
        <w:rPr>
          <w:color w:val="auto"/>
          <w:szCs w:val="21"/>
          <w:highlight w:val="none"/>
        </w:rPr>
      </w:pPr>
      <w:r>
        <w:rPr>
          <w:color w:val="auto"/>
          <w:szCs w:val="21"/>
          <w:highlight w:val="none"/>
        </w:rPr>
        <w:t xml:space="preserve">  </w:t>
      </w:r>
      <w:r>
        <w:rPr>
          <w:rFonts w:hint="eastAsia"/>
          <w:color w:val="auto"/>
          <w:szCs w:val="21"/>
          <w:highlight w:val="none"/>
        </w:rPr>
        <w:t xml:space="preserve">                                     </w:t>
      </w:r>
      <w:r>
        <w:rPr>
          <w:color w:val="auto"/>
          <w:kern w:val="0"/>
          <w:szCs w:val="21"/>
          <w:highlight w:val="none"/>
        </w:rPr>
        <w:t>投  标  人：</w:t>
      </w:r>
      <w:r>
        <w:rPr>
          <w:color w:val="auto"/>
          <w:szCs w:val="21"/>
          <w:highlight w:val="none"/>
          <w:u w:val="single"/>
        </w:rPr>
        <w:t xml:space="preserve">                    </w:t>
      </w:r>
      <w:r>
        <w:rPr>
          <w:color w:val="auto"/>
          <w:szCs w:val="21"/>
          <w:highlight w:val="none"/>
        </w:rPr>
        <w:t>（</w:t>
      </w:r>
      <w:r>
        <w:rPr>
          <w:rFonts w:hint="eastAsia" w:ascii="宋体" w:hAnsi="宋体"/>
          <w:color w:val="auto"/>
          <w:szCs w:val="21"/>
          <w:highlight w:val="none"/>
        </w:rPr>
        <w:t>盖单位电子章</w:t>
      </w:r>
      <w:r>
        <w:rPr>
          <w:color w:val="auto"/>
          <w:szCs w:val="21"/>
          <w:highlight w:val="none"/>
        </w:rPr>
        <w:t>）</w:t>
      </w:r>
    </w:p>
    <w:p w14:paraId="37E06550">
      <w:pPr>
        <w:spacing w:line="400" w:lineRule="exact"/>
        <w:rPr>
          <w:color w:val="auto"/>
          <w:sz w:val="24"/>
          <w:highlight w:val="none"/>
        </w:rPr>
      </w:pPr>
      <w:r>
        <w:rPr>
          <w:color w:val="auto"/>
          <w:szCs w:val="21"/>
          <w:highlight w:val="none"/>
        </w:rPr>
        <w:t xml:space="preserve">                                                                                                             </w:t>
      </w:r>
      <w:r>
        <w:rPr>
          <w:color w:val="auto"/>
          <w:sz w:val="24"/>
          <w:highlight w:val="none"/>
        </w:rPr>
        <w:t xml:space="preserve">   </w:t>
      </w:r>
    </w:p>
    <w:p w14:paraId="0040E1C1">
      <w:pPr>
        <w:rPr>
          <w:color w:val="auto"/>
          <w:highlight w:val="none"/>
        </w:rPr>
      </w:pPr>
      <w:r>
        <w:rPr>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62FE3EEC">
      <w:pPr>
        <w:pStyle w:val="5"/>
        <w:rPr>
          <w:rFonts w:ascii="宋体" w:hAnsi="宋体"/>
          <w:color w:val="auto"/>
          <w:szCs w:val="21"/>
          <w:highlight w:val="none"/>
        </w:rPr>
      </w:pPr>
    </w:p>
    <w:p w14:paraId="4BFBEE0A">
      <w:pPr>
        <w:keepNext/>
        <w:keepLines/>
        <w:spacing w:line="360" w:lineRule="auto"/>
        <w:outlineLvl w:val="3"/>
        <w:rPr>
          <w:rFonts w:ascii="Arial" w:hAnsi="Arial"/>
          <w:b/>
          <w:bCs/>
          <w:color w:val="auto"/>
          <w:szCs w:val="28"/>
          <w:highlight w:val="none"/>
        </w:rPr>
      </w:pPr>
      <w:r>
        <w:rPr>
          <w:rFonts w:ascii="宋体" w:hAnsi="宋体"/>
          <w:color w:val="auto"/>
          <w:szCs w:val="21"/>
          <w:highlight w:val="none"/>
        </w:rPr>
        <w:br w:type="page"/>
      </w:r>
      <w:r>
        <w:rPr>
          <w:rFonts w:hint="eastAsia" w:ascii="Arial" w:hAnsi="Arial"/>
          <w:b/>
          <w:bCs/>
          <w:color w:val="auto"/>
          <w:szCs w:val="28"/>
          <w:highlight w:val="none"/>
        </w:rPr>
        <w:t>9 .3其它附表</w:t>
      </w:r>
    </w:p>
    <w:p w14:paraId="636A6D3C">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9.3.1投标报价表 </w:t>
      </w:r>
    </w:p>
    <w:p w14:paraId="4642FA29">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9.3.2 单位工程取费汇总表</w:t>
      </w:r>
    </w:p>
    <w:p w14:paraId="782E7F37">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9.3.3 取费费率表</w:t>
      </w:r>
    </w:p>
    <w:p w14:paraId="772D11F0">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9.3.4 </w:t>
      </w:r>
      <w:r>
        <w:rPr>
          <w:rFonts w:hint="eastAsia" w:ascii="宋体" w:hAnsi="宋体" w:eastAsia="宋体" w:cs="宋体"/>
          <w:color w:val="auto"/>
          <w:sz w:val="21"/>
          <w:szCs w:val="21"/>
          <w:highlight w:val="none"/>
        </w:rPr>
        <w:t>单位估价分析表</w:t>
      </w:r>
    </w:p>
    <w:p w14:paraId="3000DB2C">
      <w:pPr>
        <w:keepNext/>
        <w:keepLines/>
        <w:spacing w:line="360" w:lineRule="auto"/>
        <w:outlineLvl w:val="3"/>
        <w:rPr>
          <w:rFonts w:ascii="宋体" w:hAnsi="宋体" w:cs="宋体"/>
          <w:b/>
          <w:bCs/>
          <w:color w:val="auto"/>
          <w:szCs w:val="21"/>
          <w:highlight w:val="none"/>
        </w:rPr>
      </w:pPr>
      <w:r>
        <w:rPr>
          <w:rFonts w:hint="eastAsia" w:ascii="宋体" w:hAnsi="宋体"/>
          <w:b/>
          <w:bCs/>
          <w:color w:val="auto"/>
          <w:szCs w:val="21"/>
          <w:highlight w:val="none"/>
        </w:rPr>
        <w:t>9.3.5</w:t>
      </w:r>
      <w:r>
        <w:rPr>
          <w:rStyle w:val="53"/>
          <w:rFonts w:hint="eastAsia" w:ascii="宋体" w:hAnsi="宋体" w:eastAsia="宋体"/>
          <w:color w:val="auto"/>
          <w:sz w:val="21"/>
          <w:szCs w:val="21"/>
          <w:highlight w:val="none"/>
        </w:rPr>
        <w:t>人工、材料、船机数量及单价表</w:t>
      </w:r>
    </w:p>
    <w:p w14:paraId="58BC3931">
      <w:pPr>
        <w:pStyle w:val="5"/>
        <w:rPr>
          <w:rFonts w:ascii="宋体" w:hAnsi="宋体" w:eastAsia="宋体"/>
          <w:color w:val="auto"/>
          <w:sz w:val="21"/>
          <w:szCs w:val="21"/>
          <w:highlight w:val="none"/>
        </w:rPr>
      </w:pPr>
      <w:r>
        <w:rPr>
          <w:rFonts w:hint="eastAsia" w:ascii="宋体" w:hAnsi="宋体" w:eastAsia="宋体"/>
          <w:color w:val="auto"/>
          <w:sz w:val="21"/>
          <w:szCs w:val="21"/>
          <w:highlight w:val="none"/>
        </w:rPr>
        <w:t>9.3.6其它</w:t>
      </w:r>
    </w:p>
    <w:p w14:paraId="69DA2A04">
      <w:pPr>
        <w:autoSpaceDE w:val="0"/>
        <w:autoSpaceDN w:val="0"/>
        <w:adjustRightInd w:val="0"/>
        <w:spacing w:before="120" w:beforeLines="50"/>
        <w:rPr>
          <w:rFonts w:ascii="宋体" w:hAnsi="宋体"/>
          <w:color w:val="auto"/>
          <w:szCs w:val="21"/>
          <w:highlight w:val="none"/>
        </w:rPr>
      </w:pPr>
      <w:r>
        <w:rPr>
          <w:rFonts w:hint="eastAsia" w:ascii="宋体" w:hAnsi="宋体"/>
          <w:color w:val="auto"/>
          <w:szCs w:val="21"/>
          <w:highlight w:val="none"/>
        </w:rPr>
        <w:t>注：水运工程报价至少应包含上述表格内容，土建、水电等专业项目按招标人提供的工程量清单格式填报。</w:t>
      </w:r>
    </w:p>
    <w:p w14:paraId="29455F73">
      <w:pPr>
        <w:pStyle w:val="4"/>
        <w:jc w:val="center"/>
        <w:rPr>
          <w:rFonts w:ascii="宋体" w:hAnsi="宋体"/>
          <w:color w:val="auto"/>
          <w:szCs w:val="21"/>
          <w:highlight w:val="none"/>
        </w:rPr>
      </w:pPr>
      <w:bookmarkStart w:id="1394" w:name="_Toc490832381"/>
    </w:p>
    <w:p w14:paraId="136A7E5E">
      <w:pPr>
        <w:rPr>
          <w:color w:val="auto"/>
          <w:highlight w:val="none"/>
        </w:rPr>
      </w:pPr>
    </w:p>
    <w:p w14:paraId="788D3E36">
      <w:pPr>
        <w:rPr>
          <w:color w:val="auto"/>
          <w:highlight w:val="none"/>
        </w:rPr>
      </w:pPr>
    </w:p>
    <w:p w14:paraId="6575267D">
      <w:pPr>
        <w:rPr>
          <w:color w:val="auto"/>
          <w:highlight w:val="none"/>
        </w:rPr>
      </w:pPr>
    </w:p>
    <w:p w14:paraId="2D5DBC6C">
      <w:pPr>
        <w:rPr>
          <w:color w:val="auto"/>
          <w:highlight w:val="none"/>
        </w:rPr>
      </w:pPr>
    </w:p>
    <w:p w14:paraId="71256F68">
      <w:pPr>
        <w:rPr>
          <w:color w:val="auto"/>
          <w:highlight w:val="none"/>
        </w:rPr>
      </w:pPr>
    </w:p>
    <w:p w14:paraId="3E3C32CD">
      <w:pPr>
        <w:rPr>
          <w:color w:val="auto"/>
          <w:highlight w:val="none"/>
        </w:rPr>
      </w:pPr>
    </w:p>
    <w:p w14:paraId="776F74E8">
      <w:pPr>
        <w:rPr>
          <w:color w:val="auto"/>
          <w:highlight w:val="none"/>
        </w:rPr>
      </w:pPr>
    </w:p>
    <w:p w14:paraId="4AE2956D">
      <w:pPr>
        <w:rPr>
          <w:color w:val="auto"/>
          <w:highlight w:val="none"/>
        </w:rPr>
      </w:pPr>
    </w:p>
    <w:p w14:paraId="7423BF2F">
      <w:pPr>
        <w:rPr>
          <w:color w:val="auto"/>
          <w:highlight w:val="none"/>
        </w:rPr>
      </w:pPr>
    </w:p>
    <w:p w14:paraId="71AC6D43">
      <w:pPr>
        <w:rPr>
          <w:color w:val="auto"/>
          <w:highlight w:val="none"/>
        </w:rPr>
      </w:pPr>
    </w:p>
    <w:p w14:paraId="5EBFD95F">
      <w:pPr>
        <w:rPr>
          <w:color w:val="auto"/>
          <w:highlight w:val="none"/>
        </w:rPr>
      </w:pPr>
    </w:p>
    <w:p w14:paraId="03D03A21">
      <w:pPr>
        <w:rPr>
          <w:color w:val="auto"/>
          <w:highlight w:val="none"/>
        </w:rPr>
      </w:pPr>
    </w:p>
    <w:p w14:paraId="20E34087">
      <w:pPr>
        <w:rPr>
          <w:color w:val="auto"/>
          <w:highlight w:val="none"/>
        </w:rPr>
      </w:pPr>
    </w:p>
    <w:p w14:paraId="1F8A01B6">
      <w:pPr>
        <w:rPr>
          <w:color w:val="auto"/>
          <w:highlight w:val="none"/>
        </w:rPr>
      </w:pPr>
    </w:p>
    <w:p w14:paraId="35E8D330">
      <w:pPr>
        <w:rPr>
          <w:color w:val="auto"/>
          <w:highlight w:val="none"/>
        </w:rPr>
      </w:pPr>
    </w:p>
    <w:p w14:paraId="56A1536E">
      <w:pPr>
        <w:rPr>
          <w:color w:val="auto"/>
          <w:highlight w:val="none"/>
        </w:rPr>
      </w:pPr>
    </w:p>
    <w:p w14:paraId="2C19D06B">
      <w:pPr>
        <w:rPr>
          <w:color w:val="auto"/>
          <w:highlight w:val="none"/>
        </w:rPr>
      </w:pPr>
    </w:p>
    <w:p w14:paraId="7731F0C3">
      <w:pPr>
        <w:rPr>
          <w:color w:val="auto"/>
          <w:highlight w:val="none"/>
        </w:rPr>
      </w:pPr>
    </w:p>
    <w:p w14:paraId="729C7AA6">
      <w:pPr>
        <w:rPr>
          <w:color w:val="auto"/>
          <w:highlight w:val="none"/>
        </w:rPr>
      </w:pPr>
    </w:p>
    <w:p w14:paraId="017FA0DB">
      <w:pPr>
        <w:rPr>
          <w:color w:val="auto"/>
          <w:highlight w:val="none"/>
        </w:rPr>
      </w:pPr>
    </w:p>
    <w:p w14:paraId="11BDDE28">
      <w:pPr>
        <w:rPr>
          <w:color w:val="auto"/>
          <w:highlight w:val="none"/>
        </w:rPr>
      </w:pPr>
    </w:p>
    <w:p w14:paraId="28CE1E49">
      <w:pPr>
        <w:rPr>
          <w:color w:val="auto"/>
          <w:highlight w:val="none"/>
        </w:rPr>
      </w:pPr>
    </w:p>
    <w:p w14:paraId="7EFFB290">
      <w:pPr>
        <w:rPr>
          <w:color w:val="auto"/>
          <w:highlight w:val="none"/>
        </w:rPr>
      </w:pPr>
    </w:p>
    <w:p w14:paraId="4376CA77">
      <w:pPr>
        <w:rPr>
          <w:color w:val="auto"/>
          <w:highlight w:val="none"/>
        </w:rPr>
      </w:pPr>
    </w:p>
    <w:p w14:paraId="7F42DB36">
      <w:pPr>
        <w:rPr>
          <w:color w:val="auto"/>
          <w:highlight w:val="none"/>
        </w:rPr>
      </w:pPr>
    </w:p>
    <w:p w14:paraId="2EC48611">
      <w:pPr>
        <w:rPr>
          <w:color w:val="auto"/>
          <w:highlight w:val="none"/>
        </w:rPr>
      </w:pPr>
    </w:p>
    <w:p w14:paraId="6E5C8D63">
      <w:pPr>
        <w:rPr>
          <w:color w:val="auto"/>
          <w:highlight w:val="none"/>
        </w:rPr>
      </w:pPr>
    </w:p>
    <w:p w14:paraId="4C378E33">
      <w:pPr>
        <w:pStyle w:val="6"/>
        <w:spacing w:before="60"/>
        <w:ind w:left="424" w:right="191"/>
        <w:jc w:val="center"/>
        <w:rPr>
          <w:b w:val="0"/>
          <w:bCs w:val="0"/>
          <w:color w:val="auto"/>
          <w:sz w:val="28"/>
          <w:szCs w:val="28"/>
          <w:highlight w:val="none"/>
        </w:rPr>
      </w:pPr>
    </w:p>
    <w:p w14:paraId="12632238">
      <w:pPr>
        <w:pStyle w:val="6"/>
        <w:spacing w:before="60"/>
        <w:ind w:left="424" w:right="191"/>
        <w:jc w:val="center"/>
        <w:rPr>
          <w:b w:val="0"/>
          <w:bCs w:val="0"/>
          <w:color w:val="auto"/>
          <w:sz w:val="28"/>
          <w:szCs w:val="28"/>
          <w:highlight w:val="none"/>
        </w:rPr>
      </w:pPr>
      <w:r>
        <w:rPr>
          <w:rFonts w:hint="eastAsia"/>
          <w:b w:val="0"/>
          <w:bCs w:val="0"/>
          <w:color w:val="auto"/>
          <w:sz w:val="28"/>
          <w:szCs w:val="28"/>
          <w:highlight w:val="none"/>
        </w:rPr>
        <w:t>十、</w:t>
      </w:r>
      <w:r>
        <w:rPr>
          <w:b w:val="0"/>
          <w:bCs w:val="0"/>
          <w:color w:val="auto"/>
          <w:sz w:val="28"/>
          <w:szCs w:val="28"/>
          <w:highlight w:val="none"/>
        </w:rPr>
        <w:t>定标要素情况表</w:t>
      </w:r>
    </w:p>
    <w:p w14:paraId="1EF7D8C5">
      <w:pPr>
        <w:pStyle w:val="13"/>
        <w:spacing w:before="7"/>
        <w:rPr>
          <w:rFonts w:ascii="黑体"/>
          <w:color w:val="auto"/>
          <w:sz w:val="15"/>
          <w:highlight w:val="none"/>
        </w:rPr>
      </w:pPr>
    </w:p>
    <w:p w14:paraId="372B65F6">
      <w:pPr>
        <w:ind w:left="766"/>
        <w:jc w:val="left"/>
        <w:rPr>
          <w:rFonts w:ascii="黑体" w:hAnsi="黑体" w:eastAsia="黑体"/>
          <w:color w:val="auto"/>
          <w:sz w:val="10"/>
          <w:highlight w:val="none"/>
        </w:rPr>
      </w:pPr>
      <w:r>
        <w:rPr>
          <w:rFonts w:hint="eastAsia" w:ascii="黑体" w:hAnsi="黑体" w:eastAsia="黑体"/>
          <w:b/>
          <w:color w:val="auto"/>
          <w:highlight w:val="none"/>
        </w:rPr>
        <w:t>1、</w:t>
      </w:r>
      <w:r>
        <w:rPr>
          <w:rFonts w:hint="eastAsia" w:ascii="黑体" w:hAnsi="黑体" w:eastAsia="黑体"/>
          <w:color w:val="auto"/>
          <w:highlight w:val="none"/>
        </w:rPr>
        <w:t>信用要素情况表</w:t>
      </w:r>
      <w:r>
        <w:rPr>
          <w:rFonts w:hint="eastAsia" w:ascii="黑体" w:hAnsi="黑体" w:eastAsia="黑体"/>
          <w:color w:val="auto"/>
          <w:position w:val="9"/>
          <w:sz w:val="10"/>
          <w:highlight w:val="none"/>
        </w:rPr>
        <w:t>①</w:t>
      </w:r>
    </w:p>
    <w:p w14:paraId="276433E6">
      <w:pPr>
        <w:pStyle w:val="13"/>
        <w:spacing w:before="10"/>
        <w:rPr>
          <w:rFonts w:ascii="黑体"/>
          <w:color w:val="auto"/>
          <w:sz w:val="13"/>
          <w:highlight w:val="none"/>
        </w:rPr>
      </w:pPr>
    </w:p>
    <w:tbl>
      <w:tblPr>
        <w:tblStyle w:val="39"/>
        <w:tblW w:w="0" w:type="auto"/>
        <w:tblInd w:w="7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14:paraId="1995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64" w:type="dxa"/>
          </w:tcPr>
          <w:p w14:paraId="6EEEA6A6">
            <w:pPr>
              <w:pStyle w:val="98"/>
              <w:spacing w:before="107"/>
              <w:ind w:left="473"/>
              <w:rPr>
                <w:rFonts w:ascii="黑体" w:hAnsi="黑体" w:eastAsia="黑体"/>
                <w:color w:val="auto"/>
                <w:sz w:val="10"/>
                <w:highlight w:val="none"/>
              </w:rPr>
            </w:pPr>
            <w:r>
              <w:rPr>
                <w:rFonts w:hint="eastAsia" w:ascii="黑体" w:hAnsi="黑体" w:eastAsia="黑体"/>
                <w:color w:val="auto"/>
                <w:highlight w:val="none"/>
              </w:rPr>
              <w:t>招标人要求的信用子要素</w:t>
            </w:r>
            <w:r>
              <w:rPr>
                <w:rFonts w:hint="eastAsia" w:ascii="黑体" w:hAnsi="黑体" w:eastAsia="黑体"/>
                <w:color w:val="auto"/>
                <w:position w:val="9"/>
                <w:sz w:val="10"/>
                <w:highlight w:val="none"/>
              </w:rPr>
              <w:t>②</w:t>
            </w:r>
          </w:p>
        </w:tc>
        <w:tc>
          <w:tcPr>
            <w:tcW w:w="5753" w:type="dxa"/>
          </w:tcPr>
          <w:p w14:paraId="48CA1A41">
            <w:pPr>
              <w:pStyle w:val="98"/>
              <w:spacing w:before="107"/>
              <w:ind w:left="1614"/>
              <w:rPr>
                <w:rFonts w:ascii="黑体" w:eastAsia="黑体"/>
                <w:color w:val="auto"/>
                <w:highlight w:val="none"/>
              </w:rPr>
            </w:pPr>
            <w:r>
              <w:rPr>
                <w:rFonts w:hint="eastAsia" w:ascii="黑体" w:eastAsia="黑体"/>
                <w:color w:val="auto"/>
                <w:highlight w:val="none"/>
              </w:rPr>
              <w:t>投标人提供的证明材料明细</w:t>
            </w:r>
          </w:p>
        </w:tc>
      </w:tr>
      <w:tr w14:paraId="5ACB6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64" w:type="dxa"/>
          </w:tcPr>
          <w:p w14:paraId="3413D6A0">
            <w:pPr>
              <w:pStyle w:val="98"/>
              <w:rPr>
                <w:rFonts w:ascii="Times New Roman"/>
                <w:color w:val="auto"/>
                <w:sz w:val="18"/>
                <w:highlight w:val="none"/>
              </w:rPr>
            </w:pPr>
          </w:p>
        </w:tc>
        <w:tc>
          <w:tcPr>
            <w:tcW w:w="5753" w:type="dxa"/>
          </w:tcPr>
          <w:p w14:paraId="1575CC9B">
            <w:pPr>
              <w:pStyle w:val="98"/>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14:paraId="25A6C3D9">
            <w:pPr>
              <w:pStyle w:val="98"/>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14:paraId="0C9D059A">
            <w:pPr>
              <w:pStyle w:val="98"/>
              <w:spacing w:before="137"/>
              <w:ind w:left="106"/>
              <w:rPr>
                <w:color w:val="auto"/>
                <w:highlight w:val="none"/>
              </w:rPr>
            </w:pPr>
            <w:r>
              <w:rPr>
                <w:color w:val="auto"/>
                <w:highlight w:val="none"/>
              </w:rPr>
              <w:t>③</w:t>
            </w:r>
            <w:r>
              <w:rPr>
                <w:color w:val="auto"/>
                <w:highlight w:val="none"/>
                <w:u w:val="single"/>
              </w:rPr>
              <w:t xml:space="preserve">…… </w:t>
            </w:r>
          </w:p>
        </w:tc>
      </w:tr>
      <w:tr w14:paraId="1D6D4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tcPr>
          <w:p w14:paraId="2E281D8C">
            <w:pPr>
              <w:pStyle w:val="98"/>
              <w:spacing w:before="109"/>
              <w:ind w:left="107"/>
              <w:rPr>
                <w:color w:val="auto"/>
                <w:highlight w:val="none"/>
              </w:rPr>
            </w:pPr>
            <w:r>
              <w:rPr>
                <w:color w:val="auto"/>
                <w:highlight w:val="none"/>
              </w:rPr>
              <w:t>说明：投标人应根据招标文件第四章定标</w:t>
            </w:r>
            <w:r>
              <w:rPr>
                <w:rFonts w:hint="eastAsia"/>
                <w:color w:val="auto"/>
                <w:highlight w:val="none"/>
                <w:lang w:val="en-US"/>
              </w:rPr>
              <w:t>方案</w:t>
            </w:r>
            <w:r>
              <w:rPr>
                <w:color w:val="auto"/>
                <w:highlight w:val="none"/>
              </w:rPr>
              <w:t>的前附表中定标要素编列内容的规定提供与信用子</w:t>
            </w:r>
          </w:p>
          <w:p w14:paraId="0709417B">
            <w:pPr>
              <w:pStyle w:val="98"/>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14:paraId="527A9CAF">
      <w:pPr>
        <w:pStyle w:val="13"/>
        <w:rPr>
          <w:rFonts w:ascii="黑体"/>
          <w:color w:val="auto"/>
          <w:sz w:val="20"/>
          <w:highlight w:val="none"/>
        </w:rPr>
      </w:pPr>
    </w:p>
    <w:p w14:paraId="3FD675AB">
      <w:pPr>
        <w:pStyle w:val="13"/>
        <w:rPr>
          <w:rFonts w:ascii="黑体"/>
          <w:color w:val="auto"/>
          <w:sz w:val="20"/>
          <w:highlight w:val="none"/>
        </w:rPr>
      </w:pPr>
    </w:p>
    <w:p w14:paraId="5F9100BA">
      <w:pPr>
        <w:pStyle w:val="13"/>
        <w:rPr>
          <w:rFonts w:ascii="黑体"/>
          <w:color w:val="auto"/>
          <w:sz w:val="20"/>
          <w:highlight w:val="none"/>
        </w:rPr>
      </w:pPr>
    </w:p>
    <w:p w14:paraId="09C329EF">
      <w:pPr>
        <w:pStyle w:val="13"/>
        <w:rPr>
          <w:rFonts w:ascii="黑体"/>
          <w:color w:val="auto"/>
          <w:sz w:val="20"/>
          <w:highlight w:val="none"/>
        </w:rPr>
      </w:pPr>
    </w:p>
    <w:p w14:paraId="436EFB87">
      <w:pPr>
        <w:pStyle w:val="13"/>
        <w:rPr>
          <w:rFonts w:ascii="黑体"/>
          <w:color w:val="auto"/>
          <w:sz w:val="20"/>
          <w:highlight w:val="none"/>
        </w:rPr>
      </w:pPr>
    </w:p>
    <w:p w14:paraId="33E6E93F">
      <w:pPr>
        <w:pStyle w:val="13"/>
        <w:rPr>
          <w:rFonts w:ascii="黑体"/>
          <w:color w:val="auto"/>
          <w:sz w:val="20"/>
          <w:highlight w:val="none"/>
        </w:rPr>
      </w:pPr>
    </w:p>
    <w:p w14:paraId="2F08C78E">
      <w:pPr>
        <w:pStyle w:val="13"/>
        <w:rPr>
          <w:rFonts w:ascii="黑体"/>
          <w:color w:val="auto"/>
          <w:sz w:val="20"/>
          <w:highlight w:val="none"/>
        </w:rPr>
      </w:pPr>
    </w:p>
    <w:p w14:paraId="72225DA0">
      <w:pPr>
        <w:pStyle w:val="13"/>
        <w:rPr>
          <w:rFonts w:ascii="黑体"/>
          <w:color w:val="auto"/>
          <w:sz w:val="20"/>
          <w:highlight w:val="none"/>
        </w:rPr>
      </w:pPr>
    </w:p>
    <w:p w14:paraId="564DA3FD">
      <w:pPr>
        <w:pStyle w:val="13"/>
        <w:rPr>
          <w:rFonts w:ascii="黑体"/>
          <w:color w:val="auto"/>
          <w:sz w:val="20"/>
          <w:highlight w:val="none"/>
        </w:rPr>
      </w:pPr>
    </w:p>
    <w:p w14:paraId="2BD6BEBB">
      <w:pPr>
        <w:pStyle w:val="13"/>
        <w:rPr>
          <w:rFonts w:ascii="黑体"/>
          <w:color w:val="auto"/>
          <w:sz w:val="20"/>
          <w:highlight w:val="none"/>
        </w:rPr>
      </w:pPr>
    </w:p>
    <w:p w14:paraId="03036DCF">
      <w:pPr>
        <w:pStyle w:val="13"/>
        <w:rPr>
          <w:rFonts w:ascii="黑体"/>
          <w:color w:val="auto"/>
          <w:sz w:val="20"/>
          <w:highlight w:val="none"/>
        </w:rPr>
      </w:pPr>
    </w:p>
    <w:p w14:paraId="2F2DC0D9">
      <w:pPr>
        <w:pStyle w:val="13"/>
        <w:rPr>
          <w:rFonts w:ascii="黑体"/>
          <w:color w:val="auto"/>
          <w:sz w:val="20"/>
          <w:highlight w:val="none"/>
        </w:rPr>
      </w:pPr>
    </w:p>
    <w:p w14:paraId="6B0A57C4">
      <w:pPr>
        <w:pStyle w:val="13"/>
        <w:rPr>
          <w:rFonts w:ascii="黑体"/>
          <w:color w:val="auto"/>
          <w:sz w:val="20"/>
          <w:highlight w:val="none"/>
        </w:rPr>
      </w:pPr>
    </w:p>
    <w:p w14:paraId="3F2C5BD7">
      <w:pPr>
        <w:pStyle w:val="13"/>
        <w:rPr>
          <w:rFonts w:ascii="黑体"/>
          <w:color w:val="auto"/>
          <w:sz w:val="20"/>
          <w:highlight w:val="none"/>
        </w:rPr>
      </w:pPr>
    </w:p>
    <w:p w14:paraId="5A1DEF49">
      <w:pPr>
        <w:pStyle w:val="13"/>
        <w:rPr>
          <w:rFonts w:ascii="黑体"/>
          <w:color w:val="auto"/>
          <w:sz w:val="20"/>
          <w:highlight w:val="none"/>
        </w:rPr>
      </w:pPr>
    </w:p>
    <w:p w14:paraId="74DAAF40">
      <w:pPr>
        <w:pStyle w:val="13"/>
        <w:rPr>
          <w:rFonts w:ascii="黑体"/>
          <w:color w:val="auto"/>
          <w:sz w:val="20"/>
          <w:highlight w:val="none"/>
        </w:rPr>
      </w:pPr>
    </w:p>
    <w:p w14:paraId="175AEEA7">
      <w:pPr>
        <w:pStyle w:val="13"/>
        <w:rPr>
          <w:rFonts w:ascii="黑体"/>
          <w:color w:val="auto"/>
          <w:sz w:val="20"/>
          <w:highlight w:val="none"/>
        </w:rPr>
      </w:pPr>
    </w:p>
    <w:p w14:paraId="4CD7DA43">
      <w:pPr>
        <w:pStyle w:val="13"/>
        <w:rPr>
          <w:rFonts w:ascii="黑体"/>
          <w:color w:val="auto"/>
          <w:sz w:val="20"/>
          <w:highlight w:val="none"/>
        </w:rPr>
      </w:pPr>
    </w:p>
    <w:p w14:paraId="540A5E98">
      <w:pPr>
        <w:pStyle w:val="13"/>
        <w:rPr>
          <w:rFonts w:ascii="黑体"/>
          <w:color w:val="auto"/>
          <w:sz w:val="20"/>
          <w:highlight w:val="none"/>
        </w:rPr>
      </w:pPr>
    </w:p>
    <w:p w14:paraId="0EB0B482">
      <w:pPr>
        <w:pStyle w:val="13"/>
        <w:spacing w:before="6"/>
        <w:rPr>
          <w:rFonts w:ascii="黑体"/>
          <w:color w:val="auto"/>
          <w:highlight w:val="none"/>
        </w:rPr>
      </w:pPr>
      <w:r>
        <w:rPr>
          <w:color w:val="auto"/>
          <w:highlight w:val="none"/>
        </w:rPr>
        <mc:AlternateContent>
          <mc:Choice Requires="wps">
            <w:drawing>
              <wp:anchor distT="0" distB="0" distL="114300" distR="114300" simplePos="0" relativeHeight="251663360" behindDoc="1" locked="0" layoutInCell="1" allowOverlap="1">
                <wp:simplePos x="0" y="0"/>
                <wp:positionH relativeFrom="page">
                  <wp:posOffset>1007745</wp:posOffset>
                </wp:positionH>
                <wp:positionV relativeFrom="paragraph">
                  <wp:posOffset>199390</wp:posOffset>
                </wp:positionV>
                <wp:extent cx="1828800" cy="0"/>
                <wp:effectExtent l="0" t="0" r="0" b="0"/>
                <wp:wrapTopAndBottom/>
                <wp:docPr id="6" name="直线 1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79.35pt;margin-top:15.7pt;height:0pt;width:144pt;mso-position-horizontal-relative:page;mso-wrap-distance-bottom:0pt;mso-wrap-distance-top:0pt;z-index:-251653120;mso-width-relative:page;mso-height-relative:page;" filled="f" stroked="t" coordsize="21600,21600" o:gfxdata="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7ulnDWAAAACQEAAA8AAAAAAAAA&#10;AQAgAAAAIgAAAGRycy9kb3ducmV2LnhtbFBLAQIUABQAAAAIAIdO4kC9TwW/2gEAAM0DAAAOAAAA&#10;AAAAAAEAIAAAACUBAABkcnMvZTJvRG9jLnhtbFBLBQYAAAAABgAGAFkBAABxBQAAAAA=&#10;">
                <v:fill on="f" focussize="0,0"/>
                <v:stroke weight="0pt" color="#000000" joinstyle="round"/>
                <v:imagedata o:title=""/>
                <o:lock v:ext="edit" aspectratio="f"/>
                <w10:wrap type="topAndBottom"/>
              </v:line>
            </w:pict>
          </mc:Fallback>
        </mc:AlternateContent>
      </w:r>
    </w:p>
    <w:p w14:paraId="5CE36BFF">
      <w:pPr>
        <w:spacing w:before="101"/>
        <w:ind w:left="766"/>
        <w:jc w:val="left"/>
        <w:rPr>
          <w:color w:val="auto"/>
          <w:sz w:val="15"/>
          <w:highlight w:val="none"/>
        </w:rPr>
      </w:pPr>
      <w:r>
        <w:rPr>
          <w:color w:val="auto"/>
          <w:sz w:val="15"/>
          <w:highlight w:val="none"/>
        </w:rPr>
        <w:t>①投标人针对每一项信用子要素需分别单独编制情况表。</w:t>
      </w:r>
    </w:p>
    <w:p w14:paraId="63782E03">
      <w:pPr>
        <w:spacing w:before="8"/>
        <w:ind w:left="766"/>
        <w:jc w:val="left"/>
        <w:rPr>
          <w:color w:val="auto"/>
          <w:sz w:val="15"/>
          <w:highlight w:val="none"/>
        </w:r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规定的定标要素中的信用要素填入相应的子要素。</w:t>
      </w:r>
    </w:p>
    <w:p w14:paraId="5FB96933">
      <w:pPr>
        <w:jc w:val="left"/>
        <w:rPr>
          <w:color w:val="auto"/>
          <w:sz w:val="15"/>
          <w:highlight w:val="none"/>
        </w:rPr>
        <w:sectPr>
          <w:pgSz w:w="11910" w:h="16840"/>
          <w:pgMar w:top="1600" w:right="990" w:bottom="1180" w:left="1040" w:header="0" w:footer="982" w:gutter="0"/>
          <w:cols w:space="720" w:num="1"/>
        </w:sectPr>
      </w:pPr>
    </w:p>
    <w:bookmarkEnd w:id="1394"/>
    <w:p w14:paraId="2A451498">
      <w:pPr>
        <w:rPr>
          <w:color w:val="auto"/>
          <w:highlight w:val="none"/>
        </w:rPr>
      </w:pPr>
    </w:p>
    <w:p w14:paraId="0FC1C312">
      <w:pPr>
        <w:spacing w:before="49"/>
        <w:ind w:left="767" w:hanging="767" w:hangingChars="364"/>
        <w:jc w:val="left"/>
        <w:rPr>
          <w:rFonts w:ascii="黑体" w:hAnsi="黑体" w:eastAsia="黑体"/>
          <w:color w:val="auto"/>
          <w:sz w:val="10"/>
          <w:highlight w:val="none"/>
        </w:rPr>
      </w:pPr>
      <w:r>
        <w:rPr>
          <w:rFonts w:hint="eastAsia" w:ascii="黑体" w:hAnsi="黑体" w:eastAsia="黑体"/>
          <w:b/>
          <w:color w:val="auto"/>
          <w:highlight w:val="none"/>
        </w:rPr>
        <w:t>2、</w:t>
      </w:r>
      <w:r>
        <w:rPr>
          <w:rFonts w:hint="eastAsia" w:ascii="黑体" w:hAnsi="黑体" w:eastAsia="黑体"/>
          <w:color w:val="auto"/>
          <w:highlight w:val="none"/>
        </w:rPr>
        <w:t>实力要素情况表</w:t>
      </w:r>
      <w:r>
        <w:rPr>
          <w:rFonts w:hint="eastAsia" w:ascii="黑体" w:hAnsi="黑体" w:eastAsia="黑体"/>
          <w:color w:val="auto"/>
          <w:position w:val="9"/>
          <w:sz w:val="10"/>
          <w:highlight w:val="none"/>
        </w:rPr>
        <w:t>①</w:t>
      </w:r>
    </w:p>
    <w:tbl>
      <w:tblPr>
        <w:tblStyle w:val="39"/>
        <w:tblpPr w:leftFromText="180" w:rightFromText="180" w:vertAnchor="text" w:horzAnchor="page" w:tblpX="1306" w:tblpY="50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14:paraId="7194B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58" w:type="dxa"/>
          </w:tcPr>
          <w:p w14:paraId="02812C82">
            <w:pPr>
              <w:pStyle w:val="98"/>
              <w:spacing w:before="107"/>
              <w:ind w:left="470"/>
              <w:rPr>
                <w:rFonts w:ascii="黑体" w:hAnsi="黑体" w:eastAsia="黑体"/>
                <w:color w:val="auto"/>
                <w:sz w:val="10"/>
                <w:highlight w:val="none"/>
              </w:rPr>
            </w:pPr>
            <w:r>
              <w:rPr>
                <w:rFonts w:hint="eastAsia" w:ascii="黑体" w:hAnsi="黑体" w:eastAsia="黑体"/>
                <w:color w:val="auto"/>
                <w:highlight w:val="none"/>
              </w:rPr>
              <w:t>招标人要求的实力子要素</w:t>
            </w:r>
            <w:r>
              <w:rPr>
                <w:rFonts w:hint="eastAsia" w:ascii="黑体" w:hAnsi="黑体" w:eastAsia="黑体"/>
                <w:color w:val="auto"/>
                <w:position w:val="9"/>
                <w:sz w:val="10"/>
                <w:highlight w:val="none"/>
              </w:rPr>
              <w:t>②</w:t>
            </w:r>
          </w:p>
        </w:tc>
        <w:tc>
          <w:tcPr>
            <w:tcW w:w="5759" w:type="dxa"/>
          </w:tcPr>
          <w:p w14:paraId="11119A25">
            <w:pPr>
              <w:pStyle w:val="98"/>
              <w:spacing w:before="107"/>
              <w:ind w:left="1616"/>
              <w:rPr>
                <w:rFonts w:ascii="黑体" w:eastAsia="黑体"/>
                <w:color w:val="auto"/>
                <w:highlight w:val="none"/>
              </w:rPr>
            </w:pPr>
            <w:r>
              <w:rPr>
                <w:rFonts w:hint="eastAsia" w:ascii="黑体" w:eastAsia="黑体"/>
                <w:color w:val="auto"/>
                <w:highlight w:val="none"/>
              </w:rPr>
              <w:t>投标人提供的证明材料明细</w:t>
            </w:r>
          </w:p>
        </w:tc>
      </w:tr>
      <w:tr w14:paraId="7AF3D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58" w:type="dxa"/>
          </w:tcPr>
          <w:p w14:paraId="3850A0DB">
            <w:pPr>
              <w:pStyle w:val="98"/>
              <w:rPr>
                <w:rFonts w:ascii="Times New Roman"/>
                <w:color w:val="auto"/>
                <w:sz w:val="18"/>
                <w:highlight w:val="none"/>
              </w:rPr>
            </w:pPr>
          </w:p>
        </w:tc>
        <w:tc>
          <w:tcPr>
            <w:tcW w:w="5759" w:type="dxa"/>
          </w:tcPr>
          <w:p w14:paraId="66903A5A">
            <w:pPr>
              <w:pStyle w:val="98"/>
              <w:tabs>
                <w:tab w:val="left" w:pos="1051"/>
              </w:tabs>
              <w:spacing w:before="109"/>
              <w:ind w:left="106"/>
              <w:rPr>
                <w:color w:val="auto"/>
                <w:highlight w:val="none"/>
              </w:rPr>
            </w:pPr>
            <w:r>
              <w:rPr>
                <w:color w:val="auto"/>
                <w:highlight w:val="none"/>
              </w:rPr>
              <w:t>①</w:t>
            </w:r>
            <w:r>
              <w:rPr>
                <w:color w:val="auto"/>
                <w:highlight w:val="none"/>
                <w:u w:val="single"/>
              </w:rPr>
              <w:t xml:space="preserve"> </w:t>
            </w:r>
            <w:r>
              <w:rPr>
                <w:color w:val="auto"/>
                <w:highlight w:val="none"/>
                <w:u w:val="single"/>
              </w:rPr>
              <w:tab/>
            </w:r>
            <w:r>
              <w:rPr>
                <w:color w:val="auto"/>
                <w:highlight w:val="none"/>
              </w:rPr>
              <w:t>；</w:t>
            </w:r>
          </w:p>
          <w:p w14:paraId="0FB4BC4D">
            <w:pPr>
              <w:pStyle w:val="98"/>
              <w:tabs>
                <w:tab w:val="left" w:pos="1051"/>
              </w:tabs>
              <w:spacing w:before="88"/>
              <w:ind w:left="106"/>
              <w:rPr>
                <w:color w:val="auto"/>
                <w:highlight w:val="none"/>
              </w:rPr>
            </w:pPr>
            <w:r>
              <w:rPr>
                <w:color w:val="auto"/>
                <w:highlight w:val="none"/>
              </w:rPr>
              <w:t>②</w:t>
            </w:r>
            <w:r>
              <w:rPr>
                <w:color w:val="auto"/>
                <w:highlight w:val="none"/>
                <w:u w:val="single"/>
              </w:rPr>
              <w:t xml:space="preserve"> </w:t>
            </w:r>
            <w:r>
              <w:rPr>
                <w:color w:val="auto"/>
                <w:highlight w:val="none"/>
                <w:u w:val="single"/>
              </w:rPr>
              <w:tab/>
            </w:r>
            <w:r>
              <w:rPr>
                <w:color w:val="auto"/>
                <w:highlight w:val="none"/>
              </w:rPr>
              <w:t>；</w:t>
            </w:r>
          </w:p>
          <w:p w14:paraId="6AB96163">
            <w:pPr>
              <w:pStyle w:val="98"/>
              <w:spacing w:before="137"/>
              <w:ind w:left="106"/>
              <w:rPr>
                <w:color w:val="auto"/>
                <w:highlight w:val="none"/>
              </w:rPr>
            </w:pPr>
            <w:r>
              <w:rPr>
                <w:color w:val="auto"/>
                <w:highlight w:val="none"/>
              </w:rPr>
              <w:t>③</w:t>
            </w:r>
            <w:r>
              <w:rPr>
                <w:color w:val="auto"/>
                <w:highlight w:val="none"/>
                <w:u w:val="single"/>
              </w:rPr>
              <w:t xml:space="preserve">…… </w:t>
            </w:r>
          </w:p>
        </w:tc>
      </w:tr>
      <w:tr w14:paraId="074CA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tcPr>
          <w:p w14:paraId="02DF5793">
            <w:pPr>
              <w:pStyle w:val="98"/>
              <w:spacing w:before="109"/>
              <w:ind w:left="107"/>
              <w:rPr>
                <w:color w:val="auto"/>
                <w:highlight w:val="none"/>
              </w:rPr>
            </w:pPr>
            <w:r>
              <w:rPr>
                <w:color w:val="auto"/>
                <w:highlight w:val="none"/>
              </w:rPr>
              <w:t>说明：投标人应根据招标文件第四章定标</w:t>
            </w:r>
            <w:r>
              <w:rPr>
                <w:rFonts w:hint="eastAsia"/>
                <w:color w:val="auto"/>
                <w:highlight w:val="none"/>
                <w:lang w:val="en-US"/>
              </w:rPr>
              <w:t>方案</w:t>
            </w:r>
            <w:r>
              <w:rPr>
                <w:color w:val="auto"/>
                <w:highlight w:val="none"/>
              </w:rPr>
              <w:t>的前附表中定标要素编列内容的规定提供与实力子</w:t>
            </w:r>
          </w:p>
          <w:p w14:paraId="3F978799">
            <w:pPr>
              <w:pStyle w:val="98"/>
              <w:spacing w:before="130"/>
              <w:ind w:left="107"/>
              <w:rPr>
                <w:color w:val="auto"/>
                <w:highlight w:val="none"/>
              </w:rPr>
            </w:pPr>
            <w:r>
              <w:rPr>
                <w:color w:val="auto"/>
                <w:highlight w:val="none"/>
              </w:rPr>
              <w:t>要素有关的证明材料，作为附件列于本表续页并按上述明细顺序列编，附件是本表的组成部分。</w:t>
            </w:r>
          </w:p>
        </w:tc>
      </w:tr>
    </w:tbl>
    <w:p w14:paraId="58C96189">
      <w:pPr>
        <w:pStyle w:val="13"/>
        <w:rPr>
          <w:rFonts w:ascii="黑体"/>
          <w:color w:val="auto"/>
          <w:sz w:val="20"/>
          <w:highlight w:val="none"/>
        </w:rPr>
      </w:pPr>
    </w:p>
    <w:p w14:paraId="5FC34620">
      <w:pPr>
        <w:pStyle w:val="13"/>
        <w:rPr>
          <w:rFonts w:ascii="黑体"/>
          <w:color w:val="auto"/>
          <w:sz w:val="20"/>
          <w:highlight w:val="none"/>
        </w:rPr>
      </w:pPr>
    </w:p>
    <w:p w14:paraId="28BE44B2">
      <w:pPr>
        <w:pStyle w:val="13"/>
        <w:rPr>
          <w:rFonts w:ascii="黑体"/>
          <w:color w:val="auto"/>
          <w:sz w:val="20"/>
          <w:highlight w:val="none"/>
        </w:rPr>
      </w:pPr>
    </w:p>
    <w:p w14:paraId="4A561777">
      <w:pPr>
        <w:pStyle w:val="13"/>
        <w:rPr>
          <w:rFonts w:ascii="黑体"/>
          <w:color w:val="auto"/>
          <w:sz w:val="20"/>
          <w:highlight w:val="none"/>
        </w:rPr>
      </w:pPr>
    </w:p>
    <w:p w14:paraId="48EDE679">
      <w:pPr>
        <w:pStyle w:val="13"/>
        <w:rPr>
          <w:rFonts w:ascii="黑体"/>
          <w:color w:val="auto"/>
          <w:sz w:val="20"/>
          <w:highlight w:val="none"/>
        </w:rPr>
      </w:pPr>
    </w:p>
    <w:p w14:paraId="136A086F">
      <w:pPr>
        <w:pStyle w:val="13"/>
        <w:rPr>
          <w:rFonts w:ascii="黑体"/>
          <w:color w:val="auto"/>
          <w:sz w:val="20"/>
          <w:highlight w:val="none"/>
        </w:rPr>
      </w:pPr>
    </w:p>
    <w:p w14:paraId="5B0C2BA1">
      <w:pPr>
        <w:pStyle w:val="13"/>
        <w:rPr>
          <w:rFonts w:ascii="黑体"/>
          <w:color w:val="auto"/>
          <w:sz w:val="20"/>
          <w:highlight w:val="none"/>
        </w:rPr>
      </w:pPr>
    </w:p>
    <w:p w14:paraId="5656C9C1">
      <w:pPr>
        <w:pStyle w:val="13"/>
        <w:rPr>
          <w:rFonts w:ascii="黑体"/>
          <w:color w:val="auto"/>
          <w:sz w:val="20"/>
          <w:highlight w:val="none"/>
        </w:rPr>
      </w:pPr>
    </w:p>
    <w:p w14:paraId="4CBBE211">
      <w:pPr>
        <w:pStyle w:val="13"/>
        <w:rPr>
          <w:rFonts w:ascii="黑体"/>
          <w:color w:val="auto"/>
          <w:sz w:val="20"/>
          <w:highlight w:val="none"/>
        </w:rPr>
      </w:pPr>
    </w:p>
    <w:p w14:paraId="07620D87">
      <w:pPr>
        <w:pStyle w:val="13"/>
        <w:rPr>
          <w:rFonts w:ascii="黑体"/>
          <w:color w:val="auto"/>
          <w:sz w:val="20"/>
          <w:highlight w:val="none"/>
        </w:rPr>
      </w:pPr>
    </w:p>
    <w:p w14:paraId="7C0DB295">
      <w:pPr>
        <w:pStyle w:val="13"/>
        <w:rPr>
          <w:rFonts w:ascii="黑体"/>
          <w:color w:val="auto"/>
          <w:sz w:val="20"/>
          <w:highlight w:val="none"/>
        </w:rPr>
      </w:pPr>
    </w:p>
    <w:p w14:paraId="4A5CB477">
      <w:pPr>
        <w:pStyle w:val="13"/>
        <w:rPr>
          <w:rFonts w:ascii="黑体"/>
          <w:color w:val="auto"/>
          <w:sz w:val="20"/>
          <w:highlight w:val="none"/>
        </w:rPr>
      </w:pPr>
    </w:p>
    <w:p w14:paraId="39ADE681">
      <w:pPr>
        <w:pStyle w:val="13"/>
        <w:rPr>
          <w:rFonts w:ascii="黑体"/>
          <w:color w:val="auto"/>
          <w:sz w:val="20"/>
          <w:highlight w:val="none"/>
        </w:rPr>
      </w:pPr>
    </w:p>
    <w:p w14:paraId="0E45B559">
      <w:pPr>
        <w:pStyle w:val="13"/>
        <w:rPr>
          <w:rFonts w:ascii="黑体"/>
          <w:color w:val="auto"/>
          <w:sz w:val="20"/>
          <w:highlight w:val="none"/>
        </w:rPr>
      </w:pPr>
    </w:p>
    <w:p w14:paraId="27A3F65F">
      <w:pPr>
        <w:pStyle w:val="13"/>
        <w:rPr>
          <w:rFonts w:ascii="黑体"/>
          <w:color w:val="auto"/>
          <w:sz w:val="20"/>
          <w:highlight w:val="none"/>
        </w:rPr>
      </w:pPr>
    </w:p>
    <w:p w14:paraId="0C2FB069">
      <w:pPr>
        <w:pStyle w:val="13"/>
        <w:rPr>
          <w:rFonts w:ascii="黑体"/>
          <w:color w:val="auto"/>
          <w:sz w:val="20"/>
          <w:highlight w:val="none"/>
        </w:rPr>
      </w:pPr>
    </w:p>
    <w:p w14:paraId="6927AE14">
      <w:pPr>
        <w:pStyle w:val="13"/>
        <w:rPr>
          <w:rFonts w:ascii="黑体"/>
          <w:color w:val="auto"/>
          <w:sz w:val="20"/>
          <w:highlight w:val="none"/>
        </w:rPr>
      </w:pPr>
    </w:p>
    <w:p w14:paraId="4385BD70">
      <w:pPr>
        <w:pStyle w:val="13"/>
        <w:rPr>
          <w:rFonts w:ascii="黑体"/>
          <w:color w:val="auto"/>
          <w:sz w:val="20"/>
          <w:highlight w:val="none"/>
        </w:rPr>
      </w:pPr>
    </w:p>
    <w:p w14:paraId="2D1EB5A7">
      <w:pPr>
        <w:pStyle w:val="13"/>
        <w:spacing w:before="2"/>
        <w:rPr>
          <w:rFonts w:ascii="黑体"/>
          <w:color w:val="auto"/>
          <w:sz w:val="16"/>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ragraph">
                  <wp:posOffset>107315</wp:posOffset>
                </wp:positionV>
                <wp:extent cx="1828800" cy="0"/>
                <wp:effectExtent l="0" t="0" r="0" b="0"/>
                <wp:wrapTopAndBottom/>
                <wp:docPr id="5" name="直线 1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79.35pt;margin-top:8.45pt;height:0pt;width:144pt;mso-position-horizontal-relative:page;mso-wrap-distance-bottom:0pt;mso-wrap-distance-top:0pt;z-index:-251654144;mso-width-relative:page;mso-height-relative:page;" filled="f" stroked="t" coordsize="21600,21600" o:gfxdata="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Dva9cAAAAJAQAADwAAAAAA&#10;AAABACAAAAAiAAAAZHJzL2Rvd25yZXYueG1sUEsBAhQAFAAAAAgAh07iQFq+XzLbAQAAzQMAAA4A&#10;AAAAAAAAAQAgAAAAJgEAAGRycy9lMm9Eb2MueG1sUEsFBgAAAAAGAAYAWQEAAHMFAAAAAA==&#10;">
                <v:fill on="f" focussize="0,0"/>
                <v:stroke weight="0pt" color="#000000" joinstyle="round"/>
                <v:imagedata o:title=""/>
                <o:lock v:ext="edit" aspectratio="f"/>
                <w10:wrap type="topAndBottom"/>
              </v:line>
            </w:pict>
          </mc:Fallback>
        </mc:AlternateContent>
      </w:r>
    </w:p>
    <w:p w14:paraId="250C6485">
      <w:pPr>
        <w:jc w:val="left"/>
        <w:rPr>
          <w:color w:val="auto"/>
          <w:sz w:val="15"/>
          <w:highlight w:val="none"/>
        </w:rPr>
      </w:pPr>
      <w:r>
        <w:rPr>
          <w:color w:val="auto"/>
          <w:sz w:val="15"/>
          <w:highlight w:val="none"/>
        </w:rPr>
        <w:t>①投标人针对每一项子要素需分别单独编制情况表。</w:t>
      </w:r>
    </w:p>
    <w:p w14:paraId="18AC6080">
      <w:pPr>
        <w:spacing w:before="12"/>
        <w:jc w:val="left"/>
        <w:rPr>
          <w:color w:val="auto"/>
          <w:sz w:val="15"/>
          <w:highlight w:val="none"/>
        </w:rPr>
      </w:pPr>
      <w:r>
        <w:rPr>
          <w:color w:val="auto"/>
          <w:sz w:val="15"/>
          <w:highlight w:val="none"/>
        </w:rPr>
        <w:t>②此处由投标人根据招标文件第四章定标</w:t>
      </w:r>
      <w:r>
        <w:rPr>
          <w:rFonts w:hint="eastAsia"/>
          <w:color w:val="auto"/>
          <w:sz w:val="15"/>
          <w:highlight w:val="none"/>
        </w:rPr>
        <w:t>方案</w:t>
      </w:r>
      <w:r>
        <w:rPr>
          <w:color w:val="auto"/>
          <w:sz w:val="15"/>
          <w:highlight w:val="none"/>
        </w:rPr>
        <w:t>规定的定标要素中的实力要素填入相应的子要素。</w:t>
      </w:r>
    </w:p>
    <w:p w14:paraId="4438174D">
      <w:pPr>
        <w:pStyle w:val="4"/>
        <w:jc w:val="center"/>
        <w:rPr>
          <w:color w:val="auto"/>
          <w:highlight w:val="none"/>
        </w:rPr>
      </w:pPr>
      <w:r>
        <w:rPr>
          <w:rFonts w:hint="eastAsia"/>
          <w:color w:val="auto"/>
          <w:highlight w:val="none"/>
        </w:rPr>
        <w:t>十一、其他材料</w:t>
      </w:r>
    </w:p>
    <w:p w14:paraId="0C641E61">
      <w:pPr>
        <w:jc w:val="center"/>
        <w:rPr>
          <w:b/>
          <w:bCs/>
          <w:color w:val="auto"/>
          <w:sz w:val="24"/>
          <w:szCs w:val="32"/>
          <w:highlight w:val="none"/>
        </w:rPr>
      </w:pPr>
      <w:r>
        <w:rPr>
          <w:rFonts w:hint="eastAsia"/>
          <w:b/>
          <w:bCs/>
          <w:color w:val="auto"/>
          <w:sz w:val="24"/>
          <w:szCs w:val="32"/>
          <w:highlight w:val="none"/>
        </w:rPr>
        <w:t>1、企业信用声明</w:t>
      </w:r>
    </w:p>
    <w:p w14:paraId="08971703">
      <w:pPr>
        <w:rPr>
          <w:color w:val="auto"/>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275"/>
        <w:gridCol w:w="1701"/>
        <w:gridCol w:w="2897"/>
      </w:tblGrid>
      <w:tr w14:paraId="5486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7003F1E">
            <w:pPr>
              <w:jc w:val="center"/>
              <w:rPr>
                <w:rFonts w:ascii="宋体" w:hAnsi="宋体" w:cs="Calibri"/>
                <w:bCs/>
                <w:color w:val="auto"/>
                <w:szCs w:val="21"/>
                <w:highlight w:val="none"/>
              </w:rPr>
            </w:pPr>
            <w:r>
              <w:rPr>
                <w:rFonts w:hint="eastAsia" w:ascii="宋体" w:hAnsi="宋体" w:cs="Calibri"/>
                <w:bCs/>
                <w:color w:val="auto"/>
                <w:szCs w:val="21"/>
                <w:highlight w:val="none"/>
              </w:rPr>
              <w:t>序号</w:t>
            </w:r>
          </w:p>
        </w:tc>
        <w:tc>
          <w:tcPr>
            <w:tcW w:w="1560" w:type="dxa"/>
            <w:vAlign w:val="center"/>
          </w:tcPr>
          <w:p w14:paraId="7EC406BD">
            <w:pPr>
              <w:jc w:val="center"/>
              <w:rPr>
                <w:rFonts w:ascii="宋体" w:hAnsi="宋体" w:cs="Calibri"/>
                <w:bCs/>
                <w:color w:val="auto"/>
                <w:szCs w:val="21"/>
                <w:highlight w:val="none"/>
              </w:rPr>
            </w:pPr>
            <w:r>
              <w:rPr>
                <w:rFonts w:hint="eastAsia" w:ascii="宋体" w:hAnsi="宋体" w:cs="Calibri"/>
                <w:bCs/>
                <w:color w:val="auto"/>
                <w:szCs w:val="21"/>
                <w:highlight w:val="none"/>
              </w:rPr>
              <w:t>信用项目</w:t>
            </w:r>
          </w:p>
        </w:tc>
        <w:tc>
          <w:tcPr>
            <w:tcW w:w="1134" w:type="dxa"/>
            <w:vAlign w:val="center"/>
          </w:tcPr>
          <w:p w14:paraId="7F1A52D2">
            <w:pPr>
              <w:jc w:val="center"/>
              <w:rPr>
                <w:rFonts w:ascii="宋体" w:hAnsi="宋体" w:cs="Calibri"/>
                <w:bCs/>
                <w:color w:val="auto"/>
                <w:szCs w:val="21"/>
                <w:highlight w:val="none"/>
              </w:rPr>
            </w:pPr>
            <w:r>
              <w:rPr>
                <w:rFonts w:hint="eastAsia" w:ascii="宋体" w:hAnsi="宋体" w:cs="Calibri"/>
                <w:bCs/>
                <w:color w:val="auto"/>
                <w:szCs w:val="21"/>
                <w:highlight w:val="none"/>
              </w:rPr>
              <w:t>信用等级</w:t>
            </w:r>
          </w:p>
        </w:tc>
        <w:tc>
          <w:tcPr>
            <w:tcW w:w="1275" w:type="dxa"/>
            <w:vAlign w:val="center"/>
          </w:tcPr>
          <w:p w14:paraId="54F832EC">
            <w:pPr>
              <w:jc w:val="center"/>
              <w:rPr>
                <w:rFonts w:ascii="宋体" w:hAnsi="宋体" w:cs="Calibri"/>
                <w:bCs/>
                <w:color w:val="auto"/>
                <w:szCs w:val="21"/>
                <w:highlight w:val="none"/>
              </w:rPr>
            </w:pPr>
            <w:r>
              <w:rPr>
                <w:rFonts w:hint="eastAsia" w:ascii="宋体" w:hAnsi="宋体" w:cs="Calibri"/>
                <w:bCs/>
                <w:color w:val="auto"/>
                <w:szCs w:val="21"/>
                <w:highlight w:val="none"/>
              </w:rPr>
              <w:t>AA、A是否失效</w:t>
            </w:r>
          </w:p>
        </w:tc>
        <w:tc>
          <w:tcPr>
            <w:tcW w:w="1701" w:type="dxa"/>
            <w:vAlign w:val="center"/>
          </w:tcPr>
          <w:p w14:paraId="38215879">
            <w:pPr>
              <w:jc w:val="center"/>
              <w:rPr>
                <w:rFonts w:ascii="宋体" w:hAnsi="宋体" w:cs="Calibri"/>
                <w:bCs/>
                <w:color w:val="auto"/>
                <w:szCs w:val="21"/>
                <w:highlight w:val="none"/>
              </w:rPr>
            </w:pPr>
            <w:r>
              <w:rPr>
                <w:rFonts w:hint="eastAsia" w:ascii="宋体" w:hAnsi="宋体" w:cs="Calibri"/>
                <w:bCs/>
                <w:color w:val="auto"/>
                <w:szCs w:val="21"/>
                <w:highlight w:val="none"/>
              </w:rPr>
              <w:t>本次投标是否使用信用分</w:t>
            </w:r>
          </w:p>
        </w:tc>
        <w:tc>
          <w:tcPr>
            <w:tcW w:w="2897" w:type="dxa"/>
            <w:vAlign w:val="center"/>
          </w:tcPr>
          <w:p w14:paraId="7C770953">
            <w:pPr>
              <w:jc w:val="center"/>
              <w:rPr>
                <w:rFonts w:ascii="宋体" w:hAnsi="宋体" w:cs="Calibri"/>
                <w:bCs/>
                <w:color w:val="auto"/>
                <w:szCs w:val="21"/>
                <w:highlight w:val="none"/>
              </w:rPr>
            </w:pPr>
            <w:r>
              <w:rPr>
                <w:rFonts w:hint="eastAsia" w:ascii="宋体" w:hAnsi="宋体" w:cs="Calibri"/>
                <w:color w:val="auto"/>
                <w:szCs w:val="21"/>
                <w:highlight w:val="none"/>
              </w:rPr>
              <w:t>评标使用的等级</w:t>
            </w:r>
          </w:p>
        </w:tc>
      </w:tr>
      <w:tr w14:paraId="7832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vAlign w:val="center"/>
          </w:tcPr>
          <w:p w14:paraId="204C9490">
            <w:pPr>
              <w:jc w:val="center"/>
              <w:rPr>
                <w:rFonts w:ascii="宋体" w:hAnsi="宋体" w:cs="Calibri"/>
                <w:bCs/>
                <w:color w:val="auto"/>
                <w:szCs w:val="21"/>
                <w:highlight w:val="none"/>
              </w:rPr>
            </w:pPr>
            <w:r>
              <w:rPr>
                <w:rFonts w:hint="eastAsia" w:ascii="宋体" w:hAnsi="宋体" w:cs="Calibri"/>
                <w:bCs/>
                <w:color w:val="auto"/>
                <w:szCs w:val="21"/>
                <w:highlight w:val="none"/>
              </w:rPr>
              <w:t>1</w:t>
            </w:r>
          </w:p>
        </w:tc>
        <w:tc>
          <w:tcPr>
            <w:tcW w:w="1560" w:type="dxa"/>
            <w:vAlign w:val="center"/>
          </w:tcPr>
          <w:p w14:paraId="2F4A600F">
            <w:pPr>
              <w:jc w:val="center"/>
              <w:rPr>
                <w:rFonts w:ascii="宋体" w:hAnsi="宋体" w:cs="Calibri"/>
                <w:bCs/>
                <w:color w:val="auto"/>
                <w:szCs w:val="21"/>
                <w:highlight w:val="none"/>
              </w:rPr>
            </w:pPr>
            <w:r>
              <w:rPr>
                <w:rFonts w:hint="eastAsia" w:ascii="宋体" w:hAnsi="宋体" w:cs="Calibri"/>
                <w:bCs/>
                <w:color w:val="auto"/>
                <w:szCs w:val="21"/>
                <w:highlight w:val="none"/>
              </w:rPr>
              <w:t>企业</w:t>
            </w:r>
          </w:p>
        </w:tc>
        <w:tc>
          <w:tcPr>
            <w:tcW w:w="1134" w:type="dxa"/>
            <w:vAlign w:val="center"/>
          </w:tcPr>
          <w:p w14:paraId="59DAE593">
            <w:pPr>
              <w:rPr>
                <w:rFonts w:ascii="宋体" w:hAnsi="宋体" w:cs="Calibri"/>
                <w:bCs/>
                <w:color w:val="auto"/>
                <w:szCs w:val="21"/>
                <w:highlight w:val="none"/>
              </w:rPr>
            </w:pPr>
          </w:p>
        </w:tc>
        <w:tc>
          <w:tcPr>
            <w:tcW w:w="1275" w:type="dxa"/>
            <w:vAlign w:val="center"/>
          </w:tcPr>
          <w:p w14:paraId="00185AF5">
            <w:pPr>
              <w:rPr>
                <w:rFonts w:ascii="宋体" w:hAnsi="宋体" w:cs="Calibri"/>
                <w:bCs/>
                <w:color w:val="auto"/>
                <w:szCs w:val="21"/>
                <w:highlight w:val="none"/>
              </w:rPr>
            </w:pPr>
          </w:p>
        </w:tc>
        <w:tc>
          <w:tcPr>
            <w:tcW w:w="1701" w:type="dxa"/>
            <w:vAlign w:val="center"/>
          </w:tcPr>
          <w:p w14:paraId="3F2A01AF">
            <w:pPr>
              <w:rPr>
                <w:rFonts w:ascii="宋体" w:hAnsi="宋体" w:cs="Calibri"/>
                <w:bCs/>
                <w:color w:val="auto"/>
                <w:szCs w:val="21"/>
                <w:highlight w:val="none"/>
              </w:rPr>
            </w:pPr>
          </w:p>
        </w:tc>
        <w:tc>
          <w:tcPr>
            <w:tcW w:w="2897" w:type="dxa"/>
            <w:vAlign w:val="center"/>
          </w:tcPr>
          <w:p w14:paraId="1B00D7F6">
            <w:pPr>
              <w:rPr>
                <w:rFonts w:ascii="宋体" w:hAnsi="宋体" w:cs="Calibri"/>
                <w:bCs/>
                <w:color w:val="auto"/>
                <w:szCs w:val="21"/>
                <w:highlight w:val="none"/>
              </w:rPr>
            </w:pPr>
          </w:p>
        </w:tc>
      </w:tr>
      <w:tr w14:paraId="5780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14:paraId="51E18C3E">
            <w:pPr>
              <w:jc w:val="center"/>
              <w:rPr>
                <w:rFonts w:ascii="宋体" w:hAnsi="宋体" w:cs="Calibri"/>
                <w:bCs/>
                <w:color w:val="auto"/>
                <w:szCs w:val="21"/>
                <w:highlight w:val="none"/>
              </w:rPr>
            </w:pPr>
            <w:r>
              <w:rPr>
                <w:rFonts w:hint="eastAsia" w:ascii="宋体" w:hAnsi="宋体" w:cs="Calibri"/>
                <w:bCs/>
                <w:color w:val="auto"/>
                <w:szCs w:val="21"/>
                <w:highlight w:val="none"/>
              </w:rPr>
              <w:t>2</w:t>
            </w:r>
          </w:p>
        </w:tc>
        <w:tc>
          <w:tcPr>
            <w:tcW w:w="1560" w:type="dxa"/>
            <w:vAlign w:val="center"/>
          </w:tcPr>
          <w:p w14:paraId="63F5F36D">
            <w:pPr>
              <w:jc w:val="center"/>
              <w:rPr>
                <w:rFonts w:ascii="宋体" w:hAnsi="宋体" w:cs="Calibri"/>
                <w:bCs/>
                <w:color w:val="auto"/>
                <w:szCs w:val="21"/>
                <w:highlight w:val="none"/>
              </w:rPr>
            </w:pPr>
            <w:r>
              <w:rPr>
                <w:rFonts w:hint="eastAsia" w:ascii="宋体" w:hAnsi="宋体" w:cs="Calibri"/>
                <w:bCs/>
                <w:color w:val="auto"/>
                <w:szCs w:val="21"/>
                <w:highlight w:val="none"/>
              </w:rPr>
              <w:t>项目经理</w:t>
            </w:r>
          </w:p>
        </w:tc>
        <w:tc>
          <w:tcPr>
            <w:tcW w:w="1134" w:type="dxa"/>
            <w:vAlign w:val="center"/>
          </w:tcPr>
          <w:p w14:paraId="16A4DC97">
            <w:pPr>
              <w:rPr>
                <w:rFonts w:ascii="宋体" w:hAnsi="宋体" w:cs="Calibri"/>
                <w:bCs/>
                <w:color w:val="auto"/>
                <w:szCs w:val="21"/>
                <w:highlight w:val="none"/>
              </w:rPr>
            </w:pPr>
          </w:p>
        </w:tc>
        <w:tc>
          <w:tcPr>
            <w:tcW w:w="1275" w:type="dxa"/>
            <w:vAlign w:val="center"/>
          </w:tcPr>
          <w:p w14:paraId="00FE142B">
            <w:pPr>
              <w:rPr>
                <w:rFonts w:ascii="宋体" w:hAnsi="宋体" w:cs="Calibri"/>
                <w:bCs/>
                <w:color w:val="auto"/>
                <w:szCs w:val="21"/>
                <w:highlight w:val="none"/>
              </w:rPr>
            </w:pPr>
          </w:p>
        </w:tc>
        <w:tc>
          <w:tcPr>
            <w:tcW w:w="1701" w:type="dxa"/>
            <w:vAlign w:val="center"/>
          </w:tcPr>
          <w:p w14:paraId="62F52145">
            <w:pPr>
              <w:rPr>
                <w:rFonts w:ascii="宋体" w:hAnsi="宋体" w:cs="Calibri"/>
                <w:bCs/>
                <w:color w:val="auto"/>
                <w:szCs w:val="21"/>
                <w:highlight w:val="none"/>
              </w:rPr>
            </w:pPr>
          </w:p>
        </w:tc>
        <w:tc>
          <w:tcPr>
            <w:tcW w:w="2897" w:type="dxa"/>
            <w:vAlign w:val="center"/>
          </w:tcPr>
          <w:p w14:paraId="76155F40">
            <w:pPr>
              <w:rPr>
                <w:rFonts w:ascii="宋体" w:hAnsi="宋体" w:cs="Calibri"/>
                <w:bCs/>
                <w:color w:val="auto"/>
                <w:szCs w:val="21"/>
                <w:highlight w:val="none"/>
              </w:rPr>
            </w:pPr>
          </w:p>
        </w:tc>
      </w:tr>
      <w:tr w14:paraId="2665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5" w:type="dxa"/>
            <w:vAlign w:val="center"/>
          </w:tcPr>
          <w:p w14:paraId="566E13D3">
            <w:pPr>
              <w:jc w:val="center"/>
              <w:rPr>
                <w:rFonts w:ascii="宋体" w:hAnsi="宋体" w:cs="Calibri"/>
                <w:bCs/>
                <w:color w:val="auto"/>
                <w:szCs w:val="21"/>
                <w:highlight w:val="none"/>
              </w:rPr>
            </w:pPr>
            <w:r>
              <w:rPr>
                <w:rFonts w:hint="eastAsia" w:ascii="宋体" w:hAnsi="宋体" w:cs="Calibri"/>
                <w:bCs/>
                <w:color w:val="auto"/>
                <w:szCs w:val="21"/>
                <w:highlight w:val="none"/>
              </w:rPr>
              <w:t>3</w:t>
            </w:r>
          </w:p>
        </w:tc>
        <w:tc>
          <w:tcPr>
            <w:tcW w:w="1560" w:type="dxa"/>
            <w:vAlign w:val="center"/>
          </w:tcPr>
          <w:p w14:paraId="07C41789">
            <w:pPr>
              <w:jc w:val="center"/>
              <w:rPr>
                <w:rFonts w:ascii="宋体" w:hAnsi="宋体" w:cs="Calibri"/>
                <w:bCs/>
                <w:color w:val="auto"/>
                <w:szCs w:val="21"/>
                <w:highlight w:val="none"/>
              </w:rPr>
            </w:pPr>
            <w:r>
              <w:rPr>
                <w:rFonts w:hint="eastAsia" w:ascii="宋体" w:hAnsi="宋体" w:cs="Calibri"/>
                <w:bCs/>
                <w:color w:val="auto"/>
                <w:szCs w:val="21"/>
                <w:highlight w:val="none"/>
              </w:rPr>
              <w:t>技术负责人</w:t>
            </w:r>
          </w:p>
        </w:tc>
        <w:tc>
          <w:tcPr>
            <w:tcW w:w="1134" w:type="dxa"/>
            <w:vAlign w:val="center"/>
          </w:tcPr>
          <w:p w14:paraId="2DBDDE7E">
            <w:pPr>
              <w:rPr>
                <w:rFonts w:ascii="宋体" w:hAnsi="宋体" w:cs="Calibri"/>
                <w:bCs/>
                <w:color w:val="auto"/>
                <w:szCs w:val="21"/>
                <w:highlight w:val="none"/>
              </w:rPr>
            </w:pPr>
          </w:p>
        </w:tc>
        <w:tc>
          <w:tcPr>
            <w:tcW w:w="1275" w:type="dxa"/>
            <w:vAlign w:val="center"/>
          </w:tcPr>
          <w:p w14:paraId="29F2954E">
            <w:pPr>
              <w:rPr>
                <w:rFonts w:ascii="宋体" w:hAnsi="宋体" w:cs="Calibri"/>
                <w:bCs/>
                <w:color w:val="auto"/>
                <w:szCs w:val="21"/>
                <w:highlight w:val="none"/>
              </w:rPr>
            </w:pPr>
          </w:p>
        </w:tc>
        <w:tc>
          <w:tcPr>
            <w:tcW w:w="1701" w:type="dxa"/>
            <w:vAlign w:val="center"/>
          </w:tcPr>
          <w:p w14:paraId="21374BB6">
            <w:pPr>
              <w:rPr>
                <w:rFonts w:ascii="宋体" w:hAnsi="宋体" w:cs="Calibri"/>
                <w:bCs/>
                <w:color w:val="auto"/>
                <w:szCs w:val="21"/>
                <w:highlight w:val="none"/>
              </w:rPr>
            </w:pPr>
          </w:p>
        </w:tc>
        <w:tc>
          <w:tcPr>
            <w:tcW w:w="2897" w:type="dxa"/>
            <w:vAlign w:val="center"/>
          </w:tcPr>
          <w:p w14:paraId="225B669F">
            <w:pPr>
              <w:rPr>
                <w:rFonts w:ascii="宋体" w:hAnsi="宋体" w:cs="Calibri"/>
                <w:bCs/>
                <w:color w:val="auto"/>
                <w:szCs w:val="21"/>
                <w:highlight w:val="none"/>
              </w:rPr>
            </w:pPr>
          </w:p>
        </w:tc>
      </w:tr>
    </w:tbl>
    <w:p w14:paraId="59A0E306">
      <w:pPr>
        <w:rPr>
          <w:color w:val="auto"/>
          <w:highlight w:val="none"/>
        </w:rPr>
      </w:pPr>
    </w:p>
    <w:p w14:paraId="34445A97">
      <w:pPr>
        <w:rPr>
          <w:rFonts w:ascii="宋体" w:hAnsi="宋体"/>
          <w:color w:val="auto"/>
          <w:szCs w:val="21"/>
          <w:highlight w:val="none"/>
        </w:rPr>
      </w:pPr>
      <w:r>
        <w:rPr>
          <w:rFonts w:hint="eastAsia" w:ascii="宋体" w:hAnsi="宋体"/>
          <w:color w:val="auto"/>
          <w:szCs w:val="21"/>
          <w:highlight w:val="none"/>
        </w:rPr>
        <w:t>注：</w:t>
      </w: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水运项目：</w:t>
      </w:r>
      <w:r>
        <w:rPr>
          <w:rFonts w:hint="eastAsia" w:ascii="宋体" w:hAnsi="宋体"/>
          <w:color w:val="auto"/>
          <w:szCs w:val="21"/>
          <w:highlight w:val="none"/>
        </w:rPr>
        <w:t>1.投标人应如实填写上表，若与实际情况不符，其投标文件将被否决。企业及人员信用等级可查阅福建省交通公路水运建设与运输市场信用信息管理系统（信用交通·福建）”（http://220.160.53.3:30050/gzwz）。若上传投标文件之日至投标截止时，信用交通·福建网站公布最新的信用结果适用情况，造成投标人填写不实的，不否决其投标，按实际信用结果适用情况进行调整。</w:t>
      </w:r>
    </w:p>
    <w:p w14:paraId="04D1A011">
      <w:pPr>
        <w:rPr>
          <w:rFonts w:ascii="宋体" w:hAnsi="宋体"/>
          <w:color w:val="auto"/>
          <w:szCs w:val="21"/>
          <w:highlight w:val="none"/>
        </w:rPr>
      </w:pPr>
      <w:r>
        <w:rPr>
          <w:rFonts w:hint="eastAsia" w:ascii="宋体" w:hAnsi="宋体"/>
          <w:color w:val="auto"/>
          <w:szCs w:val="21"/>
          <w:highlight w:val="none"/>
        </w:rPr>
        <w:t>2.考核为AA级、A级的施工项目经理信用结果使用规定，仅适用于当年已完工合同段（完工证明材料</w:t>
      </w:r>
      <w:r>
        <w:rPr>
          <w:rFonts w:hint="eastAsia" w:ascii="宋体" w:hAnsi="宋体"/>
          <w:color w:val="auto"/>
          <w:szCs w:val="21"/>
          <w:highlight w:val="none"/>
          <w:lang w:val="en-US" w:eastAsia="zh-CN"/>
        </w:rPr>
        <w:t>为：①</w:t>
      </w:r>
      <w:r>
        <w:rPr>
          <w:rFonts w:hint="eastAsia" w:ascii="宋体" w:hAnsi="宋体"/>
          <w:color w:val="auto"/>
          <w:szCs w:val="21"/>
          <w:highlight w:val="none"/>
        </w:rPr>
        <w:t>施工合同</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②施工合同</w:t>
      </w:r>
      <w:r>
        <w:rPr>
          <w:rFonts w:hint="eastAsia" w:ascii="宋体" w:hAnsi="宋体"/>
          <w:color w:val="auto"/>
          <w:szCs w:val="21"/>
          <w:highlight w:val="none"/>
        </w:rPr>
        <w:t>范围内全部单位工程</w:t>
      </w:r>
      <w:r>
        <w:rPr>
          <w:rFonts w:hint="eastAsia" w:ascii="宋体" w:hAnsi="宋体"/>
          <w:color w:val="auto"/>
          <w:szCs w:val="21"/>
          <w:highlight w:val="none"/>
          <w:lang w:val="en-US" w:eastAsia="zh-CN"/>
        </w:rPr>
        <w:t>交工质量核验意见</w:t>
      </w:r>
      <w:r>
        <w:rPr>
          <w:rFonts w:hint="eastAsia" w:ascii="宋体" w:hAnsi="宋体"/>
          <w:color w:val="auto"/>
          <w:szCs w:val="21"/>
          <w:highlight w:val="none"/>
        </w:rPr>
        <w:t>或预验收证明材料）评为AA级、A级的项目经理，提供不实完工证明材料，其投标文件将被否决；未完工合同段评为AA级、A级的项目经理，参与新项目投标时，其信用结果使用一律按B级执行。</w:t>
      </w:r>
    </w:p>
    <w:p w14:paraId="2206A8D7">
      <w:pPr>
        <w:rPr>
          <w:rFonts w:ascii="宋体" w:hAnsi="宋体"/>
          <w:color w:val="auto"/>
          <w:szCs w:val="21"/>
          <w:highlight w:val="none"/>
        </w:rPr>
      </w:pPr>
    </w:p>
    <w:p w14:paraId="0DCAA10D">
      <w:pPr>
        <w:rPr>
          <w:rFonts w:ascii="宋体" w:hAnsi="宋体"/>
          <w:snapToGrid w:val="0"/>
          <w:color w:val="auto"/>
          <w:kern w:val="0"/>
          <w:szCs w:val="21"/>
          <w:highlight w:val="none"/>
        </w:rPr>
      </w:pPr>
      <w:r>
        <w:rPr>
          <w:rFonts w:ascii="宋体" w:hAnsi="宋体"/>
          <w:snapToGrid w:val="0"/>
          <w:color w:val="auto"/>
          <w:kern w:val="0"/>
          <w:szCs w:val="21"/>
          <w:highlight w:val="none"/>
        </w:rPr>
        <w:sym w:font="Wingdings 2" w:char="00A3"/>
      </w:r>
      <w:r>
        <w:rPr>
          <w:rFonts w:hint="eastAsia" w:ascii="宋体" w:hAnsi="宋体"/>
          <w:snapToGrid w:val="0"/>
          <w:color w:val="auto"/>
          <w:kern w:val="0"/>
          <w:szCs w:val="21"/>
          <w:highlight w:val="none"/>
        </w:rPr>
        <w:t>涉海项目：本项目不属于厦门港口管理局监管的依法必须招标的涉海项目，</w:t>
      </w:r>
      <w:r>
        <w:rPr>
          <w:rFonts w:hint="eastAsia"/>
          <w:color w:val="auto"/>
          <w:highlight w:val="none"/>
        </w:rPr>
        <w:t>信用分规定</w:t>
      </w:r>
      <w:r>
        <w:rPr>
          <w:rFonts w:hint="eastAsia" w:ascii="宋体" w:hAnsi="宋体"/>
          <w:snapToGrid w:val="0"/>
          <w:color w:val="auto"/>
          <w:kern w:val="0"/>
          <w:szCs w:val="21"/>
          <w:highlight w:val="none"/>
        </w:rPr>
        <w:t>应严格按照《厦门市建设局厦门市交通运输局厦门市水利局厦门港口管理局关于进一步规范公路水运水利等专业工程招标业绩设置的若干意见》（厦建规【2020】4 号-筑）“涉海项目”要求执行。</w:t>
      </w:r>
    </w:p>
    <w:p w14:paraId="28DABA65">
      <w:pPr>
        <w:rPr>
          <w:rFonts w:ascii="宋体" w:hAnsi="宋体"/>
          <w:snapToGrid w:val="0"/>
          <w:color w:val="auto"/>
          <w:kern w:val="0"/>
          <w:szCs w:val="21"/>
          <w:highlight w:val="none"/>
        </w:rPr>
      </w:pPr>
      <w:r>
        <w:rPr>
          <w:rFonts w:hint="eastAsia" w:ascii="宋体" w:hAnsi="宋体"/>
          <w:snapToGrid w:val="0"/>
          <w:color w:val="auto"/>
          <w:kern w:val="0"/>
          <w:szCs w:val="21"/>
          <w:highlight w:val="none"/>
        </w:rPr>
        <w:br w:type="page"/>
      </w:r>
    </w:p>
    <w:p w14:paraId="31139FA0">
      <w:pPr>
        <w:rPr>
          <w:color w:val="auto"/>
          <w:highlight w:val="none"/>
        </w:rPr>
      </w:pPr>
    </w:p>
    <w:p w14:paraId="776DE29B">
      <w:pPr>
        <w:autoSpaceDE w:val="0"/>
        <w:autoSpaceDN w:val="0"/>
        <w:adjustRightInd w:val="0"/>
        <w:spacing w:before="158" w:beforeLines="50" w:after="158" w:afterLines="50" w:line="360" w:lineRule="auto"/>
        <w:jc w:val="center"/>
        <w:rPr>
          <w:rFonts w:ascii="宋体" w:hAnsi="宋体"/>
          <w:color w:val="auto"/>
          <w:spacing w:val="113"/>
          <w:sz w:val="48"/>
          <w:szCs w:val="48"/>
          <w:highlight w:val="none"/>
        </w:rPr>
      </w:pPr>
      <w:r>
        <w:rPr>
          <w:rFonts w:hint="eastAsia" w:ascii="宋体" w:hAnsi="宋体"/>
          <w:color w:val="auto"/>
          <w:spacing w:val="113"/>
          <w:sz w:val="48"/>
          <w:szCs w:val="48"/>
          <w:highlight w:val="none"/>
        </w:rPr>
        <w:t>2.</w:t>
      </w:r>
      <w:r>
        <w:rPr>
          <w:rFonts w:hint="eastAsia" w:ascii="宋体" w:hAnsi="宋体"/>
          <w:color w:val="auto"/>
          <w:sz w:val="48"/>
          <w:szCs w:val="48"/>
          <w:highlight w:val="none"/>
        </w:rPr>
        <w:t>承诺函（涉海项目须提供）</w:t>
      </w:r>
    </w:p>
    <w:p w14:paraId="3F15C222">
      <w:pPr>
        <w:autoSpaceDE w:val="0"/>
        <w:autoSpaceDN w:val="0"/>
        <w:adjustRightInd w:val="0"/>
        <w:snapToGrid w:val="0"/>
        <w:spacing w:line="480" w:lineRule="auto"/>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（招标人）：</w:t>
      </w:r>
    </w:p>
    <w:p w14:paraId="0272DD2C">
      <w:pPr>
        <w:autoSpaceDE w:val="0"/>
        <w:autoSpaceDN w:val="0"/>
        <w:adjustRightInd w:val="0"/>
        <w:snapToGrid w:val="0"/>
        <w:spacing w:line="48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本人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（投标人名称）的法定代表人，现承诺：</w:t>
      </w:r>
    </w:p>
    <w:p w14:paraId="25BBB335">
      <w:pPr>
        <w:autoSpaceDE w:val="0"/>
        <w:autoSpaceDN w:val="0"/>
        <w:adjustRightInd w:val="0"/>
        <w:snapToGrid w:val="0"/>
        <w:spacing w:line="480" w:lineRule="auto"/>
        <w:jc w:val="left"/>
        <w:rPr>
          <w:rFonts w:ascii="宋体" w:hAnsi="宋体"/>
          <w:color w:val="auto"/>
          <w:szCs w:val="21"/>
          <w:highlight w:val="none"/>
        </w:rPr>
      </w:pPr>
      <w:r>
        <w:rPr>
          <w:rFonts w:hint="eastAsia" w:ascii="宋体" w:hAnsi="宋体"/>
          <w:color w:val="auto"/>
          <w:sz w:val="24"/>
          <w:highlight w:val="none"/>
        </w:rPr>
        <w:t xml:space="preserve">    </w:t>
      </w:r>
      <w:r>
        <w:rPr>
          <w:rFonts w:ascii="宋体" w:hAnsi="宋体" w:cs="宋体"/>
          <w:color w:val="auto"/>
          <w:sz w:val="24"/>
          <w:highlight w:val="none"/>
        </w:rPr>
        <w:t>我单位严格执行《厦门市建设局厦门市交通运输局厦门市水利局厦门港口管理局关于进一步规范公路水运水利等专业工程招标业绩设置的若干意见》（厦建规【2020】4号-筑）中第五条及（厦建筑【2021】39 号）文件规定，</w:t>
      </w:r>
      <w:r>
        <w:rPr>
          <w:rFonts w:hint="eastAsia" w:ascii="宋体" w:hAnsi="宋体" w:cs="宋体"/>
          <w:color w:val="auto"/>
          <w:sz w:val="24"/>
          <w:highlight w:val="none"/>
        </w:rPr>
        <w:t>且投标文件中包括但不限于入围抽取、评分标准及定标要素的信用分享用情况均保持一致，</w:t>
      </w:r>
      <w:r>
        <w:rPr>
          <w:rFonts w:ascii="宋体" w:hAnsi="宋体" w:cs="宋体"/>
          <w:color w:val="auto"/>
          <w:sz w:val="24"/>
          <w:highlight w:val="none"/>
        </w:rPr>
        <w:t>并对我司在投标文件中提供的各种资料、说明、承诺的真实性、准确性和完整性负责。若我司存在为谋取中标而提供虚假资料和承诺欺骗招标人和评委的行为，我司自愿放弃本项目</w:t>
      </w:r>
      <w:r>
        <w:rPr>
          <w:rFonts w:hint="eastAsia" w:ascii="宋体" w:hAnsi="宋体" w:cs="宋体"/>
          <w:color w:val="auto"/>
          <w:sz w:val="24"/>
          <w:highlight w:val="none"/>
        </w:rPr>
        <w:t>定标候选人资格</w:t>
      </w:r>
      <w:r>
        <w:rPr>
          <w:rFonts w:ascii="宋体" w:hAnsi="宋体" w:cs="宋体"/>
          <w:color w:val="auto"/>
          <w:sz w:val="24"/>
          <w:highlight w:val="none"/>
        </w:rPr>
        <w:t>并承担由此产生的一切后果(包括但不限于被招标人没收投标保证金等)。</w:t>
      </w:r>
    </w:p>
    <w:p w14:paraId="025F726D">
      <w:pPr>
        <w:autoSpaceDE w:val="0"/>
        <w:autoSpaceDN w:val="0"/>
        <w:adjustRightInd w:val="0"/>
        <w:snapToGrid w:val="0"/>
        <w:spacing w:line="480" w:lineRule="auto"/>
        <w:jc w:val="right"/>
        <w:rPr>
          <w:rFonts w:ascii="宋体" w:hAnsi="宋体"/>
          <w:color w:val="auto"/>
          <w:szCs w:val="21"/>
          <w:highlight w:val="none"/>
        </w:rPr>
      </w:pPr>
    </w:p>
    <w:p w14:paraId="5F11CC69">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投标人名称： （盖单位章）</w:t>
      </w:r>
    </w:p>
    <w:p w14:paraId="5F8DD39B">
      <w:pPr>
        <w:snapToGrid w:val="0"/>
        <w:spacing w:after="120" w:line="480" w:lineRule="auto"/>
        <w:ind w:left="420" w:leftChars="200" w:firstLine="420" w:firstLineChars="200"/>
        <w:rPr>
          <w:rFonts w:cs="Calibri"/>
          <w:color w:val="auto"/>
          <w:szCs w:val="21"/>
          <w:highlight w:val="none"/>
        </w:rPr>
      </w:pPr>
    </w:p>
    <w:p w14:paraId="62D89A01">
      <w:pPr>
        <w:autoSpaceDE w:val="0"/>
        <w:autoSpaceDN w:val="0"/>
        <w:adjustRightInd w:val="0"/>
        <w:snapToGrid w:val="0"/>
        <w:spacing w:line="480" w:lineRule="auto"/>
        <w:jc w:val="right"/>
        <w:rPr>
          <w:rFonts w:ascii="宋体" w:hAnsi="宋体"/>
          <w:color w:val="auto"/>
          <w:szCs w:val="21"/>
          <w:highlight w:val="none"/>
        </w:rPr>
      </w:pPr>
      <w:r>
        <w:rPr>
          <w:rFonts w:hint="eastAsia" w:ascii="宋体" w:hAnsi="宋体"/>
          <w:color w:val="auto"/>
          <w:szCs w:val="21"/>
          <w:highlight w:val="none"/>
        </w:rPr>
        <w:t xml:space="preserve"> 法定代表人或委托代理人： （盖章）</w:t>
      </w:r>
    </w:p>
    <w:p w14:paraId="3C5E9EE6">
      <w:pPr>
        <w:snapToGrid w:val="0"/>
        <w:spacing w:after="120" w:line="480" w:lineRule="auto"/>
        <w:ind w:left="420" w:leftChars="200" w:firstLine="420" w:firstLineChars="200"/>
        <w:jc w:val="right"/>
        <w:rPr>
          <w:rFonts w:ascii="宋体" w:hAnsi="宋体"/>
          <w:color w:val="auto"/>
          <w:szCs w:val="21"/>
          <w:highlight w:val="none"/>
        </w:rPr>
      </w:pPr>
    </w:p>
    <w:p w14:paraId="3DD77CD7">
      <w:pPr>
        <w:snapToGrid w:val="0"/>
        <w:spacing w:after="120" w:line="480" w:lineRule="auto"/>
        <w:ind w:left="420" w:leftChars="200" w:firstLine="420" w:firstLineChars="200"/>
        <w:jc w:val="right"/>
        <w:rPr>
          <w:rFonts w:ascii="宋体" w:hAnsi="宋体"/>
          <w:color w:val="auto"/>
          <w:szCs w:val="21"/>
          <w:highlight w:val="none"/>
        </w:rPr>
      </w:pPr>
      <w:r>
        <w:rPr>
          <w:rFonts w:hint="eastAsia" w:ascii="宋体" w:hAnsi="宋体"/>
          <w:color w:val="auto"/>
          <w:szCs w:val="21"/>
          <w:highlight w:val="none"/>
        </w:rPr>
        <w:t>日期：  年  月  日</w:t>
      </w:r>
    </w:p>
    <w:p w14:paraId="1EF321E0">
      <w:pPr>
        <w:spacing w:line="360" w:lineRule="auto"/>
        <w:jc w:val="left"/>
        <w:rPr>
          <w:rFonts w:ascii="宋体"/>
          <w:b/>
          <w:color w:val="auto"/>
          <w:sz w:val="24"/>
          <w:highlight w:val="none"/>
        </w:rPr>
      </w:pPr>
      <w:r>
        <w:rPr>
          <w:rFonts w:hint="eastAsia" w:ascii="宋体" w:hAnsi="宋体"/>
          <w:color w:val="auto"/>
          <w:szCs w:val="21"/>
          <w:highlight w:val="none"/>
        </w:rPr>
        <w:t>注：若项目</w:t>
      </w:r>
      <w:r>
        <w:rPr>
          <w:rFonts w:hint="eastAsia" w:ascii="宋体" w:hAnsi="宋体" w:cs="Calibri"/>
          <w:snapToGrid w:val="0"/>
          <w:color w:val="auto"/>
          <w:kern w:val="0"/>
          <w:szCs w:val="21"/>
          <w:highlight w:val="none"/>
        </w:rPr>
        <w:t>不属于厦门港口管理局监管的依法必须招标的涉海项目</w:t>
      </w:r>
      <w:r>
        <w:rPr>
          <w:rFonts w:hint="eastAsia" w:ascii="宋体" w:hAnsi="宋体"/>
          <w:color w:val="auto"/>
          <w:szCs w:val="21"/>
          <w:highlight w:val="none"/>
        </w:rPr>
        <w:t>，则须填写上述《承诺函》，未按要求提交承诺函的视为投标文件存在重大偏差，其投标作废标处理。</w:t>
      </w:r>
    </w:p>
    <w:p w14:paraId="7B2328A7">
      <w:pPr>
        <w:spacing w:line="360" w:lineRule="auto"/>
        <w:jc w:val="left"/>
        <w:rPr>
          <w:rFonts w:ascii="宋体"/>
          <w:b/>
          <w:color w:val="auto"/>
          <w:sz w:val="24"/>
          <w:highlight w:val="none"/>
        </w:rPr>
      </w:pPr>
    </w:p>
    <w:p w14:paraId="4F1C1633">
      <w:pPr>
        <w:jc w:val="center"/>
        <w:rPr>
          <w:b/>
          <w:bCs/>
          <w:color w:val="auto"/>
          <w:sz w:val="24"/>
          <w:szCs w:val="32"/>
          <w:highlight w:val="none"/>
        </w:rPr>
      </w:pPr>
    </w:p>
    <w:p w14:paraId="737F526F">
      <w:pPr>
        <w:jc w:val="center"/>
        <w:rPr>
          <w:color w:val="auto"/>
          <w:highlight w:val="none"/>
        </w:rPr>
      </w:pPr>
      <w:r>
        <w:rPr>
          <w:rFonts w:hint="eastAsia"/>
          <w:color w:val="auto"/>
          <w:highlight w:val="none"/>
        </w:rPr>
        <w:br w:type="page"/>
      </w:r>
    </w:p>
    <w:p w14:paraId="7FDBF6AF">
      <w:pPr>
        <w:jc w:val="center"/>
        <w:rPr>
          <w:b/>
          <w:bCs/>
          <w:color w:val="auto"/>
          <w:sz w:val="24"/>
          <w:szCs w:val="32"/>
          <w:highlight w:val="none"/>
        </w:rPr>
      </w:pPr>
    </w:p>
    <w:p w14:paraId="39F482EA">
      <w:pPr>
        <w:jc w:val="center"/>
        <w:rPr>
          <w:b/>
          <w:bCs/>
          <w:color w:val="auto"/>
          <w:sz w:val="24"/>
          <w:szCs w:val="32"/>
          <w:highlight w:val="none"/>
        </w:rPr>
      </w:pPr>
    </w:p>
    <w:p w14:paraId="37357BB8">
      <w:pPr>
        <w:jc w:val="center"/>
        <w:rPr>
          <w:color w:val="auto"/>
          <w:sz w:val="30"/>
          <w:highlight w:val="none"/>
        </w:rPr>
      </w:pPr>
      <w:r>
        <w:rPr>
          <w:rFonts w:hint="eastAsia"/>
          <w:b/>
          <w:bCs/>
          <w:color w:val="auto"/>
          <w:sz w:val="24"/>
          <w:szCs w:val="32"/>
          <w:highlight w:val="none"/>
          <w:lang w:val="en-US" w:eastAsia="zh-CN"/>
        </w:rPr>
        <w:t>3</w:t>
      </w:r>
      <w:r>
        <w:rPr>
          <w:rFonts w:hint="eastAsia"/>
          <w:b/>
          <w:bCs/>
          <w:color w:val="auto"/>
          <w:sz w:val="24"/>
          <w:szCs w:val="32"/>
          <w:highlight w:val="none"/>
        </w:rPr>
        <w:t>、投标人认为必要的其他材料</w:t>
      </w:r>
    </w:p>
    <w:p w14:paraId="7E6E3C2E">
      <w:pPr>
        <w:spacing w:line="360" w:lineRule="auto"/>
        <w:ind w:firstLine="420" w:firstLineChars="200"/>
        <w:rPr>
          <w:color w:val="auto"/>
          <w:highlight w:val="none"/>
        </w:rPr>
      </w:pPr>
    </w:p>
    <w:sectPr>
      <w:footerReference r:id="rId13" w:type="default"/>
      <w:pgSz w:w="11905" w:h="16838"/>
      <w:pgMar w:top="1440" w:right="1417" w:bottom="1440" w:left="1417" w:header="850" w:footer="992" w:gutter="0"/>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瀹嬩綋">
    <w:altName w:val="宋体"/>
    <w:panose1 w:val="00000000000000000000"/>
    <w:charset w:val="86"/>
    <w:family w:val="auto"/>
    <w:pitch w:val="default"/>
    <w:sig w:usb0="00000000" w:usb1="00000000" w:usb2="00000010" w:usb3="00000000" w:csb0="00040000" w:csb1="00000000"/>
  </w:font>
  <w:font w:name="汉仪书宋二S">
    <w:altName w:val="宋体"/>
    <w:panose1 w:val="00000000000000000000"/>
    <w:charset w:val="86"/>
    <w:family w:val="auto"/>
    <w:pitch w:val="default"/>
    <w:sig w:usb0="00000000" w:usb1="00000000" w:usb2="00000016" w:usb3="00000000" w:csb0="00040000" w:csb1="00000000"/>
  </w:font>
  <w:font w:name="方正大标宋简体">
    <w:altName w:val="微软雅黑"/>
    <w:panose1 w:val="00000000000000000000"/>
    <w:charset w:val="86"/>
    <w:family w:val="script"/>
    <w:pitch w:val="default"/>
    <w:sig w:usb0="00000000" w:usb1="0000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25BF3">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6504">
    <w:pPr>
      <w:pStyle w:val="23"/>
    </w:pPr>
    <w:r>
      <w:fldChar w:fldCharType="begin"/>
    </w:r>
    <w:r>
      <w:instrText xml:space="preserve"> PAGE   \* MERGEFORMAT </w:instrText>
    </w:r>
    <w:r>
      <w:fldChar w:fldCharType="separate"/>
    </w:r>
    <w:r>
      <w:rPr>
        <w:lang w:val="zh-CN"/>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A407">
    <w:pPr>
      <w:pStyle w:val="2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BF81058">
                          <w:pPr>
                            <w:pStyle w:val="23"/>
                          </w:pPr>
                          <w:r>
                            <w:fldChar w:fldCharType="begin"/>
                          </w:r>
                          <w:r>
                            <w:instrText xml:space="preserve">PAGE   \* MERGEFORMAT</w:instrText>
                          </w:r>
                          <w:r>
                            <w:fldChar w:fldCharType="separate"/>
                          </w:r>
                          <w:r>
                            <w:rPr>
                              <w:lang w:val="zh-CN"/>
                            </w:rPr>
                            <w:t>28</w:t>
                          </w:r>
                          <w:r>
                            <w:fldChar w:fldCharType="end"/>
                          </w:r>
                        </w:p>
                      </w:txbxContent>
                    </wps:txbx>
                    <wps:bodyPr wrap="none" lIns="0" tIns="0" rIns="0" bIns="0">
                      <a:spAutoFit/>
                    </wps:bodyPr>
                  </wps:wsp>
                </a:graphicData>
              </a:graphic>
            </wp:anchor>
          </w:drawing>
        </mc:Choice>
        <mc:Fallback>
          <w:pict>
            <v:shape id="文本框 15"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PlfknQAAAAAwEAAA8AAAAAAAAAAQAgAAAAIgAAAGRycy9kb3ducmV2Lnht&#10;bFBLAQIUABQAAAAIAIdO4kACigxFyAEAAIwDAAAOAAAAAAAAAAEAIAAAAB8BAABkcnMvZTJvRG9j&#10;LnhtbFBLBQYAAAAABgAGAFkBAABZBQAAAAA=&#10;">
              <v:fill on="f" focussize="0,0"/>
              <v:stroke on="f"/>
              <v:imagedata o:title=""/>
              <o:lock v:ext="edit" aspectratio="f"/>
              <v:textbox inset="0mm,0mm,0mm,0mm" style="mso-fit-shape-to-text:t;">
                <w:txbxContent>
                  <w:p w14:paraId="1BF81058">
                    <w:pPr>
                      <w:pStyle w:val="23"/>
                    </w:pPr>
                    <w:r>
                      <w:fldChar w:fldCharType="begin"/>
                    </w:r>
                    <w:r>
                      <w:instrText xml:space="preserve">PAGE   \* MERGEFORMAT</w:instrText>
                    </w:r>
                    <w:r>
                      <w:fldChar w:fldCharType="separate"/>
                    </w:r>
                    <w:r>
                      <w:rPr>
                        <w:lang w:val="zh-CN"/>
                      </w:rPr>
                      <w:t>28</w:t>
                    </w:r>
                    <w:r>
                      <w:fldChar w:fldCharType="end"/>
                    </w:r>
                  </w:p>
                </w:txbxContent>
              </v:textbox>
            </v:shape>
          </w:pict>
        </mc:Fallback>
      </mc:AlternateContent>
    </w:r>
  </w:p>
  <w:p w14:paraId="6DA6EDB0">
    <w:pPr>
      <w:pStyle w:val="23"/>
      <w:spacing w:line="240" w:lineRule="exact"/>
      <w:ind w:right="360" w:firstLine="360"/>
      <w:rPr>
        <w:rFonts w:eastAsia="黑体"/>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978D">
    <w:pPr>
      <w:pStyle w:val="13"/>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9AF82">
                          <w:pPr>
                            <w:pStyle w:val="23"/>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Nyu8EBAACP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8i6&#10;zgINARrMuw+Ymca3fsTkxQ/ozLxHFW3+IiOCccQ6X+WVYyIiP6rXdV1hSGBsuSA+e3geIqR30luS&#10;jZZGnF+RlZ8+QJpSl5Rczfk7bUyZoXF/ORAze1jufeoxW2ncjzOhve/OyGfA0bfU4aZTYt47VBb7&#10;S4sRF2M/G7kGhDfHhIVLPxl1gpqL4ZwKo3mn8iI8vpesh/9o+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MNyu8EBAACPAwAADgAAAAAAAAABACAAAAAeAQAAZHJzL2Uyb0RvYy54bWxQSwUG&#10;AAAAAAYABgBZAQAAUQUAAAAA&#10;">
              <v:fill on="f" focussize="0,0"/>
              <v:stroke on="f"/>
              <v:imagedata o:title=""/>
              <o:lock v:ext="edit" aspectratio="f"/>
              <v:textbox inset="0mm,0mm,0mm,0mm" style="mso-fit-shape-to-text:t;">
                <w:txbxContent>
                  <w:p w14:paraId="09D9AF82">
                    <w:pPr>
                      <w:pStyle w:val="2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4693">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7"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14:paraId="6CB566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134</w:t>
                          </w:r>
                          <w:r>
                            <w:rPr>
                              <w:rFonts w:hint="eastAsia"/>
                              <w:sz w:val="18"/>
                            </w:rPr>
                            <w:fldChar w:fldCharType="end"/>
                          </w:r>
                        </w:p>
                      </w:txbxContent>
                    </wps:txbx>
                    <wps:bodyPr wrap="none" lIns="0" tIns="0" rIns="0" bIns="0">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PGZztEAAAADAQAADwAAAAAAAAABACAAAAAiAAAAZHJzL2Rvd25yZXYueG1sUEsBAhQA&#10;FAAAAAgAh07iQOUHBMTAAQAAfwMAAA4AAAAAAAAAAQAgAAAAIAEAAGRycy9lMm9Eb2MueG1sUEsF&#10;BgAAAAAGAAYAWQEAAFIFAAAAAA==&#10;">
              <v:fill on="f" focussize="0,0"/>
              <v:stroke on="f"/>
              <v:imagedata o:title=""/>
              <o:lock v:ext="edit" aspectratio="f"/>
              <v:textbox inset="0mm,0mm,0mm,0mm" style="mso-fit-shape-to-text:t;">
                <w:txbxContent>
                  <w:p w14:paraId="6CB566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134</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3ABFA">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8" name="文本框4"/>
              <wp:cNvGraphicFramePr/>
              <a:graphic xmlns:a="http://schemas.openxmlformats.org/drawingml/2006/main">
                <a:graphicData uri="http://schemas.microsoft.com/office/word/2010/wordprocessingShape">
                  <wps:wsp>
                    <wps:cNvSpPr/>
                    <wps:spPr>
                      <a:xfrm>
                        <a:off x="0" y="0"/>
                        <a:ext cx="67310" cy="153035"/>
                      </a:xfrm>
                      <a:prstGeom prst="rect">
                        <a:avLst/>
                      </a:prstGeom>
                      <a:noFill/>
                      <a:ln>
                        <a:noFill/>
                      </a:ln>
                    </wps:spPr>
                    <wps:txbx>
                      <w:txbxContent>
                        <w:p w14:paraId="310A92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138</w:t>
                          </w:r>
                          <w:r>
                            <w:rPr>
                              <w:rFonts w:hint="eastAsia"/>
                              <w:sz w:val="18"/>
                            </w:rPr>
                            <w:fldChar w:fldCharType="end"/>
                          </w:r>
                        </w:p>
                      </w:txbxContent>
                    </wps:txbx>
                    <wps:bodyPr wrap="none" lIns="0" tIns="0" rIns="0" bIns="0">
                      <a:spAutoFit/>
                    </wps:bodyPr>
                  </wps:wsp>
                </a:graphicData>
              </a:graphic>
            </wp:anchor>
          </w:drawing>
        </mc:Choice>
        <mc:Fallback>
          <w:pict>
            <v:rect id="文本框4" o:spid="_x0000_s1026" o:spt="1"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Q8ZnO0QAAAAMBAAAPAAAAAAAAAAEAIAAAACIAAABkcnMvZG93bnJldi54bWxQSwECFAAU&#10;AAAACACHTuJAIpNkFr8BAAB/AwAADgAAAAAAAAABACAAAAAgAQAAZHJzL2Uyb0RvYy54bWxQSwUG&#10;AAAAAAYABgBZAQAAUQUAAAAA&#10;">
              <v:fill on="f" focussize="0,0"/>
              <v:stroke on="f"/>
              <v:imagedata o:title=""/>
              <o:lock v:ext="edit" aspectratio="f"/>
              <v:textbox inset="0mm,0mm,0mm,0mm" style="mso-fit-shape-to-text:t;">
                <w:txbxContent>
                  <w:p w14:paraId="310A92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138</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r>
        <w:separator/>
      </w:r>
    </w:p>
  </w:footnote>
  <w:footnote w:type="continuationSeparator" w:id="35">
    <w:p>
      <w:r>
        <w:continuationSeparator/>
      </w:r>
    </w:p>
  </w:footnote>
  <w:footnote w:id="0">
    <w:p w14:paraId="078E904D">
      <w:pPr>
        <w:pStyle w:val="27"/>
      </w:pPr>
      <w:r>
        <w:rPr>
          <w:rStyle w:val="48"/>
        </w:rPr>
        <w:footnoteRef/>
      </w:r>
      <w:r>
        <w:t xml:space="preserve"> </w:t>
      </w:r>
      <w:r>
        <w:rPr>
          <w:rFonts w:ascii="宋体" w:hAnsi="宋体"/>
          <w:sz w:val="15"/>
          <w:szCs w:val="15"/>
        </w:rPr>
        <w:t>建设规模中至少应写明</w:t>
      </w:r>
      <w:r>
        <w:rPr>
          <w:rFonts w:hint="eastAsia" w:ascii="宋体" w:hAnsi="宋体"/>
          <w:sz w:val="15"/>
          <w:szCs w:val="15"/>
        </w:rPr>
        <w:t>用于确定企业资质及等级的相关数据。</w:t>
      </w:r>
    </w:p>
  </w:footnote>
  <w:footnote w:id="1">
    <w:p w14:paraId="5DA56DB6">
      <w:pPr>
        <w:pStyle w:val="27"/>
        <w:snapToGrid w:val="0"/>
        <w:rPr>
          <w:rFonts w:hint="eastAsia" w:eastAsia="宋体"/>
          <w:lang w:val="en-US" w:eastAsia="zh-CN"/>
        </w:rPr>
      </w:pPr>
      <w:r>
        <w:rPr>
          <w:rStyle w:val="48"/>
        </w:rPr>
        <w:footnoteRef/>
      </w:r>
      <w:r>
        <w:t xml:space="preserve"> </w:t>
      </w:r>
      <w:r>
        <w:rPr>
          <w:rFonts w:hint="eastAsia"/>
          <w:lang w:val="en-US" w:eastAsia="zh-CN"/>
        </w:rPr>
        <w:t>填写“接受”或“不接受”，</w:t>
      </w:r>
      <w:r>
        <w:rPr>
          <w:rFonts w:hint="eastAsia" w:ascii="宋体" w:hAnsi="宋体"/>
          <w:szCs w:val="21"/>
          <w:u w:val="single"/>
        </w:rPr>
        <w:t>要求两种及以上不同专业资质要求的，不得出现“不接受”联合体投标词汇</w:t>
      </w:r>
      <w:r>
        <w:rPr>
          <w:rFonts w:hint="eastAsia" w:ascii="宋体" w:hAnsi="宋体"/>
          <w:szCs w:val="21"/>
          <w:u w:val="single"/>
          <w:lang w:eastAsia="zh-CN"/>
        </w:rPr>
        <w:t>。</w:t>
      </w:r>
    </w:p>
  </w:footnote>
  <w:footnote w:id="2">
    <w:p w14:paraId="15370C65">
      <w:pPr>
        <w:pStyle w:val="27"/>
      </w:pPr>
      <w:r>
        <w:rPr>
          <w:rStyle w:val="48"/>
        </w:rPr>
        <w:footnoteRef/>
      </w:r>
      <w:r>
        <w:t xml:space="preserve"> </w:t>
      </w:r>
      <w:r>
        <w:rPr>
          <w:rFonts w:hint="eastAsia"/>
        </w:rPr>
        <w:t xml:space="preserve"> 选择“高分低价法”、“高分随机法”、“低价随机法”之一进行填写，或按“在高分低价法、高分随机法、低价随机法中随机抽取”</w:t>
      </w:r>
      <w:r>
        <w:rPr>
          <w:rFonts w:hint="eastAsia"/>
          <w:lang w:val="en-US" w:eastAsia="zh-CN"/>
        </w:rPr>
        <w:t>之一进行</w:t>
      </w:r>
      <w:r>
        <w:rPr>
          <w:rFonts w:hint="eastAsia"/>
        </w:rPr>
        <w:t>填写，且应当与招标文件其他章节有关内容一致。</w:t>
      </w:r>
    </w:p>
  </w:footnote>
  <w:footnote w:id="3">
    <w:p w14:paraId="6D115A2A">
      <w:pPr>
        <w:pStyle w:val="27"/>
        <w:snapToGrid w:val="0"/>
        <w:rPr>
          <w:rFonts w:hint="eastAsia" w:eastAsia="宋体"/>
          <w:lang w:val="en-US" w:eastAsia="zh-CN"/>
        </w:rPr>
      </w:pPr>
      <w:r>
        <w:rPr>
          <w:rStyle w:val="48"/>
        </w:rPr>
        <w:footnoteRef/>
      </w:r>
      <w:r>
        <w:t xml:space="preserve"> </w:t>
      </w:r>
      <w:r>
        <w:rPr>
          <w:rFonts w:hint="eastAsia"/>
          <w:lang w:val="en-US" w:eastAsia="zh-CN"/>
        </w:rPr>
        <w:t>填写“接受”或“不接受”，</w:t>
      </w:r>
      <w:r>
        <w:rPr>
          <w:rFonts w:hint="eastAsia" w:ascii="宋体" w:hAnsi="宋体"/>
          <w:szCs w:val="21"/>
          <w:u w:val="single"/>
        </w:rPr>
        <w:t>要求两种及以上不同专业资质要求的，不得出现“不接受”联合体投标词汇</w:t>
      </w:r>
      <w:r>
        <w:rPr>
          <w:rFonts w:hint="eastAsia" w:ascii="宋体" w:hAnsi="宋体"/>
          <w:szCs w:val="21"/>
          <w:u w:val="single"/>
          <w:lang w:eastAsia="zh-CN"/>
        </w:rPr>
        <w:t>。</w:t>
      </w:r>
    </w:p>
  </w:footnote>
  <w:footnote w:id="4">
    <w:p w14:paraId="3369509A">
      <w:pPr>
        <w:pStyle w:val="27"/>
        <w:wordWrap w:val="0"/>
        <w:rPr>
          <w:rFonts w:hint="eastAsia" w:ascii="宋体" w:hAnsi="宋体" w:cs="宋体"/>
          <w:szCs w:val="18"/>
          <w:shd w:val="clear" w:color="auto" w:fill="auto"/>
        </w:rPr>
      </w:pPr>
      <w:r>
        <w:rPr>
          <w:rStyle w:val="48"/>
          <w:rFonts w:hint="eastAsia" w:ascii="宋体" w:hAnsi="宋体" w:cs="宋体"/>
          <w:szCs w:val="18"/>
          <w:shd w:val="clear" w:color="auto" w:fill="auto"/>
        </w:rPr>
        <w:footnoteRef/>
      </w:r>
      <w:r>
        <w:rPr>
          <w:rFonts w:hint="eastAsia" w:ascii="宋体" w:hAnsi="宋体" w:cs="宋体"/>
          <w:szCs w:val="18"/>
          <w:shd w:val="clear" w:color="auto" w:fill="auto"/>
        </w:rPr>
        <w:t xml:space="preserve"> 投标保证金具体缴纳方式按当地或省公共资源交易中心的规定执行。招标人不得强制限定投标保证金必须采用现金或支票方式缴纳，不得拒绝银行保函形式的投标保证金。</w:t>
      </w:r>
    </w:p>
  </w:footnote>
  <w:footnote w:id="5">
    <w:p w14:paraId="2DA95B0C">
      <w:pPr>
        <w:pStyle w:val="27"/>
      </w:pPr>
      <w:r>
        <w:rPr>
          <w:rStyle w:val="48"/>
        </w:rPr>
        <w:footnoteRef/>
      </w:r>
      <w:r>
        <w:t xml:space="preserve"> </w:t>
      </w:r>
      <w:r>
        <w:rPr>
          <w:rFonts w:hint="eastAsia"/>
          <w:color w:val="FF0000"/>
          <w:sz w:val="15"/>
          <w:szCs w:val="15"/>
        </w:rPr>
        <w:t xml:space="preserve"> 未采用随机抽取确定定标方法的，填写“/”</w:t>
      </w:r>
    </w:p>
  </w:footnote>
  <w:footnote w:id="6">
    <w:p w14:paraId="0DBD1AAE">
      <w:pPr>
        <w:pStyle w:val="27"/>
        <w:snapToGrid w:val="0"/>
      </w:pPr>
      <w:r>
        <w:rPr>
          <w:rStyle w:val="48"/>
        </w:rPr>
        <w:footnoteRef/>
      </w:r>
      <w:r>
        <w:t xml:space="preserve"> </w:t>
      </w:r>
      <w:r>
        <w:rPr>
          <w:rFonts w:hint="eastAsia" w:ascii="宋体" w:hAnsi="宋体" w:cs="宋体"/>
          <w:szCs w:val="18"/>
          <w:shd w:val="clear" w:color="auto" w:fill="auto"/>
        </w:rPr>
        <w:t>评标办法正文若有与评标办法前附表不一致之处，以评标办法前附表为准。</w:t>
      </w:r>
    </w:p>
  </w:footnote>
  <w:footnote w:id="7">
    <w:p w14:paraId="6ECF4A83">
      <w:pPr>
        <w:wordWrap w:val="0"/>
        <w:spacing w:before="240" w:beforeLines="100" w:line="240" w:lineRule="auto"/>
        <w:ind w:firstLine="420" w:firstLineChars="200"/>
        <w:rPr>
          <w:rFonts w:hint="eastAsia" w:ascii="宋体" w:hAnsi="宋体" w:eastAsia="宋体" w:cs="宋体"/>
          <w:color w:val="auto"/>
          <w:sz w:val="13"/>
          <w:szCs w:val="13"/>
          <w:shd w:val="clear" w:color="auto" w:fill="auto"/>
          <w:lang w:val="en-US" w:eastAsia="zh-CN"/>
        </w:rPr>
      </w:pPr>
      <w:r>
        <w:rPr>
          <w:rStyle w:val="48"/>
        </w:rPr>
        <w:footnoteRef/>
      </w:r>
      <w:r>
        <w:rPr>
          <w:rFonts w:hint="eastAsia" w:ascii="宋体" w:hAnsi="宋体" w:eastAsia="宋体" w:cs="宋体"/>
          <w:color w:val="auto"/>
          <w:sz w:val="13"/>
          <w:szCs w:val="13"/>
        </w:rPr>
        <w:t xml:space="preserve"> </w:t>
      </w:r>
      <w:r>
        <w:rPr>
          <w:rFonts w:hint="eastAsia" w:ascii="宋体" w:hAnsi="宋体" w:eastAsia="宋体" w:cs="宋体"/>
          <w:color w:val="auto"/>
          <w:sz w:val="15"/>
          <w:szCs w:val="15"/>
          <w:shd w:val="clear" w:color="auto" w:fill="auto"/>
          <w:lang w:val="en-US" w:eastAsia="zh-CN"/>
        </w:rPr>
        <w:t>需启动信用排序淘汰投标人时，</w:t>
      </w:r>
      <w:r>
        <w:rPr>
          <w:rFonts w:hint="eastAsia" w:ascii="宋体" w:hAnsi="宋体" w:eastAsia="宋体" w:cs="宋体"/>
          <w:color w:val="auto"/>
          <w:sz w:val="15"/>
          <w:szCs w:val="15"/>
          <w:shd w:val="clear" w:color="auto" w:fill="auto"/>
          <w:lang w:eastAsia="zh-CN"/>
        </w:rPr>
        <w:t>核实投标人信用等级情况。通过厦门市建设工程电子招投标交易平台（简称“厦门市电子交易平台”）对投标人的厦门市建设局建设市场信用监管系统信用评价进行筛查；</w:t>
      </w:r>
      <w:r>
        <w:rPr>
          <w:rFonts w:hint="eastAsia" w:ascii="宋体" w:hAnsi="宋体" w:eastAsia="宋体" w:cs="宋体"/>
          <w:color w:val="auto"/>
          <w:sz w:val="15"/>
          <w:szCs w:val="15"/>
          <w:shd w:val="clear" w:color="auto" w:fill="auto"/>
          <w:lang w:val="en-US" w:eastAsia="zh-CN"/>
        </w:rPr>
        <w:t>通过“信用交通·福建”（http://220.160.53.3:30050/gzwz/）网站中“信用考核结果适用情况（动态更新）”栏目中最新公布结果核实投标人的福建省交通建设市场信用考核评价结果。按照《福建省交通建设市场信用考核管理办法》规定，投标人享受AA级、A级信用分规定且合计中标次数达到规定次数的，其从业单位及主要从业人员相应的信用分规定失效。其后参加的投标，信用分按B级处理</w:t>
      </w:r>
      <w:r>
        <w:rPr>
          <w:rFonts w:hint="eastAsia" w:ascii="宋体" w:hAnsi="宋体" w:eastAsia="宋体" w:cs="宋体"/>
          <w:color w:val="auto"/>
          <w:sz w:val="13"/>
          <w:szCs w:val="13"/>
          <w:shd w:val="clear" w:color="auto" w:fill="auto"/>
          <w:lang w:val="en-US" w:eastAsia="zh-CN"/>
        </w:rPr>
        <w:t>。</w:t>
      </w:r>
    </w:p>
    <w:p w14:paraId="50724D5C">
      <w:pPr>
        <w:pStyle w:val="27"/>
        <w:snapToGrid w:val="0"/>
      </w:pPr>
    </w:p>
  </w:footnote>
  <w:footnote w:id="8">
    <w:p w14:paraId="57AABCEF">
      <w:pPr>
        <w:pStyle w:val="27"/>
        <w:spacing w:line="200" w:lineRule="exact"/>
        <w:rPr>
          <w:rFonts w:ascii="宋体" w:hAnsi="宋体"/>
          <w:color w:val="FF0000"/>
          <w:kern w:val="0"/>
          <w:sz w:val="15"/>
          <w:szCs w:val="15"/>
        </w:rPr>
      </w:pPr>
      <w:r>
        <w:rPr>
          <w:rFonts w:hint="eastAsia" w:ascii="宋体" w:hAnsi="宋体"/>
          <w:color w:val="FF0000"/>
          <w:kern w:val="0"/>
          <w:sz w:val="15"/>
          <w:szCs w:val="15"/>
        </w:rPr>
        <w:footnoteRef/>
      </w:r>
      <w:r>
        <w:rPr>
          <w:rFonts w:hint="eastAsia" w:ascii="宋体" w:hAnsi="宋体"/>
          <w:color w:val="FF0000"/>
          <w:kern w:val="0"/>
          <w:sz w:val="15"/>
          <w:szCs w:val="15"/>
        </w:rPr>
        <w:t xml:space="preserve"> 定标要素及其评审标准、权重应当根据《厦门市住房和建设局关于印发建设工程招投标评定分离办法的通知》（厦住建规〔2024〕6号）有关规定编制，应特别注意不得设置经营主体的规模（例如产值）、注册地址、注册资金、市场占有率、负债率、净资产规模等作为定标子要素。</w:t>
      </w:r>
    </w:p>
  </w:footnote>
  <w:footnote w:id="9">
    <w:p w14:paraId="0A6FB60A">
      <w:pPr>
        <w:pStyle w:val="27"/>
        <w:snapToGrid w:val="0"/>
      </w:pPr>
      <w:r>
        <w:rPr>
          <w:rStyle w:val="48"/>
        </w:rPr>
        <w:footnoteRef/>
      </w:r>
      <w:r>
        <w:t xml:space="preserve"> </w:t>
      </w:r>
      <w:r>
        <w:rPr>
          <w:rFonts w:hint="eastAsia" w:ascii="宋体" w:hAnsi="宋体" w:cs="Times New Roman"/>
          <w:color w:val="auto"/>
          <w:kern w:val="0"/>
          <w:sz w:val="15"/>
          <w:szCs w:val="15"/>
          <w:lang w:val="en-US" w:eastAsia="zh-CN" w:bidi="ar-SA"/>
        </w:rPr>
        <w:t>按照第二章“投标人须知前附表”第1.4.2项第1条组成联合体投标的投标人清标得分，以联合体成员中清标得分较高一方为准。</w:t>
      </w:r>
    </w:p>
  </w:footnote>
  <w:footnote w:id="10">
    <w:p w14:paraId="594E37DA">
      <w:pPr>
        <w:pStyle w:val="27"/>
        <w:snapToGrid w:val="0"/>
      </w:pPr>
      <w:r>
        <w:rPr>
          <w:rStyle w:val="48"/>
        </w:rPr>
        <w:footnoteRef/>
      </w:r>
      <w:r>
        <w:t xml:space="preserve"> </w:t>
      </w:r>
      <w:r>
        <w:rPr>
          <w:rFonts w:hint="eastAsia" w:ascii="宋体" w:hAnsi="宋体" w:cs="宋体"/>
          <w:color w:val="000000" w:themeColor="text1"/>
          <w:sz w:val="15"/>
          <w:szCs w:val="15"/>
          <w:lang w:val="en-US" w:eastAsia="zh-CN"/>
          <w14:textFill>
            <w14:solidFill>
              <w14:schemeClr w14:val="tx1"/>
            </w14:solidFill>
          </w14:textFill>
        </w:rPr>
        <w:t>定标要素中若使用最近期的</w:t>
      </w:r>
      <w:r>
        <w:rPr>
          <w:rFonts w:hint="eastAsia" w:ascii="宋体" w:hAnsi="宋体" w:cs="宋体"/>
          <w:color w:val="000000" w:themeColor="text1"/>
          <w:sz w:val="15"/>
          <w:szCs w:val="15"/>
          <w14:textFill>
            <w14:solidFill>
              <w14:schemeClr w14:val="tx1"/>
            </w14:solidFill>
          </w14:textFill>
        </w:rPr>
        <w:t>福建省交通建设市场信用考核评价</w:t>
      </w:r>
      <w:r>
        <w:rPr>
          <w:rFonts w:hint="eastAsia" w:ascii="宋体" w:hAnsi="宋体" w:cs="宋体"/>
          <w:color w:val="000000" w:themeColor="text1"/>
          <w:sz w:val="15"/>
          <w:szCs w:val="15"/>
          <w:lang w:val="en-US" w:eastAsia="zh-CN"/>
          <w14:textFill>
            <w14:solidFill>
              <w14:schemeClr w14:val="tx1"/>
            </w14:solidFill>
          </w14:textFill>
        </w:rPr>
        <w:t>结果的，投标人应在第九章投标文件格式中“</w:t>
      </w:r>
      <w:r>
        <w:rPr>
          <w:rFonts w:hint="eastAsia" w:ascii="宋体" w:hAnsi="宋体" w:cs="宋体"/>
          <w:color w:val="000000" w:themeColor="text1"/>
          <w:sz w:val="15"/>
          <w:szCs w:val="15"/>
          <w14:textFill>
            <w14:solidFill>
              <w14:schemeClr w14:val="tx1"/>
            </w14:solidFill>
          </w14:textFill>
        </w:rPr>
        <w:t>企业信用声明</w:t>
      </w:r>
      <w:r>
        <w:rPr>
          <w:rFonts w:hint="eastAsia" w:ascii="宋体" w:hAnsi="宋体" w:cs="宋体"/>
          <w:color w:val="000000" w:themeColor="text1"/>
          <w:sz w:val="15"/>
          <w:szCs w:val="15"/>
          <w:lang w:eastAsia="zh-CN"/>
          <w14:textFill>
            <w14:solidFill>
              <w14:schemeClr w14:val="tx1"/>
            </w14:solidFill>
          </w14:textFill>
        </w:rPr>
        <w:t>”</w:t>
      </w:r>
      <w:r>
        <w:rPr>
          <w:rFonts w:hint="eastAsia" w:ascii="宋体" w:hAnsi="宋体" w:cs="宋体"/>
          <w:color w:val="000000" w:themeColor="text1"/>
          <w:sz w:val="15"/>
          <w:szCs w:val="15"/>
          <w:lang w:val="en-US" w:eastAsia="zh-CN"/>
          <w14:textFill>
            <w14:solidFill>
              <w14:schemeClr w14:val="tx1"/>
            </w14:solidFill>
          </w14:textFill>
        </w:rPr>
        <w:t>填写相应声明。</w:t>
      </w:r>
    </w:p>
  </w:footnote>
  <w:footnote w:id="11">
    <w:p w14:paraId="2D66428D">
      <w:pPr>
        <w:pStyle w:val="27"/>
        <w:spacing w:line="200" w:lineRule="exact"/>
        <w:rPr>
          <w:rFonts w:ascii="宋体" w:hAnsi="宋体" w:cs="宋体"/>
          <w:sz w:val="15"/>
          <w:szCs w:val="15"/>
        </w:rPr>
      </w:pPr>
      <w:r>
        <w:rPr>
          <w:rFonts w:hint="eastAsia" w:ascii="宋体" w:hAnsi="宋体" w:cs="宋体"/>
          <w:sz w:val="15"/>
          <w:szCs w:val="15"/>
        </w:rPr>
        <w:footnoteRef/>
      </w:r>
      <w:r>
        <w:rPr>
          <w:rFonts w:hint="eastAsia" w:ascii="宋体" w:hAnsi="宋体" w:cs="宋体"/>
          <w:sz w:val="15"/>
          <w:szCs w:val="15"/>
        </w:rPr>
        <w:t xml:space="preserve"> 应当与投标人须知第7.</w:t>
      </w:r>
      <w:r>
        <w:rPr>
          <w:rFonts w:hint="eastAsia" w:ascii="宋体" w:hAnsi="宋体" w:cs="宋体"/>
          <w:sz w:val="15"/>
          <w:szCs w:val="15"/>
          <w:lang w:val="en-US" w:eastAsia="zh-CN"/>
        </w:rPr>
        <w:t>3</w:t>
      </w:r>
      <w:r>
        <w:rPr>
          <w:rFonts w:hint="eastAsia" w:ascii="宋体" w:hAnsi="宋体" w:cs="宋体"/>
          <w:sz w:val="15"/>
          <w:szCs w:val="15"/>
        </w:rPr>
        <w:t>项选择的定标方法一致。</w:t>
      </w:r>
    </w:p>
    <w:p w14:paraId="76CE2473">
      <w:pPr>
        <w:pStyle w:val="27"/>
      </w:pPr>
    </w:p>
  </w:footnote>
  <w:footnote w:id="12">
    <w:p w14:paraId="6A6C6E00">
      <w:pPr>
        <w:pStyle w:val="27"/>
        <w:rPr>
          <w:rFonts w:ascii="宋体" w:hAnsi="宋体" w:cs="宋体"/>
          <w:color w:val="000000" w:themeColor="text1"/>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footnoteRef/>
      </w:r>
      <w:r>
        <w:rPr>
          <w:rFonts w:hint="eastAsia" w:ascii="宋体" w:hAnsi="宋体" w:cs="宋体"/>
          <w:color w:val="000000" w:themeColor="text1"/>
          <w:kern w:val="0"/>
          <w:sz w:val="15"/>
          <w:szCs w:val="15"/>
          <w14:textFill>
            <w14:solidFill>
              <w14:schemeClr w14:val="tx1"/>
            </w14:solidFill>
          </w14:textFill>
        </w:rPr>
        <w:t>陈述、答辩子要素的权重不高于10%。</w:t>
      </w:r>
    </w:p>
  </w:footnote>
  <w:footnote w:id="13">
    <w:p w14:paraId="0E522452">
      <w:pPr>
        <w:pStyle w:val="27"/>
        <w:rPr>
          <w:rFonts w:ascii="宋体" w:hAnsi="宋体" w:cs="宋体"/>
          <w:color w:val="000000" w:themeColor="text1"/>
          <w:kern w:val="0"/>
          <w:sz w:val="15"/>
          <w:szCs w:val="15"/>
          <w14:textFill>
            <w14:solidFill>
              <w14:schemeClr w14:val="tx1"/>
            </w14:solidFill>
          </w14:textFill>
        </w:rPr>
      </w:pPr>
      <w:r>
        <w:rPr>
          <w:rFonts w:hint="eastAsia" w:ascii="宋体" w:hAnsi="宋体" w:cs="宋体"/>
          <w:color w:val="000000" w:themeColor="text1"/>
          <w:kern w:val="0"/>
          <w:sz w:val="15"/>
          <w:szCs w:val="15"/>
          <w14:textFill>
            <w14:solidFill>
              <w14:schemeClr w14:val="tx1"/>
            </w14:solidFill>
          </w14:textFill>
        </w:rPr>
        <w:footnoteRef/>
      </w:r>
      <w:r>
        <w:rPr>
          <w:rFonts w:hint="eastAsia" w:ascii="宋体" w:hAnsi="宋体" w:cs="宋体"/>
          <w:color w:val="000000" w:themeColor="text1"/>
          <w:kern w:val="0"/>
          <w:sz w:val="15"/>
          <w:szCs w:val="15"/>
          <w14:textFill>
            <w14:solidFill>
              <w14:schemeClr w14:val="tx1"/>
            </w14:solidFill>
          </w14:textFill>
        </w:rPr>
        <w:t>项目应急保障能力部分的陈述权重不高于5%。</w:t>
      </w:r>
    </w:p>
  </w:footnote>
  <w:footnote w:id="14">
    <w:p w14:paraId="0B153503">
      <w:pPr>
        <w:pStyle w:val="27"/>
        <w:wordWrap w:val="0"/>
        <w:snapToGrid/>
      </w:pPr>
      <w:r>
        <w:rPr>
          <w:rStyle w:val="48"/>
        </w:rPr>
        <w:footnoteRef/>
      </w:r>
      <w:r>
        <w:t xml:space="preserve"> </w:t>
      </w:r>
      <w:r>
        <w:rPr>
          <w:rFonts w:hint="eastAsia" w:ascii="宋体" w:hAnsi="宋体" w:cs="宋体"/>
          <w:szCs w:val="18"/>
          <w:shd w:val="clear" w:color="auto" w:fill="auto"/>
        </w:rPr>
        <w:t>如果由投标人的法定代表人亲自签署投标文件，则无须提交授权委托书。</w:t>
      </w:r>
    </w:p>
  </w:footnote>
  <w:footnote w:id="15">
    <w:p w14:paraId="40703EC0">
      <w:pPr>
        <w:spacing w:line="360" w:lineRule="auto"/>
        <w:ind w:firstLine="420"/>
      </w:pPr>
      <w:r>
        <w:rPr>
          <w:rStyle w:val="48"/>
        </w:rPr>
        <w:footnoteRef/>
      </w:r>
      <w:r>
        <w:t xml:space="preserve"> </w:t>
      </w:r>
      <w:r>
        <w:rPr>
          <w:rFonts w:hint="eastAsia" w:ascii="黑体" w:hAnsi="黑体" w:eastAsia="黑体"/>
          <w:color w:val="000000" w:themeColor="text1"/>
          <w:sz w:val="21"/>
          <w:szCs w:val="24"/>
          <w:highlight w:val="none"/>
          <w14:textFill>
            <w14:solidFill>
              <w14:schemeClr w14:val="tx1"/>
            </w14:solidFill>
          </w14:textFill>
        </w:rPr>
        <w:t>投标</w:t>
      </w:r>
      <w:r>
        <w:rPr>
          <w:rFonts w:ascii="黑体" w:hAnsi="黑体" w:eastAsia="黑体"/>
          <w:color w:val="000000" w:themeColor="text1"/>
          <w:sz w:val="21"/>
          <w:szCs w:val="24"/>
          <w:highlight w:val="none"/>
          <w14:textFill>
            <w14:solidFill>
              <w14:schemeClr w14:val="tx1"/>
            </w14:solidFill>
          </w14:textFill>
        </w:rPr>
        <w:t>保证金其他材料</w:t>
      </w:r>
      <w:r>
        <w:rPr>
          <w:rFonts w:hint="eastAsia" w:ascii="黑体" w:hAnsi="黑体" w:eastAsia="黑体"/>
          <w:color w:val="000000" w:themeColor="text1"/>
          <w:sz w:val="21"/>
          <w:szCs w:val="24"/>
          <w:highlight w:val="none"/>
          <w14:textFill>
            <w14:solidFill>
              <w14:schemeClr w14:val="tx1"/>
            </w14:solidFill>
          </w14:textFill>
        </w:rPr>
        <w:t>（免缴投标保证金的除外）</w:t>
      </w:r>
    </w:p>
    <w:p w14:paraId="3236E0FE">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14:paraId="6B9B31F7">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14:paraId="07A30BB7">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14:paraId="1D285B38">
      <w:pPr>
        <w:pStyle w:val="27"/>
        <w:snapToGrid w:val="0"/>
      </w:pPr>
    </w:p>
  </w:footnote>
  <w:footnote w:id="16">
    <w:p w14:paraId="21190D78">
      <w:pPr>
        <w:pStyle w:val="27"/>
        <w:wordWrap w:val="0"/>
        <w:rPr>
          <w:rFonts w:hint="eastAsia" w:ascii="宋体" w:hAnsi="宋体" w:cs="宋体"/>
          <w:szCs w:val="18"/>
          <w:shd w:val="clear" w:color="auto" w:fill="auto"/>
        </w:rPr>
      </w:pPr>
      <w:r>
        <w:rPr>
          <w:rStyle w:val="48"/>
          <w:rFonts w:hint="eastAsia" w:ascii="宋体" w:hAnsi="宋体" w:cs="宋体"/>
          <w:szCs w:val="18"/>
          <w:shd w:val="clear" w:color="auto" w:fill="auto"/>
        </w:rPr>
        <w:footnoteRef/>
      </w:r>
      <w:r>
        <w:rPr>
          <w:rFonts w:hint="eastAsia" w:ascii="宋体" w:hAnsi="宋体" w:cs="宋体"/>
          <w:szCs w:val="18"/>
          <w:shd w:val="clear" w:color="auto" w:fill="auto"/>
        </w:rPr>
        <w:t xml:space="preserve"> a.投标人应按照招标文件第二章“投标人须知”前附表附</w:t>
      </w:r>
      <w:r>
        <w:rPr>
          <w:rFonts w:hint="eastAsia" w:ascii="宋体" w:hAnsi="宋体" w:cs="宋体"/>
          <w:szCs w:val="18"/>
          <w:shd w:val="clear" w:color="auto" w:fill="auto"/>
          <w:lang w:val="en-US" w:eastAsia="zh-CN"/>
        </w:rPr>
        <w:t>件</w:t>
      </w:r>
      <w:r>
        <w:rPr>
          <w:rFonts w:hint="eastAsia" w:ascii="宋体" w:hAnsi="宋体" w:cs="宋体"/>
          <w:szCs w:val="18"/>
          <w:shd w:val="clear" w:color="auto" w:fill="auto"/>
        </w:rPr>
        <w:t>4和“投标人须知”正文第1.4.4项规定，逐条说明其信誉情况。</w:t>
      </w:r>
    </w:p>
    <w:p w14:paraId="6EC5307B">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b.投标人应根据招标文件第二章“投标人须知”第3.5.</w:t>
      </w:r>
      <w:r>
        <w:rPr>
          <w:rFonts w:hint="eastAsia" w:ascii="宋体" w:hAnsi="宋体" w:cs="宋体"/>
          <w:szCs w:val="18"/>
          <w:shd w:val="clear" w:color="auto" w:fill="auto"/>
          <w:lang w:val="en-US" w:eastAsia="zh-CN"/>
        </w:rPr>
        <w:t>5</w:t>
      </w:r>
      <w:r>
        <w:rPr>
          <w:rFonts w:hint="eastAsia" w:ascii="宋体" w:hAnsi="宋体" w:cs="宋体"/>
          <w:szCs w:val="18"/>
          <w:shd w:val="clear" w:color="auto" w:fill="auto"/>
        </w:rPr>
        <w:t>项的要求在本表后附相关证明材料。</w:t>
      </w:r>
    </w:p>
    <w:p w14:paraId="35219C1B">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c.投标人应上传“无行贿犯罪记录承诺书”。</w:t>
      </w:r>
    </w:p>
    <w:p w14:paraId="4EE56A42">
      <w:pPr>
        <w:pStyle w:val="27"/>
        <w:wordWrap w:val="0"/>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d.以联合体形式参与投标的，联合体各成员应分别填写。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03D86">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CBF0">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6DF2">
    <w:pPr>
      <w:pStyle w:val="24"/>
      <w:pBdr>
        <w:bottom w:val="single" w:color="auto" w:sz="6" w:space="0"/>
      </w:pBdr>
      <w:jc w:val="both"/>
      <w:rPr>
        <w:rFonts w:ascii="宋体" w:hAnsi="宋体"/>
        <w:iCs/>
      </w:rPr>
    </w:pPr>
    <w:r>
      <w:rPr>
        <w:rFonts w:hint="eastAsia" w:ascii="宋体" w:hAnsi="宋体"/>
        <w:i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B71B">
    <w:pPr>
      <w:pStyle w:val="24"/>
      <w:pBdr>
        <w:bottom w:val="none" w:color="auto" w:sz="0" w:space="1"/>
      </w:pBdr>
      <w:jc w:val="both"/>
      <w:rPr>
        <w:rFonts w:ascii="黑体" w:hAnsi="黑体"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BA98C"/>
    <w:multiLevelType w:val="singleLevel"/>
    <w:tmpl w:val="840BA98C"/>
    <w:lvl w:ilvl="0" w:tentative="0">
      <w:start w:val="1"/>
      <w:numFmt w:val="decimal"/>
      <w:suff w:val="nothing"/>
      <w:lvlText w:val="（%1）"/>
      <w:lvlJc w:val="left"/>
    </w:lvl>
  </w:abstractNum>
  <w:abstractNum w:abstractNumId="1">
    <w:nsid w:val="A6CBFE62"/>
    <w:multiLevelType w:val="singleLevel"/>
    <w:tmpl w:val="A6CBFE62"/>
    <w:lvl w:ilvl="0" w:tentative="0">
      <w:start w:val="5"/>
      <w:numFmt w:val="chineseCounting"/>
      <w:suff w:val="nothing"/>
      <w:lvlText w:val="%1、"/>
      <w:lvlJc w:val="left"/>
      <w:rPr>
        <w:rFonts w:hint="eastAsia"/>
      </w:rPr>
    </w:lvl>
  </w:abstractNum>
  <w:abstractNum w:abstractNumId="2">
    <w:nsid w:val="D8DD0A76"/>
    <w:multiLevelType w:val="singleLevel"/>
    <w:tmpl w:val="D8DD0A76"/>
    <w:lvl w:ilvl="0" w:tentative="0">
      <w:start w:val="4"/>
      <w:numFmt w:val="chineseCounting"/>
      <w:suff w:val="space"/>
      <w:lvlText w:val="第%1章"/>
      <w:lvlJc w:val="left"/>
      <w:rPr>
        <w:rFonts w:hint="eastAsia"/>
      </w:rPr>
    </w:lvl>
  </w:abstractNum>
  <w:abstractNum w:abstractNumId="3">
    <w:nsid w:val="DB4ACECC"/>
    <w:multiLevelType w:val="singleLevel"/>
    <w:tmpl w:val="DB4ACECC"/>
    <w:lvl w:ilvl="0" w:tentative="0">
      <w:start w:val="1"/>
      <w:numFmt w:val="decimal"/>
      <w:suff w:val="nothing"/>
      <w:lvlText w:val="%1、"/>
      <w:lvlJc w:val="left"/>
    </w:lvl>
  </w:abstractNum>
  <w:abstractNum w:abstractNumId="4">
    <w:nsid w:val="E8C5194A"/>
    <w:multiLevelType w:val="singleLevel"/>
    <w:tmpl w:val="E8C5194A"/>
    <w:lvl w:ilvl="0" w:tentative="0">
      <w:start w:val="1"/>
      <w:numFmt w:val="decimal"/>
      <w:lvlText w:val="%1."/>
      <w:lvlJc w:val="left"/>
      <w:pPr>
        <w:tabs>
          <w:tab w:val="left" w:pos="312"/>
        </w:tabs>
      </w:pPr>
    </w:lvl>
  </w:abstractNum>
  <w:abstractNum w:abstractNumId="5">
    <w:nsid w:val="FD2EF957"/>
    <w:multiLevelType w:val="singleLevel"/>
    <w:tmpl w:val="FD2EF957"/>
    <w:lvl w:ilvl="0" w:tentative="0">
      <w:start w:val="1"/>
      <w:numFmt w:val="decimal"/>
      <w:suff w:val="nothing"/>
      <w:lvlText w:val="（%1）"/>
      <w:lvlJc w:val="left"/>
    </w:lvl>
  </w:abstractNum>
  <w:abstractNum w:abstractNumId="6">
    <w:nsid w:val="FDF4F668"/>
    <w:multiLevelType w:val="singleLevel"/>
    <w:tmpl w:val="FDF4F668"/>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2F6578A3"/>
    <w:multiLevelType w:val="multilevel"/>
    <w:tmpl w:val="2F6578A3"/>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9">
    <w:nsid w:val="361E5279"/>
    <w:multiLevelType w:val="multilevel"/>
    <w:tmpl w:val="361E5279"/>
    <w:lvl w:ilvl="0" w:tentative="0">
      <w:start w:val="16"/>
      <w:numFmt w:val="bullet"/>
      <w:lvlText w:val="△"/>
      <w:lvlJc w:val="left"/>
      <w:pPr>
        <w:tabs>
          <w:tab w:val="left" w:pos="780"/>
        </w:tabs>
        <w:ind w:left="780" w:hanging="360"/>
      </w:pPr>
      <w:rPr>
        <w:rFonts w:hint="eastAsia" w:ascii="宋体" w:hAnsi="宋体" w:eastAsia="宋体" w:cs="Times New Roman"/>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3F050AB2"/>
    <w:multiLevelType w:val="singleLevel"/>
    <w:tmpl w:val="3F050AB2"/>
    <w:lvl w:ilvl="0" w:tentative="0">
      <w:start w:val="2"/>
      <w:numFmt w:val="chineseCounting"/>
      <w:suff w:val="nothing"/>
      <w:lvlText w:val="（%1）"/>
      <w:lvlJc w:val="left"/>
      <w:rPr>
        <w:rFonts w:hint="eastAsia"/>
      </w:rPr>
    </w:lvl>
  </w:abstractNum>
  <w:abstractNum w:abstractNumId="11">
    <w:nsid w:val="3FEA28E7"/>
    <w:multiLevelType w:val="multilevel"/>
    <w:tmpl w:val="3FEA28E7"/>
    <w:lvl w:ilvl="0" w:tentative="0">
      <w:start w:val="1"/>
      <w:numFmt w:val="decimal"/>
      <w:suff w:val="space"/>
      <w:lvlText w:val="（%1）"/>
      <w:lvlJc w:val="left"/>
      <w:pPr>
        <w:ind w:left="703" w:hanging="420"/>
      </w:pPr>
      <w:rPr>
        <w:rFonts w:hint="default"/>
        <w:lang w:val="en-US"/>
      </w:rPr>
    </w:lvl>
    <w:lvl w:ilvl="1" w:tentative="0">
      <w:start w:val="1"/>
      <w:numFmt w:val="decimal"/>
      <w:suff w:val="space"/>
      <w:lvlText w:val="（%2）"/>
      <w:lvlJc w:val="left"/>
      <w:pPr>
        <w:ind w:left="703" w:hanging="419"/>
      </w:pPr>
      <w:rPr>
        <w:rFonts w:hint="default" w:ascii="宋体" w:hAnsi="宋体"/>
        <w:color w:val="000000"/>
        <w:lang w:val="en-U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D8F3A9B"/>
    <w:multiLevelType w:val="multilevel"/>
    <w:tmpl w:val="4D8F3A9B"/>
    <w:lvl w:ilvl="0" w:tentative="0">
      <w:start w:val="1"/>
      <w:numFmt w:val="decimal"/>
      <w:lvlText w:val="%1"/>
      <w:lvlJc w:val="left"/>
      <w:pPr>
        <w:tabs>
          <w:tab w:val="left" w:pos="454"/>
        </w:tabs>
        <w:ind w:left="425" w:hanging="425"/>
      </w:pPr>
      <w:rPr>
        <w:rFonts w:hint="eastAsia"/>
      </w:rPr>
    </w:lvl>
    <w:lvl w:ilvl="1" w:tentative="0">
      <w:start w:val="1"/>
      <w:numFmt w:val="decimal"/>
      <w:lvlText w:val="%1.%2."/>
      <w:lvlJc w:val="left"/>
      <w:pPr>
        <w:tabs>
          <w:tab w:val="left" w:pos="7654"/>
        </w:tabs>
        <w:ind w:left="7654" w:hanging="567"/>
      </w:pPr>
      <w:rPr>
        <w:rFonts w:hint="eastAsia" w:ascii="宋体" w:hAnsi="宋体" w:eastAsia="宋体"/>
        <w:b w:val="0"/>
        <w:i w:val="0"/>
        <w:color w:val="auto"/>
        <w:sz w:val="24"/>
        <w:szCs w:val="24"/>
      </w:rPr>
    </w:lvl>
    <w:lvl w:ilvl="2" w:tentative="0">
      <w:start w:val="1"/>
      <w:numFmt w:val="decimal"/>
      <w:suff w:val="nothing"/>
      <w:lvlText w:val="%3）"/>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
    <w:nsid w:val="580F4BD9"/>
    <w:multiLevelType w:val="singleLevel"/>
    <w:tmpl w:val="580F4BD9"/>
    <w:lvl w:ilvl="0" w:tentative="0">
      <w:start w:val="1"/>
      <w:numFmt w:val="decimal"/>
      <w:suff w:val="nothing"/>
      <w:lvlText w:val="（%1）"/>
      <w:lvlJc w:val="left"/>
    </w:lvl>
  </w:abstractNum>
  <w:abstractNum w:abstractNumId="14">
    <w:nsid w:val="580F5C97"/>
    <w:multiLevelType w:val="singleLevel"/>
    <w:tmpl w:val="580F5C97"/>
    <w:lvl w:ilvl="0" w:tentative="0">
      <w:start w:val="1"/>
      <w:numFmt w:val="decimal"/>
      <w:suff w:val="nothing"/>
      <w:lvlText w:val="（%1）"/>
      <w:lvlJc w:val="left"/>
    </w:lvl>
  </w:abstractNum>
  <w:num w:numId="1">
    <w:abstractNumId w:val="3"/>
  </w:num>
  <w:num w:numId="2">
    <w:abstractNumId w:val="12"/>
  </w:num>
  <w:num w:numId="3">
    <w:abstractNumId w:val="0"/>
  </w:num>
  <w:num w:numId="4">
    <w:abstractNumId w:val="13"/>
  </w:num>
  <w:num w:numId="5">
    <w:abstractNumId w:val="5"/>
  </w:num>
  <w:num w:numId="6">
    <w:abstractNumId w:val="4"/>
  </w:num>
  <w:num w:numId="7">
    <w:abstractNumId w:val="6"/>
  </w:num>
  <w:num w:numId="8">
    <w:abstractNumId w:val="11"/>
  </w:num>
  <w:num w:numId="9">
    <w:abstractNumId w:val="2"/>
  </w:num>
  <w:num w:numId="10">
    <w:abstractNumId w:val="7"/>
  </w:num>
  <w:num w:numId="11">
    <w:abstractNumId w:val="9"/>
  </w:num>
  <w:num w:numId="12">
    <w:abstractNumId w:val="14"/>
  </w:num>
  <w:num w:numId="13">
    <w:abstractNumId w:val="8"/>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doNotValidateAgainstSchema/>
  <w:doNotDemarcateInvalidXml/>
  <w:footnotePr>
    <w:numRestart w:val="eachPage"/>
    <w:footnote w:id="34"/>
    <w:footnote w:id="35"/>
  </w:footnotePr>
  <w:compat>
    <w:spaceForUL/>
    <w:balanceSingleByteDoubleByteWidth/>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DZlYmFiNDc3NWE4MzZjMzdmZmQxMTMzNTA5MDIifQ=="/>
  </w:docVars>
  <w:rsids>
    <w:rsidRoot w:val="00172A27"/>
    <w:rsid w:val="000004AB"/>
    <w:rsid w:val="00000775"/>
    <w:rsid w:val="00001718"/>
    <w:rsid w:val="0000178B"/>
    <w:rsid w:val="000020E0"/>
    <w:rsid w:val="00002B70"/>
    <w:rsid w:val="00002CC0"/>
    <w:rsid w:val="00002D95"/>
    <w:rsid w:val="00003599"/>
    <w:rsid w:val="000038A5"/>
    <w:rsid w:val="00004097"/>
    <w:rsid w:val="00004D99"/>
    <w:rsid w:val="00005065"/>
    <w:rsid w:val="00006E23"/>
    <w:rsid w:val="00006F76"/>
    <w:rsid w:val="00010048"/>
    <w:rsid w:val="00010864"/>
    <w:rsid w:val="000110E1"/>
    <w:rsid w:val="000111CC"/>
    <w:rsid w:val="0001128E"/>
    <w:rsid w:val="000112F6"/>
    <w:rsid w:val="0001219D"/>
    <w:rsid w:val="000127BD"/>
    <w:rsid w:val="00013016"/>
    <w:rsid w:val="000140B4"/>
    <w:rsid w:val="00014387"/>
    <w:rsid w:val="0001477C"/>
    <w:rsid w:val="00014A1D"/>
    <w:rsid w:val="0001542B"/>
    <w:rsid w:val="00020C41"/>
    <w:rsid w:val="0002181F"/>
    <w:rsid w:val="0002218F"/>
    <w:rsid w:val="00022A03"/>
    <w:rsid w:val="00022A06"/>
    <w:rsid w:val="00023F0D"/>
    <w:rsid w:val="00024355"/>
    <w:rsid w:val="000244D7"/>
    <w:rsid w:val="000251F8"/>
    <w:rsid w:val="0002595D"/>
    <w:rsid w:val="00026563"/>
    <w:rsid w:val="00026634"/>
    <w:rsid w:val="00026CD1"/>
    <w:rsid w:val="000279F6"/>
    <w:rsid w:val="00027CE9"/>
    <w:rsid w:val="00030440"/>
    <w:rsid w:val="00032EB7"/>
    <w:rsid w:val="000333FF"/>
    <w:rsid w:val="000337EC"/>
    <w:rsid w:val="000338F8"/>
    <w:rsid w:val="00033F4A"/>
    <w:rsid w:val="00034055"/>
    <w:rsid w:val="00036021"/>
    <w:rsid w:val="00036AD7"/>
    <w:rsid w:val="00037528"/>
    <w:rsid w:val="000378EE"/>
    <w:rsid w:val="00037BB2"/>
    <w:rsid w:val="00037C69"/>
    <w:rsid w:val="00037E48"/>
    <w:rsid w:val="0004062C"/>
    <w:rsid w:val="0004082E"/>
    <w:rsid w:val="000408BD"/>
    <w:rsid w:val="00040CC1"/>
    <w:rsid w:val="00042EAD"/>
    <w:rsid w:val="00043E90"/>
    <w:rsid w:val="00044833"/>
    <w:rsid w:val="00044C29"/>
    <w:rsid w:val="00044E92"/>
    <w:rsid w:val="00044FE9"/>
    <w:rsid w:val="00045172"/>
    <w:rsid w:val="00045432"/>
    <w:rsid w:val="000455E1"/>
    <w:rsid w:val="00045AFC"/>
    <w:rsid w:val="00046C03"/>
    <w:rsid w:val="00047D23"/>
    <w:rsid w:val="000500ED"/>
    <w:rsid w:val="00050947"/>
    <w:rsid w:val="0005169A"/>
    <w:rsid w:val="0005180D"/>
    <w:rsid w:val="00051A84"/>
    <w:rsid w:val="00051D26"/>
    <w:rsid w:val="000545E9"/>
    <w:rsid w:val="00054D97"/>
    <w:rsid w:val="00055882"/>
    <w:rsid w:val="00055D20"/>
    <w:rsid w:val="000568D3"/>
    <w:rsid w:val="00056DF6"/>
    <w:rsid w:val="00057624"/>
    <w:rsid w:val="000578C6"/>
    <w:rsid w:val="00057AD9"/>
    <w:rsid w:val="00060FBE"/>
    <w:rsid w:val="00061357"/>
    <w:rsid w:val="00061516"/>
    <w:rsid w:val="000615AB"/>
    <w:rsid w:val="00061A8D"/>
    <w:rsid w:val="00063E86"/>
    <w:rsid w:val="00064734"/>
    <w:rsid w:val="00064DD7"/>
    <w:rsid w:val="0006507B"/>
    <w:rsid w:val="00065281"/>
    <w:rsid w:val="000658BD"/>
    <w:rsid w:val="00066E06"/>
    <w:rsid w:val="00066E40"/>
    <w:rsid w:val="000674C9"/>
    <w:rsid w:val="000710F0"/>
    <w:rsid w:val="000715D1"/>
    <w:rsid w:val="00071673"/>
    <w:rsid w:val="00071A4F"/>
    <w:rsid w:val="00071E09"/>
    <w:rsid w:val="00071FAE"/>
    <w:rsid w:val="00072373"/>
    <w:rsid w:val="000734D3"/>
    <w:rsid w:val="000743F3"/>
    <w:rsid w:val="00074CC4"/>
    <w:rsid w:val="00074E48"/>
    <w:rsid w:val="0007560C"/>
    <w:rsid w:val="00076772"/>
    <w:rsid w:val="00077AA9"/>
    <w:rsid w:val="00082A86"/>
    <w:rsid w:val="000837B0"/>
    <w:rsid w:val="00083E74"/>
    <w:rsid w:val="00084209"/>
    <w:rsid w:val="000847B2"/>
    <w:rsid w:val="00084AF5"/>
    <w:rsid w:val="00084E75"/>
    <w:rsid w:val="000852D5"/>
    <w:rsid w:val="000857E6"/>
    <w:rsid w:val="00085B57"/>
    <w:rsid w:val="000872AD"/>
    <w:rsid w:val="000873FD"/>
    <w:rsid w:val="000902E0"/>
    <w:rsid w:val="0009031E"/>
    <w:rsid w:val="000908C4"/>
    <w:rsid w:val="000912DF"/>
    <w:rsid w:val="00091B71"/>
    <w:rsid w:val="00091E92"/>
    <w:rsid w:val="0009203A"/>
    <w:rsid w:val="00092180"/>
    <w:rsid w:val="00092410"/>
    <w:rsid w:val="00092A38"/>
    <w:rsid w:val="00092F28"/>
    <w:rsid w:val="00093881"/>
    <w:rsid w:val="000947F5"/>
    <w:rsid w:val="0009485E"/>
    <w:rsid w:val="000948C1"/>
    <w:rsid w:val="00095106"/>
    <w:rsid w:val="00095BE8"/>
    <w:rsid w:val="00097273"/>
    <w:rsid w:val="0009731C"/>
    <w:rsid w:val="00097B86"/>
    <w:rsid w:val="00097BFE"/>
    <w:rsid w:val="00097CD5"/>
    <w:rsid w:val="000A14E8"/>
    <w:rsid w:val="000A1925"/>
    <w:rsid w:val="000A19ED"/>
    <w:rsid w:val="000A1AFF"/>
    <w:rsid w:val="000A20B1"/>
    <w:rsid w:val="000A2616"/>
    <w:rsid w:val="000A317C"/>
    <w:rsid w:val="000A3F8F"/>
    <w:rsid w:val="000A4131"/>
    <w:rsid w:val="000A424B"/>
    <w:rsid w:val="000A4724"/>
    <w:rsid w:val="000A5C38"/>
    <w:rsid w:val="000A5D52"/>
    <w:rsid w:val="000A7016"/>
    <w:rsid w:val="000A73BF"/>
    <w:rsid w:val="000A7620"/>
    <w:rsid w:val="000B0132"/>
    <w:rsid w:val="000B06E0"/>
    <w:rsid w:val="000B0A22"/>
    <w:rsid w:val="000B1479"/>
    <w:rsid w:val="000B22AA"/>
    <w:rsid w:val="000B235C"/>
    <w:rsid w:val="000B23BD"/>
    <w:rsid w:val="000B2D30"/>
    <w:rsid w:val="000B2E97"/>
    <w:rsid w:val="000B2F1A"/>
    <w:rsid w:val="000B3026"/>
    <w:rsid w:val="000B43BF"/>
    <w:rsid w:val="000B4431"/>
    <w:rsid w:val="000B511B"/>
    <w:rsid w:val="000B5441"/>
    <w:rsid w:val="000B5C00"/>
    <w:rsid w:val="000B5C78"/>
    <w:rsid w:val="000B661E"/>
    <w:rsid w:val="000B6835"/>
    <w:rsid w:val="000B6C72"/>
    <w:rsid w:val="000B6F5C"/>
    <w:rsid w:val="000B71FA"/>
    <w:rsid w:val="000B7799"/>
    <w:rsid w:val="000C1D55"/>
    <w:rsid w:val="000C2858"/>
    <w:rsid w:val="000C4076"/>
    <w:rsid w:val="000C5483"/>
    <w:rsid w:val="000C59EB"/>
    <w:rsid w:val="000C66E1"/>
    <w:rsid w:val="000D08A9"/>
    <w:rsid w:val="000D0BE9"/>
    <w:rsid w:val="000D1500"/>
    <w:rsid w:val="000D33B6"/>
    <w:rsid w:val="000D360B"/>
    <w:rsid w:val="000D38EB"/>
    <w:rsid w:val="000D3A15"/>
    <w:rsid w:val="000D4101"/>
    <w:rsid w:val="000D5819"/>
    <w:rsid w:val="000D6840"/>
    <w:rsid w:val="000D6C47"/>
    <w:rsid w:val="000D7091"/>
    <w:rsid w:val="000D7834"/>
    <w:rsid w:val="000E04C7"/>
    <w:rsid w:val="000E0701"/>
    <w:rsid w:val="000E129A"/>
    <w:rsid w:val="000E1353"/>
    <w:rsid w:val="000E267A"/>
    <w:rsid w:val="000E2CAC"/>
    <w:rsid w:val="000E34C9"/>
    <w:rsid w:val="000E3E06"/>
    <w:rsid w:val="000E3F65"/>
    <w:rsid w:val="000E64C1"/>
    <w:rsid w:val="000E65CF"/>
    <w:rsid w:val="000E7569"/>
    <w:rsid w:val="000E75ED"/>
    <w:rsid w:val="000E7AE7"/>
    <w:rsid w:val="000F1574"/>
    <w:rsid w:val="000F2E6E"/>
    <w:rsid w:val="000F4023"/>
    <w:rsid w:val="000F46E1"/>
    <w:rsid w:val="000F4DEF"/>
    <w:rsid w:val="000F5232"/>
    <w:rsid w:val="000F621B"/>
    <w:rsid w:val="000F687E"/>
    <w:rsid w:val="000F6ED2"/>
    <w:rsid w:val="000F712B"/>
    <w:rsid w:val="00100277"/>
    <w:rsid w:val="001005DA"/>
    <w:rsid w:val="00100C8F"/>
    <w:rsid w:val="00101854"/>
    <w:rsid w:val="00101E0E"/>
    <w:rsid w:val="00102933"/>
    <w:rsid w:val="00102EFF"/>
    <w:rsid w:val="00104781"/>
    <w:rsid w:val="001051DF"/>
    <w:rsid w:val="00105772"/>
    <w:rsid w:val="0010767E"/>
    <w:rsid w:val="00107A9B"/>
    <w:rsid w:val="00107F40"/>
    <w:rsid w:val="00110166"/>
    <w:rsid w:val="0011069A"/>
    <w:rsid w:val="001107DE"/>
    <w:rsid w:val="00111BD5"/>
    <w:rsid w:val="00111ECD"/>
    <w:rsid w:val="00112B27"/>
    <w:rsid w:val="0011381E"/>
    <w:rsid w:val="00114295"/>
    <w:rsid w:val="00114704"/>
    <w:rsid w:val="00114C2E"/>
    <w:rsid w:val="001161E3"/>
    <w:rsid w:val="00116A55"/>
    <w:rsid w:val="0011763D"/>
    <w:rsid w:val="00120DFE"/>
    <w:rsid w:val="0012120C"/>
    <w:rsid w:val="001216CD"/>
    <w:rsid w:val="001219AE"/>
    <w:rsid w:val="00121AD4"/>
    <w:rsid w:val="0012213F"/>
    <w:rsid w:val="00122E64"/>
    <w:rsid w:val="00124026"/>
    <w:rsid w:val="001263D4"/>
    <w:rsid w:val="00126A34"/>
    <w:rsid w:val="00130A57"/>
    <w:rsid w:val="00130C80"/>
    <w:rsid w:val="00130FA5"/>
    <w:rsid w:val="0013249A"/>
    <w:rsid w:val="00132BAA"/>
    <w:rsid w:val="00133695"/>
    <w:rsid w:val="0013387B"/>
    <w:rsid w:val="00136255"/>
    <w:rsid w:val="00136CCF"/>
    <w:rsid w:val="0013717D"/>
    <w:rsid w:val="00137C10"/>
    <w:rsid w:val="00140594"/>
    <w:rsid w:val="00141AE7"/>
    <w:rsid w:val="00141E9D"/>
    <w:rsid w:val="00141FDC"/>
    <w:rsid w:val="00142573"/>
    <w:rsid w:val="0014337C"/>
    <w:rsid w:val="001442B6"/>
    <w:rsid w:val="001453E8"/>
    <w:rsid w:val="00145BA1"/>
    <w:rsid w:val="00145C5C"/>
    <w:rsid w:val="00146FC7"/>
    <w:rsid w:val="00147513"/>
    <w:rsid w:val="00150279"/>
    <w:rsid w:val="00151C32"/>
    <w:rsid w:val="001530A0"/>
    <w:rsid w:val="00153332"/>
    <w:rsid w:val="00153546"/>
    <w:rsid w:val="00153A6F"/>
    <w:rsid w:val="00153FB1"/>
    <w:rsid w:val="0015445F"/>
    <w:rsid w:val="00154C58"/>
    <w:rsid w:val="00154F7B"/>
    <w:rsid w:val="00155157"/>
    <w:rsid w:val="00155A73"/>
    <w:rsid w:val="00156111"/>
    <w:rsid w:val="0015712C"/>
    <w:rsid w:val="00157280"/>
    <w:rsid w:val="00157E70"/>
    <w:rsid w:val="001611F0"/>
    <w:rsid w:val="0016176C"/>
    <w:rsid w:val="001619D7"/>
    <w:rsid w:val="00162516"/>
    <w:rsid w:val="001627BC"/>
    <w:rsid w:val="001629BF"/>
    <w:rsid w:val="00162B6F"/>
    <w:rsid w:val="00162C17"/>
    <w:rsid w:val="00162E31"/>
    <w:rsid w:val="00162FCE"/>
    <w:rsid w:val="0016312D"/>
    <w:rsid w:val="00163D4B"/>
    <w:rsid w:val="00163D75"/>
    <w:rsid w:val="00164880"/>
    <w:rsid w:val="00166BB7"/>
    <w:rsid w:val="0017103E"/>
    <w:rsid w:val="001715FE"/>
    <w:rsid w:val="0017176D"/>
    <w:rsid w:val="00171D2C"/>
    <w:rsid w:val="001729D6"/>
    <w:rsid w:val="00172A27"/>
    <w:rsid w:val="0017320A"/>
    <w:rsid w:val="001734F0"/>
    <w:rsid w:val="0017354E"/>
    <w:rsid w:val="00175931"/>
    <w:rsid w:val="001761C1"/>
    <w:rsid w:val="00176ABC"/>
    <w:rsid w:val="00176B87"/>
    <w:rsid w:val="001773FA"/>
    <w:rsid w:val="00177E24"/>
    <w:rsid w:val="001804B6"/>
    <w:rsid w:val="00180935"/>
    <w:rsid w:val="00182989"/>
    <w:rsid w:val="00183F58"/>
    <w:rsid w:val="0018439F"/>
    <w:rsid w:val="001844B9"/>
    <w:rsid w:val="0018562F"/>
    <w:rsid w:val="00186CFD"/>
    <w:rsid w:val="001871BB"/>
    <w:rsid w:val="0018729E"/>
    <w:rsid w:val="00190E33"/>
    <w:rsid w:val="00190E85"/>
    <w:rsid w:val="00191449"/>
    <w:rsid w:val="00192411"/>
    <w:rsid w:val="001928C0"/>
    <w:rsid w:val="0019394F"/>
    <w:rsid w:val="00195567"/>
    <w:rsid w:val="001968E6"/>
    <w:rsid w:val="0019789E"/>
    <w:rsid w:val="001A0C4A"/>
    <w:rsid w:val="001A2084"/>
    <w:rsid w:val="001A2BAB"/>
    <w:rsid w:val="001A2DC0"/>
    <w:rsid w:val="001A411B"/>
    <w:rsid w:val="001A4318"/>
    <w:rsid w:val="001A635A"/>
    <w:rsid w:val="001A67DF"/>
    <w:rsid w:val="001A6EEA"/>
    <w:rsid w:val="001A79C2"/>
    <w:rsid w:val="001B0354"/>
    <w:rsid w:val="001B1C7B"/>
    <w:rsid w:val="001B2FB9"/>
    <w:rsid w:val="001B305C"/>
    <w:rsid w:val="001B3474"/>
    <w:rsid w:val="001B4615"/>
    <w:rsid w:val="001B4930"/>
    <w:rsid w:val="001B6D94"/>
    <w:rsid w:val="001B7055"/>
    <w:rsid w:val="001C0366"/>
    <w:rsid w:val="001C2594"/>
    <w:rsid w:val="001C2A32"/>
    <w:rsid w:val="001C37AE"/>
    <w:rsid w:val="001C3D3C"/>
    <w:rsid w:val="001C4404"/>
    <w:rsid w:val="001C4F20"/>
    <w:rsid w:val="001C4F7C"/>
    <w:rsid w:val="001C56FE"/>
    <w:rsid w:val="001C70D5"/>
    <w:rsid w:val="001C71D2"/>
    <w:rsid w:val="001C7DBA"/>
    <w:rsid w:val="001D0676"/>
    <w:rsid w:val="001D0B3B"/>
    <w:rsid w:val="001D2907"/>
    <w:rsid w:val="001D2E80"/>
    <w:rsid w:val="001D3394"/>
    <w:rsid w:val="001D3A3A"/>
    <w:rsid w:val="001D4FD1"/>
    <w:rsid w:val="001D5FF8"/>
    <w:rsid w:val="001D6C34"/>
    <w:rsid w:val="001D6F18"/>
    <w:rsid w:val="001D6FD5"/>
    <w:rsid w:val="001D7CF5"/>
    <w:rsid w:val="001D7D62"/>
    <w:rsid w:val="001E051A"/>
    <w:rsid w:val="001E05C7"/>
    <w:rsid w:val="001E1554"/>
    <w:rsid w:val="001E1984"/>
    <w:rsid w:val="001E1B90"/>
    <w:rsid w:val="001E224F"/>
    <w:rsid w:val="001E277A"/>
    <w:rsid w:val="001E29D2"/>
    <w:rsid w:val="001E3763"/>
    <w:rsid w:val="001E40E1"/>
    <w:rsid w:val="001E4DA7"/>
    <w:rsid w:val="001E4DE4"/>
    <w:rsid w:val="001E4EBA"/>
    <w:rsid w:val="001E56F8"/>
    <w:rsid w:val="001E5701"/>
    <w:rsid w:val="001E5CB6"/>
    <w:rsid w:val="001E5D28"/>
    <w:rsid w:val="001E63FF"/>
    <w:rsid w:val="001E6AF7"/>
    <w:rsid w:val="001E7261"/>
    <w:rsid w:val="001E79AF"/>
    <w:rsid w:val="001E7F6B"/>
    <w:rsid w:val="001F0411"/>
    <w:rsid w:val="001F06B5"/>
    <w:rsid w:val="001F26E2"/>
    <w:rsid w:val="001F26FD"/>
    <w:rsid w:val="001F27B3"/>
    <w:rsid w:val="001F382F"/>
    <w:rsid w:val="001F3BD1"/>
    <w:rsid w:val="001F3EF5"/>
    <w:rsid w:val="001F4B1D"/>
    <w:rsid w:val="001F545F"/>
    <w:rsid w:val="001F553C"/>
    <w:rsid w:val="001F5A28"/>
    <w:rsid w:val="001F5C07"/>
    <w:rsid w:val="001F64D5"/>
    <w:rsid w:val="001F68F6"/>
    <w:rsid w:val="001F7DB2"/>
    <w:rsid w:val="001F7FAA"/>
    <w:rsid w:val="002001C9"/>
    <w:rsid w:val="00200559"/>
    <w:rsid w:val="002012F8"/>
    <w:rsid w:val="0020131D"/>
    <w:rsid w:val="0020162D"/>
    <w:rsid w:val="00201650"/>
    <w:rsid w:val="00201717"/>
    <w:rsid w:val="00201A78"/>
    <w:rsid w:val="00202E3B"/>
    <w:rsid w:val="00203256"/>
    <w:rsid w:val="002039DC"/>
    <w:rsid w:val="00203A5D"/>
    <w:rsid w:val="002050DB"/>
    <w:rsid w:val="0020546C"/>
    <w:rsid w:val="00206E49"/>
    <w:rsid w:val="00207A39"/>
    <w:rsid w:val="00210AA7"/>
    <w:rsid w:val="00212129"/>
    <w:rsid w:val="002128D9"/>
    <w:rsid w:val="00212BB8"/>
    <w:rsid w:val="002135DC"/>
    <w:rsid w:val="00214488"/>
    <w:rsid w:val="00215C80"/>
    <w:rsid w:val="00216888"/>
    <w:rsid w:val="0022006B"/>
    <w:rsid w:val="002201D4"/>
    <w:rsid w:val="002207B5"/>
    <w:rsid w:val="00221309"/>
    <w:rsid w:val="00221D82"/>
    <w:rsid w:val="00222EF3"/>
    <w:rsid w:val="0022326D"/>
    <w:rsid w:val="0022337C"/>
    <w:rsid w:val="00225A81"/>
    <w:rsid w:val="00226FCE"/>
    <w:rsid w:val="00227324"/>
    <w:rsid w:val="00231480"/>
    <w:rsid w:val="00231F37"/>
    <w:rsid w:val="00232430"/>
    <w:rsid w:val="00234508"/>
    <w:rsid w:val="0023544B"/>
    <w:rsid w:val="00235B91"/>
    <w:rsid w:val="00236D4A"/>
    <w:rsid w:val="00236E97"/>
    <w:rsid w:val="00237066"/>
    <w:rsid w:val="002378F9"/>
    <w:rsid w:val="00240221"/>
    <w:rsid w:val="00240BC5"/>
    <w:rsid w:val="00241014"/>
    <w:rsid w:val="0024221C"/>
    <w:rsid w:val="00242AE8"/>
    <w:rsid w:val="00243255"/>
    <w:rsid w:val="00243666"/>
    <w:rsid w:val="00243B45"/>
    <w:rsid w:val="00243BBB"/>
    <w:rsid w:val="002445CA"/>
    <w:rsid w:val="0024541C"/>
    <w:rsid w:val="00245D5E"/>
    <w:rsid w:val="0024658E"/>
    <w:rsid w:val="00246ADD"/>
    <w:rsid w:val="002475E7"/>
    <w:rsid w:val="0024765A"/>
    <w:rsid w:val="0024793A"/>
    <w:rsid w:val="0025038C"/>
    <w:rsid w:val="00250D51"/>
    <w:rsid w:val="00250E00"/>
    <w:rsid w:val="0025175C"/>
    <w:rsid w:val="00251B22"/>
    <w:rsid w:val="002529EC"/>
    <w:rsid w:val="00252B8C"/>
    <w:rsid w:val="00252E48"/>
    <w:rsid w:val="002533C0"/>
    <w:rsid w:val="00254034"/>
    <w:rsid w:val="002548F3"/>
    <w:rsid w:val="00254AA4"/>
    <w:rsid w:val="00254B1E"/>
    <w:rsid w:val="002551E2"/>
    <w:rsid w:val="002568BA"/>
    <w:rsid w:val="00256B7B"/>
    <w:rsid w:val="002574DC"/>
    <w:rsid w:val="00257D47"/>
    <w:rsid w:val="00257E3F"/>
    <w:rsid w:val="002605D6"/>
    <w:rsid w:val="00260AC8"/>
    <w:rsid w:val="00260ACF"/>
    <w:rsid w:val="00261455"/>
    <w:rsid w:val="00261CCD"/>
    <w:rsid w:val="00262377"/>
    <w:rsid w:val="002623E7"/>
    <w:rsid w:val="00262561"/>
    <w:rsid w:val="00262759"/>
    <w:rsid w:val="00263C99"/>
    <w:rsid w:val="00263E6E"/>
    <w:rsid w:val="00264584"/>
    <w:rsid w:val="002655F6"/>
    <w:rsid w:val="00265A2F"/>
    <w:rsid w:val="0026692C"/>
    <w:rsid w:val="002715B3"/>
    <w:rsid w:val="00272348"/>
    <w:rsid w:val="00272521"/>
    <w:rsid w:val="00272660"/>
    <w:rsid w:val="00272FA1"/>
    <w:rsid w:val="002738C2"/>
    <w:rsid w:val="002739F3"/>
    <w:rsid w:val="002746AF"/>
    <w:rsid w:val="00275A4C"/>
    <w:rsid w:val="00275ED5"/>
    <w:rsid w:val="00275FDF"/>
    <w:rsid w:val="002770B3"/>
    <w:rsid w:val="00277115"/>
    <w:rsid w:val="0028097C"/>
    <w:rsid w:val="00281851"/>
    <w:rsid w:val="002823F4"/>
    <w:rsid w:val="00283506"/>
    <w:rsid w:val="002835A7"/>
    <w:rsid w:val="002838C0"/>
    <w:rsid w:val="00284645"/>
    <w:rsid w:val="002860D2"/>
    <w:rsid w:val="002860D8"/>
    <w:rsid w:val="002861A0"/>
    <w:rsid w:val="00286597"/>
    <w:rsid w:val="00287274"/>
    <w:rsid w:val="00287A32"/>
    <w:rsid w:val="002907F9"/>
    <w:rsid w:val="0029390D"/>
    <w:rsid w:val="00293C80"/>
    <w:rsid w:val="00294592"/>
    <w:rsid w:val="00294779"/>
    <w:rsid w:val="0029535E"/>
    <w:rsid w:val="00296224"/>
    <w:rsid w:val="00296FDD"/>
    <w:rsid w:val="0029743B"/>
    <w:rsid w:val="00297E5F"/>
    <w:rsid w:val="002A01F2"/>
    <w:rsid w:val="002A04ED"/>
    <w:rsid w:val="002A1543"/>
    <w:rsid w:val="002A18EE"/>
    <w:rsid w:val="002A2352"/>
    <w:rsid w:val="002A45F4"/>
    <w:rsid w:val="002A494F"/>
    <w:rsid w:val="002A4C86"/>
    <w:rsid w:val="002A53CB"/>
    <w:rsid w:val="002A55C6"/>
    <w:rsid w:val="002A66D8"/>
    <w:rsid w:val="002A6C37"/>
    <w:rsid w:val="002A7505"/>
    <w:rsid w:val="002A7CDF"/>
    <w:rsid w:val="002B02D5"/>
    <w:rsid w:val="002B09A4"/>
    <w:rsid w:val="002B2259"/>
    <w:rsid w:val="002B24F5"/>
    <w:rsid w:val="002B2BDA"/>
    <w:rsid w:val="002B325B"/>
    <w:rsid w:val="002B35F7"/>
    <w:rsid w:val="002B45AD"/>
    <w:rsid w:val="002B5788"/>
    <w:rsid w:val="002B616A"/>
    <w:rsid w:val="002B6486"/>
    <w:rsid w:val="002B7563"/>
    <w:rsid w:val="002C0441"/>
    <w:rsid w:val="002C04DD"/>
    <w:rsid w:val="002C1464"/>
    <w:rsid w:val="002C2038"/>
    <w:rsid w:val="002C2143"/>
    <w:rsid w:val="002C3696"/>
    <w:rsid w:val="002C3B80"/>
    <w:rsid w:val="002C3FAC"/>
    <w:rsid w:val="002C5413"/>
    <w:rsid w:val="002C5776"/>
    <w:rsid w:val="002C5CD5"/>
    <w:rsid w:val="002C67E7"/>
    <w:rsid w:val="002C67FC"/>
    <w:rsid w:val="002C689D"/>
    <w:rsid w:val="002D04FE"/>
    <w:rsid w:val="002D07CF"/>
    <w:rsid w:val="002D1AC2"/>
    <w:rsid w:val="002D2462"/>
    <w:rsid w:val="002D24A7"/>
    <w:rsid w:val="002D2946"/>
    <w:rsid w:val="002D2CAC"/>
    <w:rsid w:val="002D38D7"/>
    <w:rsid w:val="002D38E2"/>
    <w:rsid w:val="002D4EE9"/>
    <w:rsid w:val="002D4F69"/>
    <w:rsid w:val="002D511B"/>
    <w:rsid w:val="002D584E"/>
    <w:rsid w:val="002D5C0A"/>
    <w:rsid w:val="002D5E66"/>
    <w:rsid w:val="002D618C"/>
    <w:rsid w:val="002D6261"/>
    <w:rsid w:val="002D769C"/>
    <w:rsid w:val="002D796E"/>
    <w:rsid w:val="002E21B0"/>
    <w:rsid w:val="002E248D"/>
    <w:rsid w:val="002E4530"/>
    <w:rsid w:val="002E4C54"/>
    <w:rsid w:val="002E56FF"/>
    <w:rsid w:val="002E57E1"/>
    <w:rsid w:val="002E6E7C"/>
    <w:rsid w:val="002E6ECE"/>
    <w:rsid w:val="002E742D"/>
    <w:rsid w:val="002F117E"/>
    <w:rsid w:val="002F1D28"/>
    <w:rsid w:val="002F1D9F"/>
    <w:rsid w:val="002F232F"/>
    <w:rsid w:val="002F27E1"/>
    <w:rsid w:val="002F33B7"/>
    <w:rsid w:val="002F344B"/>
    <w:rsid w:val="002F3537"/>
    <w:rsid w:val="002F38E8"/>
    <w:rsid w:val="002F3972"/>
    <w:rsid w:val="002F3C34"/>
    <w:rsid w:val="002F3E56"/>
    <w:rsid w:val="002F4816"/>
    <w:rsid w:val="002F57E6"/>
    <w:rsid w:val="002F77DB"/>
    <w:rsid w:val="0030002A"/>
    <w:rsid w:val="00301D06"/>
    <w:rsid w:val="00302C6C"/>
    <w:rsid w:val="00303372"/>
    <w:rsid w:val="00303B0F"/>
    <w:rsid w:val="00305F5C"/>
    <w:rsid w:val="003078C0"/>
    <w:rsid w:val="00307955"/>
    <w:rsid w:val="0031185A"/>
    <w:rsid w:val="00312603"/>
    <w:rsid w:val="00312ED8"/>
    <w:rsid w:val="00313C43"/>
    <w:rsid w:val="00313D45"/>
    <w:rsid w:val="003140A4"/>
    <w:rsid w:val="00314CBE"/>
    <w:rsid w:val="003154C8"/>
    <w:rsid w:val="003159EE"/>
    <w:rsid w:val="003164F8"/>
    <w:rsid w:val="00316577"/>
    <w:rsid w:val="00316688"/>
    <w:rsid w:val="00316DF3"/>
    <w:rsid w:val="0031738E"/>
    <w:rsid w:val="0031755F"/>
    <w:rsid w:val="00317595"/>
    <w:rsid w:val="00317880"/>
    <w:rsid w:val="00317B17"/>
    <w:rsid w:val="00317E07"/>
    <w:rsid w:val="00320231"/>
    <w:rsid w:val="0032043F"/>
    <w:rsid w:val="00320D8C"/>
    <w:rsid w:val="00320F4C"/>
    <w:rsid w:val="00321693"/>
    <w:rsid w:val="00321B39"/>
    <w:rsid w:val="00321F7A"/>
    <w:rsid w:val="003222A5"/>
    <w:rsid w:val="00324C5C"/>
    <w:rsid w:val="00325938"/>
    <w:rsid w:val="00326DB6"/>
    <w:rsid w:val="003301FC"/>
    <w:rsid w:val="00330840"/>
    <w:rsid w:val="0033087C"/>
    <w:rsid w:val="0033241D"/>
    <w:rsid w:val="0033269B"/>
    <w:rsid w:val="00332909"/>
    <w:rsid w:val="0033290F"/>
    <w:rsid w:val="00332FB4"/>
    <w:rsid w:val="00333CAC"/>
    <w:rsid w:val="003342B9"/>
    <w:rsid w:val="00334C0B"/>
    <w:rsid w:val="00336AD8"/>
    <w:rsid w:val="0033727C"/>
    <w:rsid w:val="00337830"/>
    <w:rsid w:val="00337847"/>
    <w:rsid w:val="00337E57"/>
    <w:rsid w:val="003404EC"/>
    <w:rsid w:val="00341145"/>
    <w:rsid w:val="00342C5C"/>
    <w:rsid w:val="00343A8B"/>
    <w:rsid w:val="0034485E"/>
    <w:rsid w:val="0034543E"/>
    <w:rsid w:val="0034586E"/>
    <w:rsid w:val="00346B31"/>
    <w:rsid w:val="00347581"/>
    <w:rsid w:val="00347ED7"/>
    <w:rsid w:val="00350F60"/>
    <w:rsid w:val="00351FE3"/>
    <w:rsid w:val="003522B1"/>
    <w:rsid w:val="003526A8"/>
    <w:rsid w:val="00352A83"/>
    <w:rsid w:val="00352B06"/>
    <w:rsid w:val="00352F4F"/>
    <w:rsid w:val="00353FBB"/>
    <w:rsid w:val="003540F4"/>
    <w:rsid w:val="00354FE8"/>
    <w:rsid w:val="0035506D"/>
    <w:rsid w:val="00355145"/>
    <w:rsid w:val="0035598C"/>
    <w:rsid w:val="00356A9D"/>
    <w:rsid w:val="00356F0D"/>
    <w:rsid w:val="0035701A"/>
    <w:rsid w:val="0035745D"/>
    <w:rsid w:val="00357CA9"/>
    <w:rsid w:val="003613D1"/>
    <w:rsid w:val="0036163D"/>
    <w:rsid w:val="00361AA2"/>
    <w:rsid w:val="003623AD"/>
    <w:rsid w:val="00364975"/>
    <w:rsid w:val="00364E08"/>
    <w:rsid w:val="00364E3A"/>
    <w:rsid w:val="00365632"/>
    <w:rsid w:val="00365E06"/>
    <w:rsid w:val="0036642C"/>
    <w:rsid w:val="00366FD2"/>
    <w:rsid w:val="003675C4"/>
    <w:rsid w:val="00367691"/>
    <w:rsid w:val="00367DD0"/>
    <w:rsid w:val="0037009A"/>
    <w:rsid w:val="00370131"/>
    <w:rsid w:val="0037085F"/>
    <w:rsid w:val="0037101E"/>
    <w:rsid w:val="0037216D"/>
    <w:rsid w:val="00373F3C"/>
    <w:rsid w:val="003744B1"/>
    <w:rsid w:val="003759D9"/>
    <w:rsid w:val="00376194"/>
    <w:rsid w:val="003778B6"/>
    <w:rsid w:val="00377C89"/>
    <w:rsid w:val="00380002"/>
    <w:rsid w:val="0038031E"/>
    <w:rsid w:val="00380D63"/>
    <w:rsid w:val="00381021"/>
    <w:rsid w:val="0038203A"/>
    <w:rsid w:val="0038242D"/>
    <w:rsid w:val="00382C54"/>
    <w:rsid w:val="00383CC7"/>
    <w:rsid w:val="00383F82"/>
    <w:rsid w:val="00384FC2"/>
    <w:rsid w:val="00384FF6"/>
    <w:rsid w:val="00386950"/>
    <w:rsid w:val="00386B85"/>
    <w:rsid w:val="00387BEB"/>
    <w:rsid w:val="00390D0E"/>
    <w:rsid w:val="003919F0"/>
    <w:rsid w:val="00392003"/>
    <w:rsid w:val="00392690"/>
    <w:rsid w:val="003929A5"/>
    <w:rsid w:val="00392C5E"/>
    <w:rsid w:val="003936AB"/>
    <w:rsid w:val="00393CF8"/>
    <w:rsid w:val="0039528B"/>
    <w:rsid w:val="00396899"/>
    <w:rsid w:val="00396E61"/>
    <w:rsid w:val="003973A0"/>
    <w:rsid w:val="00397561"/>
    <w:rsid w:val="003976DD"/>
    <w:rsid w:val="00397C3A"/>
    <w:rsid w:val="003A0821"/>
    <w:rsid w:val="003A0850"/>
    <w:rsid w:val="003A1D03"/>
    <w:rsid w:val="003A30E2"/>
    <w:rsid w:val="003A3394"/>
    <w:rsid w:val="003A3D74"/>
    <w:rsid w:val="003A4A70"/>
    <w:rsid w:val="003A6B64"/>
    <w:rsid w:val="003A724E"/>
    <w:rsid w:val="003B032F"/>
    <w:rsid w:val="003B05DB"/>
    <w:rsid w:val="003B0779"/>
    <w:rsid w:val="003B10F7"/>
    <w:rsid w:val="003B16F3"/>
    <w:rsid w:val="003B1718"/>
    <w:rsid w:val="003B17E3"/>
    <w:rsid w:val="003B18DE"/>
    <w:rsid w:val="003B1DE0"/>
    <w:rsid w:val="003B1EBE"/>
    <w:rsid w:val="003B261F"/>
    <w:rsid w:val="003B273D"/>
    <w:rsid w:val="003B2DD0"/>
    <w:rsid w:val="003B2EE3"/>
    <w:rsid w:val="003B33C9"/>
    <w:rsid w:val="003B3BED"/>
    <w:rsid w:val="003B453F"/>
    <w:rsid w:val="003B48E3"/>
    <w:rsid w:val="003B5424"/>
    <w:rsid w:val="003B6227"/>
    <w:rsid w:val="003B6CBC"/>
    <w:rsid w:val="003B6CE7"/>
    <w:rsid w:val="003B7512"/>
    <w:rsid w:val="003B7DE2"/>
    <w:rsid w:val="003B7F73"/>
    <w:rsid w:val="003C024A"/>
    <w:rsid w:val="003C1DAD"/>
    <w:rsid w:val="003C2DF5"/>
    <w:rsid w:val="003C2E33"/>
    <w:rsid w:val="003C30ED"/>
    <w:rsid w:val="003C312F"/>
    <w:rsid w:val="003C3312"/>
    <w:rsid w:val="003C3347"/>
    <w:rsid w:val="003C341F"/>
    <w:rsid w:val="003C36A9"/>
    <w:rsid w:val="003C49ED"/>
    <w:rsid w:val="003C5034"/>
    <w:rsid w:val="003C530C"/>
    <w:rsid w:val="003C5F62"/>
    <w:rsid w:val="003C7BDE"/>
    <w:rsid w:val="003D19A1"/>
    <w:rsid w:val="003D2364"/>
    <w:rsid w:val="003D2AC5"/>
    <w:rsid w:val="003D2B16"/>
    <w:rsid w:val="003D3953"/>
    <w:rsid w:val="003D3B54"/>
    <w:rsid w:val="003D428C"/>
    <w:rsid w:val="003D51AD"/>
    <w:rsid w:val="003D5264"/>
    <w:rsid w:val="003D5346"/>
    <w:rsid w:val="003D72FA"/>
    <w:rsid w:val="003D7F80"/>
    <w:rsid w:val="003E0D67"/>
    <w:rsid w:val="003E21E6"/>
    <w:rsid w:val="003E2BA1"/>
    <w:rsid w:val="003E2F59"/>
    <w:rsid w:val="003E3316"/>
    <w:rsid w:val="003E35ED"/>
    <w:rsid w:val="003E3DE2"/>
    <w:rsid w:val="003E4E3B"/>
    <w:rsid w:val="003E5017"/>
    <w:rsid w:val="003E511E"/>
    <w:rsid w:val="003E5444"/>
    <w:rsid w:val="003E5BA8"/>
    <w:rsid w:val="003E6804"/>
    <w:rsid w:val="003E748F"/>
    <w:rsid w:val="003E7B0C"/>
    <w:rsid w:val="003F008D"/>
    <w:rsid w:val="003F0442"/>
    <w:rsid w:val="003F1069"/>
    <w:rsid w:val="003F11D4"/>
    <w:rsid w:val="003F128B"/>
    <w:rsid w:val="003F13A8"/>
    <w:rsid w:val="003F197D"/>
    <w:rsid w:val="003F21AA"/>
    <w:rsid w:val="003F2CC5"/>
    <w:rsid w:val="003F46C0"/>
    <w:rsid w:val="003F4907"/>
    <w:rsid w:val="003F4C8F"/>
    <w:rsid w:val="003F596D"/>
    <w:rsid w:val="003F68A9"/>
    <w:rsid w:val="003F6B17"/>
    <w:rsid w:val="003F6B6D"/>
    <w:rsid w:val="003F6BB7"/>
    <w:rsid w:val="00400D8C"/>
    <w:rsid w:val="00400EE9"/>
    <w:rsid w:val="00401572"/>
    <w:rsid w:val="0040181E"/>
    <w:rsid w:val="00401DCC"/>
    <w:rsid w:val="0040268E"/>
    <w:rsid w:val="00402981"/>
    <w:rsid w:val="004029F7"/>
    <w:rsid w:val="00402D9E"/>
    <w:rsid w:val="004035B2"/>
    <w:rsid w:val="0040372D"/>
    <w:rsid w:val="0040399F"/>
    <w:rsid w:val="00403BBC"/>
    <w:rsid w:val="00403DAF"/>
    <w:rsid w:val="00403FE1"/>
    <w:rsid w:val="0040409A"/>
    <w:rsid w:val="00404C10"/>
    <w:rsid w:val="00404D24"/>
    <w:rsid w:val="00405D59"/>
    <w:rsid w:val="00407024"/>
    <w:rsid w:val="00407810"/>
    <w:rsid w:val="00410290"/>
    <w:rsid w:val="00410431"/>
    <w:rsid w:val="00410450"/>
    <w:rsid w:val="004111BC"/>
    <w:rsid w:val="00412122"/>
    <w:rsid w:val="00412CBE"/>
    <w:rsid w:val="00413490"/>
    <w:rsid w:val="00414021"/>
    <w:rsid w:val="00414BD8"/>
    <w:rsid w:val="00414C9A"/>
    <w:rsid w:val="00415065"/>
    <w:rsid w:val="0041607E"/>
    <w:rsid w:val="004161E8"/>
    <w:rsid w:val="00416823"/>
    <w:rsid w:val="00417237"/>
    <w:rsid w:val="00417BE6"/>
    <w:rsid w:val="0042010F"/>
    <w:rsid w:val="00420787"/>
    <w:rsid w:val="00421FD3"/>
    <w:rsid w:val="00422A90"/>
    <w:rsid w:val="00422B4E"/>
    <w:rsid w:val="004231D4"/>
    <w:rsid w:val="00423826"/>
    <w:rsid w:val="00424091"/>
    <w:rsid w:val="00424203"/>
    <w:rsid w:val="00424537"/>
    <w:rsid w:val="0042471B"/>
    <w:rsid w:val="00424E01"/>
    <w:rsid w:val="00424F33"/>
    <w:rsid w:val="00425760"/>
    <w:rsid w:val="004264A4"/>
    <w:rsid w:val="00426D17"/>
    <w:rsid w:val="00430885"/>
    <w:rsid w:val="00431B04"/>
    <w:rsid w:val="00432152"/>
    <w:rsid w:val="004322C3"/>
    <w:rsid w:val="004322F3"/>
    <w:rsid w:val="00432FC8"/>
    <w:rsid w:val="004333A9"/>
    <w:rsid w:val="0043342E"/>
    <w:rsid w:val="004338DD"/>
    <w:rsid w:val="00433E51"/>
    <w:rsid w:val="004346BE"/>
    <w:rsid w:val="0043474A"/>
    <w:rsid w:val="00434ED7"/>
    <w:rsid w:val="004353B1"/>
    <w:rsid w:val="0043606E"/>
    <w:rsid w:val="004362BE"/>
    <w:rsid w:val="00436465"/>
    <w:rsid w:val="00436A61"/>
    <w:rsid w:val="004378C3"/>
    <w:rsid w:val="00437BC3"/>
    <w:rsid w:val="00437FE6"/>
    <w:rsid w:val="00440D36"/>
    <w:rsid w:val="00440DD5"/>
    <w:rsid w:val="004412FF"/>
    <w:rsid w:val="0044200B"/>
    <w:rsid w:val="00442C91"/>
    <w:rsid w:val="00442ED6"/>
    <w:rsid w:val="0044314D"/>
    <w:rsid w:val="00443B42"/>
    <w:rsid w:val="00443C9E"/>
    <w:rsid w:val="00444D1E"/>
    <w:rsid w:val="004451EA"/>
    <w:rsid w:val="00445CDA"/>
    <w:rsid w:val="0044707F"/>
    <w:rsid w:val="00450136"/>
    <w:rsid w:val="00450467"/>
    <w:rsid w:val="004506EA"/>
    <w:rsid w:val="00450B2F"/>
    <w:rsid w:val="0045494C"/>
    <w:rsid w:val="00455026"/>
    <w:rsid w:val="00455478"/>
    <w:rsid w:val="004556AF"/>
    <w:rsid w:val="00455EA2"/>
    <w:rsid w:val="004564A9"/>
    <w:rsid w:val="004569C1"/>
    <w:rsid w:val="00456B80"/>
    <w:rsid w:val="00457798"/>
    <w:rsid w:val="00457F5A"/>
    <w:rsid w:val="004600C8"/>
    <w:rsid w:val="0046020D"/>
    <w:rsid w:val="00460495"/>
    <w:rsid w:val="004609E5"/>
    <w:rsid w:val="00460D80"/>
    <w:rsid w:val="00460F94"/>
    <w:rsid w:val="00461AAF"/>
    <w:rsid w:val="00462A31"/>
    <w:rsid w:val="00463220"/>
    <w:rsid w:val="0046356A"/>
    <w:rsid w:val="004636A1"/>
    <w:rsid w:val="0046484A"/>
    <w:rsid w:val="00464A8E"/>
    <w:rsid w:val="0046529C"/>
    <w:rsid w:val="0046591A"/>
    <w:rsid w:val="004662CB"/>
    <w:rsid w:val="00466BCA"/>
    <w:rsid w:val="00466D6D"/>
    <w:rsid w:val="00467908"/>
    <w:rsid w:val="00467D22"/>
    <w:rsid w:val="00470337"/>
    <w:rsid w:val="00470D9B"/>
    <w:rsid w:val="00471C87"/>
    <w:rsid w:val="004734B3"/>
    <w:rsid w:val="00473F09"/>
    <w:rsid w:val="00473F34"/>
    <w:rsid w:val="0047490E"/>
    <w:rsid w:val="00474AD0"/>
    <w:rsid w:val="00474E44"/>
    <w:rsid w:val="00475A9C"/>
    <w:rsid w:val="004766A6"/>
    <w:rsid w:val="00480AE1"/>
    <w:rsid w:val="004814B6"/>
    <w:rsid w:val="00481627"/>
    <w:rsid w:val="00481D7C"/>
    <w:rsid w:val="00481DB2"/>
    <w:rsid w:val="00481F7F"/>
    <w:rsid w:val="004820DE"/>
    <w:rsid w:val="00483C87"/>
    <w:rsid w:val="00483F16"/>
    <w:rsid w:val="00484458"/>
    <w:rsid w:val="00484C84"/>
    <w:rsid w:val="004852BE"/>
    <w:rsid w:val="00490A0A"/>
    <w:rsid w:val="00490EB7"/>
    <w:rsid w:val="004919D4"/>
    <w:rsid w:val="004921CD"/>
    <w:rsid w:val="00492852"/>
    <w:rsid w:val="004939B1"/>
    <w:rsid w:val="004939FA"/>
    <w:rsid w:val="00494750"/>
    <w:rsid w:val="004952A2"/>
    <w:rsid w:val="004960E5"/>
    <w:rsid w:val="0049642C"/>
    <w:rsid w:val="00496862"/>
    <w:rsid w:val="0049790E"/>
    <w:rsid w:val="004A25CD"/>
    <w:rsid w:val="004A2B92"/>
    <w:rsid w:val="004A2F14"/>
    <w:rsid w:val="004A40B1"/>
    <w:rsid w:val="004A525B"/>
    <w:rsid w:val="004A5BBF"/>
    <w:rsid w:val="004A6607"/>
    <w:rsid w:val="004A6931"/>
    <w:rsid w:val="004A74C2"/>
    <w:rsid w:val="004B04B8"/>
    <w:rsid w:val="004B05B1"/>
    <w:rsid w:val="004B1A3F"/>
    <w:rsid w:val="004B1BC5"/>
    <w:rsid w:val="004B2793"/>
    <w:rsid w:val="004B3401"/>
    <w:rsid w:val="004B380D"/>
    <w:rsid w:val="004B46E0"/>
    <w:rsid w:val="004B4DD6"/>
    <w:rsid w:val="004B59C0"/>
    <w:rsid w:val="004B5B9C"/>
    <w:rsid w:val="004B5DF7"/>
    <w:rsid w:val="004B6AF5"/>
    <w:rsid w:val="004B7F81"/>
    <w:rsid w:val="004C0548"/>
    <w:rsid w:val="004C100D"/>
    <w:rsid w:val="004C10B5"/>
    <w:rsid w:val="004C1789"/>
    <w:rsid w:val="004C1CEC"/>
    <w:rsid w:val="004C210D"/>
    <w:rsid w:val="004C2192"/>
    <w:rsid w:val="004C2993"/>
    <w:rsid w:val="004C3DD1"/>
    <w:rsid w:val="004C4201"/>
    <w:rsid w:val="004C4557"/>
    <w:rsid w:val="004C4C55"/>
    <w:rsid w:val="004C52A4"/>
    <w:rsid w:val="004C58FC"/>
    <w:rsid w:val="004C5D41"/>
    <w:rsid w:val="004C6263"/>
    <w:rsid w:val="004C6688"/>
    <w:rsid w:val="004C78BF"/>
    <w:rsid w:val="004C7CA0"/>
    <w:rsid w:val="004C7F3A"/>
    <w:rsid w:val="004C7F5F"/>
    <w:rsid w:val="004D0263"/>
    <w:rsid w:val="004D0B65"/>
    <w:rsid w:val="004D1449"/>
    <w:rsid w:val="004D1790"/>
    <w:rsid w:val="004D25FE"/>
    <w:rsid w:val="004D292C"/>
    <w:rsid w:val="004D3ECF"/>
    <w:rsid w:val="004D4EDC"/>
    <w:rsid w:val="004D526B"/>
    <w:rsid w:val="004D53D9"/>
    <w:rsid w:val="004D79FB"/>
    <w:rsid w:val="004E0676"/>
    <w:rsid w:val="004E1472"/>
    <w:rsid w:val="004E266E"/>
    <w:rsid w:val="004E3F2E"/>
    <w:rsid w:val="004E45FB"/>
    <w:rsid w:val="004E4AB8"/>
    <w:rsid w:val="004E5B18"/>
    <w:rsid w:val="004E5EC0"/>
    <w:rsid w:val="004E63E1"/>
    <w:rsid w:val="004E75B3"/>
    <w:rsid w:val="004E7DB8"/>
    <w:rsid w:val="004F11B2"/>
    <w:rsid w:val="004F1E4F"/>
    <w:rsid w:val="004F265E"/>
    <w:rsid w:val="004F2C91"/>
    <w:rsid w:val="004F30C9"/>
    <w:rsid w:val="004F31A2"/>
    <w:rsid w:val="004F340B"/>
    <w:rsid w:val="004F36DA"/>
    <w:rsid w:val="004F3990"/>
    <w:rsid w:val="004F3C37"/>
    <w:rsid w:val="004F3F25"/>
    <w:rsid w:val="004F4B33"/>
    <w:rsid w:val="004F514E"/>
    <w:rsid w:val="004F51D9"/>
    <w:rsid w:val="004F6612"/>
    <w:rsid w:val="004F77B8"/>
    <w:rsid w:val="004F79BA"/>
    <w:rsid w:val="004F7F70"/>
    <w:rsid w:val="005008CC"/>
    <w:rsid w:val="00500F09"/>
    <w:rsid w:val="00501CB0"/>
    <w:rsid w:val="00501D3C"/>
    <w:rsid w:val="005035EC"/>
    <w:rsid w:val="005049C7"/>
    <w:rsid w:val="00505402"/>
    <w:rsid w:val="00507FE8"/>
    <w:rsid w:val="00510408"/>
    <w:rsid w:val="00510B77"/>
    <w:rsid w:val="005114EF"/>
    <w:rsid w:val="005117EA"/>
    <w:rsid w:val="00511879"/>
    <w:rsid w:val="005121F6"/>
    <w:rsid w:val="00512467"/>
    <w:rsid w:val="00512BF1"/>
    <w:rsid w:val="0051306A"/>
    <w:rsid w:val="00513884"/>
    <w:rsid w:val="00513EEF"/>
    <w:rsid w:val="00514608"/>
    <w:rsid w:val="0051492D"/>
    <w:rsid w:val="00514DB8"/>
    <w:rsid w:val="005169E1"/>
    <w:rsid w:val="0051737B"/>
    <w:rsid w:val="00517898"/>
    <w:rsid w:val="00522089"/>
    <w:rsid w:val="0052213B"/>
    <w:rsid w:val="00522745"/>
    <w:rsid w:val="00522B04"/>
    <w:rsid w:val="005242CC"/>
    <w:rsid w:val="00524B3A"/>
    <w:rsid w:val="00524CDE"/>
    <w:rsid w:val="00524D7F"/>
    <w:rsid w:val="00524EC5"/>
    <w:rsid w:val="00525493"/>
    <w:rsid w:val="00526857"/>
    <w:rsid w:val="00526EA9"/>
    <w:rsid w:val="00526FC4"/>
    <w:rsid w:val="00527490"/>
    <w:rsid w:val="00527A85"/>
    <w:rsid w:val="00527B47"/>
    <w:rsid w:val="00527BF8"/>
    <w:rsid w:val="00527ECE"/>
    <w:rsid w:val="00532053"/>
    <w:rsid w:val="00532463"/>
    <w:rsid w:val="00532AFF"/>
    <w:rsid w:val="005330F2"/>
    <w:rsid w:val="00533978"/>
    <w:rsid w:val="00534E11"/>
    <w:rsid w:val="005356AE"/>
    <w:rsid w:val="00540320"/>
    <w:rsid w:val="0054078D"/>
    <w:rsid w:val="0054257D"/>
    <w:rsid w:val="00542911"/>
    <w:rsid w:val="005432E8"/>
    <w:rsid w:val="00543A00"/>
    <w:rsid w:val="00544B60"/>
    <w:rsid w:val="005451D1"/>
    <w:rsid w:val="00546096"/>
    <w:rsid w:val="00546812"/>
    <w:rsid w:val="00547D15"/>
    <w:rsid w:val="00547DCD"/>
    <w:rsid w:val="00547EC1"/>
    <w:rsid w:val="005504B8"/>
    <w:rsid w:val="00550B1C"/>
    <w:rsid w:val="005510C9"/>
    <w:rsid w:val="0055186D"/>
    <w:rsid w:val="0055335D"/>
    <w:rsid w:val="005564FB"/>
    <w:rsid w:val="00556B56"/>
    <w:rsid w:val="00556C21"/>
    <w:rsid w:val="00557214"/>
    <w:rsid w:val="00557769"/>
    <w:rsid w:val="005601FA"/>
    <w:rsid w:val="00560360"/>
    <w:rsid w:val="005624B4"/>
    <w:rsid w:val="00563109"/>
    <w:rsid w:val="005631A1"/>
    <w:rsid w:val="0056324C"/>
    <w:rsid w:val="0056332C"/>
    <w:rsid w:val="0056459F"/>
    <w:rsid w:val="00566297"/>
    <w:rsid w:val="00566AA1"/>
    <w:rsid w:val="00567906"/>
    <w:rsid w:val="00571104"/>
    <w:rsid w:val="005720BB"/>
    <w:rsid w:val="00573C25"/>
    <w:rsid w:val="00573F80"/>
    <w:rsid w:val="00574E21"/>
    <w:rsid w:val="00575E11"/>
    <w:rsid w:val="00576CF6"/>
    <w:rsid w:val="00577253"/>
    <w:rsid w:val="0058012B"/>
    <w:rsid w:val="00580513"/>
    <w:rsid w:val="0058060A"/>
    <w:rsid w:val="005820DC"/>
    <w:rsid w:val="00582845"/>
    <w:rsid w:val="00583235"/>
    <w:rsid w:val="0058351D"/>
    <w:rsid w:val="00583664"/>
    <w:rsid w:val="0059025B"/>
    <w:rsid w:val="00590B4F"/>
    <w:rsid w:val="00590BA5"/>
    <w:rsid w:val="00591381"/>
    <w:rsid w:val="005916F7"/>
    <w:rsid w:val="00593928"/>
    <w:rsid w:val="00593B04"/>
    <w:rsid w:val="00593B86"/>
    <w:rsid w:val="00593D83"/>
    <w:rsid w:val="00593D8D"/>
    <w:rsid w:val="00594818"/>
    <w:rsid w:val="00594891"/>
    <w:rsid w:val="00594C78"/>
    <w:rsid w:val="00595012"/>
    <w:rsid w:val="00595A65"/>
    <w:rsid w:val="00595E69"/>
    <w:rsid w:val="005962D0"/>
    <w:rsid w:val="00596B3F"/>
    <w:rsid w:val="00597D68"/>
    <w:rsid w:val="00597D98"/>
    <w:rsid w:val="005A0648"/>
    <w:rsid w:val="005A18FA"/>
    <w:rsid w:val="005A19CA"/>
    <w:rsid w:val="005A1C33"/>
    <w:rsid w:val="005A1C85"/>
    <w:rsid w:val="005A31C4"/>
    <w:rsid w:val="005A32B3"/>
    <w:rsid w:val="005A380E"/>
    <w:rsid w:val="005A3A5D"/>
    <w:rsid w:val="005A4704"/>
    <w:rsid w:val="005A55C7"/>
    <w:rsid w:val="005A6210"/>
    <w:rsid w:val="005A69B3"/>
    <w:rsid w:val="005A70AE"/>
    <w:rsid w:val="005A7492"/>
    <w:rsid w:val="005A74C9"/>
    <w:rsid w:val="005B06FE"/>
    <w:rsid w:val="005B1284"/>
    <w:rsid w:val="005B1428"/>
    <w:rsid w:val="005B181B"/>
    <w:rsid w:val="005B1AA2"/>
    <w:rsid w:val="005B1D90"/>
    <w:rsid w:val="005B20F0"/>
    <w:rsid w:val="005B313A"/>
    <w:rsid w:val="005B3321"/>
    <w:rsid w:val="005B460B"/>
    <w:rsid w:val="005B53EE"/>
    <w:rsid w:val="005B568B"/>
    <w:rsid w:val="005B584C"/>
    <w:rsid w:val="005B65DD"/>
    <w:rsid w:val="005B68AC"/>
    <w:rsid w:val="005B737F"/>
    <w:rsid w:val="005B77BC"/>
    <w:rsid w:val="005C2050"/>
    <w:rsid w:val="005C2389"/>
    <w:rsid w:val="005C2751"/>
    <w:rsid w:val="005C2D27"/>
    <w:rsid w:val="005C2DF5"/>
    <w:rsid w:val="005C30EF"/>
    <w:rsid w:val="005C4330"/>
    <w:rsid w:val="005C5DC9"/>
    <w:rsid w:val="005C6C51"/>
    <w:rsid w:val="005C6D69"/>
    <w:rsid w:val="005C6EBD"/>
    <w:rsid w:val="005C7B6B"/>
    <w:rsid w:val="005C7D51"/>
    <w:rsid w:val="005D0F0B"/>
    <w:rsid w:val="005D1D02"/>
    <w:rsid w:val="005D2001"/>
    <w:rsid w:val="005D21F8"/>
    <w:rsid w:val="005D3800"/>
    <w:rsid w:val="005D5EAD"/>
    <w:rsid w:val="005D7500"/>
    <w:rsid w:val="005D7B9C"/>
    <w:rsid w:val="005E3942"/>
    <w:rsid w:val="005E39D3"/>
    <w:rsid w:val="005E463E"/>
    <w:rsid w:val="005E4D9C"/>
    <w:rsid w:val="005E4E99"/>
    <w:rsid w:val="005E643D"/>
    <w:rsid w:val="005E730C"/>
    <w:rsid w:val="005F0158"/>
    <w:rsid w:val="005F180F"/>
    <w:rsid w:val="005F1960"/>
    <w:rsid w:val="005F1C5E"/>
    <w:rsid w:val="005F1D6F"/>
    <w:rsid w:val="005F2D76"/>
    <w:rsid w:val="005F6216"/>
    <w:rsid w:val="005F7487"/>
    <w:rsid w:val="005F7A07"/>
    <w:rsid w:val="0060058A"/>
    <w:rsid w:val="00601B32"/>
    <w:rsid w:val="00601BBD"/>
    <w:rsid w:val="00601F77"/>
    <w:rsid w:val="00602176"/>
    <w:rsid w:val="00603FF0"/>
    <w:rsid w:val="006044FD"/>
    <w:rsid w:val="0060481B"/>
    <w:rsid w:val="00605688"/>
    <w:rsid w:val="00606307"/>
    <w:rsid w:val="00607CB8"/>
    <w:rsid w:val="00607DAE"/>
    <w:rsid w:val="0061002E"/>
    <w:rsid w:val="00611B43"/>
    <w:rsid w:val="0061273D"/>
    <w:rsid w:val="00612D88"/>
    <w:rsid w:val="00612DE4"/>
    <w:rsid w:val="00612F84"/>
    <w:rsid w:val="00613509"/>
    <w:rsid w:val="00613DC4"/>
    <w:rsid w:val="006142EF"/>
    <w:rsid w:val="00614AA0"/>
    <w:rsid w:val="00614C74"/>
    <w:rsid w:val="0061614F"/>
    <w:rsid w:val="006163E0"/>
    <w:rsid w:val="006179E9"/>
    <w:rsid w:val="00617B69"/>
    <w:rsid w:val="00617F54"/>
    <w:rsid w:val="006200B5"/>
    <w:rsid w:val="00620634"/>
    <w:rsid w:val="006208E5"/>
    <w:rsid w:val="00620909"/>
    <w:rsid w:val="00621447"/>
    <w:rsid w:val="00621BB3"/>
    <w:rsid w:val="00621CD4"/>
    <w:rsid w:val="006225D5"/>
    <w:rsid w:val="00622FAE"/>
    <w:rsid w:val="0062320B"/>
    <w:rsid w:val="0062412E"/>
    <w:rsid w:val="0062535F"/>
    <w:rsid w:val="006256CA"/>
    <w:rsid w:val="0062578A"/>
    <w:rsid w:val="0062633E"/>
    <w:rsid w:val="00626CBF"/>
    <w:rsid w:val="00626E17"/>
    <w:rsid w:val="006272BB"/>
    <w:rsid w:val="0062787C"/>
    <w:rsid w:val="00631593"/>
    <w:rsid w:val="006316A2"/>
    <w:rsid w:val="00631A8B"/>
    <w:rsid w:val="00633D18"/>
    <w:rsid w:val="00634861"/>
    <w:rsid w:val="0063751C"/>
    <w:rsid w:val="0064069D"/>
    <w:rsid w:val="006408C9"/>
    <w:rsid w:val="00640D3B"/>
    <w:rsid w:val="00641A09"/>
    <w:rsid w:val="006420A9"/>
    <w:rsid w:val="00642CA1"/>
    <w:rsid w:val="00643CF9"/>
    <w:rsid w:val="0064425D"/>
    <w:rsid w:val="0064556E"/>
    <w:rsid w:val="0064582A"/>
    <w:rsid w:val="006517BC"/>
    <w:rsid w:val="00652391"/>
    <w:rsid w:val="00652597"/>
    <w:rsid w:val="00652D9E"/>
    <w:rsid w:val="00652F8C"/>
    <w:rsid w:val="00653D3D"/>
    <w:rsid w:val="00654FA9"/>
    <w:rsid w:val="00655413"/>
    <w:rsid w:val="00655D89"/>
    <w:rsid w:val="00656258"/>
    <w:rsid w:val="0065650A"/>
    <w:rsid w:val="00656579"/>
    <w:rsid w:val="00660904"/>
    <w:rsid w:val="00660A33"/>
    <w:rsid w:val="00661E27"/>
    <w:rsid w:val="006635F3"/>
    <w:rsid w:val="006641C4"/>
    <w:rsid w:val="006642C7"/>
    <w:rsid w:val="0066509D"/>
    <w:rsid w:val="006661A3"/>
    <w:rsid w:val="0066671E"/>
    <w:rsid w:val="006677D0"/>
    <w:rsid w:val="0067110B"/>
    <w:rsid w:val="006716EF"/>
    <w:rsid w:val="00672550"/>
    <w:rsid w:val="0067296D"/>
    <w:rsid w:val="00672A9A"/>
    <w:rsid w:val="00672C0F"/>
    <w:rsid w:val="00674330"/>
    <w:rsid w:val="0067516C"/>
    <w:rsid w:val="006753A9"/>
    <w:rsid w:val="00676C40"/>
    <w:rsid w:val="00676F36"/>
    <w:rsid w:val="0067765C"/>
    <w:rsid w:val="00677761"/>
    <w:rsid w:val="00677E9F"/>
    <w:rsid w:val="006809E6"/>
    <w:rsid w:val="00680A98"/>
    <w:rsid w:val="00680EDE"/>
    <w:rsid w:val="00681F1D"/>
    <w:rsid w:val="00682000"/>
    <w:rsid w:val="0068250E"/>
    <w:rsid w:val="00682C97"/>
    <w:rsid w:val="006834C1"/>
    <w:rsid w:val="00683816"/>
    <w:rsid w:val="00683F11"/>
    <w:rsid w:val="00686289"/>
    <w:rsid w:val="0068662F"/>
    <w:rsid w:val="006869C5"/>
    <w:rsid w:val="00686B76"/>
    <w:rsid w:val="006876A3"/>
    <w:rsid w:val="006876AA"/>
    <w:rsid w:val="00687B80"/>
    <w:rsid w:val="00690176"/>
    <w:rsid w:val="00690417"/>
    <w:rsid w:val="00690A3F"/>
    <w:rsid w:val="00690EEC"/>
    <w:rsid w:val="006925CF"/>
    <w:rsid w:val="00692A0C"/>
    <w:rsid w:val="00692DC8"/>
    <w:rsid w:val="00692F3A"/>
    <w:rsid w:val="00693209"/>
    <w:rsid w:val="006932FC"/>
    <w:rsid w:val="006939D7"/>
    <w:rsid w:val="00693E95"/>
    <w:rsid w:val="006950AF"/>
    <w:rsid w:val="006953FF"/>
    <w:rsid w:val="006955F5"/>
    <w:rsid w:val="0069569F"/>
    <w:rsid w:val="006964F1"/>
    <w:rsid w:val="00696D5D"/>
    <w:rsid w:val="00696EF8"/>
    <w:rsid w:val="0069733A"/>
    <w:rsid w:val="00697DD4"/>
    <w:rsid w:val="006A0890"/>
    <w:rsid w:val="006A2F12"/>
    <w:rsid w:val="006A2F91"/>
    <w:rsid w:val="006A3973"/>
    <w:rsid w:val="006A5725"/>
    <w:rsid w:val="006A6CFB"/>
    <w:rsid w:val="006A6EE0"/>
    <w:rsid w:val="006A759D"/>
    <w:rsid w:val="006B05B5"/>
    <w:rsid w:val="006B077A"/>
    <w:rsid w:val="006B09C1"/>
    <w:rsid w:val="006B0EEE"/>
    <w:rsid w:val="006B13A8"/>
    <w:rsid w:val="006B1FDE"/>
    <w:rsid w:val="006B21A2"/>
    <w:rsid w:val="006B220E"/>
    <w:rsid w:val="006B2DAD"/>
    <w:rsid w:val="006B4755"/>
    <w:rsid w:val="006B4C74"/>
    <w:rsid w:val="006B5474"/>
    <w:rsid w:val="006B5865"/>
    <w:rsid w:val="006B5987"/>
    <w:rsid w:val="006B5B32"/>
    <w:rsid w:val="006B6FF7"/>
    <w:rsid w:val="006B747B"/>
    <w:rsid w:val="006B79BC"/>
    <w:rsid w:val="006C0278"/>
    <w:rsid w:val="006C02FF"/>
    <w:rsid w:val="006C04B5"/>
    <w:rsid w:val="006C0E67"/>
    <w:rsid w:val="006C31D2"/>
    <w:rsid w:val="006C515B"/>
    <w:rsid w:val="006C55EA"/>
    <w:rsid w:val="006C5661"/>
    <w:rsid w:val="006C6E56"/>
    <w:rsid w:val="006C722E"/>
    <w:rsid w:val="006C7AD4"/>
    <w:rsid w:val="006D03EB"/>
    <w:rsid w:val="006D0D0E"/>
    <w:rsid w:val="006D0DA3"/>
    <w:rsid w:val="006D1C6C"/>
    <w:rsid w:val="006D216F"/>
    <w:rsid w:val="006D2A7A"/>
    <w:rsid w:val="006D2BCB"/>
    <w:rsid w:val="006D37BF"/>
    <w:rsid w:val="006D3B38"/>
    <w:rsid w:val="006D3F33"/>
    <w:rsid w:val="006D407A"/>
    <w:rsid w:val="006D4137"/>
    <w:rsid w:val="006D426D"/>
    <w:rsid w:val="006D42A9"/>
    <w:rsid w:val="006D4359"/>
    <w:rsid w:val="006D4A31"/>
    <w:rsid w:val="006D5969"/>
    <w:rsid w:val="006D5AB3"/>
    <w:rsid w:val="006D6712"/>
    <w:rsid w:val="006D683D"/>
    <w:rsid w:val="006D69A3"/>
    <w:rsid w:val="006D7FE7"/>
    <w:rsid w:val="006E0B11"/>
    <w:rsid w:val="006E1D1F"/>
    <w:rsid w:val="006E23EA"/>
    <w:rsid w:val="006E2E8C"/>
    <w:rsid w:val="006E4A49"/>
    <w:rsid w:val="006E506E"/>
    <w:rsid w:val="006E5A01"/>
    <w:rsid w:val="006E5B6E"/>
    <w:rsid w:val="006E610E"/>
    <w:rsid w:val="006E617A"/>
    <w:rsid w:val="006E756C"/>
    <w:rsid w:val="006F07EB"/>
    <w:rsid w:val="006F090B"/>
    <w:rsid w:val="006F12BE"/>
    <w:rsid w:val="006F2751"/>
    <w:rsid w:val="006F2900"/>
    <w:rsid w:val="006F2D8F"/>
    <w:rsid w:val="006F3D82"/>
    <w:rsid w:val="006F450F"/>
    <w:rsid w:val="006F4561"/>
    <w:rsid w:val="006F4B2C"/>
    <w:rsid w:val="006F4B76"/>
    <w:rsid w:val="006F4C88"/>
    <w:rsid w:val="006F50BA"/>
    <w:rsid w:val="006F56C0"/>
    <w:rsid w:val="006F6351"/>
    <w:rsid w:val="006F643A"/>
    <w:rsid w:val="006F6A26"/>
    <w:rsid w:val="006F70AE"/>
    <w:rsid w:val="007007E3"/>
    <w:rsid w:val="00700925"/>
    <w:rsid w:val="00700DA2"/>
    <w:rsid w:val="0070203A"/>
    <w:rsid w:val="0070224D"/>
    <w:rsid w:val="00703CD9"/>
    <w:rsid w:val="00703DE0"/>
    <w:rsid w:val="00703EFA"/>
    <w:rsid w:val="007044BD"/>
    <w:rsid w:val="0070461E"/>
    <w:rsid w:val="00704E3A"/>
    <w:rsid w:val="00704F2C"/>
    <w:rsid w:val="007058C8"/>
    <w:rsid w:val="00705F1C"/>
    <w:rsid w:val="0071225A"/>
    <w:rsid w:val="00712707"/>
    <w:rsid w:val="00712E34"/>
    <w:rsid w:val="00713674"/>
    <w:rsid w:val="00713C0A"/>
    <w:rsid w:val="007141D8"/>
    <w:rsid w:val="007145A8"/>
    <w:rsid w:val="007153E3"/>
    <w:rsid w:val="007155B9"/>
    <w:rsid w:val="0071566D"/>
    <w:rsid w:val="00715B1D"/>
    <w:rsid w:val="00715B5E"/>
    <w:rsid w:val="00715C35"/>
    <w:rsid w:val="00717161"/>
    <w:rsid w:val="007171B8"/>
    <w:rsid w:val="007179C2"/>
    <w:rsid w:val="00717B64"/>
    <w:rsid w:val="00720112"/>
    <w:rsid w:val="007209F3"/>
    <w:rsid w:val="00721420"/>
    <w:rsid w:val="0072228D"/>
    <w:rsid w:val="00722D52"/>
    <w:rsid w:val="00723A94"/>
    <w:rsid w:val="007250D1"/>
    <w:rsid w:val="007251C0"/>
    <w:rsid w:val="007251C8"/>
    <w:rsid w:val="007258D3"/>
    <w:rsid w:val="00725F19"/>
    <w:rsid w:val="00726E76"/>
    <w:rsid w:val="007271CF"/>
    <w:rsid w:val="00727298"/>
    <w:rsid w:val="00731EC6"/>
    <w:rsid w:val="007320C4"/>
    <w:rsid w:val="0073262F"/>
    <w:rsid w:val="00732B23"/>
    <w:rsid w:val="00732B57"/>
    <w:rsid w:val="00732F53"/>
    <w:rsid w:val="0073387D"/>
    <w:rsid w:val="00733AEB"/>
    <w:rsid w:val="00734D1E"/>
    <w:rsid w:val="00735202"/>
    <w:rsid w:val="00736541"/>
    <w:rsid w:val="00736BEB"/>
    <w:rsid w:val="00737A13"/>
    <w:rsid w:val="00737AE3"/>
    <w:rsid w:val="00737C05"/>
    <w:rsid w:val="00741882"/>
    <w:rsid w:val="00742E43"/>
    <w:rsid w:val="00743832"/>
    <w:rsid w:val="007449DA"/>
    <w:rsid w:val="007459CD"/>
    <w:rsid w:val="00746946"/>
    <w:rsid w:val="00746A02"/>
    <w:rsid w:val="00750AF8"/>
    <w:rsid w:val="00750EE3"/>
    <w:rsid w:val="00750F02"/>
    <w:rsid w:val="007512C5"/>
    <w:rsid w:val="0075143A"/>
    <w:rsid w:val="007519E9"/>
    <w:rsid w:val="00751FC8"/>
    <w:rsid w:val="0075257B"/>
    <w:rsid w:val="0075260E"/>
    <w:rsid w:val="0075275D"/>
    <w:rsid w:val="007536C0"/>
    <w:rsid w:val="007539BC"/>
    <w:rsid w:val="007556E4"/>
    <w:rsid w:val="007566E3"/>
    <w:rsid w:val="00757307"/>
    <w:rsid w:val="00757385"/>
    <w:rsid w:val="00757C2A"/>
    <w:rsid w:val="00760318"/>
    <w:rsid w:val="007603FE"/>
    <w:rsid w:val="007616B2"/>
    <w:rsid w:val="007618DC"/>
    <w:rsid w:val="00761A95"/>
    <w:rsid w:val="007631D2"/>
    <w:rsid w:val="007642CA"/>
    <w:rsid w:val="00765700"/>
    <w:rsid w:val="00765BD2"/>
    <w:rsid w:val="00765E08"/>
    <w:rsid w:val="0076605B"/>
    <w:rsid w:val="0076634F"/>
    <w:rsid w:val="0076704A"/>
    <w:rsid w:val="007671BD"/>
    <w:rsid w:val="007677A2"/>
    <w:rsid w:val="00767EB4"/>
    <w:rsid w:val="00770699"/>
    <w:rsid w:val="00770DAD"/>
    <w:rsid w:val="00771203"/>
    <w:rsid w:val="00771760"/>
    <w:rsid w:val="00771A30"/>
    <w:rsid w:val="00771ABC"/>
    <w:rsid w:val="0077217A"/>
    <w:rsid w:val="0077256B"/>
    <w:rsid w:val="00772FCE"/>
    <w:rsid w:val="0077389E"/>
    <w:rsid w:val="007739CA"/>
    <w:rsid w:val="00774F00"/>
    <w:rsid w:val="007762B8"/>
    <w:rsid w:val="00776A9C"/>
    <w:rsid w:val="00777002"/>
    <w:rsid w:val="00777C54"/>
    <w:rsid w:val="0078054A"/>
    <w:rsid w:val="00780649"/>
    <w:rsid w:val="00780F9B"/>
    <w:rsid w:val="00781CB9"/>
    <w:rsid w:val="00782928"/>
    <w:rsid w:val="00782A15"/>
    <w:rsid w:val="0078332E"/>
    <w:rsid w:val="007836A1"/>
    <w:rsid w:val="00783AE1"/>
    <w:rsid w:val="00784144"/>
    <w:rsid w:val="00784873"/>
    <w:rsid w:val="00785155"/>
    <w:rsid w:val="007853E4"/>
    <w:rsid w:val="00785D62"/>
    <w:rsid w:val="007860A4"/>
    <w:rsid w:val="00786616"/>
    <w:rsid w:val="0078695C"/>
    <w:rsid w:val="00787473"/>
    <w:rsid w:val="00787556"/>
    <w:rsid w:val="00787FE6"/>
    <w:rsid w:val="00791424"/>
    <w:rsid w:val="007920F0"/>
    <w:rsid w:val="007934D9"/>
    <w:rsid w:val="007943CC"/>
    <w:rsid w:val="00794641"/>
    <w:rsid w:val="0079505E"/>
    <w:rsid w:val="00796BF2"/>
    <w:rsid w:val="007979CC"/>
    <w:rsid w:val="007A0461"/>
    <w:rsid w:val="007A05CF"/>
    <w:rsid w:val="007A0A57"/>
    <w:rsid w:val="007A0CC5"/>
    <w:rsid w:val="007A101A"/>
    <w:rsid w:val="007A13EE"/>
    <w:rsid w:val="007A3F21"/>
    <w:rsid w:val="007A49B4"/>
    <w:rsid w:val="007A4B01"/>
    <w:rsid w:val="007A56A8"/>
    <w:rsid w:val="007A61A4"/>
    <w:rsid w:val="007A626B"/>
    <w:rsid w:val="007A6E5C"/>
    <w:rsid w:val="007A7EF2"/>
    <w:rsid w:val="007B0D1A"/>
    <w:rsid w:val="007B137E"/>
    <w:rsid w:val="007B1A9B"/>
    <w:rsid w:val="007B1E8D"/>
    <w:rsid w:val="007B3352"/>
    <w:rsid w:val="007B3FF6"/>
    <w:rsid w:val="007B457D"/>
    <w:rsid w:val="007B4F86"/>
    <w:rsid w:val="007B597E"/>
    <w:rsid w:val="007B5E85"/>
    <w:rsid w:val="007B5FF8"/>
    <w:rsid w:val="007B6042"/>
    <w:rsid w:val="007B6FD2"/>
    <w:rsid w:val="007B7BAD"/>
    <w:rsid w:val="007B7C71"/>
    <w:rsid w:val="007C3223"/>
    <w:rsid w:val="007C347F"/>
    <w:rsid w:val="007C3CCD"/>
    <w:rsid w:val="007C4C97"/>
    <w:rsid w:val="007C5567"/>
    <w:rsid w:val="007C5CE0"/>
    <w:rsid w:val="007C5E3E"/>
    <w:rsid w:val="007C6916"/>
    <w:rsid w:val="007C7888"/>
    <w:rsid w:val="007C7A29"/>
    <w:rsid w:val="007C7F09"/>
    <w:rsid w:val="007D04F6"/>
    <w:rsid w:val="007D0930"/>
    <w:rsid w:val="007D0AF3"/>
    <w:rsid w:val="007D1D92"/>
    <w:rsid w:val="007D245A"/>
    <w:rsid w:val="007D3415"/>
    <w:rsid w:val="007D3EB8"/>
    <w:rsid w:val="007D4586"/>
    <w:rsid w:val="007D4862"/>
    <w:rsid w:val="007D55F9"/>
    <w:rsid w:val="007D6E88"/>
    <w:rsid w:val="007D7019"/>
    <w:rsid w:val="007D74CE"/>
    <w:rsid w:val="007D7638"/>
    <w:rsid w:val="007D7756"/>
    <w:rsid w:val="007D7AE6"/>
    <w:rsid w:val="007E00E6"/>
    <w:rsid w:val="007E07C2"/>
    <w:rsid w:val="007E1C60"/>
    <w:rsid w:val="007E27E5"/>
    <w:rsid w:val="007E360D"/>
    <w:rsid w:val="007E39B7"/>
    <w:rsid w:val="007E3B43"/>
    <w:rsid w:val="007E43FF"/>
    <w:rsid w:val="007E4468"/>
    <w:rsid w:val="007E52B9"/>
    <w:rsid w:val="007E5724"/>
    <w:rsid w:val="007E6BEF"/>
    <w:rsid w:val="007E73FE"/>
    <w:rsid w:val="007E75B4"/>
    <w:rsid w:val="007E765A"/>
    <w:rsid w:val="007E788E"/>
    <w:rsid w:val="007E7C46"/>
    <w:rsid w:val="007F02C2"/>
    <w:rsid w:val="007F0A70"/>
    <w:rsid w:val="007F1499"/>
    <w:rsid w:val="007F170F"/>
    <w:rsid w:val="007F1B6D"/>
    <w:rsid w:val="007F2877"/>
    <w:rsid w:val="007F2D65"/>
    <w:rsid w:val="007F3399"/>
    <w:rsid w:val="007F4D42"/>
    <w:rsid w:val="007F65DF"/>
    <w:rsid w:val="007F7EFD"/>
    <w:rsid w:val="007F7FB8"/>
    <w:rsid w:val="007F7FD5"/>
    <w:rsid w:val="008004DB"/>
    <w:rsid w:val="0080070D"/>
    <w:rsid w:val="00800A62"/>
    <w:rsid w:val="00800E4B"/>
    <w:rsid w:val="00801F27"/>
    <w:rsid w:val="00802DE6"/>
    <w:rsid w:val="00802EFF"/>
    <w:rsid w:val="0080307C"/>
    <w:rsid w:val="008033EA"/>
    <w:rsid w:val="00803756"/>
    <w:rsid w:val="00804ED4"/>
    <w:rsid w:val="008054A6"/>
    <w:rsid w:val="00805E48"/>
    <w:rsid w:val="00806A5A"/>
    <w:rsid w:val="008077C9"/>
    <w:rsid w:val="00807F39"/>
    <w:rsid w:val="00810519"/>
    <w:rsid w:val="00810E1C"/>
    <w:rsid w:val="00811AF9"/>
    <w:rsid w:val="00811CF4"/>
    <w:rsid w:val="00811D4D"/>
    <w:rsid w:val="0081217D"/>
    <w:rsid w:val="00814D3D"/>
    <w:rsid w:val="008158C3"/>
    <w:rsid w:val="0081595F"/>
    <w:rsid w:val="008200C1"/>
    <w:rsid w:val="00821456"/>
    <w:rsid w:val="00821F13"/>
    <w:rsid w:val="00822180"/>
    <w:rsid w:val="008226F8"/>
    <w:rsid w:val="0082376A"/>
    <w:rsid w:val="008244D0"/>
    <w:rsid w:val="008258E9"/>
    <w:rsid w:val="00825D4B"/>
    <w:rsid w:val="0082761D"/>
    <w:rsid w:val="00830A40"/>
    <w:rsid w:val="00830D9A"/>
    <w:rsid w:val="0083137E"/>
    <w:rsid w:val="00832FFB"/>
    <w:rsid w:val="008339EC"/>
    <w:rsid w:val="00834007"/>
    <w:rsid w:val="0083466D"/>
    <w:rsid w:val="0083476F"/>
    <w:rsid w:val="00835F5D"/>
    <w:rsid w:val="00836720"/>
    <w:rsid w:val="008369BF"/>
    <w:rsid w:val="00836F2C"/>
    <w:rsid w:val="00840BEA"/>
    <w:rsid w:val="00840BFD"/>
    <w:rsid w:val="00841A07"/>
    <w:rsid w:val="00842331"/>
    <w:rsid w:val="00842800"/>
    <w:rsid w:val="00842B83"/>
    <w:rsid w:val="00842F99"/>
    <w:rsid w:val="00843297"/>
    <w:rsid w:val="008432B5"/>
    <w:rsid w:val="0084485B"/>
    <w:rsid w:val="0084531E"/>
    <w:rsid w:val="00845361"/>
    <w:rsid w:val="00845D3D"/>
    <w:rsid w:val="00846B2D"/>
    <w:rsid w:val="00846EE7"/>
    <w:rsid w:val="00850177"/>
    <w:rsid w:val="00850313"/>
    <w:rsid w:val="0085045E"/>
    <w:rsid w:val="0085087D"/>
    <w:rsid w:val="00852DCE"/>
    <w:rsid w:val="00853A70"/>
    <w:rsid w:val="00853FFA"/>
    <w:rsid w:val="008552B9"/>
    <w:rsid w:val="008552DA"/>
    <w:rsid w:val="008554FD"/>
    <w:rsid w:val="00855C6F"/>
    <w:rsid w:val="00855FA3"/>
    <w:rsid w:val="0085629D"/>
    <w:rsid w:val="008565E2"/>
    <w:rsid w:val="008570BA"/>
    <w:rsid w:val="0085754B"/>
    <w:rsid w:val="00857AC8"/>
    <w:rsid w:val="00861293"/>
    <w:rsid w:val="008618A6"/>
    <w:rsid w:val="0086190B"/>
    <w:rsid w:val="008619FF"/>
    <w:rsid w:val="00861A7D"/>
    <w:rsid w:val="00863004"/>
    <w:rsid w:val="00863ADD"/>
    <w:rsid w:val="008640FD"/>
    <w:rsid w:val="008644F8"/>
    <w:rsid w:val="0086496B"/>
    <w:rsid w:val="00864A94"/>
    <w:rsid w:val="008661D7"/>
    <w:rsid w:val="008665A8"/>
    <w:rsid w:val="0086725E"/>
    <w:rsid w:val="00867B1D"/>
    <w:rsid w:val="008713AD"/>
    <w:rsid w:val="00872326"/>
    <w:rsid w:val="00873B2A"/>
    <w:rsid w:val="00873C58"/>
    <w:rsid w:val="0087456C"/>
    <w:rsid w:val="00875606"/>
    <w:rsid w:val="008768AA"/>
    <w:rsid w:val="00876EE1"/>
    <w:rsid w:val="0088049A"/>
    <w:rsid w:val="008806E1"/>
    <w:rsid w:val="00880BB1"/>
    <w:rsid w:val="0088249F"/>
    <w:rsid w:val="00882752"/>
    <w:rsid w:val="00882A43"/>
    <w:rsid w:val="00883717"/>
    <w:rsid w:val="0088479C"/>
    <w:rsid w:val="00884A70"/>
    <w:rsid w:val="008855C1"/>
    <w:rsid w:val="008857ED"/>
    <w:rsid w:val="00885B2C"/>
    <w:rsid w:val="00886304"/>
    <w:rsid w:val="008865AD"/>
    <w:rsid w:val="00886995"/>
    <w:rsid w:val="0088723B"/>
    <w:rsid w:val="0088753C"/>
    <w:rsid w:val="00887754"/>
    <w:rsid w:val="00887DF0"/>
    <w:rsid w:val="0089005B"/>
    <w:rsid w:val="00890543"/>
    <w:rsid w:val="00891723"/>
    <w:rsid w:val="00891EEE"/>
    <w:rsid w:val="00892FC2"/>
    <w:rsid w:val="00894FAF"/>
    <w:rsid w:val="008953B6"/>
    <w:rsid w:val="00895711"/>
    <w:rsid w:val="00896747"/>
    <w:rsid w:val="00896A86"/>
    <w:rsid w:val="00896ECB"/>
    <w:rsid w:val="00897075"/>
    <w:rsid w:val="00897310"/>
    <w:rsid w:val="00897B91"/>
    <w:rsid w:val="008A0CEF"/>
    <w:rsid w:val="008A16D4"/>
    <w:rsid w:val="008A219C"/>
    <w:rsid w:val="008A2DDD"/>
    <w:rsid w:val="008A324D"/>
    <w:rsid w:val="008A3961"/>
    <w:rsid w:val="008A3DFB"/>
    <w:rsid w:val="008A449D"/>
    <w:rsid w:val="008A4A88"/>
    <w:rsid w:val="008A4E92"/>
    <w:rsid w:val="008A4F8D"/>
    <w:rsid w:val="008A5020"/>
    <w:rsid w:val="008A5F41"/>
    <w:rsid w:val="008A6760"/>
    <w:rsid w:val="008A7308"/>
    <w:rsid w:val="008A73EC"/>
    <w:rsid w:val="008A7AFD"/>
    <w:rsid w:val="008B07D3"/>
    <w:rsid w:val="008B149C"/>
    <w:rsid w:val="008B1E41"/>
    <w:rsid w:val="008B229A"/>
    <w:rsid w:val="008B26B7"/>
    <w:rsid w:val="008B39A6"/>
    <w:rsid w:val="008B4D69"/>
    <w:rsid w:val="008B59A3"/>
    <w:rsid w:val="008B6BE8"/>
    <w:rsid w:val="008B74B3"/>
    <w:rsid w:val="008B79D8"/>
    <w:rsid w:val="008B7A58"/>
    <w:rsid w:val="008C1153"/>
    <w:rsid w:val="008C16D7"/>
    <w:rsid w:val="008C1EE5"/>
    <w:rsid w:val="008C1FB8"/>
    <w:rsid w:val="008C29A9"/>
    <w:rsid w:val="008C2F79"/>
    <w:rsid w:val="008C300C"/>
    <w:rsid w:val="008C3ABE"/>
    <w:rsid w:val="008C41FC"/>
    <w:rsid w:val="008C42A0"/>
    <w:rsid w:val="008C5036"/>
    <w:rsid w:val="008C66F1"/>
    <w:rsid w:val="008C71AE"/>
    <w:rsid w:val="008C7316"/>
    <w:rsid w:val="008C7C4F"/>
    <w:rsid w:val="008C7CBD"/>
    <w:rsid w:val="008D07EE"/>
    <w:rsid w:val="008D0DB0"/>
    <w:rsid w:val="008D1FB2"/>
    <w:rsid w:val="008D209F"/>
    <w:rsid w:val="008D227F"/>
    <w:rsid w:val="008D2438"/>
    <w:rsid w:val="008D3651"/>
    <w:rsid w:val="008D6A04"/>
    <w:rsid w:val="008E0D66"/>
    <w:rsid w:val="008E107C"/>
    <w:rsid w:val="008E1280"/>
    <w:rsid w:val="008E1F44"/>
    <w:rsid w:val="008E2863"/>
    <w:rsid w:val="008E295E"/>
    <w:rsid w:val="008E2BF7"/>
    <w:rsid w:val="008E4306"/>
    <w:rsid w:val="008E5AC1"/>
    <w:rsid w:val="008F1F27"/>
    <w:rsid w:val="008F347E"/>
    <w:rsid w:val="008F3B7E"/>
    <w:rsid w:val="008F6235"/>
    <w:rsid w:val="008F624D"/>
    <w:rsid w:val="008F6259"/>
    <w:rsid w:val="008F6444"/>
    <w:rsid w:val="008F6BB8"/>
    <w:rsid w:val="008F6DBA"/>
    <w:rsid w:val="008F7357"/>
    <w:rsid w:val="0090123A"/>
    <w:rsid w:val="009017D0"/>
    <w:rsid w:val="00902DEB"/>
    <w:rsid w:val="00903313"/>
    <w:rsid w:val="00903AE5"/>
    <w:rsid w:val="00904830"/>
    <w:rsid w:val="009048A5"/>
    <w:rsid w:val="00905A86"/>
    <w:rsid w:val="00905C63"/>
    <w:rsid w:val="009060A2"/>
    <w:rsid w:val="0090634C"/>
    <w:rsid w:val="009106AD"/>
    <w:rsid w:val="00910DBE"/>
    <w:rsid w:val="0091265C"/>
    <w:rsid w:val="009128C2"/>
    <w:rsid w:val="0091371A"/>
    <w:rsid w:val="00914977"/>
    <w:rsid w:val="00914B8A"/>
    <w:rsid w:val="00914E39"/>
    <w:rsid w:val="0091583C"/>
    <w:rsid w:val="009162C1"/>
    <w:rsid w:val="00920568"/>
    <w:rsid w:val="009205B0"/>
    <w:rsid w:val="009224F1"/>
    <w:rsid w:val="00922F18"/>
    <w:rsid w:val="009235B0"/>
    <w:rsid w:val="009237EF"/>
    <w:rsid w:val="00924783"/>
    <w:rsid w:val="00924B0C"/>
    <w:rsid w:val="00924DCC"/>
    <w:rsid w:val="00925411"/>
    <w:rsid w:val="00925B55"/>
    <w:rsid w:val="00925DB0"/>
    <w:rsid w:val="009263E3"/>
    <w:rsid w:val="00926ED4"/>
    <w:rsid w:val="00926F9A"/>
    <w:rsid w:val="00927DD8"/>
    <w:rsid w:val="00930BF1"/>
    <w:rsid w:val="009312DC"/>
    <w:rsid w:val="0093135D"/>
    <w:rsid w:val="00932E5C"/>
    <w:rsid w:val="0093301C"/>
    <w:rsid w:val="00933306"/>
    <w:rsid w:val="009334CD"/>
    <w:rsid w:val="00933D8B"/>
    <w:rsid w:val="009341BE"/>
    <w:rsid w:val="00934417"/>
    <w:rsid w:val="0093480B"/>
    <w:rsid w:val="00934B76"/>
    <w:rsid w:val="00934C30"/>
    <w:rsid w:val="0093583C"/>
    <w:rsid w:val="00935D20"/>
    <w:rsid w:val="00936311"/>
    <w:rsid w:val="00940736"/>
    <w:rsid w:val="00940803"/>
    <w:rsid w:val="00940B7B"/>
    <w:rsid w:val="00940C77"/>
    <w:rsid w:val="00940DCE"/>
    <w:rsid w:val="009411C3"/>
    <w:rsid w:val="00941610"/>
    <w:rsid w:val="00941E66"/>
    <w:rsid w:val="0094273C"/>
    <w:rsid w:val="00942C0E"/>
    <w:rsid w:val="00942D29"/>
    <w:rsid w:val="00942EE0"/>
    <w:rsid w:val="009440F6"/>
    <w:rsid w:val="009443E3"/>
    <w:rsid w:val="009459DC"/>
    <w:rsid w:val="00945EFD"/>
    <w:rsid w:val="00946D82"/>
    <w:rsid w:val="00946F48"/>
    <w:rsid w:val="00947A64"/>
    <w:rsid w:val="0095108B"/>
    <w:rsid w:val="00951A4B"/>
    <w:rsid w:val="00952A15"/>
    <w:rsid w:val="009534A9"/>
    <w:rsid w:val="009536E7"/>
    <w:rsid w:val="00953AAD"/>
    <w:rsid w:val="00953CF3"/>
    <w:rsid w:val="00953DCF"/>
    <w:rsid w:val="009541C0"/>
    <w:rsid w:val="009549A5"/>
    <w:rsid w:val="00954AA2"/>
    <w:rsid w:val="009551BE"/>
    <w:rsid w:val="0095522E"/>
    <w:rsid w:val="009603F7"/>
    <w:rsid w:val="00960B8B"/>
    <w:rsid w:val="00961544"/>
    <w:rsid w:val="009615D8"/>
    <w:rsid w:val="00961776"/>
    <w:rsid w:val="00961F7B"/>
    <w:rsid w:val="009644FA"/>
    <w:rsid w:val="0096486C"/>
    <w:rsid w:val="00964A50"/>
    <w:rsid w:val="00964AD5"/>
    <w:rsid w:val="00964B37"/>
    <w:rsid w:val="00964CB6"/>
    <w:rsid w:val="00965088"/>
    <w:rsid w:val="0096534F"/>
    <w:rsid w:val="009656EC"/>
    <w:rsid w:val="0096580E"/>
    <w:rsid w:val="00965CE0"/>
    <w:rsid w:val="00965EA5"/>
    <w:rsid w:val="00967B13"/>
    <w:rsid w:val="00967E7E"/>
    <w:rsid w:val="009701ED"/>
    <w:rsid w:val="00970BE5"/>
    <w:rsid w:val="00970CB1"/>
    <w:rsid w:val="00971EC5"/>
    <w:rsid w:val="00971FA6"/>
    <w:rsid w:val="00973A0A"/>
    <w:rsid w:val="00976676"/>
    <w:rsid w:val="00977B86"/>
    <w:rsid w:val="00980349"/>
    <w:rsid w:val="0098177E"/>
    <w:rsid w:val="00981958"/>
    <w:rsid w:val="00983851"/>
    <w:rsid w:val="009838FE"/>
    <w:rsid w:val="0098435B"/>
    <w:rsid w:val="00984836"/>
    <w:rsid w:val="00984A68"/>
    <w:rsid w:val="00984D17"/>
    <w:rsid w:val="00984EBD"/>
    <w:rsid w:val="00984FDF"/>
    <w:rsid w:val="0098558B"/>
    <w:rsid w:val="00985784"/>
    <w:rsid w:val="009858EA"/>
    <w:rsid w:val="00986530"/>
    <w:rsid w:val="00987569"/>
    <w:rsid w:val="009878AF"/>
    <w:rsid w:val="00990184"/>
    <w:rsid w:val="0099021B"/>
    <w:rsid w:val="0099059D"/>
    <w:rsid w:val="00991850"/>
    <w:rsid w:val="00991B13"/>
    <w:rsid w:val="00991DE7"/>
    <w:rsid w:val="00992059"/>
    <w:rsid w:val="00992373"/>
    <w:rsid w:val="00994AA2"/>
    <w:rsid w:val="00994F7C"/>
    <w:rsid w:val="0099577B"/>
    <w:rsid w:val="00996AB2"/>
    <w:rsid w:val="00997522"/>
    <w:rsid w:val="009A0005"/>
    <w:rsid w:val="009A0730"/>
    <w:rsid w:val="009A083D"/>
    <w:rsid w:val="009A0BA6"/>
    <w:rsid w:val="009A0ECB"/>
    <w:rsid w:val="009A176A"/>
    <w:rsid w:val="009A1838"/>
    <w:rsid w:val="009A25B8"/>
    <w:rsid w:val="009A335B"/>
    <w:rsid w:val="009A3E5B"/>
    <w:rsid w:val="009A518C"/>
    <w:rsid w:val="009A5A55"/>
    <w:rsid w:val="009A5B11"/>
    <w:rsid w:val="009A6595"/>
    <w:rsid w:val="009A742E"/>
    <w:rsid w:val="009A7EC8"/>
    <w:rsid w:val="009A7EDD"/>
    <w:rsid w:val="009B1AA0"/>
    <w:rsid w:val="009B2E7C"/>
    <w:rsid w:val="009B3032"/>
    <w:rsid w:val="009B3F19"/>
    <w:rsid w:val="009B50D5"/>
    <w:rsid w:val="009B5829"/>
    <w:rsid w:val="009B6034"/>
    <w:rsid w:val="009B74C2"/>
    <w:rsid w:val="009B7B96"/>
    <w:rsid w:val="009C03EB"/>
    <w:rsid w:val="009C1213"/>
    <w:rsid w:val="009C17DA"/>
    <w:rsid w:val="009C2D66"/>
    <w:rsid w:val="009C3844"/>
    <w:rsid w:val="009C3B32"/>
    <w:rsid w:val="009C3DC7"/>
    <w:rsid w:val="009C58A3"/>
    <w:rsid w:val="009C6BBA"/>
    <w:rsid w:val="009C6DA8"/>
    <w:rsid w:val="009C7067"/>
    <w:rsid w:val="009C70EC"/>
    <w:rsid w:val="009C7767"/>
    <w:rsid w:val="009C7BF7"/>
    <w:rsid w:val="009D1323"/>
    <w:rsid w:val="009D1502"/>
    <w:rsid w:val="009D1BFC"/>
    <w:rsid w:val="009D26BF"/>
    <w:rsid w:val="009D2A68"/>
    <w:rsid w:val="009D323C"/>
    <w:rsid w:val="009D381E"/>
    <w:rsid w:val="009D3CEE"/>
    <w:rsid w:val="009D41B1"/>
    <w:rsid w:val="009D5087"/>
    <w:rsid w:val="009E00B7"/>
    <w:rsid w:val="009E0466"/>
    <w:rsid w:val="009E051E"/>
    <w:rsid w:val="009E0F50"/>
    <w:rsid w:val="009E10A6"/>
    <w:rsid w:val="009E12B9"/>
    <w:rsid w:val="009E14B7"/>
    <w:rsid w:val="009E1DFE"/>
    <w:rsid w:val="009E1EBD"/>
    <w:rsid w:val="009E2CEB"/>
    <w:rsid w:val="009E4683"/>
    <w:rsid w:val="009E48E4"/>
    <w:rsid w:val="009E4B25"/>
    <w:rsid w:val="009E4B76"/>
    <w:rsid w:val="009E4E57"/>
    <w:rsid w:val="009E4FBD"/>
    <w:rsid w:val="009E524C"/>
    <w:rsid w:val="009E53AE"/>
    <w:rsid w:val="009E5B62"/>
    <w:rsid w:val="009E69F5"/>
    <w:rsid w:val="009E6E19"/>
    <w:rsid w:val="009E6E4D"/>
    <w:rsid w:val="009E7C00"/>
    <w:rsid w:val="009E7C34"/>
    <w:rsid w:val="009F096F"/>
    <w:rsid w:val="009F0BE2"/>
    <w:rsid w:val="009F0E6E"/>
    <w:rsid w:val="009F19C9"/>
    <w:rsid w:val="009F2205"/>
    <w:rsid w:val="009F2239"/>
    <w:rsid w:val="009F291E"/>
    <w:rsid w:val="009F40B2"/>
    <w:rsid w:val="009F42E1"/>
    <w:rsid w:val="009F4ED2"/>
    <w:rsid w:val="009F53F5"/>
    <w:rsid w:val="009F5D84"/>
    <w:rsid w:val="009F6379"/>
    <w:rsid w:val="009F6ADB"/>
    <w:rsid w:val="009F6B69"/>
    <w:rsid w:val="009F7831"/>
    <w:rsid w:val="009F7EB5"/>
    <w:rsid w:val="00A003DC"/>
    <w:rsid w:val="00A0135A"/>
    <w:rsid w:val="00A0145C"/>
    <w:rsid w:val="00A01ACE"/>
    <w:rsid w:val="00A01FCF"/>
    <w:rsid w:val="00A02540"/>
    <w:rsid w:val="00A027F5"/>
    <w:rsid w:val="00A036AA"/>
    <w:rsid w:val="00A03D37"/>
    <w:rsid w:val="00A04188"/>
    <w:rsid w:val="00A0446C"/>
    <w:rsid w:val="00A04908"/>
    <w:rsid w:val="00A0642C"/>
    <w:rsid w:val="00A0674C"/>
    <w:rsid w:val="00A06F46"/>
    <w:rsid w:val="00A074CF"/>
    <w:rsid w:val="00A1003C"/>
    <w:rsid w:val="00A10ECC"/>
    <w:rsid w:val="00A11098"/>
    <w:rsid w:val="00A1145C"/>
    <w:rsid w:val="00A121A2"/>
    <w:rsid w:val="00A12234"/>
    <w:rsid w:val="00A12976"/>
    <w:rsid w:val="00A12B4C"/>
    <w:rsid w:val="00A130E6"/>
    <w:rsid w:val="00A13773"/>
    <w:rsid w:val="00A1405C"/>
    <w:rsid w:val="00A14815"/>
    <w:rsid w:val="00A15D4E"/>
    <w:rsid w:val="00A1619E"/>
    <w:rsid w:val="00A16227"/>
    <w:rsid w:val="00A2000E"/>
    <w:rsid w:val="00A206A2"/>
    <w:rsid w:val="00A20E3D"/>
    <w:rsid w:val="00A223B6"/>
    <w:rsid w:val="00A22BB2"/>
    <w:rsid w:val="00A22C32"/>
    <w:rsid w:val="00A22E49"/>
    <w:rsid w:val="00A23B8B"/>
    <w:rsid w:val="00A24B0D"/>
    <w:rsid w:val="00A2527B"/>
    <w:rsid w:val="00A270A4"/>
    <w:rsid w:val="00A27E9D"/>
    <w:rsid w:val="00A306CF"/>
    <w:rsid w:val="00A30EBF"/>
    <w:rsid w:val="00A312E8"/>
    <w:rsid w:val="00A33B50"/>
    <w:rsid w:val="00A34A99"/>
    <w:rsid w:val="00A35286"/>
    <w:rsid w:val="00A35373"/>
    <w:rsid w:val="00A357F2"/>
    <w:rsid w:val="00A3790E"/>
    <w:rsid w:val="00A37D2C"/>
    <w:rsid w:val="00A40077"/>
    <w:rsid w:val="00A4027A"/>
    <w:rsid w:val="00A4078B"/>
    <w:rsid w:val="00A40836"/>
    <w:rsid w:val="00A40ABF"/>
    <w:rsid w:val="00A40CD6"/>
    <w:rsid w:val="00A413F0"/>
    <w:rsid w:val="00A41403"/>
    <w:rsid w:val="00A41687"/>
    <w:rsid w:val="00A416E1"/>
    <w:rsid w:val="00A41780"/>
    <w:rsid w:val="00A4229F"/>
    <w:rsid w:val="00A427DC"/>
    <w:rsid w:val="00A42D22"/>
    <w:rsid w:val="00A43B54"/>
    <w:rsid w:val="00A43BA7"/>
    <w:rsid w:val="00A44754"/>
    <w:rsid w:val="00A4476B"/>
    <w:rsid w:val="00A449E5"/>
    <w:rsid w:val="00A45469"/>
    <w:rsid w:val="00A45599"/>
    <w:rsid w:val="00A455A3"/>
    <w:rsid w:val="00A45E85"/>
    <w:rsid w:val="00A460EC"/>
    <w:rsid w:val="00A466A8"/>
    <w:rsid w:val="00A46754"/>
    <w:rsid w:val="00A478FD"/>
    <w:rsid w:val="00A50BE0"/>
    <w:rsid w:val="00A51FF4"/>
    <w:rsid w:val="00A523BF"/>
    <w:rsid w:val="00A52A52"/>
    <w:rsid w:val="00A52E1A"/>
    <w:rsid w:val="00A52E7C"/>
    <w:rsid w:val="00A5324F"/>
    <w:rsid w:val="00A5452A"/>
    <w:rsid w:val="00A56E0A"/>
    <w:rsid w:val="00A57CA7"/>
    <w:rsid w:val="00A57CAB"/>
    <w:rsid w:val="00A57DC5"/>
    <w:rsid w:val="00A57F45"/>
    <w:rsid w:val="00A6021B"/>
    <w:rsid w:val="00A6028C"/>
    <w:rsid w:val="00A60D7C"/>
    <w:rsid w:val="00A6128B"/>
    <w:rsid w:val="00A617D6"/>
    <w:rsid w:val="00A61F38"/>
    <w:rsid w:val="00A624D4"/>
    <w:rsid w:val="00A62528"/>
    <w:rsid w:val="00A6394A"/>
    <w:rsid w:val="00A639B9"/>
    <w:rsid w:val="00A646A2"/>
    <w:rsid w:val="00A64E89"/>
    <w:rsid w:val="00A658BB"/>
    <w:rsid w:val="00A66452"/>
    <w:rsid w:val="00A6748F"/>
    <w:rsid w:val="00A7065C"/>
    <w:rsid w:val="00A7124C"/>
    <w:rsid w:val="00A71623"/>
    <w:rsid w:val="00A71776"/>
    <w:rsid w:val="00A71866"/>
    <w:rsid w:val="00A71ED0"/>
    <w:rsid w:val="00A720B8"/>
    <w:rsid w:val="00A72CE8"/>
    <w:rsid w:val="00A73298"/>
    <w:rsid w:val="00A74C38"/>
    <w:rsid w:val="00A753CC"/>
    <w:rsid w:val="00A76118"/>
    <w:rsid w:val="00A77372"/>
    <w:rsid w:val="00A77FF1"/>
    <w:rsid w:val="00A807B7"/>
    <w:rsid w:val="00A81A56"/>
    <w:rsid w:val="00A81EE6"/>
    <w:rsid w:val="00A82CC4"/>
    <w:rsid w:val="00A82CE4"/>
    <w:rsid w:val="00A83640"/>
    <w:rsid w:val="00A83844"/>
    <w:rsid w:val="00A84184"/>
    <w:rsid w:val="00A841AE"/>
    <w:rsid w:val="00A84E62"/>
    <w:rsid w:val="00A85B07"/>
    <w:rsid w:val="00A85E65"/>
    <w:rsid w:val="00A86405"/>
    <w:rsid w:val="00A9045B"/>
    <w:rsid w:val="00A904A4"/>
    <w:rsid w:val="00A91A67"/>
    <w:rsid w:val="00A930E6"/>
    <w:rsid w:val="00A932D7"/>
    <w:rsid w:val="00A94249"/>
    <w:rsid w:val="00A9425C"/>
    <w:rsid w:val="00A95917"/>
    <w:rsid w:val="00A96727"/>
    <w:rsid w:val="00A9726C"/>
    <w:rsid w:val="00A97566"/>
    <w:rsid w:val="00A979F4"/>
    <w:rsid w:val="00A97CFA"/>
    <w:rsid w:val="00AA1E8A"/>
    <w:rsid w:val="00AA21E9"/>
    <w:rsid w:val="00AA287B"/>
    <w:rsid w:val="00AA326F"/>
    <w:rsid w:val="00AA403F"/>
    <w:rsid w:val="00AA4AB7"/>
    <w:rsid w:val="00AA4AD2"/>
    <w:rsid w:val="00AA5CC6"/>
    <w:rsid w:val="00AA61DC"/>
    <w:rsid w:val="00AA651C"/>
    <w:rsid w:val="00AA6DDA"/>
    <w:rsid w:val="00AA7062"/>
    <w:rsid w:val="00AA723E"/>
    <w:rsid w:val="00AA72D8"/>
    <w:rsid w:val="00AA7600"/>
    <w:rsid w:val="00AB0215"/>
    <w:rsid w:val="00AB0934"/>
    <w:rsid w:val="00AB1CFC"/>
    <w:rsid w:val="00AB2B0D"/>
    <w:rsid w:val="00AB2C51"/>
    <w:rsid w:val="00AB3BDF"/>
    <w:rsid w:val="00AB4252"/>
    <w:rsid w:val="00AB44D8"/>
    <w:rsid w:val="00AB4D05"/>
    <w:rsid w:val="00AB5C7A"/>
    <w:rsid w:val="00AB678F"/>
    <w:rsid w:val="00AB6C5B"/>
    <w:rsid w:val="00AB6E0E"/>
    <w:rsid w:val="00AB6EF2"/>
    <w:rsid w:val="00AB7395"/>
    <w:rsid w:val="00AB748A"/>
    <w:rsid w:val="00AC1589"/>
    <w:rsid w:val="00AC15D9"/>
    <w:rsid w:val="00AC1836"/>
    <w:rsid w:val="00AC186A"/>
    <w:rsid w:val="00AC1AD9"/>
    <w:rsid w:val="00AC1DF7"/>
    <w:rsid w:val="00AC2A70"/>
    <w:rsid w:val="00AC4431"/>
    <w:rsid w:val="00AC4927"/>
    <w:rsid w:val="00AC5314"/>
    <w:rsid w:val="00AD1455"/>
    <w:rsid w:val="00AD214C"/>
    <w:rsid w:val="00AD3358"/>
    <w:rsid w:val="00AD443C"/>
    <w:rsid w:val="00AD49B8"/>
    <w:rsid w:val="00AD4AA8"/>
    <w:rsid w:val="00AD5581"/>
    <w:rsid w:val="00AD5861"/>
    <w:rsid w:val="00AD6A28"/>
    <w:rsid w:val="00AD7265"/>
    <w:rsid w:val="00AE0237"/>
    <w:rsid w:val="00AE0DB0"/>
    <w:rsid w:val="00AE1413"/>
    <w:rsid w:val="00AE25DB"/>
    <w:rsid w:val="00AE3108"/>
    <w:rsid w:val="00AE31BE"/>
    <w:rsid w:val="00AE3239"/>
    <w:rsid w:val="00AE3271"/>
    <w:rsid w:val="00AE4460"/>
    <w:rsid w:val="00AE47D3"/>
    <w:rsid w:val="00AE4DAF"/>
    <w:rsid w:val="00AE6BE3"/>
    <w:rsid w:val="00AE72C2"/>
    <w:rsid w:val="00AE77D1"/>
    <w:rsid w:val="00AF0CE4"/>
    <w:rsid w:val="00AF1050"/>
    <w:rsid w:val="00AF26B9"/>
    <w:rsid w:val="00AF2D34"/>
    <w:rsid w:val="00AF300A"/>
    <w:rsid w:val="00AF49BB"/>
    <w:rsid w:val="00AF4A9B"/>
    <w:rsid w:val="00AF4BBA"/>
    <w:rsid w:val="00AF5F12"/>
    <w:rsid w:val="00AF6618"/>
    <w:rsid w:val="00AF6AC1"/>
    <w:rsid w:val="00AF6FBD"/>
    <w:rsid w:val="00AF77F0"/>
    <w:rsid w:val="00AF7CB6"/>
    <w:rsid w:val="00B0042D"/>
    <w:rsid w:val="00B01432"/>
    <w:rsid w:val="00B030B9"/>
    <w:rsid w:val="00B04992"/>
    <w:rsid w:val="00B04F8E"/>
    <w:rsid w:val="00B06582"/>
    <w:rsid w:val="00B0672B"/>
    <w:rsid w:val="00B07DAC"/>
    <w:rsid w:val="00B11628"/>
    <w:rsid w:val="00B11735"/>
    <w:rsid w:val="00B124B3"/>
    <w:rsid w:val="00B12941"/>
    <w:rsid w:val="00B12962"/>
    <w:rsid w:val="00B12B1C"/>
    <w:rsid w:val="00B12C79"/>
    <w:rsid w:val="00B13306"/>
    <w:rsid w:val="00B1357C"/>
    <w:rsid w:val="00B13979"/>
    <w:rsid w:val="00B1409C"/>
    <w:rsid w:val="00B14B1A"/>
    <w:rsid w:val="00B152CE"/>
    <w:rsid w:val="00B1562C"/>
    <w:rsid w:val="00B15B65"/>
    <w:rsid w:val="00B15EBF"/>
    <w:rsid w:val="00B17FDB"/>
    <w:rsid w:val="00B202F0"/>
    <w:rsid w:val="00B20CF0"/>
    <w:rsid w:val="00B20F8F"/>
    <w:rsid w:val="00B21BCA"/>
    <w:rsid w:val="00B22C5E"/>
    <w:rsid w:val="00B23266"/>
    <w:rsid w:val="00B232D2"/>
    <w:rsid w:val="00B23783"/>
    <w:rsid w:val="00B23843"/>
    <w:rsid w:val="00B24433"/>
    <w:rsid w:val="00B244B6"/>
    <w:rsid w:val="00B2459A"/>
    <w:rsid w:val="00B260EA"/>
    <w:rsid w:val="00B26BB8"/>
    <w:rsid w:val="00B27E9E"/>
    <w:rsid w:val="00B30D6B"/>
    <w:rsid w:val="00B31637"/>
    <w:rsid w:val="00B31B53"/>
    <w:rsid w:val="00B31BDE"/>
    <w:rsid w:val="00B322A5"/>
    <w:rsid w:val="00B33B4B"/>
    <w:rsid w:val="00B34AB7"/>
    <w:rsid w:val="00B35374"/>
    <w:rsid w:val="00B353ED"/>
    <w:rsid w:val="00B360EF"/>
    <w:rsid w:val="00B36B8F"/>
    <w:rsid w:val="00B36DAD"/>
    <w:rsid w:val="00B36F40"/>
    <w:rsid w:val="00B37459"/>
    <w:rsid w:val="00B41822"/>
    <w:rsid w:val="00B422FF"/>
    <w:rsid w:val="00B4282B"/>
    <w:rsid w:val="00B42BCF"/>
    <w:rsid w:val="00B4380E"/>
    <w:rsid w:val="00B444DF"/>
    <w:rsid w:val="00B45BEE"/>
    <w:rsid w:val="00B4651A"/>
    <w:rsid w:val="00B46BF4"/>
    <w:rsid w:val="00B51344"/>
    <w:rsid w:val="00B5203A"/>
    <w:rsid w:val="00B5280A"/>
    <w:rsid w:val="00B52948"/>
    <w:rsid w:val="00B5397B"/>
    <w:rsid w:val="00B54752"/>
    <w:rsid w:val="00B54890"/>
    <w:rsid w:val="00B556D8"/>
    <w:rsid w:val="00B55E28"/>
    <w:rsid w:val="00B60F3F"/>
    <w:rsid w:val="00B61682"/>
    <w:rsid w:val="00B619F8"/>
    <w:rsid w:val="00B61E29"/>
    <w:rsid w:val="00B61F06"/>
    <w:rsid w:val="00B6337E"/>
    <w:rsid w:val="00B63DB0"/>
    <w:rsid w:val="00B63F82"/>
    <w:rsid w:val="00B6567C"/>
    <w:rsid w:val="00B6599E"/>
    <w:rsid w:val="00B65CCA"/>
    <w:rsid w:val="00B66BC2"/>
    <w:rsid w:val="00B66EB6"/>
    <w:rsid w:val="00B671AC"/>
    <w:rsid w:val="00B718C8"/>
    <w:rsid w:val="00B719B2"/>
    <w:rsid w:val="00B726B4"/>
    <w:rsid w:val="00B72955"/>
    <w:rsid w:val="00B73756"/>
    <w:rsid w:val="00B7393F"/>
    <w:rsid w:val="00B73FA4"/>
    <w:rsid w:val="00B743E3"/>
    <w:rsid w:val="00B745D5"/>
    <w:rsid w:val="00B74843"/>
    <w:rsid w:val="00B74E25"/>
    <w:rsid w:val="00B74E4B"/>
    <w:rsid w:val="00B76154"/>
    <w:rsid w:val="00B768F5"/>
    <w:rsid w:val="00B76B9C"/>
    <w:rsid w:val="00B76E8D"/>
    <w:rsid w:val="00B77555"/>
    <w:rsid w:val="00B77FDA"/>
    <w:rsid w:val="00B8072B"/>
    <w:rsid w:val="00B813DD"/>
    <w:rsid w:val="00B81714"/>
    <w:rsid w:val="00B81F1E"/>
    <w:rsid w:val="00B823A0"/>
    <w:rsid w:val="00B830D6"/>
    <w:rsid w:val="00B83326"/>
    <w:rsid w:val="00B83C9E"/>
    <w:rsid w:val="00B866EB"/>
    <w:rsid w:val="00B8695D"/>
    <w:rsid w:val="00B86AD2"/>
    <w:rsid w:val="00B87EC1"/>
    <w:rsid w:val="00B904E0"/>
    <w:rsid w:val="00B90853"/>
    <w:rsid w:val="00B914D7"/>
    <w:rsid w:val="00B91735"/>
    <w:rsid w:val="00B91E8F"/>
    <w:rsid w:val="00B91F84"/>
    <w:rsid w:val="00B922F0"/>
    <w:rsid w:val="00B92961"/>
    <w:rsid w:val="00B94C35"/>
    <w:rsid w:val="00B954DC"/>
    <w:rsid w:val="00B96EF0"/>
    <w:rsid w:val="00B97F9E"/>
    <w:rsid w:val="00BA2473"/>
    <w:rsid w:val="00BA2C5A"/>
    <w:rsid w:val="00BA36BD"/>
    <w:rsid w:val="00BA3F2B"/>
    <w:rsid w:val="00BA4558"/>
    <w:rsid w:val="00BA4E92"/>
    <w:rsid w:val="00BA51F8"/>
    <w:rsid w:val="00BA55F9"/>
    <w:rsid w:val="00BA6996"/>
    <w:rsid w:val="00BA6C23"/>
    <w:rsid w:val="00BA7191"/>
    <w:rsid w:val="00BA7411"/>
    <w:rsid w:val="00BA7830"/>
    <w:rsid w:val="00BA787A"/>
    <w:rsid w:val="00BB15DB"/>
    <w:rsid w:val="00BB2387"/>
    <w:rsid w:val="00BB2966"/>
    <w:rsid w:val="00BB35BB"/>
    <w:rsid w:val="00BB3AF4"/>
    <w:rsid w:val="00BB3B2D"/>
    <w:rsid w:val="00BB3C41"/>
    <w:rsid w:val="00BB3C5C"/>
    <w:rsid w:val="00BB3DCC"/>
    <w:rsid w:val="00BB44BB"/>
    <w:rsid w:val="00BB511F"/>
    <w:rsid w:val="00BB58C4"/>
    <w:rsid w:val="00BB6D65"/>
    <w:rsid w:val="00BB72DF"/>
    <w:rsid w:val="00BB78A5"/>
    <w:rsid w:val="00BB7F33"/>
    <w:rsid w:val="00BC10D4"/>
    <w:rsid w:val="00BC26DB"/>
    <w:rsid w:val="00BC397A"/>
    <w:rsid w:val="00BC3F15"/>
    <w:rsid w:val="00BC591A"/>
    <w:rsid w:val="00BC5BE4"/>
    <w:rsid w:val="00BC61EC"/>
    <w:rsid w:val="00BC63A0"/>
    <w:rsid w:val="00BC64A4"/>
    <w:rsid w:val="00BC669F"/>
    <w:rsid w:val="00BC6E4D"/>
    <w:rsid w:val="00BC7EA4"/>
    <w:rsid w:val="00BD04EE"/>
    <w:rsid w:val="00BD1AFA"/>
    <w:rsid w:val="00BD1DC8"/>
    <w:rsid w:val="00BD21E1"/>
    <w:rsid w:val="00BD42A1"/>
    <w:rsid w:val="00BD48D2"/>
    <w:rsid w:val="00BD4B7F"/>
    <w:rsid w:val="00BD4B91"/>
    <w:rsid w:val="00BD559B"/>
    <w:rsid w:val="00BD5A44"/>
    <w:rsid w:val="00BD6339"/>
    <w:rsid w:val="00BD73E5"/>
    <w:rsid w:val="00BD7504"/>
    <w:rsid w:val="00BD7970"/>
    <w:rsid w:val="00BE029B"/>
    <w:rsid w:val="00BE0464"/>
    <w:rsid w:val="00BE0487"/>
    <w:rsid w:val="00BE13F3"/>
    <w:rsid w:val="00BE1545"/>
    <w:rsid w:val="00BE2257"/>
    <w:rsid w:val="00BE377B"/>
    <w:rsid w:val="00BE428B"/>
    <w:rsid w:val="00BE4360"/>
    <w:rsid w:val="00BE4686"/>
    <w:rsid w:val="00BE47DA"/>
    <w:rsid w:val="00BE4AC5"/>
    <w:rsid w:val="00BE4B00"/>
    <w:rsid w:val="00BE51CC"/>
    <w:rsid w:val="00BE55C5"/>
    <w:rsid w:val="00BE70E7"/>
    <w:rsid w:val="00BE7646"/>
    <w:rsid w:val="00BF06D4"/>
    <w:rsid w:val="00BF1174"/>
    <w:rsid w:val="00BF2A73"/>
    <w:rsid w:val="00BF2B47"/>
    <w:rsid w:val="00BF4189"/>
    <w:rsid w:val="00BF5085"/>
    <w:rsid w:val="00BF53AF"/>
    <w:rsid w:val="00BF557B"/>
    <w:rsid w:val="00BF59B9"/>
    <w:rsid w:val="00BF69AD"/>
    <w:rsid w:val="00BF7F3F"/>
    <w:rsid w:val="00C01CE5"/>
    <w:rsid w:val="00C024E9"/>
    <w:rsid w:val="00C033A7"/>
    <w:rsid w:val="00C037CA"/>
    <w:rsid w:val="00C03B14"/>
    <w:rsid w:val="00C04BA3"/>
    <w:rsid w:val="00C04D72"/>
    <w:rsid w:val="00C05C39"/>
    <w:rsid w:val="00C069E8"/>
    <w:rsid w:val="00C06F69"/>
    <w:rsid w:val="00C0762A"/>
    <w:rsid w:val="00C07D32"/>
    <w:rsid w:val="00C07DB3"/>
    <w:rsid w:val="00C10BD1"/>
    <w:rsid w:val="00C12507"/>
    <w:rsid w:val="00C126BF"/>
    <w:rsid w:val="00C12D69"/>
    <w:rsid w:val="00C134D8"/>
    <w:rsid w:val="00C14485"/>
    <w:rsid w:val="00C1486E"/>
    <w:rsid w:val="00C14B6B"/>
    <w:rsid w:val="00C14F62"/>
    <w:rsid w:val="00C15A6B"/>
    <w:rsid w:val="00C162CE"/>
    <w:rsid w:val="00C16C2F"/>
    <w:rsid w:val="00C177CA"/>
    <w:rsid w:val="00C17884"/>
    <w:rsid w:val="00C17B92"/>
    <w:rsid w:val="00C17D3B"/>
    <w:rsid w:val="00C17EB8"/>
    <w:rsid w:val="00C200B3"/>
    <w:rsid w:val="00C20702"/>
    <w:rsid w:val="00C21448"/>
    <w:rsid w:val="00C21ABD"/>
    <w:rsid w:val="00C21F2B"/>
    <w:rsid w:val="00C2314E"/>
    <w:rsid w:val="00C2564A"/>
    <w:rsid w:val="00C26355"/>
    <w:rsid w:val="00C27700"/>
    <w:rsid w:val="00C277A8"/>
    <w:rsid w:val="00C2788D"/>
    <w:rsid w:val="00C30DFD"/>
    <w:rsid w:val="00C311D2"/>
    <w:rsid w:val="00C31371"/>
    <w:rsid w:val="00C318BD"/>
    <w:rsid w:val="00C3229B"/>
    <w:rsid w:val="00C3230F"/>
    <w:rsid w:val="00C332CF"/>
    <w:rsid w:val="00C3365A"/>
    <w:rsid w:val="00C34298"/>
    <w:rsid w:val="00C35488"/>
    <w:rsid w:val="00C3605A"/>
    <w:rsid w:val="00C365C8"/>
    <w:rsid w:val="00C36F78"/>
    <w:rsid w:val="00C37226"/>
    <w:rsid w:val="00C37F9B"/>
    <w:rsid w:val="00C4141C"/>
    <w:rsid w:val="00C41770"/>
    <w:rsid w:val="00C43070"/>
    <w:rsid w:val="00C441E2"/>
    <w:rsid w:val="00C444E1"/>
    <w:rsid w:val="00C45035"/>
    <w:rsid w:val="00C46ABE"/>
    <w:rsid w:val="00C47C6D"/>
    <w:rsid w:val="00C51879"/>
    <w:rsid w:val="00C52166"/>
    <w:rsid w:val="00C52657"/>
    <w:rsid w:val="00C5272A"/>
    <w:rsid w:val="00C534BB"/>
    <w:rsid w:val="00C55CD2"/>
    <w:rsid w:val="00C55E04"/>
    <w:rsid w:val="00C55F81"/>
    <w:rsid w:val="00C564EF"/>
    <w:rsid w:val="00C5727D"/>
    <w:rsid w:val="00C57C43"/>
    <w:rsid w:val="00C60C4B"/>
    <w:rsid w:val="00C60FCF"/>
    <w:rsid w:val="00C61D7C"/>
    <w:rsid w:val="00C61E42"/>
    <w:rsid w:val="00C62FC3"/>
    <w:rsid w:val="00C6334A"/>
    <w:rsid w:val="00C63AA0"/>
    <w:rsid w:val="00C64042"/>
    <w:rsid w:val="00C64093"/>
    <w:rsid w:val="00C6439B"/>
    <w:rsid w:val="00C6546D"/>
    <w:rsid w:val="00C654C0"/>
    <w:rsid w:val="00C65FDD"/>
    <w:rsid w:val="00C66E4B"/>
    <w:rsid w:val="00C67D57"/>
    <w:rsid w:val="00C70D94"/>
    <w:rsid w:val="00C7254B"/>
    <w:rsid w:val="00C730B2"/>
    <w:rsid w:val="00C73F85"/>
    <w:rsid w:val="00C7444C"/>
    <w:rsid w:val="00C747A3"/>
    <w:rsid w:val="00C7608A"/>
    <w:rsid w:val="00C76796"/>
    <w:rsid w:val="00C76FCD"/>
    <w:rsid w:val="00C773FF"/>
    <w:rsid w:val="00C778D5"/>
    <w:rsid w:val="00C77A2C"/>
    <w:rsid w:val="00C80591"/>
    <w:rsid w:val="00C809D8"/>
    <w:rsid w:val="00C81215"/>
    <w:rsid w:val="00C819A7"/>
    <w:rsid w:val="00C81B75"/>
    <w:rsid w:val="00C8379C"/>
    <w:rsid w:val="00C837B1"/>
    <w:rsid w:val="00C84324"/>
    <w:rsid w:val="00C84571"/>
    <w:rsid w:val="00C8583E"/>
    <w:rsid w:val="00C86136"/>
    <w:rsid w:val="00C86610"/>
    <w:rsid w:val="00C8685A"/>
    <w:rsid w:val="00C8706B"/>
    <w:rsid w:val="00C91318"/>
    <w:rsid w:val="00C91D40"/>
    <w:rsid w:val="00C91DCE"/>
    <w:rsid w:val="00C92234"/>
    <w:rsid w:val="00C92A8B"/>
    <w:rsid w:val="00C93294"/>
    <w:rsid w:val="00C93B16"/>
    <w:rsid w:val="00C941CE"/>
    <w:rsid w:val="00C94C57"/>
    <w:rsid w:val="00C95D76"/>
    <w:rsid w:val="00CA0E4C"/>
    <w:rsid w:val="00CA1DF5"/>
    <w:rsid w:val="00CA225C"/>
    <w:rsid w:val="00CA3051"/>
    <w:rsid w:val="00CA34AD"/>
    <w:rsid w:val="00CA3639"/>
    <w:rsid w:val="00CA3CC0"/>
    <w:rsid w:val="00CA3D7E"/>
    <w:rsid w:val="00CA49D9"/>
    <w:rsid w:val="00CA4FF5"/>
    <w:rsid w:val="00CA57D3"/>
    <w:rsid w:val="00CA5845"/>
    <w:rsid w:val="00CA594F"/>
    <w:rsid w:val="00CA5B95"/>
    <w:rsid w:val="00CB112F"/>
    <w:rsid w:val="00CB17BF"/>
    <w:rsid w:val="00CB1B7A"/>
    <w:rsid w:val="00CB2504"/>
    <w:rsid w:val="00CB35D1"/>
    <w:rsid w:val="00CB3847"/>
    <w:rsid w:val="00CB4AA0"/>
    <w:rsid w:val="00CB4CCA"/>
    <w:rsid w:val="00CB4E8E"/>
    <w:rsid w:val="00CB6402"/>
    <w:rsid w:val="00CB73E6"/>
    <w:rsid w:val="00CC039A"/>
    <w:rsid w:val="00CC054B"/>
    <w:rsid w:val="00CC1362"/>
    <w:rsid w:val="00CC137A"/>
    <w:rsid w:val="00CC2D08"/>
    <w:rsid w:val="00CC30C1"/>
    <w:rsid w:val="00CC464C"/>
    <w:rsid w:val="00CC4BBF"/>
    <w:rsid w:val="00CC7CCE"/>
    <w:rsid w:val="00CD00E9"/>
    <w:rsid w:val="00CD0AD9"/>
    <w:rsid w:val="00CD0FD2"/>
    <w:rsid w:val="00CD2265"/>
    <w:rsid w:val="00CD2576"/>
    <w:rsid w:val="00CD2EBF"/>
    <w:rsid w:val="00CD34E3"/>
    <w:rsid w:val="00CD573C"/>
    <w:rsid w:val="00CD6195"/>
    <w:rsid w:val="00CD6539"/>
    <w:rsid w:val="00CD7A0D"/>
    <w:rsid w:val="00CE012A"/>
    <w:rsid w:val="00CE170A"/>
    <w:rsid w:val="00CE1DB0"/>
    <w:rsid w:val="00CE22BD"/>
    <w:rsid w:val="00CE38C4"/>
    <w:rsid w:val="00CE4266"/>
    <w:rsid w:val="00CE4C0C"/>
    <w:rsid w:val="00CE4C73"/>
    <w:rsid w:val="00CE4D34"/>
    <w:rsid w:val="00CE4F40"/>
    <w:rsid w:val="00CE526B"/>
    <w:rsid w:val="00CE5E44"/>
    <w:rsid w:val="00CE5F19"/>
    <w:rsid w:val="00CE646B"/>
    <w:rsid w:val="00CE65B3"/>
    <w:rsid w:val="00CE7EDC"/>
    <w:rsid w:val="00CE7EF7"/>
    <w:rsid w:val="00CE7F9B"/>
    <w:rsid w:val="00CF04EE"/>
    <w:rsid w:val="00CF2873"/>
    <w:rsid w:val="00CF290A"/>
    <w:rsid w:val="00CF2AD0"/>
    <w:rsid w:val="00CF2ADF"/>
    <w:rsid w:val="00CF2D44"/>
    <w:rsid w:val="00CF2F71"/>
    <w:rsid w:val="00CF2FA8"/>
    <w:rsid w:val="00CF3102"/>
    <w:rsid w:val="00CF424E"/>
    <w:rsid w:val="00CF49FE"/>
    <w:rsid w:val="00CF54B4"/>
    <w:rsid w:val="00CF5BB4"/>
    <w:rsid w:val="00CF5F0B"/>
    <w:rsid w:val="00CF6135"/>
    <w:rsid w:val="00CF61F0"/>
    <w:rsid w:val="00CF7146"/>
    <w:rsid w:val="00CF782A"/>
    <w:rsid w:val="00D0257A"/>
    <w:rsid w:val="00D02B3B"/>
    <w:rsid w:val="00D0302D"/>
    <w:rsid w:val="00D0331A"/>
    <w:rsid w:val="00D03616"/>
    <w:rsid w:val="00D04A92"/>
    <w:rsid w:val="00D0627B"/>
    <w:rsid w:val="00D06825"/>
    <w:rsid w:val="00D102D6"/>
    <w:rsid w:val="00D10522"/>
    <w:rsid w:val="00D10A81"/>
    <w:rsid w:val="00D11878"/>
    <w:rsid w:val="00D11950"/>
    <w:rsid w:val="00D11B5A"/>
    <w:rsid w:val="00D11E94"/>
    <w:rsid w:val="00D1296E"/>
    <w:rsid w:val="00D14963"/>
    <w:rsid w:val="00D15809"/>
    <w:rsid w:val="00D15DDB"/>
    <w:rsid w:val="00D16284"/>
    <w:rsid w:val="00D16FB7"/>
    <w:rsid w:val="00D178A3"/>
    <w:rsid w:val="00D204DC"/>
    <w:rsid w:val="00D2133D"/>
    <w:rsid w:val="00D249A9"/>
    <w:rsid w:val="00D24ADA"/>
    <w:rsid w:val="00D263AC"/>
    <w:rsid w:val="00D27BE3"/>
    <w:rsid w:val="00D303F5"/>
    <w:rsid w:val="00D31489"/>
    <w:rsid w:val="00D316F9"/>
    <w:rsid w:val="00D31FDB"/>
    <w:rsid w:val="00D33833"/>
    <w:rsid w:val="00D342C5"/>
    <w:rsid w:val="00D347E1"/>
    <w:rsid w:val="00D35BC6"/>
    <w:rsid w:val="00D36274"/>
    <w:rsid w:val="00D36CEA"/>
    <w:rsid w:val="00D36D02"/>
    <w:rsid w:val="00D37BD2"/>
    <w:rsid w:val="00D37E66"/>
    <w:rsid w:val="00D40B34"/>
    <w:rsid w:val="00D40FCF"/>
    <w:rsid w:val="00D41015"/>
    <w:rsid w:val="00D417D2"/>
    <w:rsid w:val="00D41C79"/>
    <w:rsid w:val="00D42D1C"/>
    <w:rsid w:val="00D42DFE"/>
    <w:rsid w:val="00D445BE"/>
    <w:rsid w:val="00D46535"/>
    <w:rsid w:val="00D5156C"/>
    <w:rsid w:val="00D52B4A"/>
    <w:rsid w:val="00D53111"/>
    <w:rsid w:val="00D5313E"/>
    <w:rsid w:val="00D545EC"/>
    <w:rsid w:val="00D54DE0"/>
    <w:rsid w:val="00D555F2"/>
    <w:rsid w:val="00D566EF"/>
    <w:rsid w:val="00D56BD5"/>
    <w:rsid w:val="00D57189"/>
    <w:rsid w:val="00D60484"/>
    <w:rsid w:val="00D60C1C"/>
    <w:rsid w:val="00D61A4D"/>
    <w:rsid w:val="00D625C2"/>
    <w:rsid w:val="00D62AA3"/>
    <w:rsid w:val="00D63074"/>
    <w:rsid w:val="00D635D5"/>
    <w:rsid w:val="00D63BBF"/>
    <w:rsid w:val="00D6401A"/>
    <w:rsid w:val="00D6497E"/>
    <w:rsid w:val="00D64ED3"/>
    <w:rsid w:val="00D65EA5"/>
    <w:rsid w:val="00D671D5"/>
    <w:rsid w:val="00D70CC3"/>
    <w:rsid w:val="00D715A2"/>
    <w:rsid w:val="00D72375"/>
    <w:rsid w:val="00D72F1C"/>
    <w:rsid w:val="00D739D1"/>
    <w:rsid w:val="00D7439C"/>
    <w:rsid w:val="00D75791"/>
    <w:rsid w:val="00D75F51"/>
    <w:rsid w:val="00D8164D"/>
    <w:rsid w:val="00D81BD2"/>
    <w:rsid w:val="00D82859"/>
    <w:rsid w:val="00D82A34"/>
    <w:rsid w:val="00D8300E"/>
    <w:rsid w:val="00D8461A"/>
    <w:rsid w:val="00D84795"/>
    <w:rsid w:val="00D84CFC"/>
    <w:rsid w:val="00D85762"/>
    <w:rsid w:val="00D8595B"/>
    <w:rsid w:val="00D86A0C"/>
    <w:rsid w:val="00D86D99"/>
    <w:rsid w:val="00D87369"/>
    <w:rsid w:val="00D91158"/>
    <w:rsid w:val="00D91743"/>
    <w:rsid w:val="00D917C8"/>
    <w:rsid w:val="00D92322"/>
    <w:rsid w:val="00D923C0"/>
    <w:rsid w:val="00D934DE"/>
    <w:rsid w:val="00D934EB"/>
    <w:rsid w:val="00D93987"/>
    <w:rsid w:val="00D9398F"/>
    <w:rsid w:val="00D93DD1"/>
    <w:rsid w:val="00D9487B"/>
    <w:rsid w:val="00D94C37"/>
    <w:rsid w:val="00D95139"/>
    <w:rsid w:val="00D962EC"/>
    <w:rsid w:val="00D96732"/>
    <w:rsid w:val="00D96C19"/>
    <w:rsid w:val="00D97433"/>
    <w:rsid w:val="00D974B2"/>
    <w:rsid w:val="00D97A94"/>
    <w:rsid w:val="00DA0905"/>
    <w:rsid w:val="00DA1946"/>
    <w:rsid w:val="00DA1E90"/>
    <w:rsid w:val="00DA3574"/>
    <w:rsid w:val="00DA3754"/>
    <w:rsid w:val="00DA37CC"/>
    <w:rsid w:val="00DA3F3C"/>
    <w:rsid w:val="00DA46B6"/>
    <w:rsid w:val="00DA5BEE"/>
    <w:rsid w:val="00DA6932"/>
    <w:rsid w:val="00DA6DD5"/>
    <w:rsid w:val="00DA6E61"/>
    <w:rsid w:val="00DA7976"/>
    <w:rsid w:val="00DA79C8"/>
    <w:rsid w:val="00DA7B3E"/>
    <w:rsid w:val="00DA7DC5"/>
    <w:rsid w:val="00DB031C"/>
    <w:rsid w:val="00DB03B4"/>
    <w:rsid w:val="00DB1261"/>
    <w:rsid w:val="00DB1869"/>
    <w:rsid w:val="00DB36B0"/>
    <w:rsid w:val="00DB52F6"/>
    <w:rsid w:val="00DB5EC5"/>
    <w:rsid w:val="00DB69AA"/>
    <w:rsid w:val="00DB6E3D"/>
    <w:rsid w:val="00DB7138"/>
    <w:rsid w:val="00DB75E8"/>
    <w:rsid w:val="00DC090D"/>
    <w:rsid w:val="00DC1297"/>
    <w:rsid w:val="00DC2246"/>
    <w:rsid w:val="00DC2B86"/>
    <w:rsid w:val="00DC3E41"/>
    <w:rsid w:val="00DC47F9"/>
    <w:rsid w:val="00DC4AA4"/>
    <w:rsid w:val="00DC4C93"/>
    <w:rsid w:val="00DC59B3"/>
    <w:rsid w:val="00DC5CD7"/>
    <w:rsid w:val="00DC5E53"/>
    <w:rsid w:val="00DC66B6"/>
    <w:rsid w:val="00DC778A"/>
    <w:rsid w:val="00DD0367"/>
    <w:rsid w:val="00DD0B73"/>
    <w:rsid w:val="00DD0D51"/>
    <w:rsid w:val="00DD1B78"/>
    <w:rsid w:val="00DD1EFE"/>
    <w:rsid w:val="00DD2224"/>
    <w:rsid w:val="00DD2F83"/>
    <w:rsid w:val="00DD3194"/>
    <w:rsid w:val="00DD45B8"/>
    <w:rsid w:val="00DD4703"/>
    <w:rsid w:val="00DD4E24"/>
    <w:rsid w:val="00DD4E37"/>
    <w:rsid w:val="00DD545B"/>
    <w:rsid w:val="00DD5657"/>
    <w:rsid w:val="00DD5A5F"/>
    <w:rsid w:val="00DD61D9"/>
    <w:rsid w:val="00DD6CFF"/>
    <w:rsid w:val="00DD6DAD"/>
    <w:rsid w:val="00DD6EC4"/>
    <w:rsid w:val="00DD6FBE"/>
    <w:rsid w:val="00DD7652"/>
    <w:rsid w:val="00DE1FF4"/>
    <w:rsid w:val="00DE24B7"/>
    <w:rsid w:val="00DE2ADB"/>
    <w:rsid w:val="00DE2F34"/>
    <w:rsid w:val="00DE34B9"/>
    <w:rsid w:val="00DE40F2"/>
    <w:rsid w:val="00DE51A4"/>
    <w:rsid w:val="00DE5463"/>
    <w:rsid w:val="00DE547A"/>
    <w:rsid w:val="00DF0482"/>
    <w:rsid w:val="00DF0B50"/>
    <w:rsid w:val="00DF0F56"/>
    <w:rsid w:val="00DF2549"/>
    <w:rsid w:val="00DF316B"/>
    <w:rsid w:val="00DF44C5"/>
    <w:rsid w:val="00DF4F0A"/>
    <w:rsid w:val="00DF5610"/>
    <w:rsid w:val="00DF56B3"/>
    <w:rsid w:val="00DF59A0"/>
    <w:rsid w:val="00DF676C"/>
    <w:rsid w:val="00DF790F"/>
    <w:rsid w:val="00E003EF"/>
    <w:rsid w:val="00E008AB"/>
    <w:rsid w:val="00E01613"/>
    <w:rsid w:val="00E017D3"/>
    <w:rsid w:val="00E01998"/>
    <w:rsid w:val="00E01C68"/>
    <w:rsid w:val="00E02C32"/>
    <w:rsid w:val="00E02F97"/>
    <w:rsid w:val="00E0343B"/>
    <w:rsid w:val="00E03540"/>
    <w:rsid w:val="00E046FF"/>
    <w:rsid w:val="00E047B0"/>
    <w:rsid w:val="00E048CE"/>
    <w:rsid w:val="00E04E21"/>
    <w:rsid w:val="00E06E50"/>
    <w:rsid w:val="00E101F5"/>
    <w:rsid w:val="00E1047D"/>
    <w:rsid w:val="00E12171"/>
    <w:rsid w:val="00E12930"/>
    <w:rsid w:val="00E12E0C"/>
    <w:rsid w:val="00E13BD0"/>
    <w:rsid w:val="00E154CA"/>
    <w:rsid w:val="00E16805"/>
    <w:rsid w:val="00E16C3A"/>
    <w:rsid w:val="00E20FB5"/>
    <w:rsid w:val="00E2153F"/>
    <w:rsid w:val="00E216B1"/>
    <w:rsid w:val="00E21FD7"/>
    <w:rsid w:val="00E22EB2"/>
    <w:rsid w:val="00E22F00"/>
    <w:rsid w:val="00E236CF"/>
    <w:rsid w:val="00E24285"/>
    <w:rsid w:val="00E24471"/>
    <w:rsid w:val="00E24D1C"/>
    <w:rsid w:val="00E2616D"/>
    <w:rsid w:val="00E27A5D"/>
    <w:rsid w:val="00E27F8C"/>
    <w:rsid w:val="00E3117F"/>
    <w:rsid w:val="00E32323"/>
    <w:rsid w:val="00E3271D"/>
    <w:rsid w:val="00E32720"/>
    <w:rsid w:val="00E32DFB"/>
    <w:rsid w:val="00E334F0"/>
    <w:rsid w:val="00E337D8"/>
    <w:rsid w:val="00E339FC"/>
    <w:rsid w:val="00E33D46"/>
    <w:rsid w:val="00E3449F"/>
    <w:rsid w:val="00E347D4"/>
    <w:rsid w:val="00E34982"/>
    <w:rsid w:val="00E352C4"/>
    <w:rsid w:val="00E35373"/>
    <w:rsid w:val="00E35FBF"/>
    <w:rsid w:val="00E363E2"/>
    <w:rsid w:val="00E365CC"/>
    <w:rsid w:val="00E37598"/>
    <w:rsid w:val="00E37970"/>
    <w:rsid w:val="00E4006D"/>
    <w:rsid w:val="00E40B64"/>
    <w:rsid w:val="00E40FE1"/>
    <w:rsid w:val="00E414D2"/>
    <w:rsid w:val="00E41784"/>
    <w:rsid w:val="00E424B4"/>
    <w:rsid w:val="00E42BCD"/>
    <w:rsid w:val="00E45240"/>
    <w:rsid w:val="00E45551"/>
    <w:rsid w:val="00E45F43"/>
    <w:rsid w:val="00E474F6"/>
    <w:rsid w:val="00E479CD"/>
    <w:rsid w:val="00E47C57"/>
    <w:rsid w:val="00E47F97"/>
    <w:rsid w:val="00E509A9"/>
    <w:rsid w:val="00E50A00"/>
    <w:rsid w:val="00E50CE0"/>
    <w:rsid w:val="00E51940"/>
    <w:rsid w:val="00E52738"/>
    <w:rsid w:val="00E52B13"/>
    <w:rsid w:val="00E536F3"/>
    <w:rsid w:val="00E53769"/>
    <w:rsid w:val="00E5384B"/>
    <w:rsid w:val="00E54131"/>
    <w:rsid w:val="00E5481B"/>
    <w:rsid w:val="00E556FC"/>
    <w:rsid w:val="00E5584E"/>
    <w:rsid w:val="00E559F5"/>
    <w:rsid w:val="00E57CEF"/>
    <w:rsid w:val="00E57DA3"/>
    <w:rsid w:val="00E619AE"/>
    <w:rsid w:val="00E61C41"/>
    <w:rsid w:val="00E62638"/>
    <w:rsid w:val="00E635C8"/>
    <w:rsid w:val="00E640D1"/>
    <w:rsid w:val="00E641F1"/>
    <w:rsid w:val="00E64814"/>
    <w:rsid w:val="00E64BE4"/>
    <w:rsid w:val="00E64E17"/>
    <w:rsid w:val="00E64FDE"/>
    <w:rsid w:val="00E65A6C"/>
    <w:rsid w:val="00E669E8"/>
    <w:rsid w:val="00E66A79"/>
    <w:rsid w:val="00E66F04"/>
    <w:rsid w:val="00E670C9"/>
    <w:rsid w:val="00E6793F"/>
    <w:rsid w:val="00E715A8"/>
    <w:rsid w:val="00E71E81"/>
    <w:rsid w:val="00E7207F"/>
    <w:rsid w:val="00E722B9"/>
    <w:rsid w:val="00E72668"/>
    <w:rsid w:val="00E72801"/>
    <w:rsid w:val="00E72ED0"/>
    <w:rsid w:val="00E74DEF"/>
    <w:rsid w:val="00E75018"/>
    <w:rsid w:val="00E751EE"/>
    <w:rsid w:val="00E7563F"/>
    <w:rsid w:val="00E7582A"/>
    <w:rsid w:val="00E76299"/>
    <w:rsid w:val="00E763E2"/>
    <w:rsid w:val="00E770E6"/>
    <w:rsid w:val="00E775FF"/>
    <w:rsid w:val="00E77648"/>
    <w:rsid w:val="00E81375"/>
    <w:rsid w:val="00E814B3"/>
    <w:rsid w:val="00E81506"/>
    <w:rsid w:val="00E81FA9"/>
    <w:rsid w:val="00E82784"/>
    <w:rsid w:val="00E83357"/>
    <w:rsid w:val="00E83814"/>
    <w:rsid w:val="00E8456A"/>
    <w:rsid w:val="00E84C87"/>
    <w:rsid w:val="00E85669"/>
    <w:rsid w:val="00E859A9"/>
    <w:rsid w:val="00E86004"/>
    <w:rsid w:val="00E86BA9"/>
    <w:rsid w:val="00E87853"/>
    <w:rsid w:val="00E90985"/>
    <w:rsid w:val="00E90A53"/>
    <w:rsid w:val="00E917FF"/>
    <w:rsid w:val="00E91A5C"/>
    <w:rsid w:val="00E91F38"/>
    <w:rsid w:val="00E93065"/>
    <w:rsid w:val="00E936F2"/>
    <w:rsid w:val="00E947E5"/>
    <w:rsid w:val="00E953C5"/>
    <w:rsid w:val="00E9598F"/>
    <w:rsid w:val="00E9630D"/>
    <w:rsid w:val="00E976AD"/>
    <w:rsid w:val="00E977FB"/>
    <w:rsid w:val="00E97910"/>
    <w:rsid w:val="00EA17A8"/>
    <w:rsid w:val="00EA1F8F"/>
    <w:rsid w:val="00EA37D6"/>
    <w:rsid w:val="00EA3AC4"/>
    <w:rsid w:val="00EA40F2"/>
    <w:rsid w:val="00EA41CC"/>
    <w:rsid w:val="00EA5C91"/>
    <w:rsid w:val="00EA6D89"/>
    <w:rsid w:val="00EA7265"/>
    <w:rsid w:val="00EA7F59"/>
    <w:rsid w:val="00EB01DB"/>
    <w:rsid w:val="00EB0C1A"/>
    <w:rsid w:val="00EB0CB1"/>
    <w:rsid w:val="00EB108F"/>
    <w:rsid w:val="00EB19D5"/>
    <w:rsid w:val="00EB24FF"/>
    <w:rsid w:val="00EB5C8D"/>
    <w:rsid w:val="00EB63DA"/>
    <w:rsid w:val="00EB6755"/>
    <w:rsid w:val="00EB740F"/>
    <w:rsid w:val="00EB7C08"/>
    <w:rsid w:val="00EC0A66"/>
    <w:rsid w:val="00EC1B70"/>
    <w:rsid w:val="00EC220D"/>
    <w:rsid w:val="00EC2718"/>
    <w:rsid w:val="00EC2910"/>
    <w:rsid w:val="00EC2EA7"/>
    <w:rsid w:val="00EC328A"/>
    <w:rsid w:val="00EC3CA0"/>
    <w:rsid w:val="00EC4DC8"/>
    <w:rsid w:val="00EC5379"/>
    <w:rsid w:val="00EC5594"/>
    <w:rsid w:val="00EC5978"/>
    <w:rsid w:val="00EC64B6"/>
    <w:rsid w:val="00EC6C20"/>
    <w:rsid w:val="00ED1328"/>
    <w:rsid w:val="00ED1B37"/>
    <w:rsid w:val="00ED2BB8"/>
    <w:rsid w:val="00ED3CA4"/>
    <w:rsid w:val="00ED416B"/>
    <w:rsid w:val="00ED450A"/>
    <w:rsid w:val="00ED51D8"/>
    <w:rsid w:val="00ED5555"/>
    <w:rsid w:val="00ED5AEC"/>
    <w:rsid w:val="00ED6553"/>
    <w:rsid w:val="00ED6A93"/>
    <w:rsid w:val="00ED7FB0"/>
    <w:rsid w:val="00EE0B0C"/>
    <w:rsid w:val="00EE102D"/>
    <w:rsid w:val="00EE2E0F"/>
    <w:rsid w:val="00EE328D"/>
    <w:rsid w:val="00EE3CF6"/>
    <w:rsid w:val="00EE5AD5"/>
    <w:rsid w:val="00EE6157"/>
    <w:rsid w:val="00EE6876"/>
    <w:rsid w:val="00EE6AD9"/>
    <w:rsid w:val="00EE6F55"/>
    <w:rsid w:val="00EE7218"/>
    <w:rsid w:val="00EF1A19"/>
    <w:rsid w:val="00EF1AC1"/>
    <w:rsid w:val="00EF1C2F"/>
    <w:rsid w:val="00EF24CC"/>
    <w:rsid w:val="00EF2B7A"/>
    <w:rsid w:val="00EF33A6"/>
    <w:rsid w:val="00EF34B7"/>
    <w:rsid w:val="00EF3B1E"/>
    <w:rsid w:val="00EF3C8A"/>
    <w:rsid w:val="00EF3DF3"/>
    <w:rsid w:val="00EF3FFE"/>
    <w:rsid w:val="00EF40DF"/>
    <w:rsid w:val="00EF5506"/>
    <w:rsid w:val="00EF581E"/>
    <w:rsid w:val="00EF5F14"/>
    <w:rsid w:val="00EF640D"/>
    <w:rsid w:val="00EF67F9"/>
    <w:rsid w:val="00EF7ADA"/>
    <w:rsid w:val="00EF7EC9"/>
    <w:rsid w:val="00F000FF"/>
    <w:rsid w:val="00F010E4"/>
    <w:rsid w:val="00F01423"/>
    <w:rsid w:val="00F02B17"/>
    <w:rsid w:val="00F02D72"/>
    <w:rsid w:val="00F035B8"/>
    <w:rsid w:val="00F03937"/>
    <w:rsid w:val="00F05F76"/>
    <w:rsid w:val="00F06219"/>
    <w:rsid w:val="00F07640"/>
    <w:rsid w:val="00F07EA5"/>
    <w:rsid w:val="00F11021"/>
    <w:rsid w:val="00F1145F"/>
    <w:rsid w:val="00F1155F"/>
    <w:rsid w:val="00F1235C"/>
    <w:rsid w:val="00F123FC"/>
    <w:rsid w:val="00F12A49"/>
    <w:rsid w:val="00F12AD0"/>
    <w:rsid w:val="00F12BDF"/>
    <w:rsid w:val="00F12FDE"/>
    <w:rsid w:val="00F13A52"/>
    <w:rsid w:val="00F13C6F"/>
    <w:rsid w:val="00F145D4"/>
    <w:rsid w:val="00F14794"/>
    <w:rsid w:val="00F148CC"/>
    <w:rsid w:val="00F16E21"/>
    <w:rsid w:val="00F16FE1"/>
    <w:rsid w:val="00F17397"/>
    <w:rsid w:val="00F17FFD"/>
    <w:rsid w:val="00F207C4"/>
    <w:rsid w:val="00F20E62"/>
    <w:rsid w:val="00F2134D"/>
    <w:rsid w:val="00F21688"/>
    <w:rsid w:val="00F21BE6"/>
    <w:rsid w:val="00F21FF8"/>
    <w:rsid w:val="00F2236E"/>
    <w:rsid w:val="00F2294D"/>
    <w:rsid w:val="00F22D61"/>
    <w:rsid w:val="00F2357E"/>
    <w:rsid w:val="00F23672"/>
    <w:rsid w:val="00F24C25"/>
    <w:rsid w:val="00F254F8"/>
    <w:rsid w:val="00F25BB2"/>
    <w:rsid w:val="00F25FFE"/>
    <w:rsid w:val="00F2690E"/>
    <w:rsid w:val="00F27156"/>
    <w:rsid w:val="00F2785A"/>
    <w:rsid w:val="00F300C5"/>
    <w:rsid w:val="00F3142A"/>
    <w:rsid w:val="00F31D9C"/>
    <w:rsid w:val="00F32BA3"/>
    <w:rsid w:val="00F32C28"/>
    <w:rsid w:val="00F33929"/>
    <w:rsid w:val="00F34412"/>
    <w:rsid w:val="00F3459B"/>
    <w:rsid w:val="00F34B0F"/>
    <w:rsid w:val="00F3508C"/>
    <w:rsid w:val="00F35199"/>
    <w:rsid w:val="00F35765"/>
    <w:rsid w:val="00F36508"/>
    <w:rsid w:val="00F36CD5"/>
    <w:rsid w:val="00F36CE6"/>
    <w:rsid w:val="00F379E7"/>
    <w:rsid w:val="00F40638"/>
    <w:rsid w:val="00F41ACF"/>
    <w:rsid w:val="00F423C5"/>
    <w:rsid w:val="00F42AB9"/>
    <w:rsid w:val="00F42B87"/>
    <w:rsid w:val="00F4370B"/>
    <w:rsid w:val="00F43F14"/>
    <w:rsid w:val="00F44592"/>
    <w:rsid w:val="00F45965"/>
    <w:rsid w:val="00F459E2"/>
    <w:rsid w:val="00F45DF8"/>
    <w:rsid w:val="00F460CF"/>
    <w:rsid w:val="00F46F04"/>
    <w:rsid w:val="00F47715"/>
    <w:rsid w:val="00F47A38"/>
    <w:rsid w:val="00F47B84"/>
    <w:rsid w:val="00F47C2D"/>
    <w:rsid w:val="00F47F07"/>
    <w:rsid w:val="00F50FB4"/>
    <w:rsid w:val="00F518C9"/>
    <w:rsid w:val="00F5252C"/>
    <w:rsid w:val="00F53071"/>
    <w:rsid w:val="00F530D5"/>
    <w:rsid w:val="00F5407B"/>
    <w:rsid w:val="00F54EB1"/>
    <w:rsid w:val="00F56462"/>
    <w:rsid w:val="00F5679E"/>
    <w:rsid w:val="00F56863"/>
    <w:rsid w:val="00F60155"/>
    <w:rsid w:val="00F60A4D"/>
    <w:rsid w:val="00F60A9A"/>
    <w:rsid w:val="00F618B3"/>
    <w:rsid w:val="00F61B7E"/>
    <w:rsid w:val="00F61DF7"/>
    <w:rsid w:val="00F62134"/>
    <w:rsid w:val="00F6296B"/>
    <w:rsid w:val="00F635F8"/>
    <w:rsid w:val="00F6443D"/>
    <w:rsid w:val="00F65521"/>
    <w:rsid w:val="00F65987"/>
    <w:rsid w:val="00F661C3"/>
    <w:rsid w:val="00F6718C"/>
    <w:rsid w:val="00F673E7"/>
    <w:rsid w:val="00F6760E"/>
    <w:rsid w:val="00F67F0D"/>
    <w:rsid w:val="00F7020B"/>
    <w:rsid w:val="00F70714"/>
    <w:rsid w:val="00F70B07"/>
    <w:rsid w:val="00F71718"/>
    <w:rsid w:val="00F717AB"/>
    <w:rsid w:val="00F71CD5"/>
    <w:rsid w:val="00F7206D"/>
    <w:rsid w:val="00F72CC8"/>
    <w:rsid w:val="00F735F4"/>
    <w:rsid w:val="00F73789"/>
    <w:rsid w:val="00F73980"/>
    <w:rsid w:val="00F749BF"/>
    <w:rsid w:val="00F7519C"/>
    <w:rsid w:val="00F7591B"/>
    <w:rsid w:val="00F76038"/>
    <w:rsid w:val="00F761B3"/>
    <w:rsid w:val="00F767C9"/>
    <w:rsid w:val="00F76ED5"/>
    <w:rsid w:val="00F806DA"/>
    <w:rsid w:val="00F80733"/>
    <w:rsid w:val="00F80E12"/>
    <w:rsid w:val="00F81CA8"/>
    <w:rsid w:val="00F81FAB"/>
    <w:rsid w:val="00F839F9"/>
    <w:rsid w:val="00F83FFF"/>
    <w:rsid w:val="00F84194"/>
    <w:rsid w:val="00F85999"/>
    <w:rsid w:val="00F85FE8"/>
    <w:rsid w:val="00F866FF"/>
    <w:rsid w:val="00F87B91"/>
    <w:rsid w:val="00F90442"/>
    <w:rsid w:val="00F923F4"/>
    <w:rsid w:val="00F92624"/>
    <w:rsid w:val="00F934FB"/>
    <w:rsid w:val="00F93D29"/>
    <w:rsid w:val="00F93D67"/>
    <w:rsid w:val="00F94C71"/>
    <w:rsid w:val="00F95F51"/>
    <w:rsid w:val="00F962F7"/>
    <w:rsid w:val="00F96E66"/>
    <w:rsid w:val="00F9763B"/>
    <w:rsid w:val="00F978A1"/>
    <w:rsid w:val="00F97DAF"/>
    <w:rsid w:val="00FA1500"/>
    <w:rsid w:val="00FA1E8B"/>
    <w:rsid w:val="00FA3806"/>
    <w:rsid w:val="00FA4620"/>
    <w:rsid w:val="00FA5630"/>
    <w:rsid w:val="00FA5C7A"/>
    <w:rsid w:val="00FA5D2B"/>
    <w:rsid w:val="00FA637B"/>
    <w:rsid w:val="00FA65D1"/>
    <w:rsid w:val="00FA675F"/>
    <w:rsid w:val="00FB0B1A"/>
    <w:rsid w:val="00FB18F2"/>
    <w:rsid w:val="00FB1B18"/>
    <w:rsid w:val="00FB2741"/>
    <w:rsid w:val="00FB2E47"/>
    <w:rsid w:val="00FB4FE1"/>
    <w:rsid w:val="00FB507E"/>
    <w:rsid w:val="00FB5092"/>
    <w:rsid w:val="00FB53DC"/>
    <w:rsid w:val="00FB5770"/>
    <w:rsid w:val="00FB5AD3"/>
    <w:rsid w:val="00FB6113"/>
    <w:rsid w:val="00FB6D39"/>
    <w:rsid w:val="00FB6EB9"/>
    <w:rsid w:val="00FB7622"/>
    <w:rsid w:val="00FB7A62"/>
    <w:rsid w:val="00FB7FA8"/>
    <w:rsid w:val="00FC04DC"/>
    <w:rsid w:val="00FC2568"/>
    <w:rsid w:val="00FC2811"/>
    <w:rsid w:val="00FC2FDB"/>
    <w:rsid w:val="00FC401C"/>
    <w:rsid w:val="00FC5123"/>
    <w:rsid w:val="00FC5C67"/>
    <w:rsid w:val="00FC6277"/>
    <w:rsid w:val="00FC6CC5"/>
    <w:rsid w:val="00FC717D"/>
    <w:rsid w:val="00FD0398"/>
    <w:rsid w:val="00FD12DD"/>
    <w:rsid w:val="00FD19AD"/>
    <w:rsid w:val="00FD4081"/>
    <w:rsid w:val="00FD4770"/>
    <w:rsid w:val="00FD4A27"/>
    <w:rsid w:val="00FD572E"/>
    <w:rsid w:val="00FD596D"/>
    <w:rsid w:val="00FD6E02"/>
    <w:rsid w:val="00FD6E3F"/>
    <w:rsid w:val="00FD7345"/>
    <w:rsid w:val="00FE0B20"/>
    <w:rsid w:val="00FE0B29"/>
    <w:rsid w:val="00FE1948"/>
    <w:rsid w:val="00FE268E"/>
    <w:rsid w:val="00FE2802"/>
    <w:rsid w:val="00FE40CF"/>
    <w:rsid w:val="00FE4BAF"/>
    <w:rsid w:val="00FE50BB"/>
    <w:rsid w:val="00FE59E7"/>
    <w:rsid w:val="00FE5AC5"/>
    <w:rsid w:val="00FE5AD0"/>
    <w:rsid w:val="00FE6387"/>
    <w:rsid w:val="00FE6B44"/>
    <w:rsid w:val="00FE7C29"/>
    <w:rsid w:val="00FF07F1"/>
    <w:rsid w:val="00FF0D33"/>
    <w:rsid w:val="00FF0E8D"/>
    <w:rsid w:val="00FF0EC0"/>
    <w:rsid w:val="00FF11DE"/>
    <w:rsid w:val="00FF1A0A"/>
    <w:rsid w:val="00FF1B54"/>
    <w:rsid w:val="00FF1D0A"/>
    <w:rsid w:val="00FF42F7"/>
    <w:rsid w:val="00FF46C5"/>
    <w:rsid w:val="00FF4E2C"/>
    <w:rsid w:val="00FF5657"/>
    <w:rsid w:val="00FF72C9"/>
    <w:rsid w:val="00FF781E"/>
    <w:rsid w:val="01087A93"/>
    <w:rsid w:val="010E3C37"/>
    <w:rsid w:val="011A4FBC"/>
    <w:rsid w:val="01265EF4"/>
    <w:rsid w:val="012750C5"/>
    <w:rsid w:val="01342D62"/>
    <w:rsid w:val="01352B56"/>
    <w:rsid w:val="013A53E8"/>
    <w:rsid w:val="013B3A3F"/>
    <w:rsid w:val="01543792"/>
    <w:rsid w:val="01625707"/>
    <w:rsid w:val="016933F5"/>
    <w:rsid w:val="0169419A"/>
    <w:rsid w:val="016A2D4F"/>
    <w:rsid w:val="016B6BCA"/>
    <w:rsid w:val="017F64EE"/>
    <w:rsid w:val="01854E05"/>
    <w:rsid w:val="01863A73"/>
    <w:rsid w:val="0187060F"/>
    <w:rsid w:val="019577DD"/>
    <w:rsid w:val="01A0233E"/>
    <w:rsid w:val="01AA5ABA"/>
    <w:rsid w:val="01CA216C"/>
    <w:rsid w:val="01DD3C4D"/>
    <w:rsid w:val="01EE0AE9"/>
    <w:rsid w:val="01EE19B6"/>
    <w:rsid w:val="01F6166F"/>
    <w:rsid w:val="02051FAE"/>
    <w:rsid w:val="020C4FBB"/>
    <w:rsid w:val="02154C12"/>
    <w:rsid w:val="021A4D78"/>
    <w:rsid w:val="0234687F"/>
    <w:rsid w:val="023A6E7E"/>
    <w:rsid w:val="02533F0F"/>
    <w:rsid w:val="0254571E"/>
    <w:rsid w:val="025D1038"/>
    <w:rsid w:val="02621F07"/>
    <w:rsid w:val="026B3B6C"/>
    <w:rsid w:val="028440C8"/>
    <w:rsid w:val="029077CD"/>
    <w:rsid w:val="02964926"/>
    <w:rsid w:val="02A21833"/>
    <w:rsid w:val="02AD1871"/>
    <w:rsid w:val="02AD361F"/>
    <w:rsid w:val="02AD5175"/>
    <w:rsid w:val="02B205E7"/>
    <w:rsid w:val="02CA4ECF"/>
    <w:rsid w:val="02DA618A"/>
    <w:rsid w:val="02E2418A"/>
    <w:rsid w:val="02E53EE1"/>
    <w:rsid w:val="02F67A46"/>
    <w:rsid w:val="0307728B"/>
    <w:rsid w:val="03087352"/>
    <w:rsid w:val="03296773"/>
    <w:rsid w:val="032F2786"/>
    <w:rsid w:val="0342560F"/>
    <w:rsid w:val="03467E3E"/>
    <w:rsid w:val="034931A7"/>
    <w:rsid w:val="035110BB"/>
    <w:rsid w:val="03573E4B"/>
    <w:rsid w:val="03593570"/>
    <w:rsid w:val="03661B9B"/>
    <w:rsid w:val="036C3483"/>
    <w:rsid w:val="0374759C"/>
    <w:rsid w:val="03866EAC"/>
    <w:rsid w:val="03892F20"/>
    <w:rsid w:val="039325D3"/>
    <w:rsid w:val="039B0657"/>
    <w:rsid w:val="039C38A3"/>
    <w:rsid w:val="03A72764"/>
    <w:rsid w:val="03AD0F37"/>
    <w:rsid w:val="03B4195F"/>
    <w:rsid w:val="03B8754C"/>
    <w:rsid w:val="03BB1199"/>
    <w:rsid w:val="03C055D4"/>
    <w:rsid w:val="03C32C4A"/>
    <w:rsid w:val="03C4372A"/>
    <w:rsid w:val="03CD574D"/>
    <w:rsid w:val="03D36639"/>
    <w:rsid w:val="03D5652F"/>
    <w:rsid w:val="03DF6C00"/>
    <w:rsid w:val="03E4712D"/>
    <w:rsid w:val="03E5679E"/>
    <w:rsid w:val="03F4157F"/>
    <w:rsid w:val="040922CB"/>
    <w:rsid w:val="041C2014"/>
    <w:rsid w:val="042524B7"/>
    <w:rsid w:val="04304E7B"/>
    <w:rsid w:val="043833BC"/>
    <w:rsid w:val="0440751E"/>
    <w:rsid w:val="04654D36"/>
    <w:rsid w:val="04690FD6"/>
    <w:rsid w:val="0472047E"/>
    <w:rsid w:val="047648DD"/>
    <w:rsid w:val="049525BD"/>
    <w:rsid w:val="04996748"/>
    <w:rsid w:val="049A5E25"/>
    <w:rsid w:val="049E5D54"/>
    <w:rsid w:val="049E68F6"/>
    <w:rsid w:val="04A049A3"/>
    <w:rsid w:val="04A415DE"/>
    <w:rsid w:val="04AA3BA1"/>
    <w:rsid w:val="04AD54D8"/>
    <w:rsid w:val="04BC6320"/>
    <w:rsid w:val="04C77B1F"/>
    <w:rsid w:val="04D57B8B"/>
    <w:rsid w:val="04DE0989"/>
    <w:rsid w:val="04F12461"/>
    <w:rsid w:val="04F1362D"/>
    <w:rsid w:val="04F425F7"/>
    <w:rsid w:val="04F46E66"/>
    <w:rsid w:val="04F779CC"/>
    <w:rsid w:val="04F94975"/>
    <w:rsid w:val="04F9774A"/>
    <w:rsid w:val="04FA0A7B"/>
    <w:rsid w:val="050A1F99"/>
    <w:rsid w:val="050B148D"/>
    <w:rsid w:val="051E4712"/>
    <w:rsid w:val="05341DEE"/>
    <w:rsid w:val="0535562C"/>
    <w:rsid w:val="05431A21"/>
    <w:rsid w:val="05490DDB"/>
    <w:rsid w:val="05544518"/>
    <w:rsid w:val="055D75CA"/>
    <w:rsid w:val="056903FB"/>
    <w:rsid w:val="057F014C"/>
    <w:rsid w:val="05910820"/>
    <w:rsid w:val="05AA6A8D"/>
    <w:rsid w:val="05BE5C23"/>
    <w:rsid w:val="05BE79A9"/>
    <w:rsid w:val="05BF10F8"/>
    <w:rsid w:val="05DE24DD"/>
    <w:rsid w:val="05E776CD"/>
    <w:rsid w:val="060630D6"/>
    <w:rsid w:val="061243AC"/>
    <w:rsid w:val="06124F39"/>
    <w:rsid w:val="06165F4F"/>
    <w:rsid w:val="061F0F05"/>
    <w:rsid w:val="063D1FED"/>
    <w:rsid w:val="063E0120"/>
    <w:rsid w:val="06421D43"/>
    <w:rsid w:val="06456265"/>
    <w:rsid w:val="064D0AC7"/>
    <w:rsid w:val="06543BCD"/>
    <w:rsid w:val="066B019B"/>
    <w:rsid w:val="06726546"/>
    <w:rsid w:val="067312DB"/>
    <w:rsid w:val="067A5F0E"/>
    <w:rsid w:val="067F08B4"/>
    <w:rsid w:val="068A7E98"/>
    <w:rsid w:val="06905732"/>
    <w:rsid w:val="06920076"/>
    <w:rsid w:val="069A210C"/>
    <w:rsid w:val="069A551E"/>
    <w:rsid w:val="06A50935"/>
    <w:rsid w:val="06AE59DC"/>
    <w:rsid w:val="06B61C85"/>
    <w:rsid w:val="06C34A53"/>
    <w:rsid w:val="06D81AE1"/>
    <w:rsid w:val="06DA1C7D"/>
    <w:rsid w:val="06EB5822"/>
    <w:rsid w:val="06F41088"/>
    <w:rsid w:val="06FF354C"/>
    <w:rsid w:val="07034156"/>
    <w:rsid w:val="070815FF"/>
    <w:rsid w:val="070E616F"/>
    <w:rsid w:val="07177702"/>
    <w:rsid w:val="071E77CD"/>
    <w:rsid w:val="071F2612"/>
    <w:rsid w:val="07201E73"/>
    <w:rsid w:val="07254193"/>
    <w:rsid w:val="07266080"/>
    <w:rsid w:val="07293490"/>
    <w:rsid w:val="07442078"/>
    <w:rsid w:val="074A6EBB"/>
    <w:rsid w:val="075449B1"/>
    <w:rsid w:val="0757624F"/>
    <w:rsid w:val="0757778E"/>
    <w:rsid w:val="0769019C"/>
    <w:rsid w:val="077F7128"/>
    <w:rsid w:val="079A530C"/>
    <w:rsid w:val="07A5620B"/>
    <w:rsid w:val="07A572DA"/>
    <w:rsid w:val="07BC4304"/>
    <w:rsid w:val="07CA274D"/>
    <w:rsid w:val="07CF0B77"/>
    <w:rsid w:val="07D775CF"/>
    <w:rsid w:val="07DB777F"/>
    <w:rsid w:val="07E26D84"/>
    <w:rsid w:val="07E81CF4"/>
    <w:rsid w:val="07E850FA"/>
    <w:rsid w:val="08025FDF"/>
    <w:rsid w:val="08036534"/>
    <w:rsid w:val="08060696"/>
    <w:rsid w:val="080E72E8"/>
    <w:rsid w:val="08122C3A"/>
    <w:rsid w:val="081235F2"/>
    <w:rsid w:val="082E5202"/>
    <w:rsid w:val="08407B27"/>
    <w:rsid w:val="085602B5"/>
    <w:rsid w:val="0856668F"/>
    <w:rsid w:val="08590E6E"/>
    <w:rsid w:val="0874033B"/>
    <w:rsid w:val="087865AE"/>
    <w:rsid w:val="087C31CD"/>
    <w:rsid w:val="087D0D0A"/>
    <w:rsid w:val="08855A9C"/>
    <w:rsid w:val="0886019E"/>
    <w:rsid w:val="088B45C1"/>
    <w:rsid w:val="088F4710"/>
    <w:rsid w:val="08932816"/>
    <w:rsid w:val="08A07782"/>
    <w:rsid w:val="08AE0409"/>
    <w:rsid w:val="08B25C2D"/>
    <w:rsid w:val="08BA0E34"/>
    <w:rsid w:val="08BB5744"/>
    <w:rsid w:val="08C57910"/>
    <w:rsid w:val="08C6668F"/>
    <w:rsid w:val="08E52FB7"/>
    <w:rsid w:val="08EA7E3A"/>
    <w:rsid w:val="08F03B23"/>
    <w:rsid w:val="08FC0F62"/>
    <w:rsid w:val="08FF6550"/>
    <w:rsid w:val="090410A9"/>
    <w:rsid w:val="09121428"/>
    <w:rsid w:val="091B637B"/>
    <w:rsid w:val="091C2F00"/>
    <w:rsid w:val="093F4DE2"/>
    <w:rsid w:val="094B1663"/>
    <w:rsid w:val="0952443B"/>
    <w:rsid w:val="09551826"/>
    <w:rsid w:val="095A3DD5"/>
    <w:rsid w:val="09661AA1"/>
    <w:rsid w:val="096A6533"/>
    <w:rsid w:val="096C1119"/>
    <w:rsid w:val="096E45F8"/>
    <w:rsid w:val="09711010"/>
    <w:rsid w:val="09791D75"/>
    <w:rsid w:val="09820BAD"/>
    <w:rsid w:val="09832E6C"/>
    <w:rsid w:val="098B2ECA"/>
    <w:rsid w:val="09CB5E16"/>
    <w:rsid w:val="09DF55E2"/>
    <w:rsid w:val="09E0077E"/>
    <w:rsid w:val="0A085D86"/>
    <w:rsid w:val="0A0A0ACE"/>
    <w:rsid w:val="0A151B12"/>
    <w:rsid w:val="0A152E60"/>
    <w:rsid w:val="0A1E3307"/>
    <w:rsid w:val="0A211677"/>
    <w:rsid w:val="0A3B636C"/>
    <w:rsid w:val="0A423673"/>
    <w:rsid w:val="0A4F1460"/>
    <w:rsid w:val="0A533A58"/>
    <w:rsid w:val="0A540642"/>
    <w:rsid w:val="0A601926"/>
    <w:rsid w:val="0A615816"/>
    <w:rsid w:val="0A634F0B"/>
    <w:rsid w:val="0A642BAF"/>
    <w:rsid w:val="0A7E338D"/>
    <w:rsid w:val="0A8C0332"/>
    <w:rsid w:val="0A921787"/>
    <w:rsid w:val="0A9452E4"/>
    <w:rsid w:val="0AA52E5E"/>
    <w:rsid w:val="0AA85BD0"/>
    <w:rsid w:val="0AAC4BBF"/>
    <w:rsid w:val="0AC47339"/>
    <w:rsid w:val="0AC85507"/>
    <w:rsid w:val="0AC96984"/>
    <w:rsid w:val="0ACA5FEF"/>
    <w:rsid w:val="0AE003A6"/>
    <w:rsid w:val="0AED45BD"/>
    <w:rsid w:val="0AEE6ECB"/>
    <w:rsid w:val="0B011F6F"/>
    <w:rsid w:val="0B18118E"/>
    <w:rsid w:val="0B2F4396"/>
    <w:rsid w:val="0B38312C"/>
    <w:rsid w:val="0B3F0F7F"/>
    <w:rsid w:val="0B416FFB"/>
    <w:rsid w:val="0B505D79"/>
    <w:rsid w:val="0B514833"/>
    <w:rsid w:val="0B574A70"/>
    <w:rsid w:val="0B6B5A8D"/>
    <w:rsid w:val="0B6B7992"/>
    <w:rsid w:val="0B765053"/>
    <w:rsid w:val="0B7F6442"/>
    <w:rsid w:val="0B816876"/>
    <w:rsid w:val="0B892467"/>
    <w:rsid w:val="0B8A6A50"/>
    <w:rsid w:val="0B8A74DC"/>
    <w:rsid w:val="0B924B6B"/>
    <w:rsid w:val="0B946032"/>
    <w:rsid w:val="0B9F72CC"/>
    <w:rsid w:val="0BA24A8A"/>
    <w:rsid w:val="0BA617DA"/>
    <w:rsid w:val="0BBD48A4"/>
    <w:rsid w:val="0BBF5E54"/>
    <w:rsid w:val="0BCE7F7F"/>
    <w:rsid w:val="0BD12E03"/>
    <w:rsid w:val="0BD17E86"/>
    <w:rsid w:val="0BD53167"/>
    <w:rsid w:val="0BD65FF4"/>
    <w:rsid w:val="0BE45BD8"/>
    <w:rsid w:val="0BED0F30"/>
    <w:rsid w:val="0BF50049"/>
    <w:rsid w:val="0BF7631C"/>
    <w:rsid w:val="0C0776CB"/>
    <w:rsid w:val="0C0C30B2"/>
    <w:rsid w:val="0C21376C"/>
    <w:rsid w:val="0C2566DD"/>
    <w:rsid w:val="0C2B403E"/>
    <w:rsid w:val="0C2F32F7"/>
    <w:rsid w:val="0C3B0FBF"/>
    <w:rsid w:val="0C3E7403"/>
    <w:rsid w:val="0C471DDF"/>
    <w:rsid w:val="0C5C36AB"/>
    <w:rsid w:val="0C670CE3"/>
    <w:rsid w:val="0C683598"/>
    <w:rsid w:val="0C7E427E"/>
    <w:rsid w:val="0C816A5C"/>
    <w:rsid w:val="0C9E2FF3"/>
    <w:rsid w:val="0CA51746"/>
    <w:rsid w:val="0CAB2310"/>
    <w:rsid w:val="0CC34E97"/>
    <w:rsid w:val="0CC74917"/>
    <w:rsid w:val="0CE11E09"/>
    <w:rsid w:val="0CF06F4B"/>
    <w:rsid w:val="0CF3287E"/>
    <w:rsid w:val="0CFF2F4A"/>
    <w:rsid w:val="0D164442"/>
    <w:rsid w:val="0D1A4D9C"/>
    <w:rsid w:val="0D296A7D"/>
    <w:rsid w:val="0D4C7167"/>
    <w:rsid w:val="0D640CE1"/>
    <w:rsid w:val="0D6463E3"/>
    <w:rsid w:val="0D754FD4"/>
    <w:rsid w:val="0D771861"/>
    <w:rsid w:val="0D7E43AA"/>
    <w:rsid w:val="0D8C2043"/>
    <w:rsid w:val="0DB17568"/>
    <w:rsid w:val="0DBE67F9"/>
    <w:rsid w:val="0DC932D7"/>
    <w:rsid w:val="0DD1795C"/>
    <w:rsid w:val="0DD8176C"/>
    <w:rsid w:val="0DE00A19"/>
    <w:rsid w:val="0DF12BC5"/>
    <w:rsid w:val="0E003A5D"/>
    <w:rsid w:val="0E060087"/>
    <w:rsid w:val="0E0C365F"/>
    <w:rsid w:val="0E143037"/>
    <w:rsid w:val="0E1E51E5"/>
    <w:rsid w:val="0E211C32"/>
    <w:rsid w:val="0E492CD0"/>
    <w:rsid w:val="0E4A4418"/>
    <w:rsid w:val="0E564B9E"/>
    <w:rsid w:val="0E5B1ED4"/>
    <w:rsid w:val="0E606427"/>
    <w:rsid w:val="0E7E478A"/>
    <w:rsid w:val="0E8B26AA"/>
    <w:rsid w:val="0E8F31B6"/>
    <w:rsid w:val="0EA2309A"/>
    <w:rsid w:val="0EA2330D"/>
    <w:rsid w:val="0ECB57A9"/>
    <w:rsid w:val="0ED079E1"/>
    <w:rsid w:val="0ED36E58"/>
    <w:rsid w:val="0ED648B7"/>
    <w:rsid w:val="0EDC58E0"/>
    <w:rsid w:val="0EE37388"/>
    <w:rsid w:val="0EEA24F5"/>
    <w:rsid w:val="0EEA323F"/>
    <w:rsid w:val="0F117FDC"/>
    <w:rsid w:val="0F1620FA"/>
    <w:rsid w:val="0F1847D5"/>
    <w:rsid w:val="0F2B2D28"/>
    <w:rsid w:val="0F2C3D14"/>
    <w:rsid w:val="0F32290C"/>
    <w:rsid w:val="0F324E3A"/>
    <w:rsid w:val="0F3375A2"/>
    <w:rsid w:val="0F3C4618"/>
    <w:rsid w:val="0F4B48EC"/>
    <w:rsid w:val="0F537D0A"/>
    <w:rsid w:val="0F6743E2"/>
    <w:rsid w:val="0F6817FD"/>
    <w:rsid w:val="0F704E94"/>
    <w:rsid w:val="0F76748F"/>
    <w:rsid w:val="0F772D10"/>
    <w:rsid w:val="0F7F5C80"/>
    <w:rsid w:val="0F871DD7"/>
    <w:rsid w:val="0F8C3690"/>
    <w:rsid w:val="0F8F4B6C"/>
    <w:rsid w:val="0F980B94"/>
    <w:rsid w:val="0F9C3ECA"/>
    <w:rsid w:val="0FA51EB0"/>
    <w:rsid w:val="0FB8150E"/>
    <w:rsid w:val="0FBC24A1"/>
    <w:rsid w:val="0FD32E58"/>
    <w:rsid w:val="0FDB787D"/>
    <w:rsid w:val="0FDF7576"/>
    <w:rsid w:val="10032C56"/>
    <w:rsid w:val="10126405"/>
    <w:rsid w:val="1015130C"/>
    <w:rsid w:val="10161526"/>
    <w:rsid w:val="101A414C"/>
    <w:rsid w:val="102F4C36"/>
    <w:rsid w:val="103B1D4B"/>
    <w:rsid w:val="106A3C36"/>
    <w:rsid w:val="106C1D80"/>
    <w:rsid w:val="106E07FA"/>
    <w:rsid w:val="107B3A9A"/>
    <w:rsid w:val="10850AC2"/>
    <w:rsid w:val="10885918"/>
    <w:rsid w:val="108F1960"/>
    <w:rsid w:val="109E35B0"/>
    <w:rsid w:val="109F50A5"/>
    <w:rsid w:val="10A12CFF"/>
    <w:rsid w:val="10A87B1C"/>
    <w:rsid w:val="10AA55F1"/>
    <w:rsid w:val="10B70EA7"/>
    <w:rsid w:val="10C233C7"/>
    <w:rsid w:val="10CE043B"/>
    <w:rsid w:val="10D26327"/>
    <w:rsid w:val="10E31361"/>
    <w:rsid w:val="10EF7AF5"/>
    <w:rsid w:val="1113530E"/>
    <w:rsid w:val="111E04B1"/>
    <w:rsid w:val="112371A2"/>
    <w:rsid w:val="11274606"/>
    <w:rsid w:val="112F78F5"/>
    <w:rsid w:val="11321CB5"/>
    <w:rsid w:val="11385143"/>
    <w:rsid w:val="11404BDD"/>
    <w:rsid w:val="1158504C"/>
    <w:rsid w:val="116A3CCE"/>
    <w:rsid w:val="116B07E1"/>
    <w:rsid w:val="116F1997"/>
    <w:rsid w:val="118A1799"/>
    <w:rsid w:val="11956EBA"/>
    <w:rsid w:val="1199660C"/>
    <w:rsid w:val="119C55CB"/>
    <w:rsid w:val="11AA018C"/>
    <w:rsid w:val="11AA53FD"/>
    <w:rsid w:val="11B12907"/>
    <w:rsid w:val="11B30CDD"/>
    <w:rsid w:val="11B322D4"/>
    <w:rsid w:val="11B56CA5"/>
    <w:rsid w:val="11B80A66"/>
    <w:rsid w:val="11BF72CB"/>
    <w:rsid w:val="11C150D9"/>
    <w:rsid w:val="11C2044E"/>
    <w:rsid w:val="1207458F"/>
    <w:rsid w:val="120C77B8"/>
    <w:rsid w:val="121767AF"/>
    <w:rsid w:val="121A478D"/>
    <w:rsid w:val="121D64F2"/>
    <w:rsid w:val="121E744C"/>
    <w:rsid w:val="122527AC"/>
    <w:rsid w:val="12400097"/>
    <w:rsid w:val="12420B07"/>
    <w:rsid w:val="1243490F"/>
    <w:rsid w:val="125000AE"/>
    <w:rsid w:val="12652EE0"/>
    <w:rsid w:val="1276269F"/>
    <w:rsid w:val="129E298E"/>
    <w:rsid w:val="12A64F72"/>
    <w:rsid w:val="12BF6BA3"/>
    <w:rsid w:val="12C86253"/>
    <w:rsid w:val="12D14B58"/>
    <w:rsid w:val="12E30500"/>
    <w:rsid w:val="12E67388"/>
    <w:rsid w:val="12E76E3D"/>
    <w:rsid w:val="12EF6C44"/>
    <w:rsid w:val="12F42994"/>
    <w:rsid w:val="13033714"/>
    <w:rsid w:val="13054109"/>
    <w:rsid w:val="130E5D19"/>
    <w:rsid w:val="13165EAA"/>
    <w:rsid w:val="13205115"/>
    <w:rsid w:val="13217712"/>
    <w:rsid w:val="1328607A"/>
    <w:rsid w:val="13476786"/>
    <w:rsid w:val="134B4E87"/>
    <w:rsid w:val="13513CBF"/>
    <w:rsid w:val="13525B1D"/>
    <w:rsid w:val="13537E40"/>
    <w:rsid w:val="13590907"/>
    <w:rsid w:val="136F66CF"/>
    <w:rsid w:val="13824654"/>
    <w:rsid w:val="1383424E"/>
    <w:rsid w:val="13873A19"/>
    <w:rsid w:val="139323BD"/>
    <w:rsid w:val="13940C2A"/>
    <w:rsid w:val="13AD2679"/>
    <w:rsid w:val="13AF697F"/>
    <w:rsid w:val="13B23F88"/>
    <w:rsid w:val="13C23562"/>
    <w:rsid w:val="13D95DC4"/>
    <w:rsid w:val="13EC5942"/>
    <w:rsid w:val="13F3254C"/>
    <w:rsid w:val="140858D0"/>
    <w:rsid w:val="14121BA5"/>
    <w:rsid w:val="141F2C05"/>
    <w:rsid w:val="142C1F6D"/>
    <w:rsid w:val="14504752"/>
    <w:rsid w:val="145A1E52"/>
    <w:rsid w:val="14621237"/>
    <w:rsid w:val="14692C32"/>
    <w:rsid w:val="14816406"/>
    <w:rsid w:val="148C0983"/>
    <w:rsid w:val="14D16036"/>
    <w:rsid w:val="14D4066C"/>
    <w:rsid w:val="14FE5593"/>
    <w:rsid w:val="15077329"/>
    <w:rsid w:val="150D619F"/>
    <w:rsid w:val="150F7D4B"/>
    <w:rsid w:val="1513002A"/>
    <w:rsid w:val="15155054"/>
    <w:rsid w:val="151A29D3"/>
    <w:rsid w:val="15251C15"/>
    <w:rsid w:val="1525653A"/>
    <w:rsid w:val="15366333"/>
    <w:rsid w:val="15374B5F"/>
    <w:rsid w:val="154308F4"/>
    <w:rsid w:val="155A339B"/>
    <w:rsid w:val="155C2F18"/>
    <w:rsid w:val="15703642"/>
    <w:rsid w:val="15915837"/>
    <w:rsid w:val="159643E7"/>
    <w:rsid w:val="15A620B3"/>
    <w:rsid w:val="15A646B5"/>
    <w:rsid w:val="15C577F8"/>
    <w:rsid w:val="15D87BF4"/>
    <w:rsid w:val="15E2447C"/>
    <w:rsid w:val="15E4176F"/>
    <w:rsid w:val="15E90DB9"/>
    <w:rsid w:val="15EF117C"/>
    <w:rsid w:val="16012B3E"/>
    <w:rsid w:val="1606331B"/>
    <w:rsid w:val="1612691F"/>
    <w:rsid w:val="162C08A7"/>
    <w:rsid w:val="16397866"/>
    <w:rsid w:val="163F4B80"/>
    <w:rsid w:val="163F6DE5"/>
    <w:rsid w:val="16473319"/>
    <w:rsid w:val="1681115B"/>
    <w:rsid w:val="16886D38"/>
    <w:rsid w:val="16963ACA"/>
    <w:rsid w:val="16974072"/>
    <w:rsid w:val="16AD462D"/>
    <w:rsid w:val="16C54BA8"/>
    <w:rsid w:val="16CA676A"/>
    <w:rsid w:val="16CD3FD2"/>
    <w:rsid w:val="16D6302D"/>
    <w:rsid w:val="16D80BB5"/>
    <w:rsid w:val="16DA6555"/>
    <w:rsid w:val="16DE1173"/>
    <w:rsid w:val="16EC0012"/>
    <w:rsid w:val="16F142AF"/>
    <w:rsid w:val="16F17585"/>
    <w:rsid w:val="171B33EC"/>
    <w:rsid w:val="17392A09"/>
    <w:rsid w:val="173A5693"/>
    <w:rsid w:val="173E6B0B"/>
    <w:rsid w:val="175679B4"/>
    <w:rsid w:val="176636F0"/>
    <w:rsid w:val="176B6FD8"/>
    <w:rsid w:val="177905F5"/>
    <w:rsid w:val="178D2D6F"/>
    <w:rsid w:val="17A566A3"/>
    <w:rsid w:val="17BB1876"/>
    <w:rsid w:val="17BE28E8"/>
    <w:rsid w:val="17C03643"/>
    <w:rsid w:val="17CE5281"/>
    <w:rsid w:val="17D36549"/>
    <w:rsid w:val="17D803EC"/>
    <w:rsid w:val="17DE39C6"/>
    <w:rsid w:val="17DF1603"/>
    <w:rsid w:val="17EC6363"/>
    <w:rsid w:val="17F608CA"/>
    <w:rsid w:val="1811489E"/>
    <w:rsid w:val="18373DD0"/>
    <w:rsid w:val="183F1A65"/>
    <w:rsid w:val="18483E05"/>
    <w:rsid w:val="18484863"/>
    <w:rsid w:val="18496797"/>
    <w:rsid w:val="184A63BA"/>
    <w:rsid w:val="1859463A"/>
    <w:rsid w:val="185E6A95"/>
    <w:rsid w:val="18684743"/>
    <w:rsid w:val="186A4932"/>
    <w:rsid w:val="187138F8"/>
    <w:rsid w:val="188D74E6"/>
    <w:rsid w:val="188F55D2"/>
    <w:rsid w:val="189B7C76"/>
    <w:rsid w:val="18A82C87"/>
    <w:rsid w:val="18A95A5C"/>
    <w:rsid w:val="18B120E4"/>
    <w:rsid w:val="18B21538"/>
    <w:rsid w:val="18B2243F"/>
    <w:rsid w:val="18B3705E"/>
    <w:rsid w:val="18B612AF"/>
    <w:rsid w:val="18B64343"/>
    <w:rsid w:val="18B86CD8"/>
    <w:rsid w:val="18C04D4D"/>
    <w:rsid w:val="18C272A1"/>
    <w:rsid w:val="18C84DE5"/>
    <w:rsid w:val="18C96881"/>
    <w:rsid w:val="18CD6371"/>
    <w:rsid w:val="18DC031E"/>
    <w:rsid w:val="18DF67B5"/>
    <w:rsid w:val="18E307F1"/>
    <w:rsid w:val="18EA113C"/>
    <w:rsid w:val="18EE7961"/>
    <w:rsid w:val="18EF3BD0"/>
    <w:rsid w:val="18F27B86"/>
    <w:rsid w:val="18FD5A37"/>
    <w:rsid w:val="1904733D"/>
    <w:rsid w:val="190B307D"/>
    <w:rsid w:val="191258F4"/>
    <w:rsid w:val="192535E4"/>
    <w:rsid w:val="19257F5C"/>
    <w:rsid w:val="192F6DDA"/>
    <w:rsid w:val="194C1901"/>
    <w:rsid w:val="194E101E"/>
    <w:rsid w:val="195107A6"/>
    <w:rsid w:val="1955715F"/>
    <w:rsid w:val="195D3FFD"/>
    <w:rsid w:val="196A4777"/>
    <w:rsid w:val="196F51A7"/>
    <w:rsid w:val="19704CF1"/>
    <w:rsid w:val="197746F8"/>
    <w:rsid w:val="199155F1"/>
    <w:rsid w:val="19BD721F"/>
    <w:rsid w:val="19C01A32"/>
    <w:rsid w:val="19F026B6"/>
    <w:rsid w:val="19F34E94"/>
    <w:rsid w:val="19FE05C5"/>
    <w:rsid w:val="1A005C0E"/>
    <w:rsid w:val="1A056420"/>
    <w:rsid w:val="1A157A06"/>
    <w:rsid w:val="1A243AF0"/>
    <w:rsid w:val="1A325F3C"/>
    <w:rsid w:val="1A334379"/>
    <w:rsid w:val="1A387CF0"/>
    <w:rsid w:val="1A397F1A"/>
    <w:rsid w:val="1A402685"/>
    <w:rsid w:val="1A4C34C2"/>
    <w:rsid w:val="1A4E6BC3"/>
    <w:rsid w:val="1A562397"/>
    <w:rsid w:val="1A5C1021"/>
    <w:rsid w:val="1A697013"/>
    <w:rsid w:val="1A8F2FBD"/>
    <w:rsid w:val="1A931284"/>
    <w:rsid w:val="1AA712F2"/>
    <w:rsid w:val="1AA934D5"/>
    <w:rsid w:val="1AAA768D"/>
    <w:rsid w:val="1AB2459A"/>
    <w:rsid w:val="1AB276F8"/>
    <w:rsid w:val="1ABB1C42"/>
    <w:rsid w:val="1AD904D2"/>
    <w:rsid w:val="1AE503D1"/>
    <w:rsid w:val="1AE72646"/>
    <w:rsid w:val="1B340B02"/>
    <w:rsid w:val="1B38625D"/>
    <w:rsid w:val="1B5622D6"/>
    <w:rsid w:val="1B596184"/>
    <w:rsid w:val="1B617200"/>
    <w:rsid w:val="1B6C2D90"/>
    <w:rsid w:val="1B707488"/>
    <w:rsid w:val="1B7F0B2B"/>
    <w:rsid w:val="1B884C10"/>
    <w:rsid w:val="1B89291D"/>
    <w:rsid w:val="1B89461B"/>
    <w:rsid w:val="1B922B9F"/>
    <w:rsid w:val="1B9E26BB"/>
    <w:rsid w:val="1BA04212"/>
    <w:rsid w:val="1BA369A5"/>
    <w:rsid w:val="1BA85476"/>
    <w:rsid w:val="1BB52247"/>
    <w:rsid w:val="1BBA3842"/>
    <w:rsid w:val="1BE07DB4"/>
    <w:rsid w:val="1BE70117"/>
    <w:rsid w:val="1BEA37E8"/>
    <w:rsid w:val="1C073B90"/>
    <w:rsid w:val="1C1447FB"/>
    <w:rsid w:val="1C1D5A71"/>
    <w:rsid w:val="1C275D99"/>
    <w:rsid w:val="1C2B18F5"/>
    <w:rsid w:val="1C343D7F"/>
    <w:rsid w:val="1C390A2E"/>
    <w:rsid w:val="1C3B2416"/>
    <w:rsid w:val="1C3F6B63"/>
    <w:rsid w:val="1C4975EC"/>
    <w:rsid w:val="1C4B55A4"/>
    <w:rsid w:val="1C6006A8"/>
    <w:rsid w:val="1C6A6E87"/>
    <w:rsid w:val="1C6F052C"/>
    <w:rsid w:val="1C730FDE"/>
    <w:rsid w:val="1C80194D"/>
    <w:rsid w:val="1C8661BC"/>
    <w:rsid w:val="1CA5175B"/>
    <w:rsid w:val="1CA8708E"/>
    <w:rsid w:val="1CB515F6"/>
    <w:rsid w:val="1CB8702D"/>
    <w:rsid w:val="1CC62984"/>
    <w:rsid w:val="1CC64C3F"/>
    <w:rsid w:val="1CC766FA"/>
    <w:rsid w:val="1CD31185"/>
    <w:rsid w:val="1CD6277B"/>
    <w:rsid w:val="1CD95A21"/>
    <w:rsid w:val="1CDF6666"/>
    <w:rsid w:val="1CE20B75"/>
    <w:rsid w:val="1CE61319"/>
    <w:rsid w:val="1CF0072A"/>
    <w:rsid w:val="1CFE0704"/>
    <w:rsid w:val="1D08199F"/>
    <w:rsid w:val="1D095A66"/>
    <w:rsid w:val="1D110CAF"/>
    <w:rsid w:val="1D115F82"/>
    <w:rsid w:val="1D1327C1"/>
    <w:rsid w:val="1D1A4299"/>
    <w:rsid w:val="1D1D1C1D"/>
    <w:rsid w:val="1D372DA6"/>
    <w:rsid w:val="1D3F5E28"/>
    <w:rsid w:val="1D401D34"/>
    <w:rsid w:val="1D7B3C8C"/>
    <w:rsid w:val="1D892524"/>
    <w:rsid w:val="1D8D376E"/>
    <w:rsid w:val="1D8E2600"/>
    <w:rsid w:val="1D905BC0"/>
    <w:rsid w:val="1D966ADE"/>
    <w:rsid w:val="1DAD53DF"/>
    <w:rsid w:val="1DB566B2"/>
    <w:rsid w:val="1DC03CF0"/>
    <w:rsid w:val="1DC33B10"/>
    <w:rsid w:val="1DCE4F3F"/>
    <w:rsid w:val="1DD12460"/>
    <w:rsid w:val="1DDF07D2"/>
    <w:rsid w:val="1DEB1E71"/>
    <w:rsid w:val="1DF12B02"/>
    <w:rsid w:val="1DF52153"/>
    <w:rsid w:val="1DF946B8"/>
    <w:rsid w:val="1E07453C"/>
    <w:rsid w:val="1E110BB9"/>
    <w:rsid w:val="1E1513C9"/>
    <w:rsid w:val="1E21510D"/>
    <w:rsid w:val="1E255BCF"/>
    <w:rsid w:val="1E2F091C"/>
    <w:rsid w:val="1E3615C3"/>
    <w:rsid w:val="1E401F1D"/>
    <w:rsid w:val="1E4909FF"/>
    <w:rsid w:val="1E4D0389"/>
    <w:rsid w:val="1E5A5DD9"/>
    <w:rsid w:val="1E6A2502"/>
    <w:rsid w:val="1E6A4663"/>
    <w:rsid w:val="1E773E55"/>
    <w:rsid w:val="1E813530"/>
    <w:rsid w:val="1E8C679D"/>
    <w:rsid w:val="1E91665E"/>
    <w:rsid w:val="1E9A79D7"/>
    <w:rsid w:val="1E9E3DC8"/>
    <w:rsid w:val="1EA9518B"/>
    <w:rsid w:val="1EAA241D"/>
    <w:rsid w:val="1EB276AF"/>
    <w:rsid w:val="1EEC2B33"/>
    <w:rsid w:val="1EF73F53"/>
    <w:rsid w:val="1EFE5C04"/>
    <w:rsid w:val="1F0508F5"/>
    <w:rsid w:val="1F056F36"/>
    <w:rsid w:val="1F0C4F23"/>
    <w:rsid w:val="1F154EFF"/>
    <w:rsid w:val="1F276088"/>
    <w:rsid w:val="1F412E59"/>
    <w:rsid w:val="1F553B39"/>
    <w:rsid w:val="1F5E5F75"/>
    <w:rsid w:val="1F61124E"/>
    <w:rsid w:val="1F63431F"/>
    <w:rsid w:val="1F725A2E"/>
    <w:rsid w:val="1F752B3D"/>
    <w:rsid w:val="1F7B2FEF"/>
    <w:rsid w:val="1F83778A"/>
    <w:rsid w:val="1F857494"/>
    <w:rsid w:val="1F8A2AF7"/>
    <w:rsid w:val="1F8D0609"/>
    <w:rsid w:val="1F8D78E3"/>
    <w:rsid w:val="1F9546E3"/>
    <w:rsid w:val="1F9A4AD4"/>
    <w:rsid w:val="1FA7690D"/>
    <w:rsid w:val="1FA9188D"/>
    <w:rsid w:val="1FB20E38"/>
    <w:rsid w:val="1FB44C7A"/>
    <w:rsid w:val="1FB9650E"/>
    <w:rsid w:val="1FC226D0"/>
    <w:rsid w:val="1FD37D88"/>
    <w:rsid w:val="1FDC1629"/>
    <w:rsid w:val="1FF0327F"/>
    <w:rsid w:val="1FF33CFA"/>
    <w:rsid w:val="1FFFBA28"/>
    <w:rsid w:val="20105DC2"/>
    <w:rsid w:val="20152E97"/>
    <w:rsid w:val="2018206F"/>
    <w:rsid w:val="20362A4E"/>
    <w:rsid w:val="203A5B75"/>
    <w:rsid w:val="204629AF"/>
    <w:rsid w:val="20480471"/>
    <w:rsid w:val="204E5231"/>
    <w:rsid w:val="205B27D3"/>
    <w:rsid w:val="20646FD1"/>
    <w:rsid w:val="20767256"/>
    <w:rsid w:val="207958DA"/>
    <w:rsid w:val="20811B4B"/>
    <w:rsid w:val="208931DB"/>
    <w:rsid w:val="208A4B48"/>
    <w:rsid w:val="209459C7"/>
    <w:rsid w:val="20EA648D"/>
    <w:rsid w:val="20ED729F"/>
    <w:rsid w:val="20F33D14"/>
    <w:rsid w:val="20F54490"/>
    <w:rsid w:val="210807F1"/>
    <w:rsid w:val="211C787D"/>
    <w:rsid w:val="21212AAB"/>
    <w:rsid w:val="21262AC3"/>
    <w:rsid w:val="21263C02"/>
    <w:rsid w:val="21297226"/>
    <w:rsid w:val="21346A79"/>
    <w:rsid w:val="213C59B9"/>
    <w:rsid w:val="215E6480"/>
    <w:rsid w:val="21731DFE"/>
    <w:rsid w:val="218A2631"/>
    <w:rsid w:val="21A144B4"/>
    <w:rsid w:val="21A712C6"/>
    <w:rsid w:val="21AB4547"/>
    <w:rsid w:val="21B53694"/>
    <w:rsid w:val="21BF1092"/>
    <w:rsid w:val="21C40547"/>
    <w:rsid w:val="21C95C1F"/>
    <w:rsid w:val="21CA4834"/>
    <w:rsid w:val="21D33231"/>
    <w:rsid w:val="21D644C6"/>
    <w:rsid w:val="21DF7A0D"/>
    <w:rsid w:val="21E75989"/>
    <w:rsid w:val="21EA46C1"/>
    <w:rsid w:val="21F20010"/>
    <w:rsid w:val="2201740A"/>
    <w:rsid w:val="220F17A9"/>
    <w:rsid w:val="221943D6"/>
    <w:rsid w:val="22215A47"/>
    <w:rsid w:val="22385705"/>
    <w:rsid w:val="227C6BAD"/>
    <w:rsid w:val="227F1C09"/>
    <w:rsid w:val="228A5065"/>
    <w:rsid w:val="228A6727"/>
    <w:rsid w:val="228C4D98"/>
    <w:rsid w:val="22956805"/>
    <w:rsid w:val="2298053F"/>
    <w:rsid w:val="22A17D5F"/>
    <w:rsid w:val="22A42B80"/>
    <w:rsid w:val="22AE2456"/>
    <w:rsid w:val="22D947A0"/>
    <w:rsid w:val="22DF2517"/>
    <w:rsid w:val="22E20809"/>
    <w:rsid w:val="22E4372A"/>
    <w:rsid w:val="22EF7159"/>
    <w:rsid w:val="22F01B6C"/>
    <w:rsid w:val="22FA0CC9"/>
    <w:rsid w:val="23025BF0"/>
    <w:rsid w:val="23066136"/>
    <w:rsid w:val="230F110F"/>
    <w:rsid w:val="232433F1"/>
    <w:rsid w:val="232A645C"/>
    <w:rsid w:val="232E7A81"/>
    <w:rsid w:val="234750CE"/>
    <w:rsid w:val="23527D81"/>
    <w:rsid w:val="235D4796"/>
    <w:rsid w:val="236429C8"/>
    <w:rsid w:val="2365487C"/>
    <w:rsid w:val="2365796B"/>
    <w:rsid w:val="236B12A0"/>
    <w:rsid w:val="236B2068"/>
    <w:rsid w:val="236D6E8E"/>
    <w:rsid w:val="23721EFC"/>
    <w:rsid w:val="23875E6E"/>
    <w:rsid w:val="23883DBB"/>
    <w:rsid w:val="238F10EF"/>
    <w:rsid w:val="23A15E0D"/>
    <w:rsid w:val="23B5569D"/>
    <w:rsid w:val="23BB7BC0"/>
    <w:rsid w:val="23BD0622"/>
    <w:rsid w:val="23E74447"/>
    <w:rsid w:val="23EB4CC5"/>
    <w:rsid w:val="240775EC"/>
    <w:rsid w:val="240E7F1E"/>
    <w:rsid w:val="24110C8F"/>
    <w:rsid w:val="241509E3"/>
    <w:rsid w:val="24187948"/>
    <w:rsid w:val="24191E25"/>
    <w:rsid w:val="24220AEC"/>
    <w:rsid w:val="242364EF"/>
    <w:rsid w:val="242B795A"/>
    <w:rsid w:val="242C1B2B"/>
    <w:rsid w:val="24473722"/>
    <w:rsid w:val="244E0106"/>
    <w:rsid w:val="245F009A"/>
    <w:rsid w:val="24664007"/>
    <w:rsid w:val="24695039"/>
    <w:rsid w:val="246F7CDB"/>
    <w:rsid w:val="247542D7"/>
    <w:rsid w:val="24786DF4"/>
    <w:rsid w:val="247D304F"/>
    <w:rsid w:val="247F2910"/>
    <w:rsid w:val="24855565"/>
    <w:rsid w:val="249D3562"/>
    <w:rsid w:val="249D7B20"/>
    <w:rsid w:val="24B2356E"/>
    <w:rsid w:val="24B63F00"/>
    <w:rsid w:val="24C22306"/>
    <w:rsid w:val="24D6035C"/>
    <w:rsid w:val="24DB77FB"/>
    <w:rsid w:val="24EB689C"/>
    <w:rsid w:val="25063299"/>
    <w:rsid w:val="250D4CEC"/>
    <w:rsid w:val="25197D61"/>
    <w:rsid w:val="251F3F3E"/>
    <w:rsid w:val="253107C1"/>
    <w:rsid w:val="253631EE"/>
    <w:rsid w:val="2540662C"/>
    <w:rsid w:val="25453733"/>
    <w:rsid w:val="25465352"/>
    <w:rsid w:val="25514B4D"/>
    <w:rsid w:val="25567A80"/>
    <w:rsid w:val="256242E5"/>
    <w:rsid w:val="256E131D"/>
    <w:rsid w:val="256F28F1"/>
    <w:rsid w:val="257909C8"/>
    <w:rsid w:val="259A76D1"/>
    <w:rsid w:val="25BF7042"/>
    <w:rsid w:val="25C430DD"/>
    <w:rsid w:val="25CB7386"/>
    <w:rsid w:val="25D83D8E"/>
    <w:rsid w:val="25D91E1A"/>
    <w:rsid w:val="25D92A0D"/>
    <w:rsid w:val="25E24C71"/>
    <w:rsid w:val="25E8033C"/>
    <w:rsid w:val="25E84123"/>
    <w:rsid w:val="25F6528A"/>
    <w:rsid w:val="260B27F7"/>
    <w:rsid w:val="260E3B25"/>
    <w:rsid w:val="262F3F3D"/>
    <w:rsid w:val="263440FC"/>
    <w:rsid w:val="263766BB"/>
    <w:rsid w:val="2650558E"/>
    <w:rsid w:val="26557AF3"/>
    <w:rsid w:val="265A51C4"/>
    <w:rsid w:val="265C5068"/>
    <w:rsid w:val="265E67B4"/>
    <w:rsid w:val="265F2A72"/>
    <w:rsid w:val="266309A5"/>
    <w:rsid w:val="266B4A44"/>
    <w:rsid w:val="266B59A3"/>
    <w:rsid w:val="26763C7F"/>
    <w:rsid w:val="267924E9"/>
    <w:rsid w:val="26803EF0"/>
    <w:rsid w:val="269B2503"/>
    <w:rsid w:val="269F5BE9"/>
    <w:rsid w:val="26AA5433"/>
    <w:rsid w:val="26AA6122"/>
    <w:rsid w:val="26B21DFA"/>
    <w:rsid w:val="26C451AF"/>
    <w:rsid w:val="26C63593"/>
    <w:rsid w:val="26C94848"/>
    <w:rsid w:val="26D81F9C"/>
    <w:rsid w:val="26E2746D"/>
    <w:rsid w:val="26E808A7"/>
    <w:rsid w:val="26EA5797"/>
    <w:rsid w:val="26ED20AD"/>
    <w:rsid w:val="26FE118E"/>
    <w:rsid w:val="2717198C"/>
    <w:rsid w:val="274C0308"/>
    <w:rsid w:val="274D2841"/>
    <w:rsid w:val="275F6D2E"/>
    <w:rsid w:val="276B7270"/>
    <w:rsid w:val="27756ECD"/>
    <w:rsid w:val="277A5916"/>
    <w:rsid w:val="27880227"/>
    <w:rsid w:val="279A288D"/>
    <w:rsid w:val="279E14B6"/>
    <w:rsid w:val="27A85C6C"/>
    <w:rsid w:val="27AA5AD0"/>
    <w:rsid w:val="27BA0437"/>
    <w:rsid w:val="27C6141F"/>
    <w:rsid w:val="27C73E2F"/>
    <w:rsid w:val="27C80C75"/>
    <w:rsid w:val="27D05F59"/>
    <w:rsid w:val="27D42237"/>
    <w:rsid w:val="27DA0FF8"/>
    <w:rsid w:val="27EC0996"/>
    <w:rsid w:val="27EC3078"/>
    <w:rsid w:val="28066ECA"/>
    <w:rsid w:val="28096C9A"/>
    <w:rsid w:val="28162118"/>
    <w:rsid w:val="281843B5"/>
    <w:rsid w:val="281F026C"/>
    <w:rsid w:val="28244643"/>
    <w:rsid w:val="28250DB4"/>
    <w:rsid w:val="282E4925"/>
    <w:rsid w:val="2831709C"/>
    <w:rsid w:val="283821BA"/>
    <w:rsid w:val="283B3DB2"/>
    <w:rsid w:val="283C1BE5"/>
    <w:rsid w:val="283E4B0A"/>
    <w:rsid w:val="28445031"/>
    <w:rsid w:val="28557EEA"/>
    <w:rsid w:val="285C7D4E"/>
    <w:rsid w:val="286168C8"/>
    <w:rsid w:val="286B48DE"/>
    <w:rsid w:val="28725C02"/>
    <w:rsid w:val="287552E7"/>
    <w:rsid w:val="28894C9D"/>
    <w:rsid w:val="288B165E"/>
    <w:rsid w:val="289C59FF"/>
    <w:rsid w:val="28B35D76"/>
    <w:rsid w:val="28B6007F"/>
    <w:rsid w:val="28BF71C9"/>
    <w:rsid w:val="28CA6096"/>
    <w:rsid w:val="28D862B3"/>
    <w:rsid w:val="28EA2628"/>
    <w:rsid w:val="29074B10"/>
    <w:rsid w:val="29106CE8"/>
    <w:rsid w:val="292965B5"/>
    <w:rsid w:val="293B0D87"/>
    <w:rsid w:val="294B22C6"/>
    <w:rsid w:val="295B3526"/>
    <w:rsid w:val="29660286"/>
    <w:rsid w:val="29674D80"/>
    <w:rsid w:val="29824994"/>
    <w:rsid w:val="299A357F"/>
    <w:rsid w:val="299E66A4"/>
    <w:rsid w:val="29BC613C"/>
    <w:rsid w:val="29CD2000"/>
    <w:rsid w:val="29D10F1D"/>
    <w:rsid w:val="29D866B0"/>
    <w:rsid w:val="29F735FB"/>
    <w:rsid w:val="2A017CAF"/>
    <w:rsid w:val="2A042B00"/>
    <w:rsid w:val="2A043423"/>
    <w:rsid w:val="2A04348F"/>
    <w:rsid w:val="2A0543C6"/>
    <w:rsid w:val="2A334895"/>
    <w:rsid w:val="2A3F2F10"/>
    <w:rsid w:val="2A44757C"/>
    <w:rsid w:val="2A587238"/>
    <w:rsid w:val="2A62415D"/>
    <w:rsid w:val="2A641D7A"/>
    <w:rsid w:val="2A684630"/>
    <w:rsid w:val="2A776C05"/>
    <w:rsid w:val="2A7A51A8"/>
    <w:rsid w:val="2A8779B0"/>
    <w:rsid w:val="2A8D1D60"/>
    <w:rsid w:val="2A901C1D"/>
    <w:rsid w:val="2A9308AD"/>
    <w:rsid w:val="2A9C1988"/>
    <w:rsid w:val="2AA809EC"/>
    <w:rsid w:val="2AAC5455"/>
    <w:rsid w:val="2AB02A38"/>
    <w:rsid w:val="2ACB46DB"/>
    <w:rsid w:val="2AD47C95"/>
    <w:rsid w:val="2AD82CB0"/>
    <w:rsid w:val="2AF27B5D"/>
    <w:rsid w:val="2AF82FCF"/>
    <w:rsid w:val="2AFC357B"/>
    <w:rsid w:val="2B08304C"/>
    <w:rsid w:val="2B0B39DC"/>
    <w:rsid w:val="2B0D6AA1"/>
    <w:rsid w:val="2B0F003C"/>
    <w:rsid w:val="2B150F6A"/>
    <w:rsid w:val="2B1E2A5D"/>
    <w:rsid w:val="2B1F1533"/>
    <w:rsid w:val="2B1F2DD5"/>
    <w:rsid w:val="2B351E34"/>
    <w:rsid w:val="2B3E30FF"/>
    <w:rsid w:val="2B4F734B"/>
    <w:rsid w:val="2B674404"/>
    <w:rsid w:val="2B6849BE"/>
    <w:rsid w:val="2B6C5576"/>
    <w:rsid w:val="2B6F6104"/>
    <w:rsid w:val="2B7717F5"/>
    <w:rsid w:val="2B85311F"/>
    <w:rsid w:val="2B9365D9"/>
    <w:rsid w:val="2BA32F62"/>
    <w:rsid w:val="2BA411B4"/>
    <w:rsid w:val="2BA92D16"/>
    <w:rsid w:val="2BB92785"/>
    <w:rsid w:val="2BBB6E5E"/>
    <w:rsid w:val="2BC307AD"/>
    <w:rsid w:val="2BC55D06"/>
    <w:rsid w:val="2BD33847"/>
    <w:rsid w:val="2BD832CA"/>
    <w:rsid w:val="2BD84376"/>
    <w:rsid w:val="2BE0481E"/>
    <w:rsid w:val="2BE17367"/>
    <w:rsid w:val="2BE17C5A"/>
    <w:rsid w:val="2BE7208F"/>
    <w:rsid w:val="2BF16424"/>
    <w:rsid w:val="2BF95FC9"/>
    <w:rsid w:val="2BFC7C17"/>
    <w:rsid w:val="2C010E37"/>
    <w:rsid w:val="2C093CC4"/>
    <w:rsid w:val="2C177228"/>
    <w:rsid w:val="2C1F6A8C"/>
    <w:rsid w:val="2C246086"/>
    <w:rsid w:val="2C251DEC"/>
    <w:rsid w:val="2C2E6CCF"/>
    <w:rsid w:val="2C344D48"/>
    <w:rsid w:val="2C426F58"/>
    <w:rsid w:val="2C4F70E6"/>
    <w:rsid w:val="2C50597F"/>
    <w:rsid w:val="2C551DB1"/>
    <w:rsid w:val="2C571B79"/>
    <w:rsid w:val="2C5A77F2"/>
    <w:rsid w:val="2C5B35A0"/>
    <w:rsid w:val="2C60670A"/>
    <w:rsid w:val="2C6A6776"/>
    <w:rsid w:val="2C6F14C5"/>
    <w:rsid w:val="2C786982"/>
    <w:rsid w:val="2C7E5DF8"/>
    <w:rsid w:val="2C840FE5"/>
    <w:rsid w:val="2C887471"/>
    <w:rsid w:val="2C9476BC"/>
    <w:rsid w:val="2C9C6AAB"/>
    <w:rsid w:val="2C9E5960"/>
    <w:rsid w:val="2C9F3729"/>
    <w:rsid w:val="2CA72FC6"/>
    <w:rsid w:val="2CE07DEE"/>
    <w:rsid w:val="2CEB7ACD"/>
    <w:rsid w:val="2CF972DD"/>
    <w:rsid w:val="2D157B49"/>
    <w:rsid w:val="2D39592C"/>
    <w:rsid w:val="2D3A29F4"/>
    <w:rsid w:val="2D3B616C"/>
    <w:rsid w:val="2D3E311B"/>
    <w:rsid w:val="2D406CBA"/>
    <w:rsid w:val="2D413FAE"/>
    <w:rsid w:val="2D46629B"/>
    <w:rsid w:val="2D480C06"/>
    <w:rsid w:val="2D56496C"/>
    <w:rsid w:val="2D5D321E"/>
    <w:rsid w:val="2D643464"/>
    <w:rsid w:val="2D6578D6"/>
    <w:rsid w:val="2D6D32BF"/>
    <w:rsid w:val="2D8262FB"/>
    <w:rsid w:val="2D882533"/>
    <w:rsid w:val="2D8903A7"/>
    <w:rsid w:val="2D962D7E"/>
    <w:rsid w:val="2DAB7994"/>
    <w:rsid w:val="2DBE09E4"/>
    <w:rsid w:val="2DC2613E"/>
    <w:rsid w:val="2DC37926"/>
    <w:rsid w:val="2DCC23DF"/>
    <w:rsid w:val="2DD9710F"/>
    <w:rsid w:val="2DE111A7"/>
    <w:rsid w:val="2DEB50B9"/>
    <w:rsid w:val="2DFF09A4"/>
    <w:rsid w:val="2E010A65"/>
    <w:rsid w:val="2E0914CB"/>
    <w:rsid w:val="2E10426F"/>
    <w:rsid w:val="2E1A048B"/>
    <w:rsid w:val="2E1A59FE"/>
    <w:rsid w:val="2E1A71B1"/>
    <w:rsid w:val="2E2757C9"/>
    <w:rsid w:val="2E36660D"/>
    <w:rsid w:val="2E5345E6"/>
    <w:rsid w:val="2E5C485A"/>
    <w:rsid w:val="2E6420BF"/>
    <w:rsid w:val="2E6439DE"/>
    <w:rsid w:val="2E652BB6"/>
    <w:rsid w:val="2E775452"/>
    <w:rsid w:val="2E7A774E"/>
    <w:rsid w:val="2E7B50B4"/>
    <w:rsid w:val="2E8D3915"/>
    <w:rsid w:val="2E9A3CE4"/>
    <w:rsid w:val="2E9D2988"/>
    <w:rsid w:val="2EA224EE"/>
    <w:rsid w:val="2EA32225"/>
    <w:rsid w:val="2EA57AAE"/>
    <w:rsid w:val="2EB603AD"/>
    <w:rsid w:val="2EB674BA"/>
    <w:rsid w:val="2EC359E0"/>
    <w:rsid w:val="2ED409CA"/>
    <w:rsid w:val="2ED75A6A"/>
    <w:rsid w:val="2EF66980"/>
    <w:rsid w:val="2F065D48"/>
    <w:rsid w:val="2F06693C"/>
    <w:rsid w:val="2F0A6FEE"/>
    <w:rsid w:val="2F1E6997"/>
    <w:rsid w:val="2F2C6B39"/>
    <w:rsid w:val="2F3A521B"/>
    <w:rsid w:val="2F416BD6"/>
    <w:rsid w:val="2F5615F0"/>
    <w:rsid w:val="2F6D0A28"/>
    <w:rsid w:val="2F6F7FA0"/>
    <w:rsid w:val="2F7273D5"/>
    <w:rsid w:val="2F7C72A0"/>
    <w:rsid w:val="2F896C85"/>
    <w:rsid w:val="2F8D44B4"/>
    <w:rsid w:val="2F9364EC"/>
    <w:rsid w:val="2FA813C7"/>
    <w:rsid w:val="2FAE0C71"/>
    <w:rsid w:val="2FB24A54"/>
    <w:rsid w:val="2FB64ABA"/>
    <w:rsid w:val="2FB8656B"/>
    <w:rsid w:val="2FBB6BC1"/>
    <w:rsid w:val="2FC11C09"/>
    <w:rsid w:val="2FC15FB3"/>
    <w:rsid w:val="2FC90CFA"/>
    <w:rsid w:val="2FCB7AD6"/>
    <w:rsid w:val="2FD07847"/>
    <w:rsid w:val="2FD64A08"/>
    <w:rsid w:val="2FF7094A"/>
    <w:rsid w:val="2FF87685"/>
    <w:rsid w:val="2FFB56C8"/>
    <w:rsid w:val="30081583"/>
    <w:rsid w:val="301D7CF3"/>
    <w:rsid w:val="302535D3"/>
    <w:rsid w:val="3032677B"/>
    <w:rsid w:val="303A2460"/>
    <w:rsid w:val="303F15BB"/>
    <w:rsid w:val="3043393C"/>
    <w:rsid w:val="30532C37"/>
    <w:rsid w:val="307D443E"/>
    <w:rsid w:val="30885854"/>
    <w:rsid w:val="309A32FA"/>
    <w:rsid w:val="30A82BE6"/>
    <w:rsid w:val="30B2256F"/>
    <w:rsid w:val="30B90F1C"/>
    <w:rsid w:val="30C77B35"/>
    <w:rsid w:val="30DD1501"/>
    <w:rsid w:val="30E649A5"/>
    <w:rsid w:val="30F16E34"/>
    <w:rsid w:val="30F22307"/>
    <w:rsid w:val="30F41AF0"/>
    <w:rsid w:val="311D42E7"/>
    <w:rsid w:val="31203C6F"/>
    <w:rsid w:val="31230E2D"/>
    <w:rsid w:val="313C1E8F"/>
    <w:rsid w:val="314015BA"/>
    <w:rsid w:val="314B2F7C"/>
    <w:rsid w:val="317258B0"/>
    <w:rsid w:val="31743655"/>
    <w:rsid w:val="317A6AA8"/>
    <w:rsid w:val="31AC4CD7"/>
    <w:rsid w:val="31B63BB2"/>
    <w:rsid w:val="31B70669"/>
    <w:rsid w:val="31C322E3"/>
    <w:rsid w:val="31C90EA0"/>
    <w:rsid w:val="31D40319"/>
    <w:rsid w:val="31D82650"/>
    <w:rsid w:val="31DD2974"/>
    <w:rsid w:val="31E4672E"/>
    <w:rsid w:val="31E605E1"/>
    <w:rsid w:val="31FA18AB"/>
    <w:rsid w:val="321D0528"/>
    <w:rsid w:val="3221020E"/>
    <w:rsid w:val="32455E2D"/>
    <w:rsid w:val="324A2389"/>
    <w:rsid w:val="32582CF8"/>
    <w:rsid w:val="3269382D"/>
    <w:rsid w:val="32700286"/>
    <w:rsid w:val="32704DCB"/>
    <w:rsid w:val="327152A8"/>
    <w:rsid w:val="32854762"/>
    <w:rsid w:val="32862630"/>
    <w:rsid w:val="328D5E70"/>
    <w:rsid w:val="329111EB"/>
    <w:rsid w:val="329B5D08"/>
    <w:rsid w:val="32A2744E"/>
    <w:rsid w:val="32C46713"/>
    <w:rsid w:val="32C97DB6"/>
    <w:rsid w:val="32CC1729"/>
    <w:rsid w:val="32D560F7"/>
    <w:rsid w:val="32D86F5C"/>
    <w:rsid w:val="32E4616C"/>
    <w:rsid w:val="32E63493"/>
    <w:rsid w:val="32FD2BB5"/>
    <w:rsid w:val="3304494F"/>
    <w:rsid w:val="333E4AA1"/>
    <w:rsid w:val="33515208"/>
    <w:rsid w:val="33694A91"/>
    <w:rsid w:val="33A501AF"/>
    <w:rsid w:val="33A5342A"/>
    <w:rsid w:val="33B07390"/>
    <w:rsid w:val="33B2414F"/>
    <w:rsid w:val="33B455E3"/>
    <w:rsid w:val="33BC298D"/>
    <w:rsid w:val="33BE29FF"/>
    <w:rsid w:val="33C41760"/>
    <w:rsid w:val="33C61052"/>
    <w:rsid w:val="33C85BF6"/>
    <w:rsid w:val="33CA6C0B"/>
    <w:rsid w:val="33F64848"/>
    <w:rsid w:val="340F41C4"/>
    <w:rsid w:val="341B08B5"/>
    <w:rsid w:val="342E5545"/>
    <w:rsid w:val="34403726"/>
    <w:rsid w:val="3452255B"/>
    <w:rsid w:val="34645C73"/>
    <w:rsid w:val="348171AF"/>
    <w:rsid w:val="34864ABE"/>
    <w:rsid w:val="348A69AC"/>
    <w:rsid w:val="348E0F46"/>
    <w:rsid w:val="34910835"/>
    <w:rsid w:val="34982F5A"/>
    <w:rsid w:val="34B34289"/>
    <w:rsid w:val="34C05067"/>
    <w:rsid w:val="34E03A10"/>
    <w:rsid w:val="34EE31D1"/>
    <w:rsid w:val="34F44A36"/>
    <w:rsid w:val="34FD3441"/>
    <w:rsid w:val="35032CE7"/>
    <w:rsid w:val="350512F3"/>
    <w:rsid w:val="35094C76"/>
    <w:rsid w:val="350A09B5"/>
    <w:rsid w:val="35103416"/>
    <w:rsid w:val="35131A98"/>
    <w:rsid w:val="35152180"/>
    <w:rsid w:val="352B5EFA"/>
    <w:rsid w:val="353372F2"/>
    <w:rsid w:val="353F61F1"/>
    <w:rsid w:val="354C66EA"/>
    <w:rsid w:val="355C174B"/>
    <w:rsid w:val="356A6881"/>
    <w:rsid w:val="35735319"/>
    <w:rsid w:val="357414B0"/>
    <w:rsid w:val="35766DE2"/>
    <w:rsid w:val="3579427A"/>
    <w:rsid w:val="3586192A"/>
    <w:rsid w:val="3587135D"/>
    <w:rsid w:val="35882183"/>
    <w:rsid w:val="358A4F2F"/>
    <w:rsid w:val="358D0124"/>
    <w:rsid w:val="358D78AF"/>
    <w:rsid w:val="35985423"/>
    <w:rsid w:val="35AA4762"/>
    <w:rsid w:val="35AE6F7E"/>
    <w:rsid w:val="35B00A57"/>
    <w:rsid w:val="35B12314"/>
    <w:rsid w:val="35C56F1B"/>
    <w:rsid w:val="35C96213"/>
    <w:rsid w:val="35CC1D09"/>
    <w:rsid w:val="35CC5A51"/>
    <w:rsid w:val="35D66FEF"/>
    <w:rsid w:val="35D70891"/>
    <w:rsid w:val="35DB7867"/>
    <w:rsid w:val="35DD713E"/>
    <w:rsid w:val="35ED3757"/>
    <w:rsid w:val="35EE1A0E"/>
    <w:rsid w:val="36014725"/>
    <w:rsid w:val="3627310D"/>
    <w:rsid w:val="36290CB7"/>
    <w:rsid w:val="36304E6B"/>
    <w:rsid w:val="363E2759"/>
    <w:rsid w:val="36413908"/>
    <w:rsid w:val="3674726C"/>
    <w:rsid w:val="367C520F"/>
    <w:rsid w:val="36870A44"/>
    <w:rsid w:val="368B5D06"/>
    <w:rsid w:val="36904507"/>
    <w:rsid w:val="36A20EA7"/>
    <w:rsid w:val="36A303DF"/>
    <w:rsid w:val="36AA5AEC"/>
    <w:rsid w:val="36AE48A7"/>
    <w:rsid w:val="36B3473F"/>
    <w:rsid w:val="36C15B4B"/>
    <w:rsid w:val="36C71B5F"/>
    <w:rsid w:val="36D32297"/>
    <w:rsid w:val="36D650F7"/>
    <w:rsid w:val="36D913FB"/>
    <w:rsid w:val="36DC06CA"/>
    <w:rsid w:val="36E729E1"/>
    <w:rsid w:val="36EC5CB9"/>
    <w:rsid w:val="37033037"/>
    <w:rsid w:val="37094830"/>
    <w:rsid w:val="371259E6"/>
    <w:rsid w:val="372F1B4E"/>
    <w:rsid w:val="376A3734"/>
    <w:rsid w:val="3778396A"/>
    <w:rsid w:val="377A20AC"/>
    <w:rsid w:val="377D1D9A"/>
    <w:rsid w:val="377D53C0"/>
    <w:rsid w:val="378643E2"/>
    <w:rsid w:val="378C06E7"/>
    <w:rsid w:val="378F130F"/>
    <w:rsid w:val="37992498"/>
    <w:rsid w:val="379A523A"/>
    <w:rsid w:val="379B110E"/>
    <w:rsid w:val="37C624B2"/>
    <w:rsid w:val="37DB57FA"/>
    <w:rsid w:val="37ED4803"/>
    <w:rsid w:val="38110E09"/>
    <w:rsid w:val="38195C1F"/>
    <w:rsid w:val="381D726B"/>
    <w:rsid w:val="381E7C17"/>
    <w:rsid w:val="38216643"/>
    <w:rsid w:val="382B5DCD"/>
    <w:rsid w:val="38325D99"/>
    <w:rsid w:val="38374611"/>
    <w:rsid w:val="38387EDA"/>
    <w:rsid w:val="383C09C6"/>
    <w:rsid w:val="38535627"/>
    <w:rsid w:val="386119AA"/>
    <w:rsid w:val="386C155C"/>
    <w:rsid w:val="3888313E"/>
    <w:rsid w:val="388D20E7"/>
    <w:rsid w:val="38903D06"/>
    <w:rsid w:val="38951964"/>
    <w:rsid w:val="38980DD2"/>
    <w:rsid w:val="389A34D7"/>
    <w:rsid w:val="38AC78FA"/>
    <w:rsid w:val="38B35BDE"/>
    <w:rsid w:val="38B82310"/>
    <w:rsid w:val="38B94422"/>
    <w:rsid w:val="38BB18EB"/>
    <w:rsid w:val="38CD2567"/>
    <w:rsid w:val="38CE4524"/>
    <w:rsid w:val="38D013D5"/>
    <w:rsid w:val="38D34E86"/>
    <w:rsid w:val="38E225E6"/>
    <w:rsid w:val="38F06712"/>
    <w:rsid w:val="39130A7E"/>
    <w:rsid w:val="391A0D07"/>
    <w:rsid w:val="391B70DF"/>
    <w:rsid w:val="39205DBA"/>
    <w:rsid w:val="392D4758"/>
    <w:rsid w:val="39352627"/>
    <w:rsid w:val="39453AAA"/>
    <w:rsid w:val="39560068"/>
    <w:rsid w:val="39584AB8"/>
    <w:rsid w:val="395C4243"/>
    <w:rsid w:val="396059DE"/>
    <w:rsid w:val="397129CB"/>
    <w:rsid w:val="397B6482"/>
    <w:rsid w:val="397C0028"/>
    <w:rsid w:val="399C2686"/>
    <w:rsid w:val="39A67D8B"/>
    <w:rsid w:val="39BD6638"/>
    <w:rsid w:val="39D26021"/>
    <w:rsid w:val="39E21394"/>
    <w:rsid w:val="3A106D2F"/>
    <w:rsid w:val="3A145757"/>
    <w:rsid w:val="3A1755FC"/>
    <w:rsid w:val="3A1A3531"/>
    <w:rsid w:val="3A273BBC"/>
    <w:rsid w:val="3A364FE6"/>
    <w:rsid w:val="3A3801D0"/>
    <w:rsid w:val="3A54595E"/>
    <w:rsid w:val="3A58266B"/>
    <w:rsid w:val="3A5C4A5A"/>
    <w:rsid w:val="3A5E4C24"/>
    <w:rsid w:val="3A7633F1"/>
    <w:rsid w:val="3A78307D"/>
    <w:rsid w:val="3A8638D2"/>
    <w:rsid w:val="3A8D375B"/>
    <w:rsid w:val="3A8F1281"/>
    <w:rsid w:val="3A9627A2"/>
    <w:rsid w:val="3AA43C5E"/>
    <w:rsid w:val="3AC24A1B"/>
    <w:rsid w:val="3AC548B4"/>
    <w:rsid w:val="3AD45565"/>
    <w:rsid w:val="3AE326ED"/>
    <w:rsid w:val="3B0E664A"/>
    <w:rsid w:val="3B0F40D8"/>
    <w:rsid w:val="3B1235E3"/>
    <w:rsid w:val="3B137A18"/>
    <w:rsid w:val="3B1663A5"/>
    <w:rsid w:val="3B1F50B9"/>
    <w:rsid w:val="3B2E524F"/>
    <w:rsid w:val="3B3754CF"/>
    <w:rsid w:val="3B4E6552"/>
    <w:rsid w:val="3B574FE7"/>
    <w:rsid w:val="3B5C6590"/>
    <w:rsid w:val="3B6022E1"/>
    <w:rsid w:val="3B6255FF"/>
    <w:rsid w:val="3B800BCA"/>
    <w:rsid w:val="3B8B4D1C"/>
    <w:rsid w:val="3B9562F5"/>
    <w:rsid w:val="3B980F7C"/>
    <w:rsid w:val="3B9F1A5F"/>
    <w:rsid w:val="3BA87661"/>
    <w:rsid w:val="3BC135E9"/>
    <w:rsid w:val="3BC62F0F"/>
    <w:rsid w:val="3BC76B1A"/>
    <w:rsid w:val="3BD91A0F"/>
    <w:rsid w:val="3BD96BAF"/>
    <w:rsid w:val="3BEE5CC0"/>
    <w:rsid w:val="3BF4422D"/>
    <w:rsid w:val="3BFB3E47"/>
    <w:rsid w:val="3C027831"/>
    <w:rsid w:val="3C0F65DF"/>
    <w:rsid w:val="3C147157"/>
    <w:rsid w:val="3C1E0CB5"/>
    <w:rsid w:val="3C335285"/>
    <w:rsid w:val="3C4B11D8"/>
    <w:rsid w:val="3C557CE8"/>
    <w:rsid w:val="3C5938F5"/>
    <w:rsid w:val="3C602386"/>
    <w:rsid w:val="3C681AC1"/>
    <w:rsid w:val="3C764C4A"/>
    <w:rsid w:val="3CB243F2"/>
    <w:rsid w:val="3CC03974"/>
    <w:rsid w:val="3CC93F0D"/>
    <w:rsid w:val="3CD106D0"/>
    <w:rsid w:val="3CD331A2"/>
    <w:rsid w:val="3CD61F71"/>
    <w:rsid w:val="3CDB6AE2"/>
    <w:rsid w:val="3CDC0D48"/>
    <w:rsid w:val="3CDC4526"/>
    <w:rsid w:val="3CE31410"/>
    <w:rsid w:val="3CE964D9"/>
    <w:rsid w:val="3CEF1AB3"/>
    <w:rsid w:val="3CF10A0C"/>
    <w:rsid w:val="3CFA022E"/>
    <w:rsid w:val="3D0A7A9B"/>
    <w:rsid w:val="3D0C0BD1"/>
    <w:rsid w:val="3D12031E"/>
    <w:rsid w:val="3D161D60"/>
    <w:rsid w:val="3D162D7B"/>
    <w:rsid w:val="3D285DAD"/>
    <w:rsid w:val="3D4C54D7"/>
    <w:rsid w:val="3D52183A"/>
    <w:rsid w:val="3D5B544A"/>
    <w:rsid w:val="3D622C7D"/>
    <w:rsid w:val="3D800A2B"/>
    <w:rsid w:val="3D9C31D4"/>
    <w:rsid w:val="3DA0713F"/>
    <w:rsid w:val="3DA25BB0"/>
    <w:rsid w:val="3DA30A10"/>
    <w:rsid w:val="3DAA3D8B"/>
    <w:rsid w:val="3DAB51D7"/>
    <w:rsid w:val="3DB039E8"/>
    <w:rsid w:val="3DBB557D"/>
    <w:rsid w:val="3DC524EA"/>
    <w:rsid w:val="3DCB0822"/>
    <w:rsid w:val="3DCB7799"/>
    <w:rsid w:val="3DD214B5"/>
    <w:rsid w:val="3DD23F59"/>
    <w:rsid w:val="3DE26058"/>
    <w:rsid w:val="3DF911C6"/>
    <w:rsid w:val="3DFB4D0D"/>
    <w:rsid w:val="3DFB5F99"/>
    <w:rsid w:val="3E01686C"/>
    <w:rsid w:val="3E0E2768"/>
    <w:rsid w:val="3E143DFF"/>
    <w:rsid w:val="3E1755EA"/>
    <w:rsid w:val="3E1A3557"/>
    <w:rsid w:val="3E1B533F"/>
    <w:rsid w:val="3E216694"/>
    <w:rsid w:val="3E4E0CC9"/>
    <w:rsid w:val="3E586339"/>
    <w:rsid w:val="3E5A7136"/>
    <w:rsid w:val="3E7C1B1C"/>
    <w:rsid w:val="3E7C608C"/>
    <w:rsid w:val="3E7D2FA8"/>
    <w:rsid w:val="3E9A0C08"/>
    <w:rsid w:val="3E9A4006"/>
    <w:rsid w:val="3EA51E1E"/>
    <w:rsid w:val="3EAA4B86"/>
    <w:rsid w:val="3EB72D1B"/>
    <w:rsid w:val="3EC70EA4"/>
    <w:rsid w:val="3ECC1BF3"/>
    <w:rsid w:val="3ECD3F67"/>
    <w:rsid w:val="3EDC1F5E"/>
    <w:rsid w:val="3EEA117C"/>
    <w:rsid w:val="3EF33DA6"/>
    <w:rsid w:val="3EFF2CE1"/>
    <w:rsid w:val="3F055B4E"/>
    <w:rsid w:val="3F08491F"/>
    <w:rsid w:val="3F110F93"/>
    <w:rsid w:val="3F1B7C39"/>
    <w:rsid w:val="3F27016D"/>
    <w:rsid w:val="3F2E7C31"/>
    <w:rsid w:val="3F3417FD"/>
    <w:rsid w:val="3F3C4575"/>
    <w:rsid w:val="3F421465"/>
    <w:rsid w:val="3F4F2F0F"/>
    <w:rsid w:val="3F550D8E"/>
    <w:rsid w:val="3F5A7279"/>
    <w:rsid w:val="3F5D5728"/>
    <w:rsid w:val="3F832F2F"/>
    <w:rsid w:val="3F8410BF"/>
    <w:rsid w:val="3F930DCC"/>
    <w:rsid w:val="3FA71DFD"/>
    <w:rsid w:val="3FAE21A9"/>
    <w:rsid w:val="3FCD0578"/>
    <w:rsid w:val="3FDD25D2"/>
    <w:rsid w:val="3FE439FB"/>
    <w:rsid w:val="3FF95A49"/>
    <w:rsid w:val="3FFA719D"/>
    <w:rsid w:val="400458EB"/>
    <w:rsid w:val="400510BD"/>
    <w:rsid w:val="401F30A7"/>
    <w:rsid w:val="4026034F"/>
    <w:rsid w:val="40260638"/>
    <w:rsid w:val="402611B6"/>
    <w:rsid w:val="40307062"/>
    <w:rsid w:val="40340EB6"/>
    <w:rsid w:val="404A2824"/>
    <w:rsid w:val="404E573A"/>
    <w:rsid w:val="405278F4"/>
    <w:rsid w:val="40694322"/>
    <w:rsid w:val="40786313"/>
    <w:rsid w:val="407B1D34"/>
    <w:rsid w:val="409448D7"/>
    <w:rsid w:val="40A16525"/>
    <w:rsid w:val="40A34653"/>
    <w:rsid w:val="40A86291"/>
    <w:rsid w:val="40AC7F15"/>
    <w:rsid w:val="40B24DF5"/>
    <w:rsid w:val="40C709A7"/>
    <w:rsid w:val="40D33227"/>
    <w:rsid w:val="40D956B7"/>
    <w:rsid w:val="40D973ED"/>
    <w:rsid w:val="40E932BD"/>
    <w:rsid w:val="40F72FD8"/>
    <w:rsid w:val="4100258C"/>
    <w:rsid w:val="410417E6"/>
    <w:rsid w:val="410E6E6F"/>
    <w:rsid w:val="41175070"/>
    <w:rsid w:val="41183027"/>
    <w:rsid w:val="411D02E1"/>
    <w:rsid w:val="411D383B"/>
    <w:rsid w:val="411D3C70"/>
    <w:rsid w:val="412A09A8"/>
    <w:rsid w:val="413F5772"/>
    <w:rsid w:val="414B57EF"/>
    <w:rsid w:val="414C11E9"/>
    <w:rsid w:val="41542874"/>
    <w:rsid w:val="41551BA4"/>
    <w:rsid w:val="415F139B"/>
    <w:rsid w:val="416A1CC5"/>
    <w:rsid w:val="4171040F"/>
    <w:rsid w:val="41724AAC"/>
    <w:rsid w:val="41800B7C"/>
    <w:rsid w:val="418A09F4"/>
    <w:rsid w:val="41922B75"/>
    <w:rsid w:val="419D43D9"/>
    <w:rsid w:val="419E1467"/>
    <w:rsid w:val="41A144BD"/>
    <w:rsid w:val="41A43864"/>
    <w:rsid w:val="41B31826"/>
    <w:rsid w:val="41C00655"/>
    <w:rsid w:val="41C1677A"/>
    <w:rsid w:val="41C53266"/>
    <w:rsid w:val="41C9151C"/>
    <w:rsid w:val="41CF3026"/>
    <w:rsid w:val="41DB17B6"/>
    <w:rsid w:val="41F453E5"/>
    <w:rsid w:val="41F5172E"/>
    <w:rsid w:val="421D510F"/>
    <w:rsid w:val="42272785"/>
    <w:rsid w:val="422B61CB"/>
    <w:rsid w:val="422E577D"/>
    <w:rsid w:val="425A5C8A"/>
    <w:rsid w:val="42682232"/>
    <w:rsid w:val="42893225"/>
    <w:rsid w:val="428D4A8E"/>
    <w:rsid w:val="42980EC1"/>
    <w:rsid w:val="42A5544E"/>
    <w:rsid w:val="42C84D09"/>
    <w:rsid w:val="42CA3615"/>
    <w:rsid w:val="42D15A05"/>
    <w:rsid w:val="42DE3E09"/>
    <w:rsid w:val="42E443CE"/>
    <w:rsid w:val="42EB2CF3"/>
    <w:rsid w:val="43147B68"/>
    <w:rsid w:val="43262C7F"/>
    <w:rsid w:val="43300A47"/>
    <w:rsid w:val="43422ED7"/>
    <w:rsid w:val="43443C09"/>
    <w:rsid w:val="4349434B"/>
    <w:rsid w:val="434A4E49"/>
    <w:rsid w:val="43516BA0"/>
    <w:rsid w:val="43670FED"/>
    <w:rsid w:val="438576C5"/>
    <w:rsid w:val="438C2FE7"/>
    <w:rsid w:val="439F369E"/>
    <w:rsid w:val="43AD711E"/>
    <w:rsid w:val="43B70268"/>
    <w:rsid w:val="43C26A87"/>
    <w:rsid w:val="43CB4B40"/>
    <w:rsid w:val="43CF5225"/>
    <w:rsid w:val="43D95EA2"/>
    <w:rsid w:val="43DC166E"/>
    <w:rsid w:val="43E223E9"/>
    <w:rsid w:val="43FB7987"/>
    <w:rsid w:val="43FD194D"/>
    <w:rsid w:val="44006D4C"/>
    <w:rsid w:val="441265B9"/>
    <w:rsid w:val="44200C1E"/>
    <w:rsid w:val="44225E2B"/>
    <w:rsid w:val="442A2654"/>
    <w:rsid w:val="445E3514"/>
    <w:rsid w:val="44617E7D"/>
    <w:rsid w:val="446B5B00"/>
    <w:rsid w:val="448A0E85"/>
    <w:rsid w:val="448D7318"/>
    <w:rsid w:val="449065CC"/>
    <w:rsid w:val="44A47D57"/>
    <w:rsid w:val="44A57D07"/>
    <w:rsid w:val="44A90A3B"/>
    <w:rsid w:val="44AF170B"/>
    <w:rsid w:val="44B0347C"/>
    <w:rsid w:val="44B862CE"/>
    <w:rsid w:val="44BD26C3"/>
    <w:rsid w:val="44C85FF0"/>
    <w:rsid w:val="44DF6B20"/>
    <w:rsid w:val="44F3064D"/>
    <w:rsid w:val="44FF0C21"/>
    <w:rsid w:val="44FF6FCD"/>
    <w:rsid w:val="45044B25"/>
    <w:rsid w:val="45053F9F"/>
    <w:rsid w:val="45144EE9"/>
    <w:rsid w:val="45170373"/>
    <w:rsid w:val="451B6700"/>
    <w:rsid w:val="453B3E56"/>
    <w:rsid w:val="453F4545"/>
    <w:rsid w:val="45415DD5"/>
    <w:rsid w:val="454421FA"/>
    <w:rsid w:val="455B58E4"/>
    <w:rsid w:val="4561366C"/>
    <w:rsid w:val="45666221"/>
    <w:rsid w:val="458A0FC3"/>
    <w:rsid w:val="45B55914"/>
    <w:rsid w:val="45FF4EEE"/>
    <w:rsid w:val="460139BD"/>
    <w:rsid w:val="46145E02"/>
    <w:rsid w:val="46173488"/>
    <w:rsid w:val="461E1416"/>
    <w:rsid w:val="46281DDA"/>
    <w:rsid w:val="462E647A"/>
    <w:rsid w:val="464C4CFF"/>
    <w:rsid w:val="465B1E4E"/>
    <w:rsid w:val="465D1E5F"/>
    <w:rsid w:val="46621BC8"/>
    <w:rsid w:val="46635B26"/>
    <w:rsid w:val="46641814"/>
    <w:rsid w:val="467030B5"/>
    <w:rsid w:val="4673146B"/>
    <w:rsid w:val="467B1633"/>
    <w:rsid w:val="467C7384"/>
    <w:rsid w:val="46853042"/>
    <w:rsid w:val="46894538"/>
    <w:rsid w:val="46912271"/>
    <w:rsid w:val="469164D4"/>
    <w:rsid w:val="46A978A2"/>
    <w:rsid w:val="46B50407"/>
    <w:rsid w:val="46B75D74"/>
    <w:rsid w:val="46C66740"/>
    <w:rsid w:val="46D87E6B"/>
    <w:rsid w:val="46DD54BB"/>
    <w:rsid w:val="46E77108"/>
    <w:rsid w:val="46FD57C4"/>
    <w:rsid w:val="4705466C"/>
    <w:rsid w:val="47056F58"/>
    <w:rsid w:val="47121270"/>
    <w:rsid w:val="471F1C19"/>
    <w:rsid w:val="472965B9"/>
    <w:rsid w:val="475727CB"/>
    <w:rsid w:val="476E1C3A"/>
    <w:rsid w:val="47731195"/>
    <w:rsid w:val="47745DB7"/>
    <w:rsid w:val="47847395"/>
    <w:rsid w:val="47A0687C"/>
    <w:rsid w:val="47A26BE4"/>
    <w:rsid w:val="47BA6685"/>
    <w:rsid w:val="47BB6954"/>
    <w:rsid w:val="47BB6FB5"/>
    <w:rsid w:val="47DC2006"/>
    <w:rsid w:val="47F571C0"/>
    <w:rsid w:val="47F7299A"/>
    <w:rsid w:val="48076B76"/>
    <w:rsid w:val="48113782"/>
    <w:rsid w:val="481F72C8"/>
    <w:rsid w:val="48317D1F"/>
    <w:rsid w:val="484846F1"/>
    <w:rsid w:val="487239CA"/>
    <w:rsid w:val="48730676"/>
    <w:rsid w:val="48793FF2"/>
    <w:rsid w:val="487A3570"/>
    <w:rsid w:val="487D6944"/>
    <w:rsid w:val="48861F15"/>
    <w:rsid w:val="488D3D02"/>
    <w:rsid w:val="48A1719F"/>
    <w:rsid w:val="48AE6651"/>
    <w:rsid w:val="48B773EE"/>
    <w:rsid w:val="48C63C4C"/>
    <w:rsid w:val="490C157D"/>
    <w:rsid w:val="49262789"/>
    <w:rsid w:val="492F1729"/>
    <w:rsid w:val="49393846"/>
    <w:rsid w:val="494215D5"/>
    <w:rsid w:val="494554C3"/>
    <w:rsid w:val="495523D0"/>
    <w:rsid w:val="49557CD1"/>
    <w:rsid w:val="495D19B4"/>
    <w:rsid w:val="495D37A9"/>
    <w:rsid w:val="495E1EFB"/>
    <w:rsid w:val="497C4AD3"/>
    <w:rsid w:val="49973D5B"/>
    <w:rsid w:val="49AA39E1"/>
    <w:rsid w:val="49AC67AD"/>
    <w:rsid w:val="49AD30D6"/>
    <w:rsid w:val="49B25EDB"/>
    <w:rsid w:val="49C076E6"/>
    <w:rsid w:val="49D22F38"/>
    <w:rsid w:val="49DF645E"/>
    <w:rsid w:val="49E50A97"/>
    <w:rsid w:val="49EE66EE"/>
    <w:rsid w:val="49FD567C"/>
    <w:rsid w:val="49FF37BD"/>
    <w:rsid w:val="4A293989"/>
    <w:rsid w:val="4A294542"/>
    <w:rsid w:val="4A3D290A"/>
    <w:rsid w:val="4A482C46"/>
    <w:rsid w:val="4A514477"/>
    <w:rsid w:val="4A604993"/>
    <w:rsid w:val="4A606796"/>
    <w:rsid w:val="4A6C7464"/>
    <w:rsid w:val="4A771C30"/>
    <w:rsid w:val="4A7C406A"/>
    <w:rsid w:val="4A7C4435"/>
    <w:rsid w:val="4A7D706D"/>
    <w:rsid w:val="4A97291E"/>
    <w:rsid w:val="4A99744C"/>
    <w:rsid w:val="4A9B0410"/>
    <w:rsid w:val="4AA46EAE"/>
    <w:rsid w:val="4AA77F21"/>
    <w:rsid w:val="4AAD6710"/>
    <w:rsid w:val="4ABA5D48"/>
    <w:rsid w:val="4AC57D81"/>
    <w:rsid w:val="4AC705C3"/>
    <w:rsid w:val="4AD131F0"/>
    <w:rsid w:val="4AE54DCC"/>
    <w:rsid w:val="4AE6103A"/>
    <w:rsid w:val="4AF22C1C"/>
    <w:rsid w:val="4AF87F15"/>
    <w:rsid w:val="4AF93409"/>
    <w:rsid w:val="4B170FAA"/>
    <w:rsid w:val="4B182BCD"/>
    <w:rsid w:val="4B211301"/>
    <w:rsid w:val="4B2C0426"/>
    <w:rsid w:val="4B3B0809"/>
    <w:rsid w:val="4B557D06"/>
    <w:rsid w:val="4B5D6060"/>
    <w:rsid w:val="4B62324F"/>
    <w:rsid w:val="4B69167A"/>
    <w:rsid w:val="4B720468"/>
    <w:rsid w:val="4B756E4D"/>
    <w:rsid w:val="4B8F7C01"/>
    <w:rsid w:val="4B9A72C2"/>
    <w:rsid w:val="4BAE346A"/>
    <w:rsid w:val="4BB621F1"/>
    <w:rsid w:val="4BB9615E"/>
    <w:rsid w:val="4BBA3C84"/>
    <w:rsid w:val="4BC20656"/>
    <w:rsid w:val="4BC913B0"/>
    <w:rsid w:val="4BD74903"/>
    <w:rsid w:val="4BE23BF2"/>
    <w:rsid w:val="4BED4059"/>
    <w:rsid w:val="4BF6575E"/>
    <w:rsid w:val="4BF82A3F"/>
    <w:rsid w:val="4BFF75D5"/>
    <w:rsid w:val="4C022961"/>
    <w:rsid w:val="4C1048AE"/>
    <w:rsid w:val="4C147699"/>
    <w:rsid w:val="4C152F4B"/>
    <w:rsid w:val="4C2729E3"/>
    <w:rsid w:val="4C2C04DD"/>
    <w:rsid w:val="4C3A71E8"/>
    <w:rsid w:val="4C3B1CCD"/>
    <w:rsid w:val="4C432679"/>
    <w:rsid w:val="4C441D94"/>
    <w:rsid w:val="4C4A4DE7"/>
    <w:rsid w:val="4C503E5E"/>
    <w:rsid w:val="4C5D3D55"/>
    <w:rsid w:val="4C5E0AB3"/>
    <w:rsid w:val="4C8374E9"/>
    <w:rsid w:val="4C961018"/>
    <w:rsid w:val="4C9C0E75"/>
    <w:rsid w:val="4C9F07C8"/>
    <w:rsid w:val="4CA72A0E"/>
    <w:rsid w:val="4CAC3877"/>
    <w:rsid w:val="4CC61471"/>
    <w:rsid w:val="4CCC79A7"/>
    <w:rsid w:val="4CCF5550"/>
    <w:rsid w:val="4CE11854"/>
    <w:rsid w:val="4CF90D33"/>
    <w:rsid w:val="4CFB36C7"/>
    <w:rsid w:val="4D103D08"/>
    <w:rsid w:val="4D13189E"/>
    <w:rsid w:val="4D2C1F80"/>
    <w:rsid w:val="4D361D8E"/>
    <w:rsid w:val="4D3C7250"/>
    <w:rsid w:val="4D442190"/>
    <w:rsid w:val="4D4B3C5A"/>
    <w:rsid w:val="4D6F452E"/>
    <w:rsid w:val="4D757931"/>
    <w:rsid w:val="4D823593"/>
    <w:rsid w:val="4D8755EF"/>
    <w:rsid w:val="4D8966C5"/>
    <w:rsid w:val="4D8D64FF"/>
    <w:rsid w:val="4D927F0B"/>
    <w:rsid w:val="4DA13E8F"/>
    <w:rsid w:val="4DB554B0"/>
    <w:rsid w:val="4DB604FC"/>
    <w:rsid w:val="4DB94F20"/>
    <w:rsid w:val="4DBE5CAD"/>
    <w:rsid w:val="4DCA154C"/>
    <w:rsid w:val="4DCD4142"/>
    <w:rsid w:val="4DD75998"/>
    <w:rsid w:val="4DE23307"/>
    <w:rsid w:val="4DEF266D"/>
    <w:rsid w:val="4DFA0CB0"/>
    <w:rsid w:val="4DFF1A45"/>
    <w:rsid w:val="4E037A6D"/>
    <w:rsid w:val="4E086261"/>
    <w:rsid w:val="4E0E553F"/>
    <w:rsid w:val="4E100B61"/>
    <w:rsid w:val="4E154664"/>
    <w:rsid w:val="4E1F57CA"/>
    <w:rsid w:val="4E264007"/>
    <w:rsid w:val="4E2938F1"/>
    <w:rsid w:val="4E407A18"/>
    <w:rsid w:val="4E555EE6"/>
    <w:rsid w:val="4E5D56D3"/>
    <w:rsid w:val="4E6525CD"/>
    <w:rsid w:val="4E726FF9"/>
    <w:rsid w:val="4E750776"/>
    <w:rsid w:val="4E97079E"/>
    <w:rsid w:val="4EAA42D4"/>
    <w:rsid w:val="4EAF770A"/>
    <w:rsid w:val="4EB7755C"/>
    <w:rsid w:val="4EBF7BB5"/>
    <w:rsid w:val="4EC05F57"/>
    <w:rsid w:val="4EDB5AFB"/>
    <w:rsid w:val="4EDC4002"/>
    <w:rsid w:val="4EE064E6"/>
    <w:rsid w:val="4EEE4D65"/>
    <w:rsid w:val="4EEF5044"/>
    <w:rsid w:val="4EFB3439"/>
    <w:rsid w:val="4EFE0D30"/>
    <w:rsid w:val="4F000235"/>
    <w:rsid w:val="4F003627"/>
    <w:rsid w:val="4F120B82"/>
    <w:rsid w:val="4F18763F"/>
    <w:rsid w:val="4F2953A8"/>
    <w:rsid w:val="4F3105F1"/>
    <w:rsid w:val="4F3D1EA3"/>
    <w:rsid w:val="4F493EE5"/>
    <w:rsid w:val="4F543BA2"/>
    <w:rsid w:val="4F55619D"/>
    <w:rsid w:val="4F5969F6"/>
    <w:rsid w:val="4F7D3946"/>
    <w:rsid w:val="4F7F76BE"/>
    <w:rsid w:val="4F84453B"/>
    <w:rsid w:val="4F914076"/>
    <w:rsid w:val="4F94365E"/>
    <w:rsid w:val="4FA63421"/>
    <w:rsid w:val="4FA76634"/>
    <w:rsid w:val="4FAC18D8"/>
    <w:rsid w:val="4FAD6236"/>
    <w:rsid w:val="4FB355BA"/>
    <w:rsid w:val="4FB36E73"/>
    <w:rsid w:val="4FC465CA"/>
    <w:rsid w:val="4FCA6E29"/>
    <w:rsid w:val="4FCF54D5"/>
    <w:rsid w:val="4FF30572"/>
    <w:rsid w:val="50053DE2"/>
    <w:rsid w:val="50070BC0"/>
    <w:rsid w:val="501320E8"/>
    <w:rsid w:val="5013341D"/>
    <w:rsid w:val="50141D66"/>
    <w:rsid w:val="50291719"/>
    <w:rsid w:val="503D4005"/>
    <w:rsid w:val="50442EEA"/>
    <w:rsid w:val="504A5930"/>
    <w:rsid w:val="504A6CA1"/>
    <w:rsid w:val="505E72D4"/>
    <w:rsid w:val="50700670"/>
    <w:rsid w:val="50782675"/>
    <w:rsid w:val="50836D3A"/>
    <w:rsid w:val="508D3D5A"/>
    <w:rsid w:val="509C4916"/>
    <w:rsid w:val="50A3040E"/>
    <w:rsid w:val="50B51517"/>
    <w:rsid w:val="50B9275C"/>
    <w:rsid w:val="50CF3C62"/>
    <w:rsid w:val="50D507AB"/>
    <w:rsid w:val="50D57639"/>
    <w:rsid w:val="50D72E73"/>
    <w:rsid w:val="50FD39F7"/>
    <w:rsid w:val="510B1C42"/>
    <w:rsid w:val="510D74EF"/>
    <w:rsid w:val="51117005"/>
    <w:rsid w:val="51136310"/>
    <w:rsid w:val="51222E38"/>
    <w:rsid w:val="512978E2"/>
    <w:rsid w:val="513067C9"/>
    <w:rsid w:val="5144296E"/>
    <w:rsid w:val="51617A25"/>
    <w:rsid w:val="51752959"/>
    <w:rsid w:val="51844E36"/>
    <w:rsid w:val="519161EB"/>
    <w:rsid w:val="519565CB"/>
    <w:rsid w:val="519F335D"/>
    <w:rsid w:val="51B55E29"/>
    <w:rsid w:val="51B902DC"/>
    <w:rsid w:val="51C52E38"/>
    <w:rsid w:val="51CC0CA7"/>
    <w:rsid w:val="51E056A6"/>
    <w:rsid w:val="51E10194"/>
    <w:rsid w:val="51F85787"/>
    <w:rsid w:val="520936AF"/>
    <w:rsid w:val="52113FBB"/>
    <w:rsid w:val="522D3402"/>
    <w:rsid w:val="522D4227"/>
    <w:rsid w:val="522E717A"/>
    <w:rsid w:val="52370DB8"/>
    <w:rsid w:val="523762BF"/>
    <w:rsid w:val="527121E0"/>
    <w:rsid w:val="528600BD"/>
    <w:rsid w:val="52A61260"/>
    <w:rsid w:val="52AD4823"/>
    <w:rsid w:val="52AE568E"/>
    <w:rsid w:val="52B1743D"/>
    <w:rsid w:val="52B5237C"/>
    <w:rsid w:val="52B958AF"/>
    <w:rsid w:val="52C61747"/>
    <w:rsid w:val="52E610C0"/>
    <w:rsid w:val="52EE768A"/>
    <w:rsid w:val="52F13A3C"/>
    <w:rsid w:val="52F932E4"/>
    <w:rsid w:val="52FD0CC8"/>
    <w:rsid w:val="53046F59"/>
    <w:rsid w:val="53104F19"/>
    <w:rsid w:val="53175A28"/>
    <w:rsid w:val="53262D8A"/>
    <w:rsid w:val="53355A69"/>
    <w:rsid w:val="533A056C"/>
    <w:rsid w:val="534529C7"/>
    <w:rsid w:val="53575126"/>
    <w:rsid w:val="53645AF2"/>
    <w:rsid w:val="53663BC7"/>
    <w:rsid w:val="536B0775"/>
    <w:rsid w:val="536D782E"/>
    <w:rsid w:val="53720EF9"/>
    <w:rsid w:val="53845E16"/>
    <w:rsid w:val="53884CBB"/>
    <w:rsid w:val="539115A5"/>
    <w:rsid w:val="5394146E"/>
    <w:rsid w:val="53957B0B"/>
    <w:rsid w:val="53971CE8"/>
    <w:rsid w:val="5397367E"/>
    <w:rsid w:val="53C6644B"/>
    <w:rsid w:val="53C9514A"/>
    <w:rsid w:val="53D57F23"/>
    <w:rsid w:val="53DD292E"/>
    <w:rsid w:val="53DF36A2"/>
    <w:rsid w:val="53E27943"/>
    <w:rsid w:val="53EF50C7"/>
    <w:rsid w:val="53F44E73"/>
    <w:rsid w:val="54052955"/>
    <w:rsid w:val="54164C51"/>
    <w:rsid w:val="542D5E27"/>
    <w:rsid w:val="54310A8F"/>
    <w:rsid w:val="543D4258"/>
    <w:rsid w:val="544557E2"/>
    <w:rsid w:val="54475A76"/>
    <w:rsid w:val="544C090F"/>
    <w:rsid w:val="544F16E5"/>
    <w:rsid w:val="545259CC"/>
    <w:rsid w:val="54723B51"/>
    <w:rsid w:val="547F4FF8"/>
    <w:rsid w:val="547F50EF"/>
    <w:rsid w:val="54845109"/>
    <w:rsid w:val="548677CA"/>
    <w:rsid w:val="548B08B3"/>
    <w:rsid w:val="549D630C"/>
    <w:rsid w:val="549E2395"/>
    <w:rsid w:val="54AD16D5"/>
    <w:rsid w:val="54AD5EC3"/>
    <w:rsid w:val="54BE7E3C"/>
    <w:rsid w:val="54BF7B05"/>
    <w:rsid w:val="54C44BB1"/>
    <w:rsid w:val="54C6247F"/>
    <w:rsid w:val="54D82C41"/>
    <w:rsid w:val="54D906C2"/>
    <w:rsid w:val="54E96621"/>
    <w:rsid w:val="54F85A04"/>
    <w:rsid w:val="55154AAE"/>
    <w:rsid w:val="55207DA4"/>
    <w:rsid w:val="552D5605"/>
    <w:rsid w:val="552F6BB0"/>
    <w:rsid w:val="553736DA"/>
    <w:rsid w:val="554C2C4A"/>
    <w:rsid w:val="55531E3F"/>
    <w:rsid w:val="5558459C"/>
    <w:rsid w:val="557A7A6E"/>
    <w:rsid w:val="55924E79"/>
    <w:rsid w:val="559334BB"/>
    <w:rsid w:val="55A573F9"/>
    <w:rsid w:val="55AE6970"/>
    <w:rsid w:val="55BB6F76"/>
    <w:rsid w:val="55BC6152"/>
    <w:rsid w:val="55BE4695"/>
    <w:rsid w:val="55C1371E"/>
    <w:rsid w:val="55C742C1"/>
    <w:rsid w:val="55CB25E6"/>
    <w:rsid w:val="55CE11CC"/>
    <w:rsid w:val="55CF47D0"/>
    <w:rsid w:val="55DE31E6"/>
    <w:rsid w:val="55E24B74"/>
    <w:rsid w:val="55EB69DC"/>
    <w:rsid w:val="55F30B3D"/>
    <w:rsid w:val="56424834"/>
    <w:rsid w:val="564B08B6"/>
    <w:rsid w:val="5659060E"/>
    <w:rsid w:val="565F2FF4"/>
    <w:rsid w:val="56634082"/>
    <w:rsid w:val="567103D9"/>
    <w:rsid w:val="567F6185"/>
    <w:rsid w:val="568253C9"/>
    <w:rsid w:val="568F0614"/>
    <w:rsid w:val="569E2B28"/>
    <w:rsid w:val="56A74464"/>
    <w:rsid w:val="56A92055"/>
    <w:rsid w:val="56A942A3"/>
    <w:rsid w:val="56AB5BB0"/>
    <w:rsid w:val="56B015FB"/>
    <w:rsid w:val="56B911C0"/>
    <w:rsid w:val="56B975DE"/>
    <w:rsid w:val="56C67981"/>
    <w:rsid w:val="56D00923"/>
    <w:rsid w:val="56D751C8"/>
    <w:rsid w:val="56DF0A43"/>
    <w:rsid w:val="56DF5B00"/>
    <w:rsid w:val="56E24DF4"/>
    <w:rsid w:val="56FC33A3"/>
    <w:rsid w:val="570827D1"/>
    <w:rsid w:val="570835B0"/>
    <w:rsid w:val="57122DFE"/>
    <w:rsid w:val="5712368F"/>
    <w:rsid w:val="571B4688"/>
    <w:rsid w:val="5721105B"/>
    <w:rsid w:val="5723465A"/>
    <w:rsid w:val="573B6AE2"/>
    <w:rsid w:val="577867A3"/>
    <w:rsid w:val="577B5737"/>
    <w:rsid w:val="579A1F40"/>
    <w:rsid w:val="57D01858"/>
    <w:rsid w:val="57DA2BF3"/>
    <w:rsid w:val="57DD644B"/>
    <w:rsid w:val="57E30481"/>
    <w:rsid w:val="57E92D46"/>
    <w:rsid w:val="57EB5CB9"/>
    <w:rsid w:val="57EC183D"/>
    <w:rsid w:val="57F524F2"/>
    <w:rsid w:val="580B0930"/>
    <w:rsid w:val="580B468F"/>
    <w:rsid w:val="58103B00"/>
    <w:rsid w:val="58176636"/>
    <w:rsid w:val="582F24E2"/>
    <w:rsid w:val="58337298"/>
    <w:rsid w:val="58446B46"/>
    <w:rsid w:val="584D7718"/>
    <w:rsid w:val="584F7A00"/>
    <w:rsid w:val="5851771E"/>
    <w:rsid w:val="58536F0A"/>
    <w:rsid w:val="58553D92"/>
    <w:rsid w:val="5868065A"/>
    <w:rsid w:val="586E207E"/>
    <w:rsid w:val="587A2A34"/>
    <w:rsid w:val="58870EF8"/>
    <w:rsid w:val="5888345C"/>
    <w:rsid w:val="589E0682"/>
    <w:rsid w:val="58AA461B"/>
    <w:rsid w:val="58C35C5A"/>
    <w:rsid w:val="58C419D1"/>
    <w:rsid w:val="58C44D8F"/>
    <w:rsid w:val="58DB1D95"/>
    <w:rsid w:val="5903217F"/>
    <w:rsid w:val="59101764"/>
    <w:rsid w:val="593C1B72"/>
    <w:rsid w:val="593D2B64"/>
    <w:rsid w:val="59533FBD"/>
    <w:rsid w:val="596308D2"/>
    <w:rsid w:val="596463BC"/>
    <w:rsid w:val="59681A7F"/>
    <w:rsid w:val="596B480F"/>
    <w:rsid w:val="59751212"/>
    <w:rsid w:val="59784587"/>
    <w:rsid w:val="59807A06"/>
    <w:rsid w:val="598A288A"/>
    <w:rsid w:val="599A39F8"/>
    <w:rsid w:val="59B268A5"/>
    <w:rsid w:val="59B60D67"/>
    <w:rsid w:val="59B91D1F"/>
    <w:rsid w:val="59BC4495"/>
    <w:rsid w:val="59E34325"/>
    <w:rsid w:val="59E4388E"/>
    <w:rsid w:val="5A053708"/>
    <w:rsid w:val="5A186745"/>
    <w:rsid w:val="5A22764E"/>
    <w:rsid w:val="5A250E62"/>
    <w:rsid w:val="5A2F1CE1"/>
    <w:rsid w:val="5A300E32"/>
    <w:rsid w:val="5A425DD0"/>
    <w:rsid w:val="5A4956DF"/>
    <w:rsid w:val="5A6F4665"/>
    <w:rsid w:val="5A786D70"/>
    <w:rsid w:val="5A846122"/>
    <w:rsid w:val="5A8869A2"/>
    <w:rsid w:val="5A982351"/>
    <w:rsid w:val="5A9B3947"/>
    <w:rsid w:val="5AA1673B"/>
    <w:rsid w:val="5AA53944"/>
    <w:rsid w:val="5AA65E5C"/>
    <w:rsid w:val="5AB4613F"/>
    <w:rsid w:val="5AB745F1"/>
    <w:rsid w:val="5ABE1308"/>
    <w:rsid w:val="5AD10B93"/>
    <w:rsid w:val="5AD667E9"/>
    <w:rsid w:val="5AE076F6"/>
    <w:rsid w:val="5AE801C6"/>
    <w:rsid w:val="5AEF777F"/>
    <w:rsid w:val="5AF05301"/>
    <w:rsid w:val="5AFB7A99"/>
    <w:rsid w:val="5AFC1DEC"/>
    <w:rsid w:val="5B035B7A"/>
    <w:rsid w:val="5B095EC2"/>
    <w:rsid w:val="5B0B6CC8"/>
    <w:rsid w:val="5B111B46"/>
    <w:rsid w:val="5B15739D"/>
    <w:rsid w:val="5B2648AF"/>
    <w:rsid w:val="5B410A07"/>
    <w:rsid w:val="5B4325C6"/>
    <w:rsid w:val="5B473873"/>
    <w:rsid w:val="5B555777"/>
    <w:rsid w:val="5B682F3C"/>
    <w:rsid w:val="5B7025B1"/>
    <w:rsid w:val="5B743EFA"/>
    <w:rsid w:val="5B7E1FE6"/>
    <w:rsid w:val="5B8A12D1"/>
    <w:rsid w:val="5B8C3250"/>
    <w:rsid w:val="5B952383"/>
    <w:rsid w:val="5B96647E"/>
    <w:rsid w:val="5B9E70A7"/>
    <w:rsid w:val="5BA5225B"/>
    <w:rsid w:val="5BA97A4C"/>
    <w:rsid w:val="5BB60557"/>
    <w:rsid w:val="5BB73330"/>
    <w:rsid w:val="5BBC567D"/>
    <w:rsid w:val="5BC052E6"/>
    <w:rsid w:val="5BC2522C"/>
    <w:rsid w:val="5BD86B0F"/>
    <w:rsid w:val="5BF44F90"/>
    <w:rsid w:val="5BF76AFF"/>
    <w:rsid w:val="5BFD3E45"/>
    <w:rsid w:val="5C0B16D0"/>
    <w:rsid w:val="5C150216"/>
    <w:rsid w:val="5C1A577B"/>
    <w:rsid w:val="5C272C70"/>
    <w:rsid w:val="5C3F15D1"/>
    <w:rsid w:val="5C435DA2"/>
    <w:rsid w:val="5C4656F2"/>
    <w:rsid w:val="5C4F5DFF"/>
    <w:rsid w:val="5C5830BD"/>
    <w:rsid w:val="5C606182"/>
    <w:rsid w:val="5C6D6F38"/>
    <w:rsid w:val="5C6F4617"/>
    <w:rsid w:val="5C851CE4"/>
    <w:rsid w:val="5C892C87"/>
    <w:rsid w:val="5C8A74DF"/>
    <w:rsid w:val="5C9231A0"/>
    <w:rsid w:val="5C9A32B6"/>
    <w:rsid w:val="5C9A5B3D"/>
    <w:rsid w:val="5C9D6150"/>
    <w:rsid w:val="5CAB3739"/>
    <w:rsid w:val="5CB436A5"/>
    <w:rsid w:val="5CB61560"/>
    <w:rsid w:val="5CC750A1"/>
    <w:rsid w:val="5CD0261D"/>
    <w:rsid w:val="5CD56E1D"/>
    <w:rsid w:val="5CDE193D"/>
    <w:rsid w:val="5CE115AE"/>
    <w:rsid w:val="5CE57A80"/>
    <w:rsid w:val="5CF20B6E"/>
    <w:rsid w:val="5CF21906"/>
    <w:rsid w:val="5CF67A38"/>
    <w:rsid w:val="5CF95583"/>
    <w:rsid w:val="5D1866B0"/>
    <w:rsid w:val="5D217666"/>
    <w:rsid w:val="5D223775"/>
    <w:rsid w:val="5D2549A1"/>
    <w:rsid w:val="5D2913CE"/>
    <w:rsid w:val="5D350C29"/>
    <w:rsid w:val="5D380EAD"/>
    <w:rsid w:val="5D3C2F59"/>
    <w:rsid w:val="5D442AD8"/>
    <w:rsid w:val="5D514A8D"/>
    <w:rsid w:val="5D6A7DB2"/>
    <w:rsid w:val="5D6B3E4E"/>
    <w:rsid w:val="5D7956C0"/>
    <w:rsid w:val="5D814602"/>
    <w:rsid w:val="5D8466F2"/>
    <w:rsid w:val="5D8D744A"/>
    <w:rsid w:val="5DAB5ADD"/>
    <w:rsid w:val="5DAB78D0"/>
    <w:rsid w:val="5DB4008F"/>
    <w:rsid w:val="5DB73418"/>
    <w:rsid w:val="5DC0482A"/>
    <w:rsid w:val="5DCC4E45"/>
    <w:rsid w:val="5DD86D02"/>
    <w:rsid w:val="5DDD6BC2"/>
    <w:rsid w:val="5DDF544F"/>
    <w:rsid w:val="5DF33A02"/>
    <w:rsid w:val="5DF72B16"/>
    <w:rsid w:val="5DFB6846"/>
    <w:rsid w:val="5E0E4ED0"/>
    <w:rsid w:val="5E140CCA"/>
    <w:rsid w:val="5E2329B3"/>
    <w:rsid w:val="5E247A19"/>
    <w:rsid w:val="5E296ECF"/>
    <w:rsid w:val="5E3A3D88"/>
    <w:rsid w:val="5E516812"/>
    <w:rsid w:val="5E58762F"/>
    <w:rsid w:val="5E610573"/>
    <w:rsid w:val="5E69572B"/>
    <w:rsid w:val="5E775FEB"/>
    <w:rsid w:val="5E8D5F04"/>
    <w:rsid w:val="5EA670E6"/>
    <w:rsid w:val="5EB01F7D"/>
    <w:rsid w:val="5EB35BB8"/>
    <w:rsid w:val="5EB47219"/>
    <w:rsid w:val="5EB86C7D"/>
    <w:rsid w:val="5EBD71E2"/>
    <w:rsid w:val="5EDA2B01"/>
    <w:rsid w:val="5EE8405C"/>
    <w:rsid w:val="5EE94B54"/>
    <w:rsid w:val="5EF32213"/>
    <w:rsid w:val="5F115688"/>
    <w:rsid w:val="5F125CF8"/>
    <w:rsid w:val="5F1705A9"/>
    <w:rsid w:val="5F257C5D"/>
    <w:rsid w:val="5F275029"/>
    <w:rsid w:val="5F2E05FC"/>
    <w:rsid w:val="5F306E17"/>
    <w:rsid w:val="5F380DB0"/>
    <w:rsid w:val="5F38212D"/>
    <w:rsid w:val="5F400E38"/>
    <w:rsid w:val="5F5579CF"/>
    <w:rsid w:val="5F5978BA"/>
    <w:rsid w:val="5F5FFE38"/>
    <w:rsid w:val="5F69628A"/>
    <w:rsid w:val="5F6A072E"/>
    <w:rsid w:val="5F6C3FED"/>
    <w:rsid w:val="5F7B10DB"/>
    <w:rsid w:val="5F7C32D2"/>
    <w:rsid w:val="5F7E2456"/>
    <w:rsid w:val="5F7E33A3"/>
    <w:rsid w:val="5F8106B5"/>
    <w:rsid w:val="5F8C0940"/>
    <w:rsid w:val="5F8F02E1"/>
    <w:rsid w:val="5F956298"/>
    <w:rsid w:val="5F98157D"/>
    <w:rsid w:val="5F9D670D"/>
    <w:rsid w:val="5FB707B0"/>
    <w:rsid w:val="5FC609F2"/>
    <w:rsid w:val="5FD25D4F"/>
    <w:rsid w:val="5FD5319D"/>
    <w:rsid w:val="5FD6248C"/>
    <w:rsid w:val="5FDA7917"/>
    <w:rsid w:val="5FE01BA0"/>
    <w:rsid w:val="5FE1485F"/>
    <w:rsid w:val="5FEA1BED"/>
    <w:rsid w:val="5FEF619A"/>
    <w:rsid w:val="5FFC2665"/>
    <w:rsid w:val="60275934"/>
    <w:rsid w:val="602D0C0F"/>
    <w:rsid w:val="603830DD"/>
    <w:rsid w:val="60384B41"/>
    <w:rsid w:val="60590C12"/>
    <w:rsid w:val="60670E56"/>
    <w:rsid w:val="60673877"/>
    <w:rsid w:val="60673A29"/>
    <w:rsid w:val="6085453E"/>
    <w:rsid w:val="60AE48A0"/>
    <w:rsid w:val="60C211B9"/>
    <w:rsid w:val="60C40042"/>
    <w:rsid w:val="60D72C76"/>
    <w:rsid w:val="60E854C3"/>
    <w:rsid w:val="60FD6695"/>
    <w:rsid w:val="610542BE"/>
    <w:rsid w:val="611B6C2B"/>
    <w:rsid w:val="61234E0C"/>
    <w:rsid w:val="613A1FA7"/>
    <w:rsid w:val="613B077C"/>
    <w:rsid w:val="61444045"/>
    <w:rsid w:val="61493688"/>
    <w:rsid w:val="614F743B"/>
    <w:rsid w:val="61557D50"/>
    <w:rsid w:val="6166248C"/>
    <w:rsid w:val="618741B1"/>
    <w:rsid w:val="619009DE"/>
    <w:rsid w:val="61A17EA2"/>
    <w:rsid w:val="61A82643"/>
    <w:rsid w:val="61BD7E80"/>
    <w:rsid w:val="61C27004"/>
    <w:rsid w:val="61CD0996"/>
    <w:rsid w:val="61D21289"/>
    <w:rsid w:val="61ED2B48"/>
    <w:rsid w:val="61EF6675"/>
    <w:rsid w:val="61EF6A48"/>
    <w:rsid w:val="61F76C0F"/>
    <w:rsid w:val="61FB4CC6"/>
    <w:rsid w:val="620A2D8E"/>
    <w:rsid w:val="621721A7"/>
    <w:rsid w:val="62233EBD"/>
    <w:rsid w:val="62386E71"/>
    <w:rsid w:val="62417FA2"/>
    <w:rsid w:val="6247703F"/>
    <w:rsid w:val="626F2D4C"/>
    <w:rsid w:val="627E2EA3"/>
    <w:rsid w:val="627E7362"/>
    <w:rsid w:val="6280137D"/>
    <w:rsid w:val="628076B0"/>
    <w:rsid w:val="6284418B"/>
    <w:rsid w:val="62936594"/>
    <w:rsid w:val="629E7A04"/>
    <w:rsid w:val="62A016CA"/>
    <w:rsid w:val="62B3503F"/>
    <w:rsid w:val="62CA07F9"/>
    <w:rsid w:val="62DE42A4"/>
    <w:rsid w:val="62DE4533"/>
    <w:rsid w:val="62EA5C02"/>
    <w:rsid w:val="62EF5036"/>
    <w:rsid w:val="62FA7568"/>
    <w:rsid w:val="63290AF2"/>
    <w:rsid w:val="632C40B7"/>
    <w:rsid w:val="63345386"/>
    <w:rsid w:val="63467B54"/>
    <w:rsid w:val="63895F52"/>
    <w:rsid w:val="639D69BF"/>
    <w:rsid w:val="639D7F81"/>
    <w:rsid w:val="63A315A2"/>
    <w:rsid w:val="63AA5768"/>
    <w:rsid w:val="63B76FCF"/>
    <w:rsid w:val="63BC4D8A"/>
    <w:rsid w:val="63BC7FD3"/>
    <w:rsid w:val="63D3544C"/>
    <w:rsid w:val="63DB15F8"/>
    <w:rsid w:val="63DC6B94"/>
    <w:rsid w:val="63F16C37"/>
    <w:rsid w:val="63FB781E"/>
    <w:rsid w:val="641710C7"/>
    <w:rsid w:val="64207E5F"/>
    <w:rsid w:val="643463B5"/>
    <w:rsid w:val="643B6BFE"/>
    <w:rsid w:val="6445721A"/>
    <w:rsid w:val="64577BAD"/>
    <w:rsid w:val="64663618"/>
    <w:rsid w:val="646A47A1"/>
    <w:rsid w:val="646F0582"/>
    <w:rsid w:val="6481064F"/>
    <w:rsid w:val="64885352"/>
    <w:rsid w:val="64910A9A"/>
    <w:rsid w:val="649E1F3D"/>
    <w:rsid w:val="64A357A5"/>
    <w:rsid w:val="64A43710"/>
    <w:rsid w:val="64A96C3D"/>
    <w:rsid w:val="64AC4F31"/>
    <w:rsid w:val="64B01E65"/>
    <w:rsid w:val="64B24A66"/>
    <w:rsid w:val="64BE2D9A"/>
    <w:rsid w:val="64C77D7C"/>
    <w:rsid w:val="64CE6E16"/>
    <w:rsid w:val="64E34E04"/>
    <w:rsid w:val="64F762A9"/>
    <w:rsid w:val="64F767D3"/>
    <w:rsid w:val="64FA03DE"/>
    <w:rsid w:val="65136DF4"/>
    <w:rsid w:val="65223E27"/>
    <w:rsid w:val="652837E8"/>
    <w:rsid w:val="65363F24"/>
    <w:rsid w:val="65374728"/>
    <w:rsid w:val="65431A33"/>
    <w:rsid w:val="65590D2F"/>
    <w:rsid w:val="657B5DD8"/>
    <w:rsid w:val="65811ADB"/>
    <w:rsid w:val="65813C74"/>
    <w:rsid w:val="65856C59"/>
    <w:rsid w:val="65903CA8"/>
    <w:rsid w:val="6590784A"/>
    <w:rsid w:val="659A2704"/>
    <w:rsid w:val="65A36BBD"/>
    <w:rsid w:val="65A8695B"/>
    <w:rsid w:val="65BB267B"/>
    <w:rsid w:val="65CC0CA8"/>
    <w:rsid w:val="65CE0600"/>
    <w:rsid w:val="65DD66FF"/>
    <w:rsid w:val="65DE4EDB"/>
    <w:rsid w:val="65E44145"/>
    <w:rsid w:val="65F61963"/>
    <w:rsid w:val="65FA466C"/>
    <w:rsid w:val="65FE2F43"/>
    <w:rsid w:val="661C580F"/>
    <w:rsid w:val="66225116"/>
    <w:rsid w:val="662817F5"/>
    <w:rsid w:val="66287D10"/>
    <w:rsid w:val="662C4227"/>
    <w:rsid w:val="6633568B"/>
    <w:rsid w:val="6645502F"/>
    <w:rsid w:val="664A7314"/>
    <w:rsid w:val="665066E0"/>
    <w:rsid w:val="66506D31"/>
    <w:rsid w:val="66596C7C"/>
    <w:rsid w:val="665E64D0"/>
    <w:rsid w:val="66686491"/>
    <w:rsid w:val="666E1AB1"/>
    <w:rsid w:val="666E2DBB"/>
    <w:rsid w:val="667C45EE"/>
    <w:rsid w:val="667F5729"/>
    <w:rsid w:val="6687749C"/>
    <w:rsid w:val="669B5274"/>
    <w:rsid w:val="66A42FC8"/>
    <w:rsid w:val="66A7712A"/>
    <w:rsid w:val="66C60DE4"/>
    <w:rsid w:val="66CD08B8"/>
    <w:rsid w:val="66CD6688"/>
    <w:rsid w:val="66CE34FD"/>
    <w:rsid w:val="66EF2735"/>
    <w:rsid w:val="66F33592"/>
    <w:rsid w:val="66F56045"/>
    <w:rsid w:val="66FC5194"/>
    <w:rsid w:val="66FE211A"/>
    <w:rsid w:val="670000B2"/>
    <w:rsid w:val="670A22F8"/>
    <w:rsid w:val="670B73DF"/>
    <w:rsid w:val="67230F71"/>
    <w:rsid w:val="67266E87"/>
    <w:rsid w:val="67285DEF"/>
    <w:rsid w:val="672924DE"/>
    <w:rsid w:val="672A18B4"/>
    <w:rsid w:val="673503B1"/>
    <w:rsid w:val="673D7C4A"/>
    <w:rsid w:val="673E2453"/>
    <w:rsid w:val="67487AFB"/>
    <w:rsid w:val="67543CC2"/>
    <w:rsid w:val="67550295"/>
    <w:rsid w:val="675751E8"/>
    <w:rsid w:val="675B7D8C"/>
    <w:rsid w:val="67645673"/>
    <w:rsid w:val="67696855"/>
    <w:rsid w:val="676A7681"/>
    <w:rsid w:val="67705846"/>
    <w:rsid w:val="678243FA"/>
    <w:rsid w:val="67843A1A"/>
    <w:rsid w:val="678F3849"/>
    <w:rsid w:val="679953D7"/>
    <w:rsid w:val="67AB6317"/>
    <w:rsid w:val="67B04B69"/>
    <w:rsid w:val="67C13682"/>
    <w:rsid w:val="67C53246"/>
    <w:rsid w:val="67CD4BC3"/>
    <w:rsid w:val="67D10744"/>
    <w:rsid w:val="67D466CF"/>
    <w:rsid w:val="67D7174B"/>
    <w:rsid w:val="67D82CC6"/>
    <w:rsid w:val="67E73BFB"/>
    <w:rsid w:val="68111300"/>
    <w:rsid w:val="681B2D09"/>
    <w:rsid w:val="681E6848"/>
    <w:rsid w:val="682E501D"/>
    <w:rsid w:val="683A3FD7"/>
    <w:rsid w:val="683B59A3"/>
    <w:rsid w:val="683C5CF5"/>
    <w:rsid w:val="683D3D59"/>
    <w:rsid w:val="68443E8B"/>
    <w:rsid w:val="685417B7"/>
    <w:rsid w:val="685A7A85"/>
    <w:rsid w:val="685B7632"/>
    <w:rsid w:val="68673F2B"/>
    <w:rsid w:val="686B44EC"/>
    <w:rsid w:val="686B537D"/>
    <w:rsid w:val="68810992"/>
    <w:rsid w:val="68833899"/>
    <w:rsid w:val="688A6A5E"/>
    <w:rsid w:val="689C77B9"/>
    <w:rsid w:val="68A70086"/>
    <w:rsid w:val="68AB3623"/>
    <w:rsid w:val="68AC697C"/>
    <w:rsid w:val="68C91EA5"/>
    <w:rsid w:val="68D642A7"/>
    <w:rsid w:val="68E2015F"/>
    <w:rsid w:val="68E34AA0"/>
    <w:rsid w:val="68E96ABB"/>
    <w:rsid w:val="68F163C4"/>
    <w:rsid w:val="68FB4E6C"/>
    <w:rsid w:val="69082BA7"/>
    <w:rsid w:val="6925188B"/>
    <w:rsid w:val="69327971"/>
    <w:rsid w:val="6933073F"/>
    <w:rsid w:val="693C2CDE"/>
    <w:rsid w:val="69470973"/>
    <w:rsid w:val="6957649A"/>
    <w:rsid w:val="6959678E"/>
    <w:rsid w:val="695D5147"/>
    <w:rsid w:val="69790679"/>
    <w:rsid w:val="69885982"/>
    <w:rsid w:val="69897A4D"/>
    <w:rsid w:val="699B14AA"/>
    <w:rsid w:val="69B9150B"/>
    <w:rsid w:val="69CB0CF6"/>
    <w:rsid w:val="69D46804"/>
    <w:rsid w:val="69D83683"/>
    <w:rsid w:val="69DA18CC"/>
    <w:rsid w:val="69E465A3"/>
    <w:rsid w:val="69EF3701"/>
    <w:rsid w:val="69F05894"/>
    <w:rsid w:val="6A04386C"/>
    <w:rsid w:val="6A0F2126"/>
    <w:rsid w:val="6A1D5B98"/>
    <w:rsid w:val="6A2253A3"/>
    <w:rsid w:val="6A26160D"/>
    <w:rsid w:val="6A316459"/>
    <w:rsid w:val="6A38073E"/>
    <w:rsid w:val="6A4D243B"/>
    <w:rsid w:val="6A4F3DCF"/>
    <w:rsid w:val="6A786D8C"/>
    <w:rsid w:val="6A7F435F"/>
    <w:rsid w:val="6A803D68"/>
    <w:rsid w:val="6A845731"/>
    <w:rsid w:val="6A857BB1"/>
    <w:rsid w:val="6A87032B"/>
    <w:rsid w:val="6A9034D5"/>
    <w:rsid w:val="6AA45FB2"/>
    <w:rsid w:val="6AA55DB5"/>
    <w:rsid w:val="6AAD1E37"/>
    <w:rsid w:val="6AC20B38"/>
    <w:rsid w:val="6AC44351"/>
    <w:rsid w:val="6ACA45C3"/>
    <w:rsid w:val="6AE803DE"/>
    <w:rsid w:val="6AEE0308"/>
    <w:rsid w:val="6AF93A96"/>
    <w:rsid w:val="6B0A119B"/>
    <w:rsid w:val="6B0B5618"/>
    <w:rsid w:val="6B1D4AF5"/>
    <w:rsid w:val="6B1F0807"/>
    <w:rsid w:val="6B452637"/>
    <w:rsid w:val="6B463882"/>
    <w:rsid w:val="6B546998"/>
    <w:rsid w:val="6B630251"/>
    <w:rsid w:val="6B8B6BAC"/>
    <w:rsid w:val="6BA17685"/>
    <w:rsid w:val="6BA72195"/>
    <w:rsid w:val="6BA80CAC"/>
    <w:rsid w:val="6BA93112"/>
    <w:rsid w:val="6BCF66B9"/>
    <w:rsid w:val="6BDC06AA"/>
    <w:rsid w:val="6BDD51A7"/>
    <w:rsid w:val="6BE86611"/>
    <w:rsid w:val="6BF1246C"/>
    <w:rsid w:val="6BFB3EF1"/>
    <w:rsid w:val="6C0D699D"/>
    <w:rsid w:val="6C0E595A"/>
    <w:rsid w:val="6C127BBB"/>
    <w:rsid w:val="6C145117"/>
    <w:rsid w:val="6C180693"/>
    <w:rsid w:val="6C1A5138"/>
    <w:rsid w:val="6C1E002A"/>
    <w:rsid w:val="6C2076DB"/>
    <w:rsid w:val="6C21592D"/>
    <w:rsid w:val="6C2B6A57"/>
    <w:rsid w:val="6C2F2320"/>
    <w:rsid w:val="6C2F39A4"/>
    <w:rsid w:val="6C3350B3"/>
    <w:rsid w:val="6C3E1A48"/>
    <w:rsid w:val="6C433F22"/>
    <w:rsid w:val="6C546151"/>
    <w:rsid w:val="6C6F52CE"/>
    <w:rsid w:val="6C913BBE"/>
    <w:rsid w:val="6C9B138E"/>
    <w:rsid w:val="6C9B7F3D"/>
    <w:rsid w:val="6CA72135"/>
    <w:rsid w:val="6CAC4728"/>
    <w:rsid w:val="6CB475AE"/>
    <w:rsid w:val="6CC37E6B"/>
    <w:rsid w:val="6CCD31CA"/>
    <w:rsid w:val="6CD02C2D"/>
    <w:rsid w:val="6CD413A3"/>
    <w:rsid w:val="6CDD58D2"/>
    <w:rsid w:val="6CE460F2"/>
    <w:rsid w:val="6CEC010D"/>
    <w:rsid w:val="6CFE7181"/>
    <w:rsid w:val="6D0D0B3C"/>
    <w:rsid w:val="6D0F4F96"/>
    <w:rsid w:val="6D1064C8"/>
    <w:rsid w:val="6D1A2949"/>
    <w:rsid w:val="6D2B79D6"/>
    <w:rsid w:val="6D335B63"/>
    <w:rsid w:val="6D3A3724"/>
    <w:rsid w:val="6D442AAE"/>
    <w:rsid w:val="6D4D62AE"/>
    <w:rsid w:val="6D533538"/>
    <w:rsid w:val="6D5731A0"/>
    <w:rsid w:val="6D5C68F5"/>
    <w:rsid w:val="6D680282"/>
    <w:rsid w:val="6D6C758B"/>
    <w:rsid w:val="6D6F2919"/>
    <w:rsid w:val="6D733394"/>
    <w:rsid w:val="6D785A21"/>
    <w:rsid w:val="6D880F46"/>
    <w:rsid w:val="6D8C6905"/>
    <w:rsid w:val="6D8C79DB"/>
    <w:rsid w:val="6D941941"/>
    <w:rsid w:val="6DA510B5"/>
    <w:rsid w:val="6DA561B0"/>
    <w:rsid w:val="6DAC09D4"/>
    <w:rsid w:val="6DAC3882"/>
    <w:rsid w:val="6DBB31A2"/>
    <w:rsid w:val="6DC50FB6"/>
    <w:rsid w:val="6DC91432"/>
    <w:rsid w:val="6DDB1B0C"/>
    <w:rsid w:val="6DE07122"/>
    <w:rsid w:val="6DED5C5A"/>
    <w:rsid w:val="6DEF3365"/>
    <w:rsid w:val="6E127899"/>
    <w:rsid w:val="6E191D6A"/>
    <w:rsid w:val="6E1A3648"/>
    <w:rsid w:val="6E1F74D0"/>
    <w:rsid w:val="6E305BDD"/>
    <w:rsid w:val="6E3154FD"/>
    <w:rsid w:val="6E350BA7"/>
    <w:rsid w:val="6E35746E"/>
    <w:rsid w:val="6E3B0757"/>
    <w:rsid w:val="6E421DD3"/>
    <w:rsid w:val="6E453773"/>
    <w:rsid w:val="6E52386A"/>
    <w:rsid w:val="6E6155E5"/>
    <w:rsid w:val="6E631214"/>
    <w:rsid w:val="6E674159"/>
    <w:rsid w:val="6E7D3266"/>
    <w:rsid w:val="6E7D3C1F"/>
    <w:rsid w:val="6E8126B3"/>
    <w:rsid w:val="6E83647A"/>
    <w:rsid w:val="6E9618F0"/>
    <w:rsid w:val="6E971420"/>
    <w:rsid w:val="6EAB75A0"/>
    <w:rsid w:val="6EAC004F"/>
    <w:rsid w:val="6EAD48BB"/>
    <w:rsid w:val="6EB42D5F"/>
    <w:rsid w:val="6EB525CF"/>
    <w:rsid w:val="6EC07D83"/>
    <w:rsid w:val="6EC354F0"/>
    <w:rsid w:val="6EC73688"/>
    <w:rsid w:val="6ECA1DB5"/>
    <w:rsid w:val="6EDA7999"/>
    <w:rsid w:val="6EDD18B4"/>
    <w:rsid w:val="6EE03D94"/>
    <w:rsid w:val="6EE67B3B"/>
    <w:rsid w:val="6EE80EBA"/>
    <w:rsid w:val="6EFB5961"/>
    <w:rsid w:val="6F0E5DEB"/>
    <w:rsid w:val="6F0F76C1"/>
    <w:rsid w:val="6F137A0E"/>
    <w:rsid w:val="6F1A57D3"/>
    <w:rsid w:val="6F236289"/>
    <w:rsid w:val="6F236B22"/>
    <w:rsid w:val="6F2C33B6"/>
    <w:rsid w:val="6F371854"/>
    <w:rsid w:val="6F56688C"/>
    <w:rsid w:val="6F5C11AE"/>
    <w:rsid w:val="6F653D83"/>
    <w:rsid w:val="6F6E2213"/>
    <w:rsid w:val="6F731B90"/>
    <w:rsid w:val="6F9671BB"/>
    <w:rsid w:val="6FB10BF9"/>
    <w:rsid w:val="6FC8220C"/>
    <w:rsid w:val="6FCE1A7A"/>
    <w:rsid w:val="6FD303D6"/>
    <w:rsid w:val="6FD47B2A"/>
    <w:rsid w:val="6FD53B48"/>
    <w:rsid w:val="6FE908DA"/>
    <w:rsid w:val="6FEF7035"/>
    <w:rsid w:val="6FF3453A"/>
    <w:rsid w:val="6FFD2B3E"/>
    <w:rsid w:val="6FFE21CD"/>
    <w:rsid w:val="700D71E2"/>
    <w:rsid w:val="700E7076"/>
    <w:rsid w:val="702567BB"/>
    <w:rsid w:val="70375233"/>
    <w:rsid w:val="703764A3"/>
    <w:rsid w:val="703F2826"/>
    <w:rsid w:val="70710506"/>
    <w:rsid w:val="70831DAE"/>
    <w:rsid w:val="708F6368"/>
    <w:rsid w:val="70A214D5"/>
    <w:rsid w:val="70A46937"/>
    <w:rsid w:val="70B07450"/>
    <w:rsid w:val="70BC57AE"/>
    <w:rsid w:val="70C2647F"/>
    <w:rsid w:val="70E02508"/>
    <w:rsid w:val="70E208CB"/>
    <w:rsid w:val="70EC7EEE"/>
    <w:rsid w:val="70FB6DA6"/>
    <w:rsid w:val="71065ABC"/>
    <w:rsid w:val="711255C3"/>
    <w:rsid w:val="711C19BE"/>
    <w:rsid w:val="7120178B"/>
    <w:rsid w:val="71401F42"/>
    <w:rsid w:val="714B658D"/>
    <w:rsid w:val="715A448E"/>
    <w:rsid w:val="71642071"/>
    <w:rsid w:val="7177754A"/>
    <w:rsid w:val="717C504B"/>
    <w:rsid w:val="717D6400"/>
    <w:rsid w:val="719C7978"/>
    <w:rsid w:val="71BE777B"/>
    <w:rsid w:val="71C9008B"/>
    <w:rsid w:val="71D5035F"/>
    <w:rsid w:val="71DD1A25"/>
    <w:rsid w:val="71E73175"/>
    <w:rsid w:val="71E75A96"/>
    <w:rsid w:val="71EE1B60"/>
    <w:rsid w:val="71F904FD"/>
    <w:rsid w:val="720A76E3"/>
    <w:rsid w:val="720F27CE"/>
    <w:rsid w:val="72122BA7"/>
    <w:rsid w:val="721362C9"/>
    <w:rsid w:val="722E1BAA"/>
    <w:rsid w:val="72353CEF"/>
    <w:rsid w:val="723B21BC"/>
    <w:rsid w:val="724637A1"/>
    <w:rsid w:val="724C644A"/>
    <w:rsid w:val="724F07C9"/>
    <w:rsid w:val="7253653D"/>
    <w:rsid w:val="72574841"/>
    <w:rsid w:val="725E2923"/>
    <w:rsid w:val="72636A65"/>
    <w:rsid w:val="726E4515"/>
    <w:rsid w:val="727605C4"/>
    <w:rsid w:val="727D5006"/>
    <w:rsid w:val="72AF024B"/>
    <w:rsid w:val="72E81086"/>
    <w:rsid w:val="72EE6B5D"/>
    <w:rsid w:val="730279CA"/>
    <w:rsid w:val="73117F29"/>
    <w:rsid w:val="7316512F"/>
    <w:rsid w:val="7336784F"/>
    <w:rsid w:val="7355410F"/>
    <w:rsid w:val="735966F2"/>
    <w:rsid w:val="736C7A1B"/>
    <w:rsid w:val="737A71FE"/>
    <w:rsid w:val="73996054"/>
    <w:rsid w:val="739C67A4"/>
    <w:rsid w:val="739F03FC"/>
    <w:rsid w:val="73A44CEB"/>
    <w:rsid w:val="73A94CE3"/>
    <w:rsid w:val="73BA6AAD"/>
    <w:rsid w:val="73C37D20"/>
    <w:rsid w:val="73C44EF6"/>
    <w:rsid w:val="73DB4417"/>
    <w:rsid w:val="73E12F3B"/>
    <w:rsid w:val="73E15344"/>
    <w:rsid w:val="73F34056"/>
    <w:rsid w:val="74033B6B"/>
    <w:rsid w:val="74053607"/>
    <w:rsid w:val="740D7EC6"/>
    <w:rsid w:val="741C1E88"/>
    <w:rsid w:val="74307D41"/>
    <w:rsid w:val="74392F6A"/>
    <w:rsid w:val="7440091B"/>
    <w:rsid w:val="745546CB"/>
    <w:rsid w:val="747B3475"/>
    <w:rsid w:val="74826C3B"/>
    <w:rsid w:val="749161C0"/>
    <w:rsid w:val="74945341"/>
    <w:rsid w:val="749810A5"/>
    <w:rsid w:val="74AA2238"/>
    <w:rsid w:val="74B65081"/>
    <w:rsid w:val="74BB6A86"/>
    <w:rsid w:val="74C0029A"/>
    <w:rsid w:val="74C43446"/>
    <w:rsid w:val="74C71D54"/>
    <w:rsid w:val="74C76798"/>
    <w:rsid w:val="74F56D88"/>
    <w:rsid w:val="74FA1446"/>
    <w:rsid w:val="74FA631B"/>
    <w:rsid w:val="75173E74"/>
    <w:rsid w:val="751E0A08"/>
    <w:rsid w:val="75294ABC"/>
    <w:rsid w:val="752A18DE"/>
    <w:rsid w:val="7536075E"/>
    <w:rsid w:val="755641D6"/>
    <w:rsid w:val="755978B2"/>
    <w:rsid w:val="755A0B2D"/>
    <w:rsid w:val="755B3601"/>
    <w:rsid w:val="755F3023"/>
    <w:rsid w:val="75740AC0"/>
    <w:rsid w:val="75751AAB"/>
    <w:rsid w:val="7577501E"/>
    <w:rsid w:val="75792F84"/>
    <w:rsid w:val="75856A7E"/>
    <w:rsid w:val="75A9385B"/>
    <w:rsid w:val="75B75AD4"/>
    <w:rsid w:val="75B90589"/>
    <w:rsid w:val="75B90985"/>
    <w:rsid w:val="75BE243F"/>
    <w:rsid w:val="75BE7ECD"/>
    <w:rsid w:val="75C70D5D"/>
    <w:rsid w:val="75CA4C46"/>
    <w:rsid w:val="75DF391A"/>
    <w:rsid w:val="75F6321D"/>
    <w:rsid w:val="760412B3"/>
    <w:rsid w:val="76175239"/>
    <w:rsid w:val="761819C2"/>
    <w:rsid w:val="761B2EAA"/>
    <w:rsid w:val="761C5BBB"/>
    <w:rsid w:val="762A5A6B"/>
    <w:rsid w:val="762C7E15"/>
    <w:rsid w:val="76434790"/>
    <w:rsid w:val="764629E1"/>
    <w:rsid w:val="764F2288"/>
    <w:rsid w:val="764F753B"/>
    <w:rsid w:val="76537BCB"/>
    <w:rsid w:val="76A21419"/>
    <w:rsid w:val="76AD5657"/>
    <w:rsid w:val="76BE786A"/>
    <w:rsid w:val="76C360FA"/>
    <w:rsid w:val="76CA2C59"/>
    <w:rsid w:val="76EB1B6D"/>
    <w:rsid w:val="76F80CD5"/>
    <w:rsid w:val="76F93ABB"/>
    <w:rsid w:val="77046273"/>
    <w:rsid w:val="77123106"/>
    <w:rsid w:val="77180048"/>
    <w:rsid w:val="771815D0"/>
    <w:rsid w:val="771D1185"/>
    <w:rsid w:val="771E3757"/>
    <w:rsid w:val="77242661"/>
    <w:rsid w:val="772909A0"/>
    <w:rsid w:val="772D521C"/>
    <w:rsid w:val="772D7D44"/>
    <w:rsid w:val="773226BE"/>
    <w:rsid w:val="77392363"/>
    <w:rsid w:val="773D0FB9"/>
    <w:rsid w:val="775805AB"/>
    <w:rsid w:val="7766071F"/>
    <w:rsid w:val="776C5DA2"/>
    <w:rsid w:val="7778661E"/>
    <w:rsid w:val="777C4D8D"/>
    <w:rsid w:val="77854048"/>
    <w:rsid w:val="77907018"/>
    <w:rsid w:val="779805F4"/>
    <w:rsid w:val="779A56C5"/>
    <w:rsid w:val="77AC37DA"/>
    <w:rsid w:val="77BA018D"/>
    <w:rsid w:val="77D575CC"/>
    <w:rsid w:val="77E1724A"/>
    <w:rsid w:val="77E86D2D"/>
    <w:rsid w:val="77F132E1"/>
    <w:rsid w:val="77F5344F"/>
    <w:rsid w:val="77FA62FB"/>
    <w:rsid w:val="78014865"/>
    <w:rsid w:val="78173477"/>
    <w:rsid w:val="781C3FF5"/>
    <w:rsid w:val="78240D25"/>
    <w:rsid w:val="7827634C"/>
    <w:rsid w:val="782D79DC"/>
    <w:rsid w:val="783B62A6"/>
    <w:rsid w:val="7846471D"/>
    <w:rsid w:val="78530E91"/>
    <w:rsid w:val="78552913"/>
    <w:rsid w:val="7872105A"/>
    <w:rsid w:val="788020F2"/>
    <w:rsid w:val="78845FA5"/>
    <w:rsid w:val="78A234D1"/>
    <w:rsid w:val="78A64125"/>
    <w:rsid w:val="78A771BA"/>
    <w:rsid w:val="78B426D0"/>
    <w:rsid w:val="78B4469C"/>
    <w:rsid w:val="78BE4504"/>
    <w:rsid w:val="78C41CBA"/>
    <w:rsid w:val="78C7160B"/>
    <w:rsid w:val="78CE0F70"/>
    <w:rsid w:val="78D42182"/>
    <w:rsid w:val="78D855C6"/>
    <w:rsid w:val="78DC01DD"/>
    <w:rsid w:val="78E351BB"/>
    <w:rsid w:val="78F8402F"/>
    <w:rsid w:val="78FC6DA2"/>
    <w:rsid w:val="7900244B"/>
    <w:rsid w:val="79080C71"/>
    <w:rsid w:val="790E548B"/>
    <w:rsid w:val="79584FBF"/>
    <w:rsid w:val="79843DD9"/>
    <w:rsid w:val="798B0A1C"/>
    <w:rsid w:val="799526A1"/>
    <w:rsid w:val="79A34D1F"/>
    <w:rsid w:val="79A40391"/>
    <w:rsid w:val="79B8545F"/>
    <w:rsid w:val="79C20993"/>
    <w:rsid w:val="79C93AFE"/>
    <w:rsid w:val="79E166FC"/>
    <w:rsid w:val="79E648EE"/>
    <w:rsid w:val="79F002AC"/>
    <w:rsid w:val="79F86B2F"/>
    <w:rsid w:val="79FC3B46"/>
    <w:rsid w:val="7A0A6ACC"/>
    <w:rsid w:val="7A0F2C8C"/>
    <w:rsid w:val="7A175207"/>
    <w:rsid w:val="7A181569"/>
    <w:rsid w:val="7A61549E"/>
    <w:rsid w:val="7A6A424A"/>
    <w:rsid w:val="7A6B028F"/>
    <w:rsid w:val="7A724267"/>
    <w:rsid w:val="7A7C6425"/>
    <w:rsid w:val="7A7F3A5C"/>
    <w:rsid w:val="7A811C33"/>
    <w:rsid w:val="7AB160CE"/>
    <w:rsid w:val="7ABB07CD"/>
    <w:rsid w:val="7ABC4B4D"/>
    <w:rsid w:val="7ABD7E24"/>
    <w:rsid w:val="7AD21EB2"/>
    <w:rsid w:val="7AD9403B"/>
    <w:rsid w:val="7ADD4BAA"/>
    <w:rsid w:val="7AF35A66"/>
    <w:rsid w:val="7AF836E4"/>
    <w:rsid w:val="7AFA7920"/>
    <w:rsid w:val="7B0E149F"/>
    <w:rsid w:val="7B0F65E2"/>
    <w:rsid w:val="7B224353"/>
    <w:rsid w:val="7B2E7AE4"/>
    <w:rsid w:val="7B300B35"/>
    <w:rsid w:val="7B355154"/>
    <w:rsid w:val="7B4B041E"/>
    <w:rsid w:val="7B5135DB"/>
    <w:rsid w:val="7B570CDE"/>
    <w:rsid w:val="7B69649F"/>
    <w:rsid w:val="7B6B33D4"/>
    <w:rsid w:val="7B6D0F20"/>
    <w:rsid w:val="7B730036"/>
    <w:rsid w:val="7B73449B"/>
    <w:rsid w:val="7B9805C4"/>
    <w:rsid w:val="7B9B4E0E"/>
    <w:rsid w:val="7BA31D0A"/>
    <w:rsid w:val="7BA82C22"/>
    <w:rsid w:val="7BAC150B"/>
    <w:rsid w:val="7BC82D6B"/>
    <w:rsid w:val="7BD2366A"/>
    <w:rsid w:val="7BDF4E0D"/>
    <w:rsid w:val="7BEB4E92"/>
    <w:rsid w:val="7BF010CD"/>
    <w:rsid w:val="7C063CF4"/>
    <w:rsid w:val="7C0B4B98"/>
    <w:rsid w:val="7C187E23"/>
    <w:rsid w:val="7C1D7826"/>
    <w:rsid w:val="7C237AD5"/>
    <w:rsid w:val="7C276151"/>
    <w:rsid w:val="7C4003C4"/>
    <w:rsid w:val="7C4F1F91"/>
    <w:rsid w:val="7C597169"/>
    <w:rsid w:val="7C644367"/>
    <w:rsid w:val="7C6A3921"/>
    <w:rsid w:val="7C6F7075"/>
    <w:rsid w:val="7C790E6E"/>
    <w:rsid w:val="7C88454E"/>
    <w:rsid w:val="7C914DBA"/>
    <w:rsid w:val="7C9447C3"/>
    <w:rsid w:val="7CA0610B"/>
    <w:rsid w:val="7CB37421"/>
    <w:rsid w:val="7CB643DF"/>
    <w:rsid w:val="7CC12815"/>
    <w:rsid w:val="7CE00EED"/>
    <w:rsid w:val="7D066A98"/>
    <w:rsid w:val="7D11534A"/>
    <w:rsid w:val="7D120C4B"/>
    <w:rsid w:val="7D1C077A"/>
    <w:rsid w:val="7D1D57EA"/>
    <w:rsid w:val="7D1E1F2B"/>
    <w:rsid w:val="7D562F5D"/>
    <w:rsid w:val="7D5D7349"/>
    <w:rsid w:val="7D6153B6"/>
    <w:rsid w:val="7D636737"/>
    <w:rsid w:val="7D6542C8"/>
    <w:rsid w:val="7D697E7E"/>
    <w:rsid w:val="7D6B6655"/>
    <w:rsid w:val="7D74315B"/>
    <w:rsid w:val="7D747887"/>
    <w:rsid w:val="7D8A0E59"/>
    <w:rsid w:val="7D9F3027"/>
    <w:rsid w:val="7DAB5A73"/>
    <w:rsid w:val="7DAF1868"/>
    <w:rsid w:val="7DB73E15"/>
    <w:rsid w:val="7DC21F51"/>
    <w:rsid w:val="7DC60D6F"/>
    <w:rsid w:val="7DDD1961"/>
    <w:rsid w:val="7DDF6B79"/>
    <w:rsid w:val="7DE06CCB"/>
    <w:rsid w:val="7DE6365C"/>
    <w:rsid w:val="7DE6759A"/>
    <w:rsid w:val="7E0B1F99"/>
    <w:rsid w:val="7E1339BA"/>
    <w:rsid w:val="7E186A4A"/>
    <w:rsid w:val="7E19320E"/>
    <w:rsid w:val="7E1C13B8"/>
    <w:rsid w:val="7E22209C"/>
    <w:rsid w:val="7E382C3F"/>
    <w:rsid w:val="7E416191"/>
    <w:rsid w:val="7E4E5490"/>
    <w:rsid w:val="7E5D031B"/>
    <w:rsid w:val="7E614684"/>
    <w:rsid w:val="7E70185C"/>
    <w:rsid w:val="7E7A7EF8"/>
    <w:rsid w:val="7E802E60"/>
    <w:rsid w:val="7E83034F"/>
    <w:rsid w:val="7E864D65"/>
    <w:rsid w:val="7E900350"/>
    <w:rsid w:val="7E923B40"/>
    <w:rsid w:val="7EA01070"/>
    <w:rsid w:val="7EA065FF"/>
    <w:rsid w:val="7EA128FE"/>
    <w:rsid w:val="7EB414B3"/>
    <w:rsid w:val="7EB86D33"/>
    <w:rsid w:val="7ECB134E"/>
    <w:rsid w:val="7ECB79E4"/>
    <w:rsid w:val="7ED25D74"/>
    <w:rsid w:val="7ED40E2E"/>
    <w:rsid w:val="7ED5613C"/>
    <w:rsid w:val="7EDA6DAC"/>
    <w:rsid w:val="7EE4233F"/>
    <w:rsid w:val="7EF81FE8"/>
    <w:rsid w:val="7F061010"/>
    <w:rsid w:val="7F08114D"/>
    <w:rsid w:val="7F0966A3"/>
    <w:rsid w:val="7F0A60E4"/>
    <w:rsid w:val="7F285F4F"/>
    <w:rsid w:val="7F2912BE"/>
    <w:rsid w:val="7F435246"/>
    <w:rsid w:val="7F5647CC"/>
    <w:rsid w:val="7F741969"/>
    <w:rsid w:val="7F8777C3"/>
    <w:rsid w:val="7F93493C"/>
    <w:rsid w:val="7F957575"/>
    <w:rsid w:val="7F9D4E73"/>
    <w:rsid w:val="7FA25987"/>
    <w:rsid w:val="7FC87B2E"/>
    <w:rsid w:val="7FD06718"/>
    <w:rsid w:val="7FDF1D4F"/>
    <w:rsid w:val="7FEE726C"/>
    <w:rsid w:val="7FF35005"/>
    <w:rsid w:val="7FFF7D56"/>
    <w:rsid w:val="B7AF0329"/>
    <w:rsid w:val="F6FB6D6E"/>
    <w:rsid w:val="FBF93D1C"/>
    <w:rsid w:val="FFFF3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0"/>
    <w:qFormat/>
    <w:uiPriority w:val="0"/>
    <w:pPr>
      <w:keepNext/>
      <w:autoSpaceDE w:val="0"/>
      <w:autoSpaceDN w:val="0"/>
      <w:adjustRightInd w:val="0"/>
      <w:spacing w:line="360" w:lineRule="auto"/>
      <w:jc w:val="center"/>
      <w:outlineLvl w:val="0"/>
    </w:pPr>
    <w:rPr>
      <w:b/>
      <w:bCs/>
      <w:kern w:val="0"/>
      <w:sz w:val="52"/>
    </w:rPr>
  </w:style>
  <w:style w:type="paragraph" w:styleId="3">
    <w:name w:val="heading 2"/>
    <w:basedOn w:val="1"/>
    <w:next w:val="1"/>
    <w:link w:val="51"/>
    <w:qFormat/>
    <w:uiPriority w:val="0"/>
    <w:pPr>
      <w:keepNext/>
      <w:keepLines/>
      <w:spacing w:before="260" w:after="260" w:line="416" w:lineRule="auto"/>
      <w:jc w:val="center"/>
      <w:outlineLvl w:val="1"/>
    </w:pPr>
    <w:rPr>
      <w:rFonts w:ascii="Arial" w:hAnsi="Arial"/>
      <w:b/>
      <w:bCs/>
      <w:kern w:val="0"/>
      <w:sz w:val="36"/>
      <w:szCs w:val="32"/>
    </w:rPr>
  </w:style>
  <w:style w:type="paragraph" w:styleId="4">
    <w:name w:val="heading 3"/>
    <w:basedOn w:val="1"/>
    <w:next w:val="1"/>
    <w:link w:val="52"/>
    <w:qFormat/>
    <w:uiPriority w:val="0"/>
    <w:pPr>
      <w:keepNext/>
      <w:keepLines/>
      <w:spacing w:before="20" w:after="20" w:line="416" w:lineRule="auto"/>
      <w:outlineLvl w:val="2"/>
    </w:pPr>
    <w:rPr>
      <w:rFonts w:ascii="Times New Roman" w:hAnsi="Times New Roman"/>
      <w:b/>
      <w:bCs/>
      <w:sz w:val="32"/>
      <w:szCs w:val="32"/>
    </w:rPr>
  </w:style>
  <w:style w:type="paragraph" w:styleId="5">
    <w:name w:val="heading 4"/>
    <w:basedOn w:val="1"/>
    <w:next w:val="1"/>
    <w:link w:val="53"/>
    <w:qFormat/>
    <w:uiPriority w:val="0"/>
    <w:pPr>
      <w:keepNext/>
      <w:keepLines/>
      <w:widowControl/>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2520" w:leftChars="1200"/>
    </w:pPr>
  </w:style>
  <w:style w:type="paragraph" w:styleId="8">
    <w:name w:val="Normal Indent"/>
    <w:basedOn w:val="1"/>
    <w:link w:val="54"/>
    <w:qFormat/>
    <w:uiPriority w:val="0"/>
    <w:pPr>
      <w:snapToGrid w:val="0"/>
      <w:spacing w:line="440" w:lineRule="exact"/>
      <w:ind w:left="-21"/>
    </w:pPr>
    <w:rPr>
      <w:rFonts w:ascii="宋体"/>
      <w:color w:val="000000"/>
      <w:sz w:val="28"/>
      <w:szCs w:val="28"/>
    </w:rPr>
  </w:style>
  <w:style w:type="paragraph" w:styleId="9">
    <w:name w:val="Document Map"/>
    <w:basedOn w:val="1"/>
    <w:qFormat/>
    <w:uiPriority w:val="0"/>
    <w:pPr>
      <w:shd w:val="clear" w:color="auto" w:fill="000080"/>
    </w:pPr>
  </w:style>
  <w:style w:type="paragraph" w:styleId="10">
    <w:name w:val="toa heading"/>
    <w:basedOn w:val="1"/>
    <w:next w:val="1"/>
    <w:qFormat/>
    <w:uiPriority w:val="0"/>
    <w:pPr>
      <w:spacing w:before="120"/>
    </w:pPr>
    <w:rPr>
      <w:rFonts w:ascii="Arial" w:hAnsi="Arial" w:cs="Arial"/>
      <w:sz w:val="24"/>
    </w:rPr>
  </w:style>
  <w:style w:type="paragraph" w:styleId="11">
    <w:name w:val="annotation text"/>
    <w:basedOn w:val="1"/>
    <w:link w:val="55"/>
    <w:qFormat/>
    <w:uiPriority w:val="0"/>
    <w:pPr>
      <w:widowControl/>
      <w:jc w:val="left"/>
    </w:pPr>
    <w:rPr>
      <w:szCs w:val="20"/>
    </w:rPr>
  </w:style>
  <w:style w:type="paragraph" w:styleId="12">
    <w:name w:val="Body Text 3"/>
    <w:basedOn w:val="1"/>
    <w:qFormat/>
    <w:uiPriority w:val="0"/>
    <w:pPr>
      <w:autoSpaceDE w:val="0"/>
      <w:autoSpaceDN w:val="0"/>
      <w:adjustRightInd w:val="0"/>
      <w:spacing w:line="400" w:lineRule="exact"/>
      <w:ind w:right="6"/>
      <w:jc w:val="center"/>
    </w:pPr>
    <w:rPr>
      <w:rFonts w:ascii="Arial" w:hAnsi="Arial"/>
      <w:bCs/>
    </w:rPr>
  </w:style>
  <w:style w:type="paragraph" w:styleId="13">
    <w:name w:val="Body Text"/>
    <w:basedOn w:val="1"/>
    <w:next w:val="1"/>
    <w:qFormat/>
    <w:uiPriority w:val="0"/>
    <w:pPr>
      <w:autoSpaceDE w:val="0"/>
      <w:autoSpaceDN w:val="0"/>
      <w:adjustRightInd w:val="0"/>
      <w:spacing w:line="360" w:lineRule="auto"/>
      <w:ind w:right="246"/>
    </w:pPr>
    <w:rPr>
      <w:kern w:val="0"/>
      <w:sz w:val="24"/>
    </w:rPr>
  </w:style>
  <w:style w:type="paragraph" w:styleId="14">
    <w:name w:val="Body Text Indent"/>
    <w:basedOn w:val="1"/>
    <w:next w:val="1"/>
    <w:qFormat/>
    <w:uiPriority w:val="0"/>
    <w:pPr>
      <w:spacing w:line="360" w:lineRule="auto"/>
      <w:ind w:left="735" w:leftChars="350" w:firstLine="523" w:firstLineChars="218"/>
    </w:pPr>
    <w:rPr>
      <w:sz w:val="24"/>
    </w:rPr>
  </w:style>
  <w:style w:type="paragraph" w:styleId="15">
    <w:name w:val="Block Text"/>
    <w:basedOn w:val="1"/>
    <w:qFormat/>
    <w:uiPriority w:val="0"/>
    <w:pPr>
      <w:autoSpaceDE w:val="0"/>
      <w:autoSpaceDN w:val="0"/>
      <w:adjustRightInd w:val="0"/>
      <w:spacing w:line="360" w:lineRule="auto"/>
      <w:ind w:left="286" w:right="6" w:firstLine="554"/>
    </w:pPr>
    <w:rPr>
      <w:kern w:val="0"/>
      <w:sz w:val="24"/>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right" w:leader="dot" w:pos="9061"/>
      </w:tabs>
      <w:ind w:left="840" w:leftChars="400"/>
    </w:pPr>
  </w:style>
  <w:style w:type="paragraph" w:styleId="18">
    <w:name w:val="Plain Text"/>
    <w:basedOn w:val="1"/>
    <w:link w:val="56"/>
    <w:qFormat/>
    <w:uiPriority w:val="0"/>
    <w:rPr>
      <w:rFonts w:ascii="宋体" w:hAnsi="Courier New"/>
      <w:szCs w:val="21"/>
    </w:rPr>
  </w:style>
  <w:style w:type="paragraph" w:styleId="19">
    <w:name w:val="toc 8"/>
    <w:basedOn w:val="1"/>
    <w:next w:val="1"/>
    <w:qFormat/>
    <w:uiPriority w:val="39"/>
    <w:pPr>
      <w:ind w:left="2940" w:leftChars="1400"/>
    </w:pPr>
  </w:style>
  <w:style w:type="paragraph" w:styleId="20">
    <w:name w:val="Date"/>
    <w:basedOn w:val="1"/>
    <w:next w:val="1"/>
    <w:qFormat/>
    <w:uiPriority w:val="0"/>
    <w:pPr>
      <w:ind w:left="100" w:leftChars="2500"/>
    </w:pPr>
  </w:style>
  <w:style w:type="paragraph" w:styleId="21">
    <w:name w:val="Body Text Indent 2"/>
    <w:basedOn w:val="1"/>
    <w:qFormat/>
    <w:uiPriority w:val="0"/>
    <w:pPr>
      <w:widowControl/>
      <w:autoSpaceDE w:val="0"/>
      <w:autoSpaceDN w:val="0"/>
      <w:spacing w:line="360" w:lineRule="auto"/>
      <w:ind w:firstLine="630"/>
      <w:textAlignment w:val="bottom"/>
    </w:pPr>
    <w:rPr>
      <w:rFonts w:ascii="Arial" w:hAnsi="Arial"/>
      <w:bCs/>
      <w:sz w:val="24"/>
    </w:rPr>
  </w:style>
  <w:style w:type="paragraph" w:styleId="22">
    <w:name w:val="Balloon Text"/>
    <w:basedOn w:val="1"/>
    <w:qFormat/>
    <w:uiPriority w:val="0"/>
    <w:rPr>
      <w:sz w:val="18"/>
      <w:szCs w:val="18"/>
    </w:rPr>
  </w:style>
  <w:style w:type="paragraph" w:styleId="23">
    <w:name w:val="footer"/>
    <w:basedOn w:val="1"/>
    <w:link w:val="57"/>
    <w:qFormat/>
    <w:uiPriority w:val="99"/>
    <w:pPr>
      <w:tabs>
        <w:tab w:val="center" w:pos="4153"/>
        <w:tab w:val="right" w:pos="8306"/>
      </w:tabs>
      <w:snapToGrid w:val="0"/>
      <w:jc w:val="center"/>
    </w:pPr>
    <w:rPr>
      <w:sz w:val="18"/>
      <w:szCs w:val="18"/>
    </w:rPr>
  </w:style>
  <w:style w:type="paragraph" w:styleId="24">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1020"/>
        <w:tab w:val="right" w:leader="dot" w:pos="9030"/>
      </w:tabs>
      <w:adjustRightInd w:val="0"/>
      <w:snapToGrid w:val="0"/>
      <w:spacing w:before="156" w:beforeLines="50" w:line="360" w:lineRule="auto"/>
    </w:pPr>
    <w:rPr>
      <w:rFonts w:ascii="宋体" w:hAnsi="宋体"/>
      <w:b/>
      <w:sz w:val="24"/>
      <w:szCs w:val="20"/>
    </w:rPr>
  </w:style>
  <w:style w:type="paragraph" w:styleId="26">
    <w:name w:val="toc 4"/>
    <w:basedOn w:val="1"/>
    <w:next w:val="1"/>
    <w:qFormat/>
    <w:uiPriority w:val="39"/>
    <w:pPr>
      <w:ind w:left="1260" w:leftChars="600"/>
    </w:pPr>
  </w:style>
  <w:style w:type="paragraph" w:styleId="27">
    <w:name w:val="footnote text"/>
    <w:basedOn w:val="1"/>
    <w:link w:val="59"/>
    <w:qFormat/>
    <w:uiPriority w:val="0"/>
    <w:pPr>
      <w:snapToGrid w:val="0"/>
      <w:jc w:val="left"/>
    </w:pPr>
    <w:rPr>
      <w:sz w:val="18"/>
      <w:szCs w:val="18"/>
    </w:rPr>
  </w:style>
  <w:style w:type="paragraph" w:styleId="28">
    <w:name w:val="toc 6"/>
    <w:basedOn w:val="1"/>
    <w:next w:val="1"/>
    <w:qFormat/>
    <w:uiPriority w:val="39"/>
    <w:pPr>
      <w:ind w:left="2100" w:leftChars="1000"/>
    </w:pPr>
  </w:style>
  <w:style w:type="paragraph" w:styleId="29">
    <w:name w:val="Body Text Indent 3"/>
    <w:basedOn w:val="1"/>
    <w:qFormat/>
    <w:uiPriority w:val="0"/>
    <w:pPr>
      <w:widowControl/>
      <w:autoSpaceDE w:val="0"/>
      <w:autoSpaceDN w:val="0"/>
      <w:spacing w:line="360" w:lineRule="auto"/>
      <w:ind w:left="559" w:firstLine="490" w:firstLineChars="204"/>
      <w:textAlignment w:val="bottom"/>
    </w:pPr>
    <w:rPr>
      <w:rFonts w:ascii="Arial" w:hAnsi="Arial"/>
      <w:sz w:val="24"/>
    </w:rPr>
  </w:style>
  <w:style w:type="paragraph" w:styleId="30">
    <w:name w:val="toc 2"/>
    <w:basedOn w:val="1"/>
    <w:next w:val="1"/>
    <w:qFormat/>
    <w:uiPriority w:val="39"/>
    <w:pPr>
      <w:ind w:left="420" w:leftChars="200"/>
    </w:pPr>
  </w:style>
  <w:style w:type="paragraph" w:styleId="31">
    <w:name w:val="toc 9"/>
    <w:basedOn w:val="1"/>
    <w:next w:val="1"/>
    <w:qFormat/>
    <w:uiPriority w:val="39"/>
    <w:pPr>
      <w:ind w:left="3360" w:leftChars="1600"/>
    </w:pPr>
  </w:style>
  <w:style w:type="paragraph" w:styleId="32">
    <w:name w:val="Body Text 2"/>
    <w:basedOn w:val="1"/>
    <w:link w:val="60"/>
    <w:qFormat/>
    <w:uiPriority w:val="0"/>
    <w:pPr>
      <w:spacing w:line="400" w:lineRule="exact"/>
    </w:pPr>
    <w:rPr>
      <w:sz w:val="30"/>
    </w:rPr>
  </w:style>
  <w:style w:type="paragraph" w:styleId="33">
    <w:name w:val="HTML Preformatted"/>
    <w:basedOn w:val="1"/>
    <w:link w:val="6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s="宋体"/>
      <w:kern w:val="0"/>
      <w:sz w:val="24"/>
      <w:szCs w:val="20"/>
    </w:rPr>
  </w:style>
  <w:style w:type="paragraph" w:styleId="35">
    <w:name w:val="index 1"/>
    <w:basedOn w:val="1"/>
    <w:next w:val="1"/>
    <w:qFormat/>
    <w:uiPriority w:val="0"/>
    <w:pPr>
      <w:jc w:val="center"/>
    </w:pPr>
    <w:rPr>
      <w:rFonts w:ascii="华文宋体" w:hAnsi="华文宋体" w:eastAsia="华文宋体"/>
      <w:color w:val="000000"/>
      <w:szCs w:val="21"/>
    </w:rPr>
  </w:style>
  <w:style w:type="paragraph" w:styleId="36">
    <w:name w:val="annotation subject"/>
    <w:basedOn w:val="11"/>
    <w:next w:val="11"/>
    <w:link w:val="62"/>
    <w:qFormat/>
    <w:uiPriority w:val="0"/>
    <w:pPr>
      <w:widowControl w:val="0"/>
    </w:pPr>
    <w:rPr>
      <w:b/>
      <w:bCs/>
      <w:szCs w:val="24"/>
    </w:rPr>
  </w:style>
  <w:style w:type="paragraph" w:styleId="37">
    <w:name w:val="Body Text First Indent"/>
    <w:basedOn w:val="1"/>
    <w:qFormat/>
    <w:uiPriority w:val="0"/>
    <w:pPr>
      <w:spacing w:line="312" w:lineRule="auto"/>
      <w:ind w:firstLine="420"/>
    </w:pPr>
    <w:rPr>
      <w:rFonts w:ascii="Times New Roman" w:hAnsi="Times New Roman"/>
      <w:kern w:val="1"/>
    </w:rPr>
  </w:style>
  <w:style w:type="paragraph" w:styleId="38">
    <w:name w:val="Body Text First Indent 2"/>
    <w:basedOn w:val="14"/>
    <w:qFormat/>
    <w:uiPriority w:val="0"/>
    <w:pPr>
      <w:spacing w:line="312" w:lineRule="atLeast"/>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21201E"/>
      <w:u w:val="none"/>
    </w:rPr>
  </w:style>
  <w:style w:type="character" w:styleId="45">
    <w:name w:val="Emphasis"/>
    <w:qFormat/>
    <w:uiPriority w:val="0"/>
    <w:rPr>
      <w:color w:val="CC0000"/>
    </w:rPr>
  </w:style>
  <w:style w:type="character" w:styleId="46">
    <w:name w:val="Hyperlink"/>
    <w:qFormat/>
    <w:uiPriority w:val="99"/>
    <w:rPr>
      <w:color w:val="21201E"/>
      <w:u w:val="non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1.正文"/>
    <w:basedOn w:val="1"/>
    <w:qFormat/>
    <w:uiPriority w:val="99"/>
    <w:rPr>
      <w:rFonts w:ascii="仿宋_GB2312" w:eastAsia="仿宋_GB2312" w:cs="仿宋_GB2312"/>
      <w:szCs w:val="22"/>
    </w:rPr>
  </w:style>
  <w:style w:type="character" w:customStyle="1" w:styleId="50">
    <w:name w:val="标题 1 Char"/>
    <w:link w:val="2"/>
    <w:qFormat/>
    <w:uiPriority w:val="0"/>
    <w:rPr>
      <w:b/>
      <w:bCs/>
      <w:sz w:val="52"/>
      <w:szCs w:val="24"/>
    </w:rPr>
  </w:style>
  <w:style w:type="character" w:customStyle="1" w:styleId="51">
    <w:name w:val="标题 2 Char"/>
    <w:link w:val="3"/>
    <w:qFormat/>
    <w:uiPriority w:val="0"/>
    <w:rPr>
      <w:rFonts w:ascii="Arial" w:hAnsi="Arial"/>
      <w:b/>
      <w:bCs/>
      <w:kern w:val="0"/>
      <w:sz w:val="36"/>
      <w:szCs w:val="32"/>
    </w:rPr>
  </w:style>
  <w:style w:type="character" w:customStyle="1" w:styleId="52">
    <w:name w:val="标题 3 Char"/>
    <w:link w:val="4"/>
    <w:qFormat/>
    <w:uiPriority w:val="0"/>
    <w:rPr>
      <w:rFonts w:ascii="Times New Roman" w:hAnsi="Times New Roman" w:eastAsia="宋体"/>
      <w:b/>
      <w:bCs/>
      <w:kern w:val="2"/>
      <w:sz w:val="32"/>
      <w:szCs w:val="32"/>
      <w:lang w:val="en-US" w:eastAsia="zh-CN" w:bidi="ar-SA"/>
    </w:rPr>
  </w:style>
  <w:style w:type="character" w:customStyle="1" w:styleId="53">
    <w:name w:val="标题 4 Char"/>
    <w:link w:val="5"/>
    <w:qFormat/>
    <w:uiPriority w:val="0"/>
    <w:rPr>
      <w:rFonts w:ascii="Arial" w:hAnsi="Arial" w:eastAsia="黑体"/>
      <w:b/>
      <w:bCs/>
      <w:kern w:val="2"/>
      <w:sz w:val="28"/>
      <w:szCs w:val="28"/>
    </w:rPr>
  </w:style>
  <w:style w:type="character" w:customStyle="1" w:styleId="54">
    <w:name w:val="正文缩进 Char"/>
    <w:link w:val="8"/>
    <w:qFormat/>
    <w:uiPriority w:val="0"/>
    <w:rPr>
      <w:rFonts w:ascii="宋体" w:eastAsia="宋体"/>
      <w:color w:val="000000"/>
      <w:kern w:val="2"/>
      <w:sz w:val="28"/>
      <w:szCs w:val="28"/>
      <w:lang w:val="en-US" w:eastAsia="zh-CN" w:bidi="ar-SA"/>
    </w:rPr>
  </w:style>
  <w:style w:type="character" w:customStyle="1" w:styleId="55">
    <w:name w:val="批注文字 Char"/>
    <w:link w:val="11"/>
    <w:qFormat/>
    <w:uiPriority w:val="0"/>
    <w:rPr>
      <w:kern w:val="2"/>
      <w:sz w:val="21"/>
    </w:rPr>
  </w:style>
  <w:style w:type="character" w:customStyle="1" w:styleId="56">
    <w:name w:val="纯文本 Char"/>
    <w:link w:val="18"/>
    <w:qFormat/>
    <w:locked/>
    <w:uiPriority w:val="0"/>
    <w:rPr>
      <w:rFonts w:ascii="宋体" w:hAnsi="Courier New" w:eastAsia="宋体"/>
      <w:kern w:val="2"/>
      <w:sz w:val="21"/>
      <w:szCs w:val="21"/>
      <w:lang w:val="en-US" w:eastAsia="zh-CN" w:bidi="ar-SA"/>
    </w:rPr>
  </w:style>
  <w:style w:type="character" w:customStyle="1" w:styleId="57">
    <w:name w:val="页脚 Char"/>
    <w:link w:val="23"/>
    <w:qFormat/>
    <w:uiPriority w:val="99"/>
    <w:rPr>
      <w:kern w:val="2"/>
      <w:sz w:val="18"/>
      <w:szCs w:val="18"/>
    </w:rPr>
  </w:style>
  <w:style w:type="character" w:customStyle="1" w:styleId="58">
    <w:name w:val="页眉 Char"/>
    <w:link w:val="24"/>
    <w:qFormat/>
    <w:uiPriority w:val="99"/>
    <w:rPr>
      <w:kern w:val="2"/>
      <w:sz w:val="18"/>
      <w:szCs w:val="18"/>
    </w:rPr>
  </w:style>
  <w:style w:type="character" w:customStyle="1" w:styleId="59">
    <w:name w:val="脚注文本 Char"/>
    <w:link w:val="27"/>
    <w:qFormat/>
    <w:uiPriority w:val="0"/>
    <w:rPr>
      <w:kern w:val="2"/>
      <w:sz w:val="18"/>
      <w:szCs w:val="18"/>
    </w:rPr>
  </w:style>
  <w:style w:type="character" w:customStyle="1" w:styleId="60">
    <w:name w:val="正文文本 2 Char"/>
    <w:link w:val="32"/>
    <w:qFormat/>
    <w:uiPriority w:val="0"/>
    <w:rPr>
      <w:kern w:val="2"/>
      <w:sz w:val="30"/>
      <w:szCs w:val="24"/>
    </w:rPr>
  </w:style>
  <w:style w:type="character" w:customStyle="1" w:styleId="61">
    <w:name w:val="HTML 预设格式 Char"/>
    <w:link w:val="33"/>
    <w:qFormat/>
    <w:uiPriority w:val="99"/>
    <w:rPr>
      <w:rFonts w:ascii="宋体" w:hAnsi="宋体" w:cs="宋体"/>
      <w:sz w:val="24"/>
      <w:szCs w:val="24"/>
    </w:rPr>
  </w:style>
  <w:style w:type="character" w:customStyle="1" w:styleId="62">
    <w:name w:val="批注主题 Char"/>
    <w:basedOn w:val="55"/>
    <w:link w:val="36"/>
    <w:qFormat/>
    <w:uiPriority w:val="0"/>
    <w:rPr>
      <w:kern w:val="2"/>
      <w:sz w:val="21"/>
    </w:rPr>
  </w:style>
  <w:style w:type="character" w:customStyle="1" w:styleId="63">
    <w:name w:val="Char Char3"/>
    <w:qFormat/>
    <w:uiPriority w:val="0"/>
    <w:rPr>
      <w:rFonts w:ascii="Arial" w:hAnsi="Arial"/>
      <w:b/>
      <w:bCs/>
      <w:kern w:val="0"/>
      <w:sz w:val="36"/>
      <w:szCs w:val="32"/>
    </w:rPr>
  </w:style>
  <w:style w:type="character" w:customStyle="1" w:styleId="64">
    <w:name w:val="fontstyle01"/>
    <w:qFormat/>
    <w:uiPriority w:val="0"/>
    <w:rPr>
      <w:rFonts w:hint="default" w:ascii="Times New Roman" w:hAnsi="Times New Roman" w:cs="Times New Roman"/>
      <w:color w:val="000000"/>
      <w:sz w:val="24"/>
      <w:szCs w:val="24"/>
    </w:rPr>
  </w:style>
  <w:style w:type="character" w:customStyle="1" w:styleId="65">
    <w:name w:val="标题 2 Char Char"/>
    <w:qFormat/>
    <w:uiPriority w:val="0"/>
    <w:rPr>
      <w:rFonts w:ascii="Arial" w:hAnsi="Arial" w:eastAsia="宋体"/>
      <w:b/>
      <w:bCs/>
      <w:sz w:val="36"/>
      <w:szCs w:val="32"/>
      <w:lang w:val="en-US" w:eastAsia="zh-CN" w:bidi="ar-SA"/>
    </w:rPr>
  </w:style>
  <w:style w:type="character" w:customStyle="1" w:styleId="66">
    <w:name w:val="fontstyle21"/>
    <w:qFormat/>
    <w:uiPriority w:val="0"/>
    <w:rPr>
      <w:rFonts w:hint="eastAsia" w:ascii="宋体" w:hAnsi="宋体" w:eastAsia="宋体"/>
      <w:color w:val="000000"/>
      <w:sz w:val="24"/>
      <w:szCs w:val="24"/>
    </w:rPr>
  </w:style>
  <w:style w:type="character" w:customStyle="1" w:styleId="67">
    <w:name w:val="c Char Char"/>
    <w:qFormat/>
    <w:uiPriority w:val="0"/>
    <w:rPr>
      <w:rFonts w:ascii="宋体" w:hAnsi="宋体" w:eastAsia="宋体"/>
      <w:b/>
      <w:bCs/>
      <w:sz w:val="24"/>
      <w:szCs w:val="24"/>
      <w:lang w:val="en-US" w:eastAsia="zh-CN" w:bidi="ar-SA"/>
    </w:rPr>
  </w:style>
  <w:style w:type="character" w:customStyle="1" w:styleId="68">
    <w:name w:val="bulletintext1"/>
    <w:qFormat/>
    <w:uiPriority w:val="0"/>
    <w:rPr>
      <w:color w:val="000000"/>
      <w:sz w:val="18"/>
      <w:szCs w:val="18"/>
    </w:rPr>
  </w:style>
  <w:style w:type="character" w:customStyle="1" w:styleId="69">
    <w:name w:val="正文文本 (2) + 10 pt23"/>
    <w:qFormat/>
    <w:uiPriority w:val="0"/>
    <w:rPr>
      <w:rFonts w:ascii="宋体" w:hAnsi="宋体" w:cs="宋体"/>
      <w:sz w:val="20"/>
      <w:szCs w:val="20"/>
      <w:u w:val="none"/>
      <w:lang w:bidi="ar-SA"/>
    </w:rPr>
  </w:style>
  <w:style w:type="character" w:customStyle="1" w:styleId="70">
    <w:name w:val="正文1"/>
    <w:qFormat/>
    <w:uiPriority w:val="0"/>
    <w:rPr>
      <w:rFonts w:ascii="宋体" w:hAnsi="宋体"/>
      <w:color w:val="000000"/>
    </w:rPr>
  </w:style>
  <w:style w:type="character" w:customStyle="1" w:styleId="71">
    <w:name w:val="正文缩进 Char1"/>
    <w:qFormat/>
    <w:locked/>
    <w:uiPriority w:val="0"/>
    <w:rPr>
      <w:rFonts w:eastAsia="宋体"/>
      <w:kern w:val="2"/>
      <w:sz w:val="21"/>
      <w:lang w:val="en-US" w:eastAsia="zh-CN" w:bidi="ar-SA"/>
    </w:rPr>
  </w:style>
  <w:style w:type="character" w:customStyle="1" w:styleId="72">
    <w:name w:val="apple-style-span"/>
    <w:basedOn w:val="41"/>
    <w:qFormat/>
    <w:uiPriority w:val="0"/>
  </w:style>
  <w:style w:type="character" w:customStyle="1" w:styleId="73">
    <w:name w:val="large1"/>
    <w:qFormat/>
    <w:uiPriority w:val="0"/>
    <w:rPr>
      <w:rFonts w:hint="eastAsia" w:ascii="宋体" w:hAnsi="宋体" w:eastAsia="宋体"/>
      <w:sz w:val="21"/>
      <w:szCs w:val="21"/>
    </w:rPr>
  </w:style>
  <w:style w:type="character" w:customStyle="1" w:styleId="74">
    <w:name w:val="apple-converted-space"/>
    <w:basedOn w:val="41"/>
    <w:qFormat/>
    <w:uiPriority w:val="0"/>
  </w:style>
  <w:style w:type="paragraph" w:customStyle="1" w:styleId="75">
    <w:name w:val="Char"/>
    <w:basedOn w:val="1"/>
    <w:qFormat/>
    <w:uiPriority w:val="0"/>
    <w:rPr>
      <w:szCs w:val="20"/>
    </w:rPr>
  </w:style>
  <w:style w:type="paragraph" w:customStyle="1" w:styleId="76">
    <w:name w:val="Char Char"/>
    <w:basedOn w:val="1"/>
    <w:qFormat/>
    <w:uiPriority w:val="0"/>
    <w:rPr>
      <w:rFonts w:ascii="Tahoma" w:hAnsi="Tahoma"/>
      <w:sz w:val="24"/>
      <w:szCs w:val="20"/>
    </w:rPr>
  </w:style>
  <w:style w:type="paragraph" w:styleId="77">
    <w:name w:val="List Paragraph"/>
    <w:basedOn w:val="1"/>
    <w:qFormat/>
    <w:uiPriority w:val="34"/>
    <w:pPr>
      <w:ind w:firstLine="420" w:firstLineChars="200"/>
    </w:pPr>
    <w:rPr>
      <w:szCs w:val="22"/>
    </w:rPr>
  </w:style>
  <w:style w:type="paragraph" w:customStyle="1" w:styleId="78">
    <w:name w:val="CM62"/>
    <w:basedOn w:val="1"/>
    <w:next w:val="1"/>
    <w:qFormat/>
    <w:uiPriority w:val="0"/>
    <w:pPr>
      <w:autoSpaceDE w:val="0"/>
      <w:autoSpaceDN w:val="0"/>
      <w:adjustRightInd w:val="0"/>
      <w:spacing w:line="400" w:lineRule="atLeast"/>
      <w:jc w:val="left"/>
    </w:pPr>
    <w:rPr>
      <w:rFonts w:ascii="宋体"/>
      <w:kern w:val="0"/>
      <w:sz w:val="24"/>
      <w:szCs w:val="20"/>
    </w:rPr>
  </w:style>
  <w:style w:type="paragraph" w:customStyle="1" w:styleId="79">
    <w:name w:val="默认段落字体 Para Char"/>
    <w:basedOn w:val="1"/>
    <w:qFormat/>
    <w:uiPriority w:val="0"/>
  </w:style>
  <w:style w:type="paragraph" w:customStyle="1" w:styleId="80">
    <w:name w:val="章-附录1.2.3...."/>
    <w:basedOn w:val="3"/>
    <w:next w:val="1"/>
    <w:qFormat/>
    <w:uiPriority w:val="0"/>
    <w:pPr>
      <w:adjustRightInd w:val="0"/>
      <w:snapToGrid w:val="0"/>
      <w:spacing w:before="0" w:after="0" w:line="440" w:lineRule="exact"/>
      <w:jc w:val="both"/>
    </w:pPr>
    <w:rPr>
      <w:rFonts w:ascii="黑体"/>
      <w:sz w:val="28"/>
      <w:szCs w:val="28"/>
    </w:rPr>
  </w:style>
  <w:style w:type="paragraph" w:customStyle="1" w:styleId="81">
    <w:name w:val="CM91"/>
    <w:basedOn w:val="82"/>
    <w:next w:val="82"/>
    <w:qFormat/>
    <w:uiPriority w:val="0"/>
    <w:pPr>
      <w:spacing w:after="160"/>
    </w:pPr>
    <w:rPr>
      <w:rFonts w:cs="Times New Roman"/>
      <w:color w:val="auto"/>
    </w:rPr>
  </w:style>
  <w:style w:type="paragraph" w:customStyle="1" w:styleId="8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3">
    <w:name w:val="CM19"/>
    <w:basedOn w:val="82"/>
    <w:next w:val="82"/>
    <w:qFormat/>
    <w:uiPriority w:val="0"/>
    <w:pPr>
      <w:spacing w:line="398" w:lineRule="atLeast"/>
    </w:pPr>
    <w:rPr>
      <w:rFonts w:cs="Times New Roman"/>
      <w:color w:val="auto"/>
    </w:rPr>
  </w:style>
  <w:style w:type="paragraph" w:customStyle="1" w:styleId="84">
    <w:name w:val="样式2"/>
    <w:basedOn w:val="85"/>
    <w:qFormat/>
    <w:uiPriority w:val="0"/>
    <w:pPr>
      <w:tabs>
        <w:tab w:val="right" w:leader="dot" w:pos="8392"/>
      </w:tabs>
      <w:spacing w:before="120" w:after="120" w:line="0" w:lineRule="atLeast"/>
      <w:jc w:val="center"/>
      <w:outlineLvl w:val="0"/>
    </w:pPr>
    <w:rPr>
      <w:rFonts w:ascii="Times New Roman" w:hAnsi="Times New Roman"/>
      <w:b/>
      <w:caps/>
      <w:sz w:val="32"/>
    </w:rPr>
  </w:style>
  <w:style w:type="paragraph" w:customStyle="1" w:styleId="85">
    <w:name w:val="样式1"/>
    <w:basedOn w:val="1"/>
    <w:next w:val="5"/>
    <w:qFormat/>
    <w:uiPriority w:val="0"/>
    <w:pPr>
      <w:spacing w:line="360" w:lineRule="auto"/>
      <w:ind w:firstLine="420" w:firstLineChars="200"/>
    </w:pPr>
    <w:rPr>
      <w:rFonts w:ascii="宋体" w:hAnsi="宋体"/>
      <w:szCs w:val="21"/>
    </w:rPr>
  </w:style>
  <w:style w:type="paragraph" w:customStyle="1" w:styleId="86">
    <w:name w:val="Char Char Char Char Char Char Char"/>
    <w:basedOn w:val="1"/>
    <w:qFormat/>
    <w:uiPriority w:val="0"/>
    <w:rPr>
      <w:rFonts w:ascii="宋体"/>
      <w:spacing w:val="-12"/>
      <w:kern w:val="21"/>
      <w:sz w:val="24"/>
      <w:szCs w:val="20"/>
    </w:rPr>
  </w:style>
  <w:style w:type="paragraph" w:customStyle="1" w:styleId="87">
    <w:name w:val="商务3"/>
    <w:basedOn w:val="1"/>
    <w:qFormat/>
    <w:uiPriority w:val="0"/>
    <w:pPr>
      <w:spacing w:before="100" w:after="20"/>
      <w:outlineLvl w:val="2"/>
    </w:pPr>
    <w:rPr>
      <w:rFonts w:ascii="宋体"/>
      <w:b/>
      <w:szCs w:val="20"/>
    </w:rPr>
  </w:style>
  <w:style w:type="paragraph" w:customStyle="1" w:styleId="88">
    <w:name w:val="普通 (Web)"/>
    <w:basedOn w:val="1"/>
    <w:qFormat/>
    <w:uiPriority w:val="0"/>
    <w:pPr>
      <w:widowControl/>
      <w:spacing w:before="100" w:beforeAutospacing="1" w:after="100" w:afterAutospacing="1"/>
      <w:jc w:val="left"/>
    </w:pPr>
    <w:rPr>
      <w:rFonts w:ascii="Arial Unicode MS" w:hAnsi="Arial Unicode MS" w:eastAsia="Arial Unicode MS"/>
      <w:kern w:val="0"/>
      <w:sz w:val="24"/>
      <w:szCs w:val="20"/>
    </w:rPr>
  </w:style>
  <w:style w:type="paragraph" w:customStyle="1" w:styleId="89">
    <w:name w:val="正文文本 21"/>
    <w:basedOn w:val="1"/>
    <w:qFormat/>
    <w:uiPriority w:val="0"/>
    <w:pPr>
      <w:autoSpaceDE w:val="0"/>
      <w:autoSpaceDN w:val="0"/>
      <w:adjustRightInd w:val="0"/>
      <w:spacing w:line="380" w:lineRule="atLeast"/>
      <w:textAlignment w:val="baseline"/>
    </w:pPr>
    <w:rPr>
      <w:spacing w:val="10"/>
      <w:kern w:val="0"/>
      <w:sz w:val="24"/>
      <w:szCs w:val="20"/>
    </w:rPr>
  </w:style>
  <w:style w:type="paragraph" w:customStyle="1" w:styleId="90">
    <w:name w:val="c"/>
    <w:basedOn w:val="3"/>
    <w:qFormat/>
    <w:uiPriority w:val="0"/>
    <w:pPr>
      <w:ind w:firstLine="601" w:firstLineChars="250"/>
      <w:jc w:val="both"/>
    </w:pPr>
    <w:rPr>
      <w:rFonts w:ascii="宋体" w:hAnsi="宋体"/>
      <w:sz w:val="24"/>
      <w:szCs w:val="24"/>
    </w:rPr>
  </w:style>
  <w:style w:type="paragraph" w:customStyle="1" w:styleId="91">
    <w:name w:val="Char Char1 Char Char Char"/>
    <w:basedOn w:val="1"/>
    <w:qFormat/>
    <w:uiPriority w:val="0"/>
    <w:rPr>
      <w:kern w:val="0"/>
      <w:sz w:val="20"/>
      <w:szCs w:val="20"/>
    </w:rPr>
  </w:style>
  <w:style w:type="paragraph" w:customStyle="1" w:styleId="92">
    <w:name w:val="1"/>
    <w:basedOn w:val="1"/>
    <w:next w:val="1"/>
    <w:qFormat/>
    <w:uiPriority w:val="0"/>
  </w:style>
  <w:style w:type="paragraph" w:customStyle="1" w:styleId="93">
    <w:name w:val="Char1"/>
    <w:basedOn w:val="1"/>
    <w:qFormat/>
    <w:uiPriority w:val="0"/>
    <w:pPr>
      <w:widowControl/>
      <w:jc w:val="center"/>
    </w:pPr>
    <w:rPr>
      <w:szCs w:val="20"/>
    </w:rPr>
  </w:style>
  <w:style w:type="paragraph" w:customStyle="1" w:styleId="94">
    <w:name w:val="规范文本"/>
    <w:basedOn w:val="18"/>
    <w:qFormat/>
    <w:uiPriority w:val="0"/>
    <w:pPr>
      <w:adjustRightInd w:val="0"/>
      <w:snapToGrid w:val="0"/>
      <w:spacing w:line="360" w:lineRule="exact"/>
      <w:ind w:firstLine="420"/>
    </w:pPr>
    <w:rPr>
      <w:snapToGrid w:val="0"/>
      <w:kern w:val="0"/>
      <w:szCs w:val="20"/>
    </w:rPr>
  </w:style>
  <w:style w:type="paragraph" w:customStyle="1" w:styleId="95">
    <w:name w:val="项目符号"/>
    <w:basedOn w:val="1"/>
    <w:qFormat/>
    <w:uiPriority w:val="0"/>
    <w:pPr>
      <w:tabs>
        <w:tab w:val="left" w:pos="360"/>
      </w:tabs>
      <w:adjustRightInd w:val="0"/>
      <w:spacing w:line="360" w:lineRule="atLeast"/>
      <w:ind w:left="340" w:hanging="340"/>
      <w:jc w:val="left"/>
      <w:textAlignment w:val="baseline"/>
    </w:pPr>
    <w:rPr>
      <w:kern w:val="0"/>
      <w:sz w:val="24"/>
      <w:szCs w:val="20"/>
    </w:rPr>
  </w:style>
  <w:style w:type="paragraph" w:customStyle="1" w:styleId="96">
    <w:name w:val="题目"/>
    <w:basedOn w:val="1"/>
    <w:qFormat/>
    <w:uiPriority w:val="0"/>
    <w:pPr>
      <w:spacing w:before="480" w:beforeLines="200" w:after="240" w:afterLines="100"/>
      <w:jc w:val="center"/>
    </w:pPr>
    <w:rPr>
      <w:rFonts w:ascii="黑体" w:eastAsia="黑体"/>
      <w:color w:val="C00000"/>
      <w:sz w:val="28"/>
      <w:szCs w:val="28"/>
    </w:rPr>
  </w:style>
  <w:style w:type="table" w:customStyle="1" w:styleId="97">
    <w:name w:val="浅色列表1"/>
    <w:basedOn w:val="39"/>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98">
    <w:name w:val="Table Paragraph"/>
    <w:basedOn w:val="1"/>
    <w:qFormat/>
    <w:uiPriority w:val="1"/>
    <w:rPr>
      <w:rFonts w:ascii="宋体" w:hAnsi="宋体" w:cs="宋体"/>
      <w:lang w:val="zh-CN" w:bidi="zh-CN"/>
    </w:rPr>
  </w:style>
  <w:style w:type="paragraph" w:customStyle="1" w:styleId="99">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100">
    <w:name w:val="修订1"/>
    <w:hidden/>
    <w:unhideWhenUsed/>
    <w:qFormat/>
    <w:uiPriority w:val="99"/>
    <w:rPr>
      <w:rFonts w:ascii="Calibri" w:hAnsi="Calibri" w:eastAsia="宋体" w:cs="Times New Roman"/>
      <w:kern w:val="2"/>
      <w:sz w:val="21"/>
      <w:szCs w:val="24"/>
      <w:lang w:val="en-US" w:eastAsia="zh-CN" w:bidi="ar-SA"/>
    </w:rPr>
  </w:style>
  <w:style w:type="paragraph" w:customStyle="1" w:styleId="101">
    <w:name w:val="Other|1"/>
    <w:basedOn w:val="1"/>
    <w:qFormat/>
    <w:uiPriority w:val="0"/>
    <w:pPr>
      <w:spacing w:line="379" w:lineRule="auto"/>
      <w:ind w:firstLine="40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149</Pages>
  <Words>18103</Words>
  <Characters>20327</Characters>
  <Lines>201</Lines>
  <Paragraphs>222</Paragraphs>
  <TotalTime>0</TotalTime>
  <ScaleCrop>false</ScaleCrop>
  <LinksUpToDate>false</LinksUpToDate>
  <CharactersWithSpaces>22004</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2017-08-24T01:57:00Z</dcterms:created>
  <dc:creator>福州信源</dc:creator>
  <cp:lastModifiedBy>许宁</cp:lastModifiedBy>
  <cp:lastPrinted>2020-04-22T17:42:00Z</cp:lastPrinted>
  <dcterms:modified xsi:type="dcterms:W3CDTF">2025-01-07T08:21:28Z</dcterms:modified>
  <dc:title>填海造地工程施工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F7C3404ECD3C464FA5F977395AC0B1B6_13</vt:lpwstr>
  </property>
</Properties>
</file>