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5A802">
      <w:pPr>
        <w:spacing w:line="440" w:lineRule="exact"/>
        <w:rPr>
          <w:rFonts w:eastAsia="黑体"/>
          <w:color w:val="auto"/>
          <w:sz w:val="31"/>
          <w:szCs w:val="31"/>
          <w:highlight w:val="none"/>
        </w:rPr>
      </w:pPr>
    </w:p>
    <w:p w14:paraId="249059B1">
      <w:pPr>
        <w:spacing w:line="1000" w:lineRule="exact"/>
        <w:jc w:val="center"/>
        <w:rPr>
          <w:rFonts w:ascii="宋体" w:hAnsi="宋体"/>
          <w:b/>
          <w:color w:val="auto"/>
          <w:sz w:val="44"/>
          <w:szCs w:val="44"/>
          <w:highlight w:val="none"/>
          <w:u w:val="single"/>
        </w:rPr>
      </w:pPr>
    </w:p>
    <w:p w14:paraId="524ED34E">
      <w:pPr>
        <w:jc w:val="center"/>
        <w:rPr>
          <w:rFonts w:ascii="华文中宋" w:hAnsi="华文中宋" w:eastAsia="华文中宋" w:cs="华文中宋"/>
          <w:b/>
          <w:color w:val="auto"/>
          <w:sz w:val="52"/>
          <w:szCs w:val="52"/>
          <w:highlight w:val="none"/>
        </w:rPr>
      </w:pPr>
    </w:p>
    <w:p w14:paraId="6D81272A">
      <w:pPr>
        <w:jc w:val="center"/>
        <w:rPr>
          <w:rFonts w:hint="eastAsia" w:ascii="华文中宋" w:hAnsi="华文中宋" w:eastAsia="华文中宋" w:cs="华文中宋"/>
          <w:b/>
          <w:color w:val="auto"/>
          <w:sz w:val="52"/>
          <w:szCs w:val="52"/>
          <w:highlight w:val="none"/>
        </w:rPr>
      </w:pPr>
      <w:r>
        <w:rPr>
          <w:rFonts w:hint="eastAsia" w:ascii="华文中宋" w:hAnsi="华文中宋" w:eastAsia="华文中宋" w:cs="华文中宋"/>
          <w:b/>
          <w:color w:val="auto"/>
          <w:sz w:val="52"/>
          <w:szCs w:val="52"/>
          <w:highlight w:val="none"/>
        </w:rPr>
        <w:t>厦门市水运工程</w:t>
      </w:r>
    </w:p>
    <w:p w14:paraId="148F9249">
      <w:pPr>
        <w:pStyle w:val="2"/>
        <w:rPr>
          <w:rFonts w:hint="eastAsia"/>
          <w:color w:val="auto"/>
        </w:rPr>
      </w:pPr>
    </w:p>
    <w:p w14:paraId="27C5A991">
      <w:pPr>
        <w:pStyle w:val="2"/>
        <w:rPr>
          <w:color w:val="auto"/>
        </w:rPr>
      </w:pPr>
    </w:p>
    <w:p w14:paraId="113175AD">
      <w:pPr>
        <w:spacing w:line="1000" w:lineRule="exact"/>
        <w:jc w:val="center"/>
        <w:rPr>
          <w:rFonts w:ascii="华文中宋" w:hAnsi="华文中宋" w:eastAsia="华文中宋" w:cs="华文中宋"/>
          <w:b/>
          <w:color w:val="auto"/>
          <w:sz w:val="72"/>
          <w:szCs w:val="72"/>
          <w:highlight w:val="none"/>
        </w:rPr>
      </w:pPr>
      <w:r>
        <w:rPr>
          <w:rFonts w:hint="eastAsia" w:ascii="华文中宋" w:hAnsi="华文中宋" w:eastAsia="华文中宋" w:cs="华文中宋"/>
          <w:b/>
          <w:color w:val="auto"/>
          <w:sz w:val="72"/>
          <w:szCs w:val="72"/>
          <w:highlight w:val="none"/>
        </w:rPr>
        <w:t>施工监理招标文件</w:t>
      </w:r>
    </w:p>
    <w:p w14:paraId="41B86D18">
      <w:pPr>
        <w:spacing w:line="360" w:lineRule="auto"/>
        <w:ind w:firstLine="420" w:firstLineChars="200"/>
        <w:jc w:val="center"/>
        <w:rPr>
          <w:rFonts w:ascii="宋体" w:hAnsi="宋体"/>
          <w:color w:val="auto"/>
          <w:szCs w:val="21"/>
          <w:highlight w:val="none"/>
        </w:rPr>
      </w:pPr>
    </w:p>
    <w:p w14:paraId="47A77620">
      <w:pPr>
        <w:spacing w:line="360" w:lineRule="auto"/>
        <w:ind w:firstLine="0" w:firstLineChars="0"/>
        <w:jc w:val="center"/>
        <w:rPr>
          <w:rFonts w:ascii="宋体" w:hAnsi="宋体"/>
          <w:color w:val="auto"/>
          <w:szCs w:val="21"/>
          <w:highlight w:val="none"/>
        </w:rPr>
      </w:pPr>
      <w:r>
        <w:rPr>
          <w:rFonts w:hint="eastAsia" w:ascii="黑体" w:hAnsi="黑体" w:eastAsia="黑体"/>
          <w:color w:val="000000" w:themeColor="text1"/>
          <w:sz w:val="36"/>
          <w:szCs w:val="36"/>
          <w:highlight w:val="none"/>
          <w14:textFill>
            <w14:solidFill>
              <w14:schemeClr w14:val="tx1"/>
            </w14:solidFill>
          </w14:textFill>
        </w:rPr>
        <w:t>（</w:t>
      </w:r>
      <w:r>
        <w:rPr>
          <w:rFonts w:hint="eastAsia" w:ascii="黑体" w:hAnsi="黑体" w:eastAsia="黑体" w:cs="宋体"/>
          <w:color w:val="000000" w:themeColor="text1"/>
          <w:sz w:val="32"/>
          <w:highlight w:val="none"/>
          <w:lang w:val="zh-CN" w:bidi="zh-CN"/>
          <w14:textFill>
            <w14:solidFill>
              <w14:schemeClr w14:val="tx1"/>
            </w14:solidFill>
          </w14:textFill>
        </w:rPr>
        <w:t>“评定分离”版</w:t>
      </w:r>
      <w:r>
        <w:rPr>
          <w:rFonts w:hint="eastAsia" w:ascii="黑体" w:hAnsi="黑体" w:eastAsia="黑体"/>
          <w:color w:val="000000" w:themeColor="text1"/>
          <w:sz w:val="36"/>
          <w:szCs w:val="36"/>
          <w:highlight w:val="none"/>
          <w14:textFill>
            <w14:solidFill>
              <w14:schemeClr w14:val="tx1"/>
            </w14:solidFill>
          </w14:textFill>
        </w:rPr>
        <w:t>）</w:t>
      </w:r>
    </w:p>
    <w:p w14:paraId="7500B364">
      <w:pPr>
        <w:spacing w:line="360" w:lineRule="auto"/>
        <w:ind w:firstLine="420" w:firstLineChars="200"/>
        <w:rPr>
          <w:rFonts w:ascii="宋体" w:hAnsi="宋体"/>
          <w:color w:val="auto"/>
          <w:szCs w:val="21"/>
          <w:highlight w:val="none"/>
        </w:rPr>
      </w:pPr>
    </w:p>
    <w:p w14:paraId="2E5DED86">
      <w:pPr>
        <w:spacing w:line="360" w:lineRule="auto"/>
        <w:ind w:firstLine="420" w:firstLineChars="200"/>
        <w:rPr>
          <w:rFonts w:ascii="宋体" w:hAnsi="宋体"/>
          <w:color w:val="auto"/>
          <w:szCs w:val="21"/>
          <w:highlight w:val="none"/>
        </w:rPr>
      </w:pPr>
    </w:p>
    <w:p w14:paraId="079758C9">
      <w:pPr>
        <w:spacing w:line="360" w:lineRule="auto"/>
        <w:ind w:firstLine="1687"/>
        <w:jc w:val="center"/>
        <w:rPr>
          <w:rFonts w:ascii="宋体" w:hAnsi="宋体"/>
          <w:b/>
          <w:color w:val="auto"/>
          <w:sz w:val="84"/>
          <w:szCs w:val="84"/>
          <w:highlight w:val="none"/>
        </w:rPr>
      </w:pPr>
    </w:p>
    <w:p w14:paraId="5614C246">
      <w:pPr>
        <w:spacing w:line="360" w:lineRule="auto"/>
        <w:ind w:firstLine="1687"/>
        <w:jc w:val="center"/>
        <w:rPr>
          <w:rFonts w:ascii="宋体" w:hAnsi="宋体"/>
          <w:b/>
          <w:color w:val="auto"/>
          <w:sz w:val="84"/>
          <w:szCs w:val="84"/>
          <w:highlight w:val="none"/>
        </w:rPr>
      </w:pPr>
    </w:p>
    <w:p w14:paraId="3528A293">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厦门市住房和建设局</w:t>
      </w:r>
    </w:p>
    <w:p w14:paraId="79E89B49">
      <w:pPr>
        <w:spacing w:line="360" w:lineRule="auto"/>
        <w:jc w:val="center"/>
        <w:rPr>
          <w:rFonts w:ascii="黑体" w:hAnsi="黑体" w:eastAsia="黑体"/>
          <w:color w:val="auto"/>
          <w:sz w:val="32"/>
          <w:szCs w:val="32"/>
          <w:highlight w:val="none"/>
        </w:rPr>
        <w:sectPr>
          <w:headerReference r:id="rId4" w:type="default"/>
          <w:footnotePr>
            <w:numRestart w:val="eachPage"/>
          </w:footnotePr>
          <w:pgSz w:w="11906" w:h="16838"/>
          <w:pgMar w:top="1418" w:right="1304" w:bottom="1418" w:left="1304" w:header="851" w:footer="992" w:gutter="0"/>
          <w:pgNumType w:start="1"/>
          <w:cols w:space="720" w:num="1"/>
          <w:docGrid w:linePitch="312" w:charSpace="0"/>
        </w:sectPr>
      </w:pPr>
      <w:r>
        <w:rPr>
          <w:rFonts w:ascii="宋体" w:hAnsi="宋体" w:cs="宋体"/>
          <w:b/>
          <w:color w:val="auto"/>
          <w:sz w:val="32"/>
          <w:szCs w:val="32"/>
          <w:highlight w:val="none"/>
        </w:rPr>
        <w:t>202</w:t>
      </w:r>
      <w:r>
        <w:rPr>
          <w:rFonts w:hint="eastAsia" w:ascii="宋体" w:hAnsi="宋体" w:cs="宋体"/>
          <w:b/>
          <w:color w:val="auto"/>
          <w:sz w:val="32"/>
          <w:szCs w:val="32"/>
          <w:highlight w:val="none"/>
          <w:lang w:val="en-US" w:eastAsia="zh-CN"/>
        </w:rPr>
        <w:t>5</w:t>
      </w:r>
      <w:r>
        <w:rPr>
          <w:rFonts w:ascii="宋体" w:hAnsi="宋体" w:cs="宋体"/>
          <w:b/>
          <w:color w:val="auto"/>
          <w:sz w:val="32"/>
          <w:szCs w:val="32"/>
          <w:highlight w:val="none"/>
        </w:rPr>
        <w:t>年</w:t>
      </w:r>
      <w:r>
        <w:rPr>
          <w:rFonts w:hint="eastAsia" w:ascii="宋体" w:hAnsi="宋体" w:cs="宋体"/>
          <w:b/>
          <w:color w:val="auto"/>
          <w:sz w:val="32"/>
          <w:szCs w:val="32"/>
          <w:highlight w:val="none"/>
        </w:rPr>
        <w:t>1</w:t>
      </w:r>
      <w:r>
        <w:rPr>
          <w:rFonts w:ascii="宋体" w:hAnsi="宋体" w:cs="宋体"/>
          <w:b/>
          <w:color w:val="auto"/>
          <w:sz w:val="32"/>
          <w:szCs w:val="32"/>
          <w:highlight w:val="none"/>
        </w:rPr>
        <w:t>月</w:t>
      </w:r>
    </w:p>
    <w:p w14:paraId="77046DD4">
      <w:pPr>
        <w:pStyle w:val="3"/>
        <w:jc w:val="center"/>
        <w:rPr>
          <w:color w:val="auto"/>
          <w:highlight w:val="none"/>
        </w:rPr>
      </w:pPr>
      <w:r>
        <w:rPr>
          <w:rFonts w:hint="eastAsia"/>
          <w:color w:val="auto"/>
          <w:highlight w:val="none"/>
        </w:rPr>
        <w:t>总 则</w:t>
      </w:r>
    </w:p>
    <w:p w14:paraId="326531B6">
      <w:pPr>
        <w:numPr>
          <w:ilvl w:val="0"/>
          <w:numId w:val="1"/>
        </w:numPr>
        <w:tabs>
          <w:tab w:val="left" w:pos="480"/>
        </w:tabs>
        <w:spacing w:line="36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《厦门市水运工程施工监理招标文件》（“评定分离”版）以福建省港航事业发展中心发布《福建省水运工程施工监理招标文件示范文本》（202</w:t>
      </w:r>
      <w:r>
        <w:rPr>
          <w:rFonts w:hint="eastAsia" w:ascii="宋体" w:hAnsi="宋体"/>
          <w:snapToGrid w:val="0"/>
          <w:color w:val="auto"/>
          <w:kern w:val="0"/>
          <w:sz w:val="24"/>
          <w:highlight w:val="none"/>
          <w:lang w:val="en-US" w:eastAsia="zh-CN"/>
        </w:rPr>
        <w:t>4</w:t>
      </w:r>
      <w:r>
        <w:rPr>
          <w:rFonts w:hint="eastAsia" w:ascii="宋体" w:hAnsi="宋体"/>
          <w:snapToGrid w:val="0"/>
          <w:color w:val="auto"/>
          <w:kern w:val="0"/>
          <w:sz w:val="24"/>
          <w:highlight w:val="none"/>
        </w:rPr>
        <w:t>版）（以下简称“省范本”）为基础，以《中华人民共和国招标投标法》、《电子招标投标办法》等法律和部门规章为依据，根据《厦门市住房和建设局关于印发建设工程招投标评定分离办法的通知》（厦住建规〔2024〕6号）并结合厦门市实际情况进行编制。</w:t>
      </w:r>
    </w:p>
    <w:p w14:paraId="11593B60">
      <w:pPr>
        <w:numPr>
          <w:ilvl w:val="0"/>
          <w:numId w:val="1"/>
        </w:numPr>
        <w:tabs>
          <w:tab w:val="left" w:pos="480"/>
        </w:tabs>
        <w:spacing w:line="36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本招标文件（范本）适用于厦门市行政区域内依法必须进行公开招投标且采用“评定分离”评标定标办法的水运建设监理项目。</w:t>
      </w:r>
    </w:p>
    <w:p w14:paraId="410EA9E8">
      <w:pPr>
        <w:tabs>
          <w:tab w:val="left" w:pos="480"/>
        </w:tabs>
        <w:spacing w:line="36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3、本施工监理招标文件范本可</w:t>
      </w:r>
      <w:r>
        <w:rPr>
          <w:rFonts w:ascii="宋体" w:hAnsi="宋体"/>
          <w:snapToGrid w:val="0"/>
          <w:color w:val="auto"/>
          <w:kern w:val="0"/>
          <w:sz w:val="24"/>
          <w:highlight w:val="none"/>
        </w:rPr>
        <w:t>适用于</w:t>
      </w:r>
      <w:r>
        <w:rPr>
          <w:rFonts w:hint="eastAsia" w:ascii="宋体" w:hAnsi="宋体"/>
          <w:snapToGrid w:val="0"/>
          <w:color w:val="auto"/>
          <w:kern w:val="0"/>
          <w:sz w:val="24"/>
          <w:highlight w:val="none"/>
        </w:rPr>
        <w:t>全部使用国有资金投资或者国有资金投资占控股或者主导地位的我省省级及以下核准或审批的必须公开招标的</w:t>
      </w:r>
      <w:r>
        <w:rPr>
          <w:rFonts w:ascii="宋体" w:hAnsi="宋体"/>
          <w:snapToGrid w:val="0"/>
          <w:color w:val="auto"/>
          <w:kern w:val="0"/>
          <w:sz w:val="24"/>
          <w:highlight w:val="none"/>
        </w:rPr>
        <w:t>水运工程</w:t>
      </w:r>
      <w:r>
        <w:rPr>
          <w:rFonts w:hint="eastAsia" w:ascii="宋体" w:hAnsi="宋体"/>
          <w:snapToGrid w:val="0"/>
          <w:color w:val="auto"/>
          <w:kern w:val="0"/>
          <w:sz w:val="24"/>
          <w:highlight w:val="none"/>
        </w:rPr>
        <w:t>建设项目（含陆岛交通码头）施工监理招标，其余水运工程项目施工监理招标可参照执行。</w:t>
      </w:r>
    </w:p>
    <w:p w14:paraId="12A47A4F">
      <w:pPr>
        <w:tabs>
          <w:tab w:val="left" w:pos="480"/>
        </w:tabs>
        <w:spacing w:line="36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4、招标人在设定投标人资质资格要求时，应严格按照《公路水运工程监理企业资质管理规定》中企业资质等级所承接范围的规定设定企业资质，并与招标项目工程建设规模等级相适应，不得设定与项目等级不相应、过高的资质要求。</w:t>
      </w:r>
    </w:p>
    <w:p w14:paraId="49CD149D">
      <w:pPr>
        <w:widowControl/>
        <w:tabs>
          <w:tab w:val="left" w:pos="480"/>
        </w:tabs>
        <w:spacing w:line="36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5、联合体参与投标的，只需由联合体牵头单位加盖电子章即可；非联合体牵头单位的资料由各自单位盖单位公章后彩色扫描后统一由联合体牵头方上传。</w:t>
      </w:r>
    </w:p>
    <w:p w14:paraId="0E610CD1">
      <w:pPr>
        <w:widowControl/>
        <w:tabs>
          <w:tab w:val="left" w:pos="480"/>
        </w:tabs>
        <w:spacing w:line="36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6、在福建省交通运输厅最新发布的信用考核定级为AA、A级且在有效期限内的单位，资格审查阶段，当其他条件满足时，其履约信誉可免于审查，直接通过资格审查。</w:t>
      </w:r>
    </w:p>
    <w:p w14:paraId="123FCDC4">
      <w:pPr>
        <w:widowControl/>
        <w:spacing w:line="36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7、范本中以空格下划线标示的，由招标人编制招标文件或投标人编制投标文件时填入具体内容,不需要填写时应在空格处用“/”标示，以□标识的选项由招标人根据实际情况选择，并确保与有关章节内容和要求一致。其余部分应不加修改的引用。</w:t>
      </w:r>
    </w:p>
    <w:p w14:paraId="5D9810AF">
      <w:pPr>
        <w:widowControl/>
        <w:tabs>
          <w:tab w:val="left" w:pos="480"/>
        </w:tabs>
        <w:spacing w:line="36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8、水运工程施工监理招标文件的编制除应符合本范本规定外，还应符合国家现行有关法律、法规、标准的规定。</w:t>
      </w:r>
    </w:p>
    <w:p w14:paraId="576FEAEA">
      <w:pPr>
        <w:widowControl/>
        <w:tabs>
          <w:tab w:val="left" w:pos="480"/>
        </w:tabs>
        <w:spacing w:line="36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9、招标人设定最高投标限价可结合有关计价依据、工程特点、市场要素价格水平等因素，并贴近市场实际。</w:t>
      </w:r>
    </w:p>
    <w:p w14:paraId="35EAC77B">
      <w:pPr>
        <w:widowControl/>
        <w:tabs>
          <w:tab w:val="left" w:pos="480"/>
        </w:tabs>
        <w:spacing w:line="360" w:lineRule="auto"/>
        <w:ind w:firstLine="480"/>
        <w:rPr>
          <w:rFonts w:ascii="宋体" w:hAnsi="宋体"/>
          <w:color w:val="auto"/>
          <w:sz w:val="24"/>
          <w:highlight w:val="none"/>
        </w:rPr>
      </w:pPr>
      <w:r>
        <w:rPr>
          <w:rFonts w:hint="eastAsia" w:ascii="宋体" w:hAnsi="宋体"/>
          <w:color w:val="auto"/>
          <w:sz w:val="24"/>
          <w:highlight w:val="none"/>
        </w:rPr>
        <w:t>10、各单位在使用本招标文件（范本）时，有任何意见和建议，请及时反馈厦门市建设工程招投标中心，以便进一步修改和完善。参加编制主要单位和人员名单如下：</w:t>
      </w:r>
    </w:p>
    <w:p w14:paraId="6C8C7EAB">
      <w:pPr>
        <w:widowControl/>
        <w:tabs>
          <w:tab w:val="left" w:pos="480"/>
        </w:tabs>
        <w:spacing w:line="360" w:lineRule="auto"/>
        <w:ind w:firstLine="480"/>
        <w:rPr>
          <w:rFonts w:ascii="宋体" w:hAnsi="宋体"/>
          <w:color w:val="auto"/>
          <w:sz w:val="24"/>
          <w:highlight w:val="none"/>
        </w:rPr>
      </w:pPr>
      <w:r>
        <w:rPr>
          <w:rFonts w:hint="eastAsia" w:ascii="宋体" w:hAnsi="宋体"/>
          <w:color w:val="auto"/>
          <w:sz w:val="24"/>
          <w:highlight w:val="none"/>
        </w:rPr>
        <w:t>①厦门市建设工程招投标中心 白晓东、沈毅敏、何财宁、王东一、郑永生；</w:t>
      </w:r>
    </w:p>
    <w:p w14:paraId="5C4CCC25">
      <w:pPr>
        <w:widowControl/>
        <w:tabs>
          <w:tab w:val="left" w:pos="480"/>
        </w:tabs>
        <w:spacing w:line="360" w:lineRule="auto"/>
        <w:ind w:firstLine="480"/>
        <w:rPr>
          <w:rFonts w:ascii="宋体" w:hAnsi="宋体"/>
          <w:color w:val="auto"/>
          <w:sz w:val="24"/>
          <w:highlight w:val="none"/>
        </w:rPr>
      </w:pPr>
      <w:r>
        <w:rPr>
          <w:rFonts w:hint="eastAsia" w:ascii="宋体" w:hAnsi="宋体"/>
          <w:color w:val="auto"/>
          <w:sz w:val="24"/>
          <w:highlight w:val="none"/>
        </w:rPr>
        <w:t>②厦门港口开发建设有限公司 许宁。</w:t>
      </w:r>
    </w:p>
    <w:p w14:paraId="4C19A4A5">
      <w:pPr>
        <w:pStyle w:val="18"/>
        <w:rPr>
          <w:color w:val="auto"/>
          <w:highlight w:val="none"/>
        </w:rPr>
      </w:pPr>
    </w:p>
    <w:p w14:paraId="1F077E52">
      <w:pPr>
        <w:jc w:val="center"/>
        <w:rPr>
          <w:rFonts w:ascii="华文中宋" w:hAnsi="华文中宋" w:eastAsia="华文中宋" w:cs="华文中宋"/>
          <w:b/>
          <w:color w:val="auto"/>
          <w:sz w:val="52"/>
          <w:szCs w:val="52"/>
          <w:highlight w:val="none"/>
        </w:rPr>
      </w:pPr>
      <w:r>
        <w:rPr>
          <w:color w:val="auto"/>
          <w:highlight w:val="none"/>
        </w:rPr>
        <w:br w:type="page"/>
      </w:r>
    </w:p>
    <w:p w14:paraId="7621F48A">
      <w:pPr>
        <w:jc w:val="center"/>
        <w:rPr>
          <w:rFonts w:ascii="华文中宋" w:hAnsi="华文中宋" w:eastAsia="华文中宋" w:cs="华文中宋"/>
          <w:b/>
          <w:color w:val="auto"/>
          <w:sz w:val="52"/>
          <w:szCs w:val="52"/>
          <w:highlight w:val="none"/>
        </w:rPr>
      </w:pPr>
    </w:p>
    <w:p w14:paraId="7D39D24E">
      <w:pPr>
        <w:pStyle w:val="2"/>
        <w:rPr>
          <w:rFonts w:ascii="华文中宋" w:hAnsi="华文中宋" w:eastAsia="华文中宋" w:cs="华文中宋"/>
          <w:b/>
          <w:color w:val="auto"/>
          <w:sz w:val="52"/>
          <w:szCs w:val="52"/>
          <w:highlight w:val="none"/>
        </w:rPr>
      </w:pPr>
    </w:p>
    <w:p w14:paraId="404E231A">
      <w:pPr>
        <w:pStyle w:val="2"/>
        <w:rPr>
          <w:rFonts w:ascii="华文中宋" w:hAnsi="华文中宋" w:eastAsia="华文中宋" w:cs="华文中宋"/>
          <w:b/>
          <w:color w:val="auto"/>
          <w:sz w:val="52"/>
          <w:szCs w:val="52"/>
          <w:highlight w:val="none"/>
        </w:rPr>
      </w:pPr>
    </w:p>
    <w:p w14:paraId="5B1D9CC0">
      <w:pPr>
        <w:pStyle w:val="2"/>
        <w:rPr>
          <w:rFonts w:ascii="华文中宋" w:hAnsi="华文中宋" w:eastAsia="华文中宋" w:cs="华文中宋"/>
          <w:b/>
          <w:color w:val="auto"/>
          <w:sz w:val="52"/>
          <w:szCs w:val="52"/>
          <w:highlight w:val="none"/>
        </w:rPr>
      </w:pPr>
    </w:p>
    <w:p w14:paraId="20CECFFD">
      <w:pPr>
        <w:jc w:val="center"/>
        <w:rPr>
          <w:rFonts w:ascii="华文中宋" w:hAnsi="华文中宋" w:eastAsia="华文中宋" w:cs="华文中宋"/>
          <w:b/>
          <w:color w:val="auto"/>
          <w:sz w:val="52"/>
          <w:szCs w:val="52"/>
          <w:highlight w:val="none"/>
        </w:rPr>
      </w:pPr>
      <w:r>
        <w:rPr>
          <w:rFonts w:hint="eastAsia" w:ascii="华文中宋" w:hAnsi="华文中宋" w:eastAsia="华文中宋" w:cs="华文中宋"/>
          <w:b/>
          <w:color w:val="auto"/>
          <w:sz w:val="52"/>
          <w:szCs w:val="52"/>
          <w:highlight w:val="none"/>
          <w:u w:val="single"/>
        </w:rPr>
        <w:t xml:space="preserve">        （项目名称）</w:t>
      </w:r>
    </w:p>
    <w:p w14:paraId="7C3096AB">
      <w:pPr>
        <w:jc w:val="center"/>
        <w:rPr>
          <w:rFonts w:ascii="华文中宋" w:hAnsi="华文中宋" w:eastAsia="华文中宋" w:cs="华文中宋"/>
          <w:b/>
          <w:color w:val="auto"/>
          <w:sz w:val="52"/>
          <w:szCs w:val="52"/>
          <w:highlight w:val="none"/>
        </w:rPr>
      </w:pPr>
      <w:r>
        <w:rPr>
          <w:rFonts w:hint="eastAsia" w:ascii="华文中宋" w:hAnsi="华文中宋" w:eastAsia="华文中宋" w:cs="华文中宋"/>
          <w:b/>
          <w:color w:val="auto"/>
          <w:sz w:val="52"/>
          <w:szCs w:val="52"/>
          <w:highlight w:val="none"/>
        </w:rPr>
        <w:t>施工监理招标文件</w:t>
      </w:r>
    </w:p>
    <w:p w14:paraId="692BD665">
      <w:pPr>
        <w:rPr>
          <w:rFonts w:ascii="华文中宋" w:hAnsi="华文中宋" w:eastAsia="华文中宋" w:cs="华文中宋"/>
          <w:color w:val="auto"/>
          <w:highlight w:val="none"/>
        </w:rPr>
      </w:pPr>
    </w:p>
    <w:p w14:paraId="0A59EB2B">
      <w:pPr>
        <w:ind w:firstLine="2249" w:firstLineChars="700"/>
        <w:rPr>
          <w:rFonts w:ascii="华文中宋" w:hAnsi="华文中宋" w:eastAsia="华文中宋" w:cs="华文中宋"/>
          <w:b/>
          <w:color w:val="auto"/>
          <w:sz w:val="32"/>
          <w:szCs w:val="32"/>
          <w:highlight w:val="none"/>
        </w:rPr>
      </w:pPr>
    </w:p>
    <w:p w14:paraId="2A501416">
      <w:pPr>
        <w:jc w:val="center"/>
        <w:rPr>
          <w:rFonts w:ascii="华文中宋" w:hAnsi="华文中宋" w:eastAsia="华文中宋" w:cs="华文中宋"/>
          <w:b/>
          <w:color w:val="auto"/>
          <w:sz w:val="72"/>
          <w:szCs w:val="72"/>
          <w:highlight w:val="none"/>
        </w:rPr>
      </w:pPr>
    </w:p>
    <w:p w14:paraId="1F9538A0">
      <w:pPr>
        <w:jc w:val="center"/>
        <w:rPr>
          <w:rFonts w:ascii="宋体" w:hAnsi="宋体"/>
          <w:b/>
          <w:color w:val="auto"/>
          <w:sz w:val="32"/>
          <w:szCs w:val="32"/>
          <w:highlight w:val="none"/>
        </w:rPr>
      </w:pPr>
    </w:p>
    <w:p w14:paraId="2A08C96E">
      <w:pPr>
        <w:rPr>
          <w:rFonts w:ascii="宋体" w:hAnsi="宋体"/>
          <w:color w:val="auto"/>
          <w:highlight w:val="none"/>
        </w:rPr>
      </w:pPr>
    </w:p>
    <w:p w14:paraId="6FF749CA">
      <w:pPr>
        <w:spacing w:line="360" w:lineRule="auto"/>
        <w:ind w:left="3054" w:leftChars="393" w:hanging="2229" w:hangingChars="694"/>
        <w:rPr>
          <w:rFonts w:ascii="宋体" w:hAnsi="宋体"/>
          <w:b/>
          <w:color w:val="auto"/>
          <w:sz w:val="32"/>
          <w:highlight w:val="none"/>
        </w:rPr>
      </w:pPr>
    </w:p>
    <w:p w14:paraId="13D491D2">
      <w:pPr>
        <w:spacing w:line="360" w:lineRule="auto"/>
        <w:ind w:left="3054" w:leftChars="393" w:hanging="2229" w:hangingChars="694"/>
        <w:rPr>
          <w:rFonts w:ascii="宋体" w:hAnsi="宋体"/>
          <w:b/>
          <w:color w:val="auto"/>
          <w:sz w:val="32"/>
          <w:highlight w:val="none"/>
        </w:rPr>
      </w:pPr>
    </w:p>
    <w:p w14:paraId="4686A2BE">
      <w:pPr>
        <w:spacing w:line="360" w:lineRule="auto"/>
        <w:ind w:left="3054" w:leftChars="393" w:hanging="2229" w:hangingChars="694"/>
        <w:rPr>
          <w:rFonts w:ascii="宋体" w:hAnsi="宋体"/>
          <w:b/>
          <w:color w:val="auto"/>
          <w:sz w:val="32"/>
          <w:highlight w:val="none"/>
        </w:rPr>
      </w:pPr>
    </w:p>
    <w:p w14:paraId="51850004">
      <w:pPr>
        <w:spacing w:line="360" w:lineRule="auto"/>
        <w:ind w:left="3054" w:leftChars="393" w:hanging="2229" w:hangingChars="694"/>
        <w:rPr>
          <w:rFonts w:ascii="宋体" w:hAnsi="宋体"/>
          <w:b/>
          <w:color w:val="auto"/>
          <w:sz w:val="32"/>
          <w:highlight w:val="none"/>
        </w:rPr>
      </w:pPr>
    </w:p>
    <w:p w14:paraId="2185BEE0">
      <w:pPr>
        <w:adjustRightInd w:val="0"/>
        <w:spacing w:line="360" w:lineRule="auto"/>
        <w:ind w:firstLine="1260" w:firstLineChars="450"/>
        <w:jc w:val="left"/>
        <w:textAlignment w:val="baseline"/>
        <w:rPr>
          <w:rFonts w:ascii="黑体" w:hAnsi="黑体" w:eastAsia="黑体"/>
          <w:color w:val="auto"/>
          <w:sz w:val="28"/>
          <w:highlight w:val="none"/>
        </w:rPr>
      </w:pPr>
      <w:r>
        <w:rPr>
          <w:rFonts w:hint="eastAsia" w:ascii="黑体" w:hAnsi="黑体" w:eastAsia="黑体"/>
          <w:color w:val="auto"/>
          <w:sz w:val="28"/>
          <w:highlight w:val="none"/>
        </w:rPr>
        <w:t>报建编号：</w:t>
      </w:r>
      <w:r>
        <w:rPr>
          <w:rFonts w:hint="eastAsia" w:ascii="黑体" w:hAnsi="黑体" w:eastAsia="黑体"/>
          <w:color w:val="auto"/>
          <w:sz w:val="28"/>
          <w:highlight w:val="none"/>
          <w:u w:val="single"/>
        </w:rPr>
        <w:t xml:space="preserve">  </w:t>
      </w:r>
      <w:r>
        <w:rPr>
          <w:rFonts w:hint="eastAsia"/>
          <w:color w:val="auto"/>
          <w:sz w:val="28"/>
          <w:szCs w:val="28"/>
          <w:highlight w:val="none"/>
          <w:u w:val="single"/>
        </w:rPr>
        <w:t xml:space="preserve">                </w:t>
      </w:r>
      <w:r>
        <w:rPr>
          <w:rFonts w:hint="eastAsia" w:ascii="黑体" w:hAnsi="黑体" w:eastAsia="黑体"/>
          <w:color w:val="auto"/>
          <w:sz w:val="28"/>
          <w:highlight w:val="none"/>
          <w:u w:val="single"/>
        </w:rPr>
        <w:t xml:space="preserve">                             </w:t>
      </w:r>
    </w:p>
    <w:p w14:paraId="42A0E6D0">
      <w:pPr>
        <w:adjustRightInd w:val="0"/>
        <w:spacing w:line="360" w:lineRule="auto"/>
        <w:ind w:firstLine="1260" w:firstLineChars="450"/>
        <w:jc w:val="left"/>
        <w:textAlignment w:val="baseline"/>
        <w:rPr>
          <w:rFonts w:ascii="黑体" w:hAnsi="黑体" w:eastAsia="黑体"/>
          <w:color w:val="auto"/>
          <w:sz w:val="24"/>
          <w:highlight w:val="none"/>
        </w:rPr>
      </w:pPr>
      <w:r>
        <w:rPr>
          <w:rFonts w:hint="eastAsia" w:ascii="黑体" w:hAnsi="黑体" w:eastAsia="黑体"/>
          <w:color w:val="auto"/>
          <w:sz w:val="28"/>
          <w:highlight w:val="none"/>
        </w:rPr>
        <w:t>招标项目编号：</w:t>
      </w:r>
      <w:r>
        <w:rPr>
          <w:rFonts w:hint="eastAsia" w:ascii="黑体" w:hAnsi="黑体" w:eastAsia="黑体"/>
          <w:color w:val="auto"/>
          <w:sz w:val="28"/>
          <w:highlight w:val="none"/>
          <w:u w:val="single"/>
        </w:rPr>
        <w:t xml:space="preserve"> </w:t>
      </w:r>
      <w:r>
        <w:rPr>
          <w:rFonts w:hint="eastAsia" w:cs="宋体"/>
          <w:color w:val="auto"/>
          <w:sz w:val="28"/>
          <w:highlight w:val="none"/>
          <w:u w:val="single"/>
        </w:rPr>
        <w:t xml:space="preserve">                      </w:t>
      </w:r>
      <w:r>
        <w:rPr>
          <w:rFonts w:hint="eastAsia" w:ascii="黑体" w:hAnsi="黑体" w:eastAsia="黑体"/>
          <w:color w:val="auto"/>
          <w:sz w:val="28"/>
          <w:highlight w:val="none"/>
          <w:u w:val="single"/>
        </w:rPr>
        <w:t xml:space="preserve">                    </w:t>
      </w:r>
    </w:p>
    <w:p w14:paraId="15EA41CB">
      <w:pPr>
        <w:adjustRightInd w:val="0"/>
        <w:spacing w:line="360" w:lineRule="auto"/>
        <w:ind w:firstLine="1260" w:firstLineChars="450"/>
        <w:textAlignment w:val="baseline"/>
        <w:rPr>
          <w:rFonts w:ascii="黑体" w:hAnsi="黑体" w:eastAsia="黑体"/>
          <w:color w:val="auto"/>
          <w:sz w:val="28"/>
          <w:highlight w:val="none"/>
        </w:rPr>
      </w:pPr>
      <w:r>
        <w:rPr>
          <w:rFonts w:hint="eastAsia" w:ascii="黑体" w:hAnsi="黑体" w:eastAsia="黑体"/>
          <w:color w:val="auto"/>
          <w:sz w:val="28"/>
          <w:highlight w:val="none"/>
        </w:rPr>
        <w:t>招标人：</w:t>
      </w:r>
      <w:r>
        <w:rPr>
          <w:rFonts w:hint="eastAsia"/>
          <w:color w:val="auto"/>
          <w:sz w:val="24"/>
          <w:highlight w:val="none"/>
          <w:u w:val="single"/>
        </w:rPr>
        <w:t xml:space="preserve">                                      </w:t>
      </w:r>
      <w:r>
        <w:rPr>
          <w:rFonts w:hint="eastAsia" w:ascii="黑体" w:hAnsi="黑体" w:eastAsia="黑体"/>
          <w:color w:val="auto"/>
          <w:sz w:val="28"/>
          <w:highlight w:val="none"/>
          <w:u w:val="single"/>
        </w:rPr>
        <w:t>（盖单位电子公章）</w:t>
      </w:r>
    </w:p>
    <w:p w14:paraId="03597092">
      <w:pPr>
        <w:adjustRightInd w:val="0"/>
        <w:spacing w:line="360" w:lineRule="auto"/>
        <w:ind w:firstLine="1260" w:firstLineChars="450"/>
        <w:textAlignment w:val="baseline"/>
        <w:rPr>
          <w:rFonts w:ascii="黑体" w:hAnsi="黑体" w:eastAsia="黑体"/>
          <w:color w:val="auto"/>
          <w:sz w:val="28"/>
          <w:highlight w:val="none"/>
          <w:u w:val="single"/>
        </w:rPr>
      </w:pPr>
      <w:r>
        <w:rPr>
          <w:rFonts w:hint="eastAsia" w:ascii="黑体" w:hAnsi="黑体" w:eastAsia="黑体"/>
          <w:color w:val="auto"/>
          <w:sz w:val="28"/>
          <w:highlight w:val="none"/>
        </w:rPr>
        <w:t>招标代理机构：</w:t>
      </w:r>
      <w:r>
        <w:rPr>
          <w:rFonts w:hint="eastAsia"/>
          <w:color w:val="auto"/>
          <w:sz w:val="24"/>
          <w:highlight w:val="none"/>
          <w:u w:val="single"/>
        </w:rPr>
        <w:t xml:space="preserve">                               </w:t>
      </w:r>
      <w:r>
        <w:rPr>
          <w:rFonts w:hint="eastAsia" w:ascii="黑体" w:hAnsi="黑体" w:eastAsia="黑体"/>
          <w:color w:val="auto"/>
          <w:sz w:val="28"/>
          <w:highlight w:val="none"/>
          <w:u w:val="single"/>
        </w:rPr>
        <w:t>（盖单位电子公章）</w:t>
      </w:r>
    </w:p>
    <w:p w14:paraId="68186025">
      <w:pPr>
        <w:tabs>
          <w:tab w:val="left" w:pos="3804"/>
          <w:tab w:val="left" w:pos="4924"/>
          <w:tab w:val="left" w:pos="6182"/>
        </w:tabs>
        <w:autoSpaceDE w:val="0"/>
        <w:autoSpaceDN w:val="0"/>
        <w:spacing w:before="62"/>
        <w:ind w:firstLine="1274" w:firstLineChars="455"/>
        <w:jc w:val="left"/>
        <w:rPr>
          <w:rFonts w:ascii="黑体" w:hAnsi="黑体" w:eastAsia="黑体"/>
          <w:color w:val="auto"/>
          <w:sz w:val="30"/>
          <w:szCs w:val="30"/>
          <w:highlight w:val="none"/>
        </w:rPr>
      </w:pPr>
      <w:r>
        <w:rPr>
          <w:rFonts w:hint="eastAsia" w:ascii="黑体" w:hAnsi="黑体" w:eastAsia="黑体"/>
          <w:color w:val="auto"/>
          <w:sz w:val="28"/>
          <w:highlight w:val="none"/>
        </w:rPr>
        <w:t>编制日期：</w:t>
      </w:r>
      <w:r>
        <w:rPr>
          <w:rFonts w:hint="eastAsia" w:ascii="黑体" w:hAnsi="黑体" w:eastAsia="黑体"/>
          <w:color w:val="auto"/>
          <w:sz w:val="28"/>
          <w:highlight w:val="none"/>
          <w:u w:val="single"/>
        </w:rPr>
        <w:t xml:space="preserve">　    </w:t>
      </w:r>
      <w:r>
        <w:rPr>
          <w:rFonts w:hint="eastAsia" w:ascii="黑体" w:hAnsi="黑体" w:eastAsia="黑体"/>
          <w:color w:val="auto"/>
          <w:sz w:val="28"/>
          <w:highlight w:val="none"/>
        </w:rPr>
        <w:t>年</w:t>
      </w:r>
      <w:r>
        <w:rPr>
          <w:rFonts w:hint="eastAsia" w:ascii="黑体" w:hAnsi="黑体" w:eastAsia="黑体"/>
          <w:color w:val="auto"/>
          <w:sz w:val="28"/>
          <w:highlight w:val="none"/>
          <w:u w:val="single"/>
        </w:rPr>
        <w:t xml:space="preserve">   　</w:t>
      </w:r>
      <w:r>
        <w:rPr>
          <w:rFonts w:hint="eastAsia" w:ascii="黑体" w:hAnsi="黑体" w:eastAsia="黑体"/>
          <w:color w:val="auto"/>
          <w:sz w:val="28"/>
          <w:highlight w:val="none"/>
        </w:rPr>
        <w:t>月</w:t>
      </w:r>
      <w:r>
        <w:rPr>
          <w:rFonts w:hint="eastAsia" w:ascii="黑体" w:hAnsi="黑体" w:eastAsia="黑体"/>
          <w:color w:val="auto"/>
          <w:sz w:val="28"/>
          <w:highlight w:val="none"/>
          <w:u w:val="single"/>
        </w:rPr>
        <w:t xml:space="preserve">   　</w:t>
      </w:r>
      <w:r>
        <w:rPr>
          <w:rFonts w:hint="eastAsia" w:ascii="黑体" w:hAnsi="黑体" w:eastAsia="黑体"/>
          <w:color w:val="auto"/>
          <w:sz w:val="28"/>
          <w:highlight w:val="none"/>
        </w:rPr>
        <w:t>日</w:t>
      </w:r>
      <w:r>
        <w:rPr>
          <w:rFonts w:ascii="黑体" w:hAnsi="黑体" w:eastAsia="黑体"/>
          <w:color w:val="auto"/>
          <w:sz w:val="30"/>
          <w:szCs w:val="30"/>
          <w:highlight w:val="none"/>
        </w:rPr>
        <w:br w:type="page"/>
      </w:r>
    </w:p>
    <w:p w14:paraId="34653476">
      <w:pPr>
        <w:spacing w:line="360" w:lineRule="auto"/>
        <w:ind w:firstLine="600" w:firstLineChars="200"/>
        <w:jc w:val="center"/>
        <w:rPr>
          <w:rFonts w:ascii="黑体" w:hAnsi="黑体" w:eastAsia="黑体"/>
          <w:color w:val="auto"/>
          <w:sz w:val="30"/>
          <w:szCs w:val="30"/>
          <w:highlight w:val="none"/>
        </w:rPr>
      </w:pPr>
      <w:r>
        <w:rPr>
          <w:rFonts w:hint="eastAsia" w:ascii="黑体" w:hAnsi="黑体" w:eastAsia="黑体"/>
          <w:color w:val="auto"/>
          <w:sz w:val="30"/>
          <w:szCs w:val="30"/>
          <w:highlight w:val="none"/>
        </w:rPr>
        <w:t>目  录</w:t>
      </w:r>
    </w:p>
    <w:p w14:paraId="5D0D7B2A">
      <w:pPr>
        <w:pStyle w:val="35"/>
        <w:tabs>
          <w:tab w:val="right" w:leader="dot" w:pos="9288"/>
        </w:tabs>
        <w:rPr>
          <w:i w:val="0"/>
          <w:iCs w:val="0"/>
          <w:color w:val="auto"/>
          <w:sz w:val="21"/>
          <w:szCs w:val="21"/>
          <w:highlight w:val="none"/>
        </w:rPr>
      </w:pPr>
      <w:r>
        <w:rPr>
          <w:rFonts w:hint="eastAsia" w:ascii="宋体" w:hAnsi="宋体" w:cs="仿宋"/>
          <w:bCs/>
          <w:i w:val="0"/>
          <w:color w:val="auto"/>
          <w:sz w:val="21"/>
          <w:szCs w:val="21"/>
          <w:highlight w:val="none"/>
        </w:rPr>
        <w:fldChar w:fldCharType="begin"/>
      </w:r>
      <w:r>
        <w:rPr>
          <w:rFonts w:hint="eastAsia" w:ascii="宋体" w:hAnsi="宋体" w:cs="仿宋"/>
          <w:i w:val="0"/>
          <w:color w:val="auto"/>
          <w:sz w:val="21"/>
          <w:szCs w:val="21"/>
          <w:highlight w:val="none"/>
        </w:rPr>
        <w:instrText xml:space="preserve"> TOC \o "1-3" \h \z \u </w:instrText>
      </w:r>
      <w:r>
        <w:rPr>
          <w:rFonts w:hint="eastAsia" w:ascii="宋体" w:hAnsi="宋体" w:cs="仿宋"/>
          <w:bCs/>
          <w:i w:val="0"/>
          <w:color w:val="auto"/>
          <w:sz w:val="21"/>
          <w:szCs w:val="21"/>
          <w:highlight w:val="none"/>
        </w:rPr>
        <w:fldChar w:fldCharType="separate"/>
      </w:r>
      <w:r>
        <w:rPr>
          <w:color w:val="auto"/>
          <w:highlight w:val="none"/>
        </w:rPr>
        <w:fldChar w:fldCharType="begin"/>
      </w:r>
      <w:r>
        <w:rPr>
          <w:color w:val="auto"/>
          <w:highlight w:val="none"/>
        </w:rPr>
        <w:instrText xml:space="preserve"> HYPERLINK \l "_Toc488650761" </w:instrText>
      </w:r>
      <w:r>
        <w:rPr>
          <w:color w:val="auto"/>
          <w:highlight w:val="none"/>
        </w:rPr>
        <w:fldChar w:fldCharType="separate"/>
      </w:r>
      <w:r>
        <w:rPr>
          <w:rStyle w:val="51"/>
          <w:rFonts w:hint="eastAsia"/>
          <w:i w:val="0"/>
          <w:color w:val="auto"/>
          <w:sz w:val="21"/>
          <w:szCs w:val="21"/>
          <w:highlight w:val="none"/>
        </w:rPr>
        <w:t>第一章</w:t>
      </w:r>
      <w:r>
        <w:rPr>
          <w:rStyle w:val="51"/>
          <w:i w:val="0"/>
          <w:color w:val="auto"/>
          <w:sz w:val="21"/>
          <w:szCs w:val="21"/>
          <w:highlight w:val="none"/>
        </w:rPr>
        <w:t xml:space="preserve">  </w:t>
      </w:r>
      <w:r>
        <w:rPr>
          <w:rStyle w:val="51"/>
          <w:rFonts w:hint="eastAsia"/>
          <w:i w:val="0"/>
          <w:color w:val="auto"/>
          <w:sz w:val="21"/>
          <w:szCs w:val="21"/>
          <w:highlight w:val="none"/>
        </w:rPr>
        <w:t>招标公告</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_Toc488650761 \h </w:instrText>
      </w:r>
      <w:r>
        <w:rPr>
          <w:i w:val="0"/>
          <w:color w:val="auto"/>
          <w:sz w:val="21"/>
          <w:szCs w:val="21"/>
          <w:highlight w:val="none"/>
        </w:rPr>
        <w:fldChar w:fldCharType="separate"/>
      </w:r>
      <w:r>
        <w:rPr>
          <w:i w:val="0"/>
          <w:color w:val="auto"/>
          <w:sz w:val="21"/>
          <w:szCs w:val="21"/>
          <w:highlight w:val="none"/>
        </w:rPr>
        <w:t>5</w:t>
      </w:r>
      <w:r>
        <w:rPr>
          <w:i w:val="0"/>
          <w:color w:val="auto"/>
          <w:sz w:val="21"/>
          <w:szCs w:val="21"/>
          <w:highlight w:val="none"/>
        </w:rPr>
        <w:fldChar w:fldCharType="end"/>
      </w:r>
      <w:r>
        <w:rPr>
          <w:i w:val="0"/>
          <w:color w:val="auto"/>
          <w:sz w:val="21"/>
          <w:szCs w:val="21"/>
          <w:highlight w:val="none"/>
        </w:rPr>
        <w:fldChar w:fldCharType="end"/>
      </w:r>
    </w:p>
    <w:p w14:paraId="27C23D0F">
      <w:pPr>
        <w:pStyle w:val="35"/>
        <w:tabs>
          <w:tab w:val="right" w:leader="dot" w:pos="9288"/>
        </w:tabs>
        <w:rPr>
          <w:i w:val="0"/>
          <w:iCs w:val="0"/>
          <w:color w:val="auto"/>
          <w:sz w:val="21"/>
          <w:szCs w:val="21"/>
          <w:highlight w:val="none"/>
        </w:rPr>
      </w:pPr>
      <w:r>
        <w:rPr>
          <w:color w:val="auto"/>
          <w:highlight w:val="none"/>
        </w:rPr>
        <w:fldChar w:fldCharType="begin"/>
      </w:r>
      <w:r>
        <w:rPr>
          <w:color w:val="auto"/>
          <w:highlight w:val="none"/>
        </w:rPr>
        <w:instrText xml:space="preserve"> HYPERLINK \l "_Toc488650769" </w:instrText>
      </w:r>
      <w:r>
        <w:rPr>
          <w:color w:val="auto"/>
          <w:highlight w:val="none"/>
        </w:rPr>
        <w:fldChar w:fldCharType="separate"/>
      </w:r>
      <w:r>
        <w:rPr>
          <w:rStyle w:val="51"/>
          <w:rFonts w:hint="eastAsia"/>
          <w:i w:val="0"/>
          <w:color w:val="auto"/>
          <w:sz w:val="21"/>
          <w:szCs w:val="21"/>
          <w:highlight w:val="none"/>
        </w:rPr>
        <w:t>第二章</w:t>
      </w:r>
      <w:r>
        <w:rPr>
          <w:rStyle w:val="51"/>
          <w:i w:val="0"/>
          <w:color w:val="auto"/>
          <w:sz w:val="21"/>
          <w:szCs w:val="21"/>
          <w:highlight w:val="none"/>
        </w:rPr>
        <w:t xml:space="preserve">  </w:t>
      </w:r>
      <w:r>
        <w:rPr>
          <w:rStyle w:val="51"/>
          <w:rFonts w:hint="eastAsia"/>
          <w:i w:val="0"/>
          <w:color w:val="auto"/>
          <w:sz w:val="21"/>
          <w:szCs w:val="21"/>
          <w:highlight w:val="none"/>
        </w:rPr>
        <w:t>投标人须知</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_Toc488650769 \h </w:instrText>
      </w:r>
      <w:r>
        <w:rPr>
          <w:i w:val="0"/>
          <w:color w:val="auto"/>
          <w:sz w:val="21"/>
          <w:szCs w:val="21"/>
          <w:highlight w:val="none"/>
        </w:rPr>
        <w:fldChar w:fldCharType="separate"/>
      </w:r>
      <w:r>
        <w:rPr>
          <w:i w:val="0"/>
          <w:color w:val="auto"/>
          <w:sz w:val="21"/>
          <w:szCs w:val="21"/>
          <w:highlight w:val="none"/>
        </w:rPr>
        <w:t>8</w:t>
      </w:r>
      <w:r>
        <w:rPr>
          <w:i w:val="0"/>
          <w:color w:val="auto"/>
          <w:sz w:val="21"/>
          <w:szCs w:val="21"/>
          <w:highlight w:val="none"/>
        </w:rPr>
        <w:fldChar w:fldCharType="end"/>
      </w:r>
      <w:r>
        <w:rPr>
          <w:i w:val="0"/>
          <w:color w:val="auto"/>
          <w:sz w:val="21"/>
          <w:szCs w:val="21"/>
          <w:highlight w:val="none"/>
        </w:rPr>
        <w:fldChar w:fldCharType="end"/>
      </w:r>
    </w:p>
    <w:p w14:paraId="16B92618">
      <w:pPr>
        <w:pStyle w:val="35"/>
        <w:tabs>
          <w:tab w:val="right" w:leader="dot" w:pos="9288"/>
        </w:tabs>
        <w:rPr>
          <w:i w:val="0"/>
          <w:iCs w:val="0"/>
          <w:color w:val="auto"/>
          <w:sz w:val="21"/>
          <w:szCs w:val="21"/>
          <w:highlight w:val="none"/>
        </w:rPr>
      </w:pPr>
      <w:r>
        <w:rPr>
          <w:color w:val="auto"/>
          <w:highlight w:val="none"/>
        </w:rPr>
        <w:fldChar w:fldCharType="begin"/>
      </w:r>
      <w:r>
        <w:rPr>
          <w:color w:val="auto"/>
          <w:highlight w:val="none"/>
        </w:rPr>
        <w:instrText xml:space="preserve"> HYPERLINK \l "_Toc488650779" </w:instrText>
      </w:r>
      <w:r>
        <w:rPr>
          <w:color w:val="auto"/>
          <w:highlight w:val="none"/>
        </w:rPr>
        <w:fldChar w:fldCharType="separate"/>
      </w:r>
      <w:r>
        <w:rPr>
          <w:rStyle w:val="51"/>
          <w:rFonts w:hint="eastAsia"/>
          <w:i w:val="0"/>
          <w:color w:val="auto"/>
          <w:sz w:val="21"/>
          <w:szCs w:val="21"/>
          <w:highlight w:val="none"/>
        </w:rPr>
        <w:t>投标人须知</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_Toc488650779 \h </w:instrText>
      </w:r>
      <w:r>
        <w:rPr>
          <w:i w:val="0"/>
          <w:color w:val="auto"/>
          <w:sz w:val="21"/>
          <w:szCs w:val="21"/>
          <w:highlight w:val="none"/>
        </w:rPr>
        <w:fldChar w:fldCharType="separate"/>
      </w:r>
      <w:r>
        <w:rPr>
          <w:i w:val="0"/>
          <w:color w:val="auto"/>
          <w:sz w:val="21"/>
          <w:szCs w:val="21"/>
          <w:highlight w:val="none"/>
        </w:rPr>
        <w:t>20</w:t>
      </w:r>
      <w:r>
        <w:rPr>
          <w:i w:val="0"/>
          <w:color w:val="auto"/>
          <w:sz w:val="21"/>
          <w:szCs w:val="21"/>
          <w:highlight w:val="none"/>
        </w:rPr>
        <w:fldChar w:fldCharType="end"/>
      </w:r>
      <w:r>
        <w:rPr>
          <w:i w:val="0"/>
          <w:color w:val="auto"/>
          <w:sz w:val="21"/>
          <w:szCs w:val="21"/>
          <w:highlight w:val="none"/>
        </w:rPr>
        <w:fldChar w:fldCharType="end"/>
      </w:r>
    </w:p>
    <w:p w14:paraId="0BD90A8E">
      <w:pPr>
        <w:pStyle w:val="35"/>
        <w:tabs>
          <w:tab w:val="right" w:leader="dot" w:pos="9288"/>
        </w:tabs>
        <w:rPr>
          <w:i w:val="0"/>
          <w:color w:val="auto"/>
          <w:sz w:val="21"/>
          <w:szCs w:val="21"/>
          <w:highlight w:val="none"/>
        </w:rPr>
      </w:pPr>
      <w:r>
        <w:rPr>
          <w:color w:val="auto"/>
          <w:highlight w:val="none"/>
        </w:rPr>
        <w:fldChar w:fldCharType="begin"/>
      </w:r>
      <w:r>
        <w:rPr>
          <w:color w:val="auto"/>
          <w:highlight w:val="none"/>
        </w:rPr>
        <w:instrText xml:space="preserve"> HYPERLINK \l "_Toc488650829" </w:instrText>
      </w:r>
      <w:r>
        <w:rPr>
          <w:color w:val="auto"/>
          <w:highlight w:val="none"/>
        </w:rPr>
        <w:fldChar w:fldCharType="separate"/>
      </w:r>
      <w:r>
        <w:rPr>
          <w:rStyle w:val="51"/>
          <w:rFonts w:hint="eastAsia"/>
          <w:i w:val="0"/>
          <w:color w:val="auto"/>
          <w:sz w:val="21"/>
          <w:szCs w:val="21"/>
          <w:highlight w:val="none"/>
        </w:rPr>
        <w:t>第三章</w:t>
      </w:r>
      <w:r>
        <w:rPr>
          <w:rStyle w:val="51"/>
          <w:i w:val="0"/>
          <w:color w:val="auto"/>
          <w:sz w:val="21"/>
          <w:szCs w:val="21"/>
          <w:highlight w:val="none"/>
        </w:rPr>
        <w:t xml:space="preserve"> </w:t>
      </w:r>
      <w:r>
        <w:rPr>
          <w:rStyle w:val="51"/>
          <w:rFonts w:hint="eastAsia"/>
          <w:i w:val="0"/>
          <w:color w:val="auto"/>
          <w:sz w:val="21"/>
          <w:szCs w:val="21"/>
          <w:highlight w:val="none"/>
        </w:rPr>
        <w:t>评标办法</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_Toc488650829 \h </w:instrText>
      </w:r>
      <w:r>
        <w:rPr>
          <w:i w:val="0"/>
          <w:color w:val="auto"/>
          <w:sz w:val="21"/>
          <w:szCs w:val="21"/>
          <w:highlight w:val="none"/>
        </w:rPr>
        <w:fldChar w:fldCharType="separate"/>
      </w:r>
      <w:r>
        <w:rPr>
          <w:i w:val="0"/>
          <w:color w:val="auto"/>
          <w:sz w:val="21"/>
          <w:szCs w:val="21"/>
          <w:highlight w:val="none"/>
        </w:rPr>
        <w:t>43</w:t>
      </w:r>
      <w:r>
        <w:rPr>
          <w:i w:val="0"/>
          <w:color w:val="auto"/>
          <w:sz w:val="21"/>
          <w:szCs w:val="21"/>
          <w:highlight w:val="none"/>
        </w:rPr>
        <w:fldChar w:fldCharType="end"/>
      </w:r>
      <w:r>
        <w:rPr>
          <w:i w:val="0"/>
          <w:color w:val="auto"/>
          <w:sz w:val="21"/>
          <w:szCs w:val="21"/>
          <w:highlight w:val="none"/>
        </w:rPr>
        <w:fldChar w:fldCharType="end"/>
      </w:r>
    </w:p>
    <w:p w14:paraId="600A592A">
      <w:pPr>
        <w:pStyle w:val="35"/>
        <w:tabs>
          <w:tab w:val="right" w:leader="dot" w:pos="9288"/>
        </w:tabs>
        <w:rPr>
          <w:i w:val="0"/>
          <w:color w:val="auto"/>
          <w:sz w:val="21"/>
          <w:szCs w:val="21"/>
          <w:highlight w:val="none"/>
        </w:rPr>
      </w:pPr>
      <w:r>
        <w:rPr>
          <w:color w:val="auto"/>
          <w:highlight w:val="none"/>
        </w:rPr>
        <w:fldChar w:fldCharType="begin"/>
      </w:r>
      <w:r>
        <w:rPr>
          <w:color w:val="auto"/>
          <w:highlight w:val="none"/>
        </w:rPr>
        <w:instrText xml:space="preserve"> HYPERLINK \l "_Toc488650829" </w:instrText>
      </w:r>
      <w:r>
        <w:rPr>
          <w:color w:val="auto"/>
          <w:highlight w:val="none"/>
        </w:rPr>
        <w:fldChar w:fldCharType="separate"/>
      </w:r>
      <w:r>
        <w:rPr>
          <w:rStyle w:val="51"/>
          <w:rFonts w:hint="eastAsia"/>
          <w:i w:val="0"/>
          <w:color w:val="auto"/>
          <w:sz w:val="21"/>
          <w:szCs w:val="21"/>
          <w:highlight w:val="none"/>
        </w:rPr>
        <w:t>第四章</w:t>
      </w:r>
      <w:r>
        <w:rPr>
          <w:rStyle w:val="51"/>
          <w:i w:val="0"/>
          <w:color w:val="auto"/>
          <w:sz w:val="21"/>
          <w:szCs w:val="21"/>
          <w:highlight w:val="none"/>
        </w:rPr>
        <w:t xml:space="preserve"> </w:t>
      </w:r>
      <w:r>
        <w:rPr>
          <w:rStyle w:val="51"/>
          <w:rFonts w:hint="eastAsia"/>
          <w:i w:val="0"/>
          <w:color w:val="auto"/>
          <w:sz w:val="21"/>
          <w:szCs w:val="21"/>
          <w:highlight w:val="none"/>
        </w:rPr>
        <w:t>定标方案</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_Toc488650829 \h </w:instrText>
      </w:r>
      <w:r>
        <w:rPr>
          <w:i w:val="0"/>
          <w:color w:val="auto"/>
          <w:sz w:val="21"/>
          <w:szCs w:val="21"/>
          <w:highlight w:val="none"/>
        </w:rPr>
        <w:fldChar w:fldCharType="separate"/>
      </w:r>
      <w:r>
        <w:rPr>
          <w:i w:val="0"/>
          <w:color w:val="auto"/>
          <w:sz w:val="21"/>
          <w:szCs w:val="21"/>
          <w:highlight w:val="none"/>
        </w:rPr>
        <w:t>43</w:t>
      </w:r>
      <w:r>
        <w:rPr>
          <w:i w:val="0"/>
          <w:color w:val="auto"/>
          <w:sz w:val="21"/>
          <w:szCs w:val="21"/>
          <w:highlight w:val="none"/>
        </w:rPr>
        <w:fldChar w:fldCharType="end"/>
      </w:r>
      <w:r>
        <w:rPr>
          <w:i w:val="0"/>
          <w:color w:val="auto"/>
          <w:sz w:val="21"/>
          <w:szCs w:val="21"/>
          <w:highlight w:val="none"/>
        </w:rPr>
        <w:fldChar w:fldCharType="end"/>
      </w:r>
    </w:p>
    <w:p w14:paraId="4C586DAB">
      <w:pPr>
        <w:pStyle w:val="35"/>
        <w:tabs>
          <w:tab w:val="right" w:leader="dot" w:pos="9288"/>
        </w:tabs>
        <w:rPr>
          <w:i w:val="0"/>
          <w:iCs w:val="0"/>
          <w:color w:val="auto"/>
          <w:sz w:val="21"/>
          <w:szCs w:val="21"/>
          <w:highlight w:val="none"/>
        </w:rPr>
      </w:pPr>
      <w:r>
        <w:rPr>
          <w:color w:val="auto"/>
          <w:highlight w:val="none"/>
        </w:rPr>
        <w:fldChar w:fldCharType="begin"/>
      </w:r>
      <w:r>
        <w:rPr>
          <w:color w:val="auto"/>
          <w:highlight w:val="none"/>
        </w:rPr>
        <w:instrText xml:space="preserve"> HYPERLINK \l "_Toc488650840" </w:instrText>
      </w:r>
      <w:r>
        <w:rPr>
          <w:color w:val="auto"/>
          <w:highlight w:val="none"/>
        </w:rPr>
        <w:fldChar w:fldCharType="separate"/>
      </w:r>
      <w:r>
        <w:rPr>
          <w:rStyle w:val="51"/>
          <w:rFonts w:hint="eastAsia"/>
          <w:i w:val="0"/>
          <w:color w:val="auto"/>
          <w:sz w:val="21"/>
          <w:szCs w:val="21"/>
          <w:highlight w:val="none"/>
        </w:rPr>
        <w:t>第五章</w:t>
      </w:r>
      <w:r>
        <w:rPr>
          <w:rStyle w:val="51"/>
          <w:i w:val="0"/>
          <w:color w:val="auto"/>
          <w:sz w:val="21"/>
          <w:szCs w:val="21"/>
          <w:highlight w:val="none"/>
        </w:rPr>
        <w:t xml:space="preserve">  </w:t>
      </w:r>
      <w:r>
        <w:rPr>
          <w:rStyle w:val="51"/>
          <w:rFonts w:hint="eastAsia"/>
          <w:i w:val="0"/>
          <w:color w:val="auto"/>
          <w:sz w:val="21"/>
          <w:szCs w:val="21"/>
          <w:highlight w:val="none"/>
        </w:rPr>
        <w:t>监理合同条款及格式</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_Toc488650840 \h </w:instrText>
      </w:r>
      <w:r>
        <w:rPr>
          <w:i w:val="0"/>
          <w:color w:val="auto"/>
          <w:sz w:val="21"/>
          <w:szCs w:val="21"/>
          <w:highlight w:val="none"/>
        </w:rPr>
        <w:fldChar w:fldCharType="separate"/>
      </w:r>
      <w:r>
        <w:rPr>
          <w:i w:val="0"/>
          <w:color w:val="auto"/>
          <w:sz w:val="21"/>
          <w:szCs w:val="21"/>
          <w:highlight w:val="none"/>
        </w:rPr>
        <w:t>51</w:t>
      </w:r>
      <w:r>
        <w:rPr>
          <w:i w:val="0"/>
          <w:color w:val="auto"/>
          <w:sz w:val="21"/>
          <w:szCs w:val="21"/>
          <w:highlight w:val="none"/>
        </w:rPr>
        <w:fldChar w:fldCharType="end"/>
      </w:r>
      <w:r>
        <w:rPr>
          <w:i w:val="0"/>
          <w:color w:val="auto"/>
          <w:sz w:val="21"/>
          <w:szCs w:val="21"/>
          <w:highlight w:val="none"/>
        </w:rPr>
        <w:fldChar w:fldCharType="end"/>
      </w:r>
    </w:p>
    <w:p w14:paraId="1567C21C">
      <w:pPr>
        <w:pStyle w:val="35"/>
        <w:tabs>
          <w:tab w:val="right" w:leader="dot" w:pos="9288"/>
        </w:tabs>
        <w:rPr>
          <w:i w:val="0"/>
          <w:iCs w:val="0"/>
          <w:color w:val="auto"/>
          <w:sz w:val="21"/>
          <w:szCs w:val="21"/>
          <w:highlight w:val="none"/>
        </w:rPr>
      </w:pPr>
      <w:r>
        <w:rPr>
          <w:color w:val="auto"/>
          <w:highlight w:val="none"/>
        </w:rPr>
        <w:fldChar w:fldCharType="begin"/>
      </w:r>
      <w:r>
        <w:rPr>
          <w:color w:val="auto"/>
          <w:highlight w:val="none"/>
        </w:rPr>
        <w:instrText xml:space="preserve"> HYPERLINK \l "_Toc488650937" </w:instrText>
      </w:r>
      <w:r>
        <w:rPr>
          <w:color w:val="auto"/>
          <w:highlight w:val="none"/>
        </w:rPr>
        <w:fldChar w:fldCharType="separate"/>
      </w:r>
      <w:r>
        <w:rPr>
          <w:rStyle w:val="51"/>
          <w:rFonts w:hint="eastAsia"/>
          <w:i w:val="0"/>
          <w:color w:val="auto"/>
          <w:sz w:val="21"/>
          <w:szCs w:val="21"/>
          <w:highlight w:val="none"/>
        </w:rPr>
        <w:t>第六章</w:t>
      </w:r>
      <w:r>
        <w:rPr>
          <w:rStyle w:val="51"/>
          <w:i w:val="0"/>
          <w:color w:val="auto"/>
          <w:sz w:val="21"/>
          <w:szCs w:val="21"/>
          <w:highlight w:val="none"/>
        </w:rPr>
        <w:t xml:space="preserve">  </w:t>
      </w:r>
      <w:r>
        <w:rPr>
          <w:rStyle w:val="51"/>
          <w:rFonts w:hint="eastAsia"/>
          <w:i w:val="0"/>
          <w:color w:val="auto"/>
          <w:sz w:val="21"/>
          <w:szCs w:val="21"/>
          <w:highlight w:val="none"/>
        </w:rPr>
        <w:t>监理服务费报价</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_Toc488650937 \h </w:instrText>
      </w:r>
      <w:r>
        <w:rPr>
          <w:i w:val="0"/>
          <w:color w:val="auto"/>
          <w:sz w:val="21"/>
          <w:szCs w:val="21"/>
          <w:highlight w:val="none"/>
        </w:rPr>
        <w:fldChar w:fldCharType="separate"/>
      </w:r>
      <w:r>
        <w:rPr>
          <w:i w:val="0"/>
          <w:color w:val="auto"/>
          <w:sz w:val="21"/>
          <w:szCs w:val="21"/>
          <w:highlight w:val="none"/>
        </w:rPr>
        <w:t>87</w:t>
      </w:r>
      <w:r>
        <w:rPr>
          <w:i w:val="0"/>
          <w:color w:val="auto"/>
          <w:sz w:val="21"/>
          <w:szCs w:val="21"/>
          <w:highlight w:val="none"/>
        </w:rPr>
        <w:fldChar w:fldCharType="end"/>
      </w:r>
      <w:r>
        <w:rPr>
          <w:i w:val="0"/>
          <w:color w:val="auto"/>
          <w:sz w:val="21"/>
          <w:szCs w:val="21"/>
          <w:highlight w:val="none"/>
        </w:rPr>
        <w:fldChar w:fldCharType="end"/>
      </w:r>
    </w:p>
    <w:p w14:paraId="481258F1">
      <w:pPr>
        <w:pStyle w:val="35"/>
        <w:tabs>
          <w:tab w:val="right" w:leader="dot" w:pos="9288"/>
        </w:tabs>
        <w:rPr>
          <w:i w:val="0"/>
          <w:iCs w:val="0"/>
          <w:color w:val="auto"/>
          <w:sz w:val="21"/>
          <w:szCs w:val="21"/>
          <w:highlight w:val="none"/>
        </w:rPr>
      </w:pPr>
      <w:r>
        <w:rPr>
          <w:color w:val="auto"/>
          <w:highlight w:val="none"/>
        </w:rPr>
        <w:fldChar w:fldCharType="begin"/>
      </w:r>
      <w:r>
        <w:rPr>
          <w:color w:val="auto"/>
          <w:highlight w:val="none"/>
        </w:rPr>
        <w:instrText xml:space="preserve"> HYPERLINK \l "_Toc488651004" </w:instrText>
      </w:r>
      <w:r>
        <w:rPr>
          <w:color w:val="auto"/>
          <w:highlight w:val="none"/>
        </w:rPr>
        <w:fldChar w:fldCharType="separate"/>
      </w:r>
      <w:r>
        <w:rPr>
          <w:rStyle w:val="51"/>
          <w:rFonts w:hint="eastAsia"/>
          <w:i w:val="0"/>
          <w:color w:val="auto"/>
          <w:sz w:val="21"/>
          <w:szCs w:val="21"/>
          <w:highlight w:val="none"/>
        </w:rPr>
        <w:t>第七章</w:t>
      </w:r>
      <w:r>
        <w:rPr>
          <w:rStyle w:val="51"/>
          <w:i w:val="0"/>
          <w:color w:val="auto"/>
          <w:sz w:val="21"/>
          <w:szCs w:val="21"/>
          <w:highlight w:val="none"/>
        </w:rPr>
        <w:t xml:space="preserve">  </w:t>
      </w:r>
      <w:r>
        <w:rPr>
          <w:rStyle w:val="51"/>
          <w:rFonts w:hint="eastAsia"/>
          <w:i w:val="0"/>
          <w:color w:val="auto"/>
          <w:sz w:val="21"/>
          <w:szCs w:val="21"/>
          <w:highlight w:val="none"/>
        </w:rPr>
        <w:t>图纸和资料</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_Toc488651004 \h </w:instrText>
      </w:r>
      <w:r>
        <w:rPr>
          <w:i w:val="0"/>
          <w:color w:val="auto"/>
          <w:sz w:val="21"/>
          <w:szCs w:val="21"/>
          <w:highlight w:val="none"/>
        </w:rPr>
        <w:fldChar w:fldCharType="separate"/>
      </w:r>
      <w:r>
        <w:rPr>
          <w:i w:val="0"/>
          <w:color w:val="auto"/>
          <w:sz w:val="21"/>
          <w:szCs w:val="21"/>
          <w:highlight w:val="none"/>
        </w:rPr>
        <w:t>89</w:t>
      </w:r>
      <w:r>
        <w:rPr>
          <w:i w:val="0"/>
          <w:color w:val="auto"/>
          <w:sz w:val="21"/>
          <w:szCs w:val="21"/>
          <w:highlight w:val="none"/>
        </w:rPr>
        <w:fldChar w:fldCharType="end"/>
      </w:r>
      <w:r>
        <w:rPr>
          <w:i w:val="0"/>
          <w:color w:val="auto"/>
          <w:sz w:val="21"/>
          <w:szCs w:val="21"/>
          <w:highlight w:val="none"/>
        </w:rPr>
        <w:fldChar w:fldCharType="end"/>
      </w:r>
    </w:p>
    <w:p w14:paraId="5EE857E2">
      <w:pPr>
        <w:pStyle w:val="35"/>
        <w:tabs>
          <w:tab w:val="right" w:leader="dot" w:pos="9288"/>
        </w:tabs>
        <w:rPr>
          <w:i w:val="0"/>
          <w:iCs w:val="0"/>
          <w:color w:val="auto"/>
          <w:sz w:val="21"/>
          <w:szCs w:val="21"/>
          <w:highlight w:val="none"/>
        </w:rPr>
      </w:pPr>
      <w:r>
        <w:rPr>
          <w:color w:val="auto"/>
          <w:highlight w:val="none"/>
        </w:rPr>
        <w:fldChar w:fldCharType="begin"/>
      </w:r>
      <w:r>
        <w:rPr>
          <w:color w:val="auto"/>
          <w:highlight w:val="none"/>
        </w:rPr>
        <w:instrText xml:space="preserve"> HYPERLINK \l "_Toc488651006" </w:instrText>
      </w:r>
      <w:r>
        <w:rPr>
          <w:color w:val="auto"/>
          <w:highlight w:val="none"/>
        </w:rPr>
        <w:fldChar w:fldCharType="separate"/>
      </w:r>
      <w:r>
        <w:rPr>
          <w:rStyle w:val="51"/>
          <w:rFonts w:hint="eastAsia"/>
          <w:i w:val="0"/>
          <w:color w:val="auto"/>
          <w:sz w:val="21"/>
          <w:szCs w:val="21"/>
          <w:highlight w:val="none"/>
        </w:rPr>
        <w:t>第八章</w:t>
      </w:r>
      <w:r>
        <w:rPr>
          <w:rStyle w:val="51"/>
          <w:i w:val="0"/>
          <w:color w:val="auto"/>
          <w:sz w:val="21"/>
          <w:szCs w:val="21"/>
          <w:highlight w:val="none"/>
        </w:rPr>
        <w:t xml:space="preserve">  </w:t>
      </w:r>
      <w:r>
        <w:rPr>
          <w:rStyle w:val="51"/>
          <w:rFonts w:hint="eastAsia"/>
          <w:i w:val="0"/>
          <w:color w:val="auto"/>
          <w:sz w:val="21"/>
          <w:szCs w:val="21"/>
          <w:highlight w:val="none"/>
        </w:rPr>
        <w:t>技术标准</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_Toc488651006 \h </w:instrText>
      </w:r>
      <w:r>
        <w:rPr>
          <w:i w:val="0"/>
          <w:color w:val="auto"/>
          <w:sz w:val="21"/>
          <w:szCs w:val="21"/>
          <w:highlight w:val="none"/>
        </w:rPr>
        <w:fldChar w:fldCharType="separate"/>
      </w:r>
      <w:r>
        <w:rPr>
          <w:i w:val="0"/>
          <w:color w:val="auto"/>
          <w:sz w:val="21"/>
          <w:szCs w:val="21"/>
          <w:highlight w:val="none"/>
        </w:rPr>
        <w:t>89</w:t>
      </w:r>
      <w:r>
        <w:rPr>
          <w:i w:val="0"/>
          <w:color w:val="auto"/>
          <w:sz w:val="21"/>
          <w:szCs w:val="21"/>
          <w:highlight w:val="none"/>
        </w:rPr>
        <w:fldChar w:fldCharType="end"/>
      </w:r>
      <w:r>
        <w:rPr>
          <w:i w:val="0"/>
          <w:color w:val="auto"/>
          <w:sz w:val="21"/>
          <w:szCs w:val="21"/>
          <w:highlight w:val="none"/>
        </w:rPr>
        <w:fldChar w:fldCharType="end"/>
      </w:r>
    </w:p>
    <w:p w14:paraId="1FA50C92">
      <w:pPr>
        <w:pStyle w:val="35"/>
        <w:tabs>
          <w:tab w:val="right" w:leader="dot" w:pos="9288"/>
        </w:tabs>
        <w:rPr>
          <w:i w:val="0"/>
          <w:iCs w:val="0"/>
          <w:color w:val="auto"/>
          <w:sz w:val="21"/>
          <w:szCs w:val="21"/>
          <w:highlight w:val="none"/>
        </w:rPr>
      </w:pPr>
      <w:r>
        <w:rPr>
          <w:color w:val="auto"/>
          <w:highlight w:val="none"/>
        </w:rPr>
        <w:fldChar w:fldCharType="begin"/>
      </w:r>
      <w:r>
        <w:rPr>
          <w:color w:val="auto"/>
          <w:highlight w:val="none"/>
        </w:rPr>
        <w:instrText xml:space="preserve"> HYPERLINK \l "_Toc488651012" </w:instrText>
      </w:r>
      <w:r>
        <w:rPr>
          <w:color w:val="auto"/>
          <w:highlight w:val="none"/>
        </w:rPr>
        <w:fldChar w:fldCharType="separate"/>
      </w:r>
      <w:r>
        <w:rPr>
          <w:rStyle w:val="51"/>
          <w:rFonts w:hint="eastAsia"/>
          <w:i w:val="0"/>
          <w:color w:val="auto"/>
          <w:sz w:val="21"/>
          <w:szCs w:val="21"/>
          <w:highlight w:val="none"/>
        </w:rPr>
        <w:t>第九章</w:t>
      </w:r>
      <w:r>
        <w:rPr>
          <w:rStyle w:val="51"/>
          <w:i w:val="0"/>
          <w:color w:val="auto"/>
          <w:sz w:val="21"/>
          <w:szCs w:val="21"/>
          <w:highlight w:val="none"/>
        </w:rPr>
        <w:t xml:space="preserve">  </w:t>
      </w:r>
      <w:r>
        <w:rPr>
          <w:rStyle w:val="51"/>
          <w:rFonts w:hint="eastAsia"/>
          <w:i w:val="0"/>
          <w:color w:val="auto"/>
          <w:sz w:val="21"/>
          <w:szCs w:val="21"/>
          <w:highlight w:val="none"/>
        </w:rPr>
        <w:t>投标文件格式</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_Toc488651012 \h </w:instrText>
      </w:r>
      <w:r>
        <w:rPr>
          <w:i w:val="0"/>
          <w:color w:val="auto"/>
          <w:sz w:val="21"/>
          <w:szCs w:val="21"/>
          <w:highlight w:val="none"/>
        </w:rPr>
        <w:fldChar w:fldCharType="separate"/>
      </w:r>
      <w:r>
        <w:rPr>
          <w:i w:val="0"/>
          <w:color w:val="auto"/>
          <w:sz w:val="21"/>
          <w:szCs w:val="21"/>
          <w:highlight w:val="none"/>
        </w:rPr>
        <w:t>91</w:t>
      </w:r>
      <w:r>
        <w:rPr>
          <w:i w:val="0"/>
          <w:color w:val="auto"/>
          <w:sz w:val="21"/>
          <w:szCs w:val="21"/>
          <w:highlight w:val="none"/>
        </w:rPr>
        <w:fldChar w:fldCharType="end"/>
      </w:r>
      <w:r>
        <w:rPr>
          <w:i w:val="0"/>
          <w:color w:val="auto"/>
          <w:sz w:val="21"/>
          <w:szCs w:val="21"/>
          <w:highlight w:val="none"/>
        </w:rPr>
        <w:fldChar w:fldCharType="end"/>
      </w:r>
    </w:p>
    <w:p w14:paraId="0103C321">
      <w:pPr>
        <w:rPr>
          <w:color w:val="auto"/>
          <w:highlight w:val="none"/>
        </w:rPr>
      </w:pPr>
      <w:r>
        <w:rPr>
          <w:rFonts w:hint="eastAsia" w:ascii="宋体" w:hAnsi="宋体" w:cs="仿宋"/>
          <w:iCs/>
          <w:color w:val="auto"/>
          <w:szCs w:val="21"/>
          <w:highlight w:val="none"/>
        </w:rPr>
        <w:fldChar w:fldCharType="end"/>
      </w:r>
    </w:p>
    <w:p w14:paraId="05B629B0">
      <w:pPr>
        <w:rPr>
          <w:color w:val="auto"/>
          <w:highlight w:val="none"/>
        </w:rPr>
      </w:pPr>
    </w:p>
    <w:p w14:paraId="7CF114D0">
      <w:pPr>
        <w:rPr>
          <w:color w:val="auto"/>
          <w:highlight w:val="none"/>
        </w:rPr>
      </w:pPr>
    </w:p>
    <w:p w14:paraId="25B18353">
      <w:pPr>
        <w:rPr>
          <w:color w:val="auto"/>
          <w:highlight w:val="none"/>
        </w:rPr>
        <w:sectPr>
          <w:headerReference r:id="rId5" w:type="default"/>
          <w:footerReference r:id="rId6" w:type="default"/>
          <w:footnotePr>
            <w:numRestart w:val="eachPage"/>
          </w:footnotePr>
          <w:pgSz w:w="11906" w:h="16838"/>
          <w:pgMar w:top="1418" w:right="1304" w:bottom="1418" w:left="1304" w:header="851" w:footer="992" w:gutter="0"/>
          <w:pgNumType w:start="1"/>
          <w:cols w:space="720" w:num="1"/>
          <w:docGrid w:linePitch="312" w:charSpace="0"/>
        </w:sectPr>
      </w:pPr>
    </w:p>
    <w:p w14:paraId="0E351BE8">
      <w:pPr>
        <w:pStyle w:val="4"/>
        <w:spacing w:before="360" w:after="360"/>
        <w:rPr>
          <w:color w:val="auto"/>
          <w:highlight w:val="none"/>
        </w:rPr>
      </w:pPr>
      <w:bookmarkStart w:id="0" w:name="_Toc488650761"/>
      <w:r>
        <w:rPr>
          <w:rFonts w:hint="eastAsia"/>
          <w:color w:val="auto"/>
          <w:highlight w:val="none"/>
        </w:rPr>
        <w:t>第一章  招标公告</w:t>
      </w:r>
      <w:bookmarkEnd w:id="0"/>
    </w:p>
    <w:p w14:paraId="7F2345FB">
      <w:pPr>
        <w:spacing w:before="240" w:after="240" w:line="420" w:lineRule="exact"/>
        <w:jc w:val="center"/>
        <w:rPr>
          <w:rFonts w:ascii="黑体" w:eastAsia="黑体"/>
          <w:color w:val="auto"/>
          <w:sz w:val="28"/>
          <w:szCs w:val="28"/>
          <w:highlight w:val="none"/>
        </w:rPr>
      </w:pPr>
      <w:r>
        <w:rPr>
          <w:rFonts w:hint="eastAsia" w:ascii="黑体" w:eastAsia="黑体"/>
          <w:color w:val="auto"/>
          <w:sz w:val="28"/>
          <w:szCs w:val="28"/>
          <w:highlight w:val="none"/>
          <w:u w:val="single"/>
        </w:rPr>
        <w:t xml:space="preserve">            （</w:t>
      </w:r>
      <w:r>
        <w:rPr>
          <w:rFonts w:ascii="黑体" w:eastAsia="黑体"/>
          <w:color w:val="auto"/>
          <w:sz w:val="28"/>
          <w:szCs w:val="28"/>
          <w:highlight w:val="none"/>
          <w:u w:val="single"/>
        </w:rPr>
        <w:t>项目</w:t>
      </w:r>
      <w:r>
        <w:rPr>
          <w:rFonts w:hint="eastAsia" w:ascii="黑体" w:eastAsia="黑体"/>
          <w:color w:val="auto"/>
          <w:sz w:val="28"/>
          <w:szCs w:val="28"/>
          <w:highlight w:val="none"/>
          <w:u w:val="single"/>
        </w:rPr>
        <w:t xml:space="preserve">名称）            </w:t>
      </w:r>
      <w:r>
        <w:rPr>
          <w:rFonts w:ascii="黑体" w:eastAsia="黑体"/>
          <w:color w:val="auto"/>
          <w:sz w:val="28"/>
          <w:szCs w:val="28"/>
          <w:highlight w:val="none"/>
        </w:rPr>
        <w:t>施工</w:t>
      </w:r>
      <w:r>
        <w:rPr>
          <w:rFonts w:hint="eastAsia" w:ascii="黑体" w:eastAsia="黑体"/>
          <w:color w:val="auto"/>
          <w:sz w:val="28"/>
          <w:szCs w:val="28"/>
          <w:highlight w:val="none"/>
        </w:rPr>
        <w:t>监理</w:t>
      </w:r>
      <w:r>
        <w:rPr>
          <w:rFonts w:ascii="黑体" w:eastAsia="黑体"/>
          <w:color w:val="auto"/>
          <w:sz w:val="28"/>
          <w:szCs w:val="28"/>
          <w:highlight w:val="none"/>
        </w:rPr>
        <w:t>招标公告</w:t>
      </w:r>
    </w:p>
    <w:p w14:paraId="362BCE45">
      <w:pPr>
        <w:pStyle w:val="5"/>
        <w:spacing w:line="430" w:lineRule="exact"/>
        <w:rPr>
          <w:color w:val="auto"/>
          <w:highlight w:val="none"/>
        </w:rPr>
      </w:pPr>
      <w:bookmarkStart w:id="1" w:name="_Toc488650762"/>
      <w:bookmarkStart w:id="2" w:name="_Toc487619415"/>
      <w:bookmarkStart w:id="3" w:name="_Toc487653333"/>
      <w:r>
        <w:rPr>
          <w:rFonts w:hint="eastAsia"/>
          <w:color w:val="auto"/>
          <w:highlight w:val="none"/>
        </w:rPr>
        <w:t>1．招标条件</w:t>
      </w:r>
      <w:bookmarkEnd w:id="1"/>
      <w:bookmarkEnd w:id="2"/>
      <w:bookmarkEnd w:id="3"/>
    </w:p>
    <w:p w14:paraId="23B1FB83">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本招标项目</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（项目名称）已由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（项目审批、核准或备案机关名称）以 </w:t>
      </w:r>
      <w:r>
        <w:rPr>
          <w:rFonts w:hint="eastAsia" w:ascii="宋体" w:hAnsi="宋体"/>
          <w:color w:val="auto"/>
          <w:sz w:val="24"/>
          <w:highlight w:val="none"/>
          <w:u w:val="single"/>
        </w:rPr>
        <w:t xml:space="preserve">           </w:t>
      </w:r>
      <w:r>
        <w:rPr>
          <w:rFonts w:hint="eastAsia" w:ascii="宋体" w:hAnsi="宋体"/>
          <w:color w:val="auto"/>
          <w:sz w:val="24"/>
          <w:highlight w:val="none"/>
        </w:rPr>
        <w:t>（批文名称及编号）批准建设，项目业主为：</w:t>
      </w:r>
      <w:r>
        <w:rPr>
          <w:rFonts w:hint="eastAsia" w:ascii="宋体" w:hAnsi="宋体"/>
          <w:color w:val="auto"/>
          <w:sz w:val="24"/>
          <w:highlight w:val="none"/>
          <w:u w:val="single"/>
        </w:rPr>
        <w:t xml:space="preserve">          </w:t>
      </w:r>
      <w:r>
        <w:rPr>
          <w:rFonts w:hint="eastAsia" w:ascii="宋体" w:hAnsi="宋体"/>
          <w:color w:val="auto"/>
          <w:sz w:val="24"/>
          <w:highlight w:val="none"/>
        </w:rPr>
        <w:t>，建设资金来自</w:t>
      </w:r>
      <w:r>
        <w:rPr>
          <w:rFonts w:hint="eastAsia" w:ascii="宋体" w:hAnsi="宋体"/>
          <w:color w:val="auto"/>
          <w:sz w:val="24"/>
          <w:highlight w:val="none"/>
          <w:u w:val="single"/>
        </w:rPr>
        <w:t xml:space="preserve">      </w:t>
      </w:r>
      <w:r>
        <w:rPr>
          <w:rFonts w:hint="eastAsia" w:ascii="宋体" w:hAnsi="宋体"/>
          <w:color w:val="auto"/>
          <w:sz w:val="24"/>
          <w:highlight w:val="none"/>
        </w:rPr>
        <w:t>（资金来源），招标人为：</w:t>
      </w:r>
      <w:r>
        <w:rPr>
          <w:rFonts w:hint="eastAsia" w:ascii="宋体" w:hAnsi="宋体"/>
          <w:color w:val="auto"/>
          <w:sz w:val="24"/>
          <w:highlight w:val="none"/>
          <w:u w:val="single"/>
        </w:rPr>
        <w:t xml:space="preserve">          </w:t>
      </w:r>
      <w:r>
        <w:rPr>
          <w:rFonts w:hint="eastAsia" w:ascii="宋体" w:hAnsi="宋体"/>
          <w:color w:val="auto"/>
          <w:sz w:val="24"/>
          <w:highlight w:val="none"/>
        </w:rPr>
        <w:t>。项目已具备招标条件，现对该项目的施工监理采用“评定分离”办法进行公开招标。</w:t>
      </w:r>
    </w:p>
    <w:p w14:paraId="55F0D7DC">
      <w:pPr>
        <w:pStyle w:val="5"/>
        <w:spacing w:line="430" w:lineRule="exact"/>
        <w:rPr>
          <w:color w:val="auto"/>
          <w:highlight w:val="none"/>
        </w:rPr>
      </w:pPr>
      <w:bookmarkStart w:id="4" w:name="_Toc488650763"/>
      <w:bookmarkStart w:id="5" w:name="_Toc487653334"/>
      <w:bookmarkStart w:id="6" w:name="_Toc487619416"/>
      <w:r>
        <w:rPr>
          <w:rFonts w:hint="eastAsia"/>
          <w:color w:val="auto"/>
          <w:highlight w:val="none"/>
        </w:rPr>
        <w:t>2．项目概况与招标范围</w:t>
      </w:r>
      <w:bookmarkEnd w:id="4"/>
      <w:bookmarkEnd w:id="5"/>
      <w:bookmarkEnd w:id="6"/>
    </w:p>
    <w:p w14:paraId="32F4F503">
      <w:pPr>
        <w:spacing w:line="42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2.1  项目建设地点：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B8C1084">
      <w:pPr>
        <w:spacing w:line="42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2.2  招标项目规模</w:t>
      </w:r>
      <w:r>
        <w:rPr>
          <w:rStyle w:val="53"/>
          <w:rFonts w:hint="eastAsia" w:ascii="宋体" w:hAnsi="宋体" w:cs="宋体"/>
          <w:color w:val="auto"/>
          <w:sz w:val="24"/>
          <w:highlight w:val="none"/>
        </w:rPr>
        <w:footnoteReference w:id="0"/>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628C64F">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  计划施工工期：</w:t>
      </w:r>
      <w:r>
        <w:rPr>
          <w:rFonts w:hint="eastAsia"/>
          <w:color w:val="auto"/>
          <w:szCs w:val="21"/>
          <w:highlight w:val="none"/>
          <w:u w:val="single"/>
        </w:rPr>
        <w:t xml:space="preserve">      </w:t>
      </w:r>
      <w:r>
        <w:rPr>
          <w:rFonts w:hint="eastAsia"/>
          <w:color w:val="auto"/>
          <w:szCs w:val="21"/>
          <w:highlight w:val="none"/>
        </w:rPr>
        <w:t>日历天</w:t>
      </w:r>
      <w:r>
        <w:rPr>
          <w:rFonts w:hint="eastAsia" w:ascii="宋体" w:hAnsi="宋体" w:cs="宋体"/>
          <w:color w:val="auto"/>
          <w:sz w:val="24"/>
          <w:highlight w:val="none"/>
        </w:rPr>
        <w:t>。</w:t>
      </w:r>
    </w:p>
    <w:p w14:paraId="2DCFE153">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  招标范围：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4F000F3">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  监理标段划分及监理服务期：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19457D7">
      <w:pPr>
        <w:pStyle w:val="5"/>
        <w:spacing w:line="430" w:lineRule="exact"/>
        <w:rPr>
          <w:color w:val="auto"/>
          <w:highlight w:val="none"/>
        </w:rPr>
      </w:pPr>
      <w:bookmarkStart w:id="7" w:name="_Toc488650764"/>
      <w:bookmarkStart w:id="8" w:name="_Toc487619417"/>
      <w:bookmarkStart w:id="9" w:name="_Toc487653335"/>
      <w:r>
        <w:rPr>
          <w:rFonts w:hint="eastAsia"/>
          <w:color w:val="auto"/>
          <w:highlight w:val="none"/>
        </w:rPr>
        <w:t>3</w:t>
      </w:r>
      <w:r>
        <w:rPr>
          <w:color w:val="auto"/>
          <w:highlight w:val="none"/>
        </w:rPr>
        <w:t>．投标人要求</w:t>
      </w:r>
      <w:bookmarkEnd w:id="7"/>
      <w:bookmarkEnd w:id="8"/>
      <w:bookmarkEnd w:id="9"/>
      <w:r>
        <w:rPr>
          <w:rFonts w:hint="eastAsia"/>
          <w:color w:val="auto"/>
          <w:highlight w:val="none"/>
        </w:rPr>
        <w:t xml:space="preserve"> </w:t>
      </w:r>
    </w:p>
    <w:p w14:paraId="7C25A951">
      <w:pPr>
        <w:widowControl/>
        <w:tabs>
          <w:tab w:val="left" w:pos="510"/>
          <w:tab w:val="left" w:pos="900"/>
          <w:tab w:val="left" w:pos="1100"/>
        </w:tabs>
        <w:spacing w:line="420" w:lineRule="exact"/>
        <w:ind w:firstLine="480" w:firstLineChars="200"/>
        <w:rPr>
          <w:rFonts w:ascii="宋体" w:hAnsi="宋体"/>
          <w:color w:val="auto"/>
          <w:sz w:val="24"/>
          <w:highlight w:val="none"/>
        </w:rPr>
      </w:pPr>
      <w:r>
        <w:rPr>
          <w:rFonts w:hint="eastAsia" w:ascii="宋体" w:hAnsi="宋体" w:cs="宋体"/>
          <w:color w:val="auto"/>
          <w:sz w:val="24"/>
          <w:highlight w:val="none"/>
        </w:rPr>
        <w:t xml:space="preserve">3.1 </w:t>
      </w:r>
      <w:r>
        <w:rPr>
          <w:rFonts w:ascii="宋体" w:hAnsi="宋体"/>
          <w:color w:val="auto"/>
          <w:sz w:val="24"/>
          <w:highlight w:val="none"/>
        </w:rPr>
        <w:t xml:space="preserve"> </w:t>
      </w:r>
      <w:r>
        <w:rPr>
          <w:rFonts w:hint="eastAsia" w:ascii="宋体" w:hAnsi="宋体"/>
          <w:color w:val="auto"/>
          <w:sz w:val="24"/>
          <w:highlight w:val="none"/>
        </w:rPr>
        <w:t>监理资质要求：①具有</w:t>
      </w:r>
      <w:r>
        <w:rPr>
          <w:rFonts w:ascii="宋体" w:hAnsi="宋体"/>
          <w:color w:val="auto"/>
          <w:sz w:val="24"/>
          <w:highlight w:val="none"/>
          <w:u w:val="single"/>
        </w:rPr>
        <w:t xml:space="preserve">       </w:t>
      </w:r>
      <w:r>
        <w:rPr>
          <w:rFonts w:hint="eastAsia" w:ascii="宋体" w:hAnsi="宋体"/>
          <w:color w:val="auto"/>
          <w:sz w:val="24"/>
          <w:highlight w:val="none"/>
        </w:rPr>
        <w:t>资质等级证书；②具备独立的法人资格、有效的营业执照。</w:t>
      </w:r>
    </w:p>
    <w:p w14:paraId="5E643D54">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3.2监理业绩要求：</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0D560975">
      <w:pPr>
        <w:spacing w:line="440" w:lineRule="exact"/>
        <w:rPr>
          <w:rFonts w:ascii="宋体" w:hAnsi="宋体"/>
          <w:color w:val="auto"/>
          <w:sz w:val="24"/>
          <w:highlight w:val="none"/>
        </w:rPr>
      </w:pPr>
      <w:r>
        <w:rPr>
          <w:rFonts w:hint="eastAsia" w:ascii="宋体" w:hAnsi="宋体"/>
          <w:color w:val="auto"/>
          <w:sz w:val="24"/>
          <w:highlight w:val="none"/>
        </w:rPr>
        <w:t xml:space="preserve">    3.3  总监理工程师要求：资格要求：具有</w:t>
      </w:r>
      <w:r>
        <w:rPr>
          <w:rFonts w:ascii="宋体" w:hAnsi="宋体"/>
          <w:color w:val="auto"/>
          <w:sz w:val="24"/>
          <w:highlight w:val="none"/>
          <w:u w:val="single"/>
        </w:rPr>
        <w:t xml:space="preserve">                    </w:t>
      </w:r>
      <w:r>
        <w:rPr>
          <w:rFonts w:hint="eastAsia" w:ascii="宋体" w:hAnsi="宋体"/>
          <w:color w:val="auto"/>
          <w:sz w:val="24"/>
          <w:highlight w:val="none"/>
        </w:rPr>
        <w:t>；岗位登记工作单位为其投标单位（以全国水运建设市场信用信息管理系统岗位登记截图为准）。</w:t>
      </w:r>
    </w:p>
    <w:p w14:paraId="24D3E927">
      <w:pPr>
        <w:spacing w:line="420" w:lineRule="exact"/>
        <w:ind w:firstLine="480" w:firstLineChars="200"/>
        <w:rPr>
          <w:rFonts w:ascii="宋体" w:hAnsi="宋体"/>
          <w:color w:val="auto"/>
          <w:sz w:val="24"/>
          <w:highlight w:val="none"/>
        </w:rPr>
      </w:pPr>
      <w:r>
        <w:rPr>
          <w:rFonts w:hint="eastAsia" w:ascii="宋体" w:hAnsi="宋体"/>
          <w:color w:val="auto"/>
          <w:sz w:val="24"/>
          <w:highlight w:val="none"/>
        </w:rPr>
        <w:t>3.4  本次招标</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rPr>
        <w:t>（接受或不接受</w:t>
      </w:r>
      <w:r>
        <w:rPr>
          <w:rFonts w:hint="eastAsia" w:ascii="宋体" w:hAnsi="宋体"/>
          <w:color w:val="auto"/>
          <w:sz w:val="24"/>
          <w:highlight w:val="none"/>
        </w:rPr>
        <w:t>，</w:t>
      </w:r>
      <w:r>
        <w:rPr>
          <w:rFonts w:hint="eastAsia" w:ascii="宋体" w:hAnsi="宋体"/>
          <w:snapToGrid w:val="0"/>
          <w:color w:val="auto"/>
          <w:kern w:val="0"/>
          <w:sz w:val="24"/>
          <w:highlight w:val="none"/>
        </w:rPr>
        <w:t>要求两种及以上不同专业资质要求的，不得出现“不接受”联合体投标词汇</w:t>
      </w:r>
      <w:r>
        <w:rPr>
          <w:rFonts w:ascii="宋体" w:hAnsi="宋体"/>
          <w:color w:val="auto"/>
          <w:sz w:val="24"/>
          <w:highlight w:val="none"/>
        </w:rPr>
        <w:t>）</w:t>
      </w:r>
      <w:r>
        <w:rPr>
          <w:rFonts w:hint="eastAsia" w:ascii="宋体" w:hAnsi="宋体"/>
          <w:color w:val="auto"/>
          <w:sz w:val="24"/>
          <w:highlight w:val="none"/>
        </w:rPr>
        <w:t>联合体投标。联合体投标的，应满足下列要求：</w:t>
      </w:r>
      <w:r>
        <w:rPr>
          <w:rFonts w:ascii="宋体" w:hAnsi="宋体"/>
          <w:color w:val="auto"/>
          <w:sz w:val="24"/>
          <w:highlight w:val="none"/>
          <w:u w:val="single"/>
        </w:rPr>
        <w:t xml:space="preserve">           </w:t>
      </w:r>
      <w:r>
        <w:rPr>
          <w:rFonts w:hint="eastAsia" w:ascii="宋体" w:hAnsi="宋体"/>
          <w:color w:val="auto"/>
          <w:sz w:val="24"/>
          <w:highlight w:val="none"/>
        </w:rPr>
        <w:t>。</w:t>
      </w:r>
    </w:p>
    <w:p w14:paraId="7707AFD8">
      <w:pPr>
        <w:spacing w:line="420" w:lineRule="exact"/>
        <w:ind w:firstLine="480" w:firstLineChars="200"/>
        <w:rPr>
          <w:rFonts w:ascii="宋体" w:hAnsi="宋体"/>
          <w:color w:val="auto"/>
          <w:sz w:val="24"/>
          <w:highlight w:val="none"/>
        </w:rPr>
      </w:pPr>
      <w:r>
        <w:rPr>
          <w:rFonts w:hint="eastAsia" w:ascii="宋体" w:hAnsi="宋体"/>
          <w:color w:val="auto"/>
          <w:sz w:val="24"/>
          <w:highlight w:val="none"/>
        </w:rPr>
        <w:t>3.5  资格审查方式：</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资格后审 </w:t>
      </w:r>
      <w:r>
        <w:rPr>
          <w:rFonts w:hint="eastAsia" w:ascii="宋体" w:hAnsi="宋体"/>
          <w:color w:val="auto"/>
          <w:sz w:val="24"/>
          <w:highlight w:val="none"/>
        </w:rPr>
        <w:t>。</w:t>
      </w:r>
    </w:p>
    <w:p w14:paraId="26C5A697">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3.6  其他：</w:t>
      </w:r>
      <w:r>
        <w:rPr>
          <w:rFonts w:hint="eastAsia" w:ascii="宋体" w:hAnsi="宋体"/>
          <w:color w:val="auto"/>
          <w:sz w:val="24"/>
          <w:highlight w:val="none"/>
        </w:rPr>
        <w:t>单位负责人为同一人或者存在控股、管理关系的不同单位，不得参加同一标段投标或者未划分标段的同一招标项目投标；与招标人存在利害关系可能影响招标公正性的法人、其他组织或者个人，不得参加投标；违反本条规定的，其相关投标均无效。</w:t>
      </w:r>
    </w:p>
    <w:p w14:paraId="5A91A7E1">
      <w:pPr>
        <w:pStyle w:val="5"/>
        <w:spacing w:line="430" w:lineRule="exact"/>
        <w:rPr>
          <w:color w:val="auto"/>
          <w:highlight w:val="none"/>
        </w:rPr>
      </w:pPr>
      <w:bookmarkStart w:id="10" w:name="_Toc487619418"/>
      <w:bookmarkStart w:id="11" w:name="_Toc488650765"/>
      <w:bookmarkStart w:id="12" w:name="_Toc487653336"/>
      <w:r>
        <w:rPr>
          <w:rFonts w:hint="eastAsia"/>
          <w:color w:val="auto"/>
          <w:highlight w:val="none"/>
        </w:rPr>
        <w:t>4</w:t>
      </w:r>
      <w:r>
        <w:rPr>
          <w:color w:val="auto"/>
          <w:highlight w:val="none"/>
        </w:rPr>
        <w:t>．招标文件的获取</w:t>
      </w:r>
      <w:bookmarkEnd w:id="10"/>
      <w:bookmarkEnd w:id="11"/>
      <w:bookmarkEnd w:id="12"/>
    </w:p>
    <w:p w14:paraId="007FB37A">
      <w:pPr>
        <w:widowControl/>
        <w:tabs>
          <w:tab w:val="left" w:pos="510"/>
          <w:tab w:val="left" w:pos="900"/>
          <w:tab w:val="left" w:pos="1100"/>
          <w:tab w:val="left" w:pos="3807"/>
        </w:tabs>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凡有意参加投标者，请于</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年</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月</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日</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时</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分</w:t>
      </w:r>
      <w:r>
        <w:rPr>
          <w:rFonts w:ascii="宋体" w:hAnsi="宋体" w:cs="宋体"/>
          <w:color w:val="auto"/>
          <w:sz w:val="24"/>
          <w:highlight w:val="none"/>
          <w:u w:val="single"/>
        </w:rPr>
        <w:t xml:space="preserve">  </w:t>
      </w:r>
      <w:r>
        <w:rPr>
          <w:rFonts w:hint="eastAsia" w:ascii="宋体" w:hAnsi="宋体" w:cs="宋体"/>
          <w:color w:val="auto"/>
          <w:sz w:val="24"/>
          <w:highlight w:val="none"/>
        </w:rPr>
        <w:t>秒</w:t>
      </w:r>
      <w:r>
        <w:rPr>
          <w:rFonts w:ascii="宋体" w:hAnsi="宋体" w:cs="宋体"/>
          <w:color w:val="auto"/>
          <w:sz w:val="24"/>
          <w:highlight w:val="none"/>
        </w:rPr>
        <w:t>前登录</w:t>
      </w:r>
      <w:r>
        <w:rPr>
          <w:rFonts w:hint="eastAsia" w:ascii="宋体" w:hAnsi="宋体" w:cs="宋体"/>
          <w:color w:val="auto"/>
          <w:sz w:val="24"/>
          <w:highlight w:val="none"/>
        </w:rPr>
        <w:t>电子招标投标交易平台</w:t>
      </w:r>
      <w:r>
        <w:rPr>
          <w:rFonts w:ascii="宋体" w:hAnsi="宋体" w:cs="宋体"/>
          <w:color w:val="auto"/>
          <w:sz w:val="24"/>
          <w:highlight w:val="none"/>
        </w:rPr>
        <w:t>（网址：</w:t>
      </w:r>
      <w:r>
        <w:rPr>
          <w:rFonts w:ascii="宋体" w:hAnsi="宋体" w:cs="宋体"/>
          <w:color w:val="auto"/>
          <w:sz w:val="24"/>
          <w:highlight w:val="none"/>
          <w:u w:val="single"/>
        </w:rPr>
        <w:t xml:space="preserve">        </w:t>
      </w:r>
      <w:r>
        <w:rPr>
          <w:rFonts w:ascii="宋体" w:hAnsi="宋体" w:cs="宋体"/>
          <w:color w:val="auto"/>
          <w:sz w:val="24"/>
          <w:highlight w:val="none"/>
        </w:rPr>
        <w:t>)下载有关电子招标文件。</w:t>
      </w:r>
      <w:r>
        <w:rPr>
          <w:rFonts w:hint="eastAsia" w:ascii="宋体" w:hAnsi="宋体"/>
          <w:color w:val="auto"/>
          <w:sz w:val="24"/>
          <w:highlight w:val="none"/>
        </w:rPr>
        <w:t>招标人不另行出售纸质招标文件。</w:t>
      </w:r>
    </w:p>
    <w:p w14:paraId="2EB498E6">
      <w:pPr>
        <w:pStyle w:val="5"/>
        <w:spacing w:line="430" w:lineRule="exact"/>
        <w:rPr>
          <w:color w:val="auto"/>
          <w:highlight w:val="none"/>
        </w:rPr>
      </w:pPr>
      <w:bookmarkStart w:id="13" w:name="_Toc488650766"/>
      <w:bookmarkStart w:id="14" w:name="_Toc487619419"/>
      <w:bookmarkStart w:id="15" w:name="_Toc487653337"/>
      <w:r>
        <w:rPr>
          <w:rFonts w:hint="eastAsia"/>
          <w:color w:val="auto"/>
          <w:highlight w:val="none"/>
        </w:rPr>
        <w:t>5</w:t>
      </w:r>
      <w:r>
        <w:rPr>
          <w:color w:val="auto"/>
          <w:highlight w:val="none"/>
        </w:rPr>
        <w:t>．投标文件的递交</w:t>
      </w:r>
      <w:bookmarkEnd w:id="13"/>
      <w:bookmarkEnd w:id="14"/>
      <w:bookmarkEnd w:id="15"/>
    </w:p>
    <w:p w14:paraId="3F178C9D">
      <w:pPr>
        <w:widowControl/>
        <w:tabs>
          <w:tab w:val="left" w:pos="510"/>
          <w:tab w:val="left" w:pos="900"/>
          <w:tab w:val="left" w:pos="1100"/>
          <w:tab w:val="left" w:pos="3807"/>
        </w:tabs>
        <w:spacing w:line="360" w:lineRule="auto"/>
        <w:ind w:left="284" w:firstLine="240" w:firstLineChars="100"/>
        <w:jc w:val="left"/>
        <w:rPr>
          <w:rFonts w:ascii="宋体" w:hAnsi="宋体" w:cs="宋体"/>
          <w:color w:val="auto"/>
          <w:kern w:val="0"/>
          <w:sz w:val="24"/>
          <w:highlight w:val="none"/>
        </w:rPr>
      </w:pPr>
      <w:r>
        <w:rPr>
          <w:rFonts w:hint="eastAsia" w:ascii="宋体" w:hAnsi="宋体" w:cs="宋体"/>
          <w:color w:val="auto"/>
          <w:kern w:val="0"/>
          <w:sz w:val="24"/>
          <w:highlight w:val="none"/>
        </w:rPr>
        <w:t>5.1投标文件递交的截止时间（投标截止时间，下同）为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日</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时</w:t>
      </w:r>
    </w:p>
    <w:p w14:paraId="4C759DF5">
      <w:pPr>
        <w:widowControl/>
        <w:tabs>
          <w:tab w:val="left" w:pos="510"/>
          <w:tab w:val="left" w:pos="900"/>
          <w:tab w:val="left" w:pos="1100"/>
        </w:tabs>
        <w:spacing w:line="360" w:lineRule="auto"/>
        <w:jc w:val="left"/>
        <w:rPr>
          <w:rFonts w:ascii="宋体" w:hAnsi="宋体"/>
          <w:color w:val="auto"/>
          <w:sz w:val="24"/>
          <w:highlight w:val="none"/>
        </w:rPr>
      </w:pP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分</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秒，</w:t>
      </w:r>
      <w:r>
        <w:rPr>
          <w:rFonts w:hint="eastAsia" w:ascii="宋体" w:hAnsi="宋体"/>
          <w:color w:val="auto"/>
          <w:sz w:val="24"/>
          <w:highlight w:val="none"/>
        </w:rPr>
        <w:t>投标人必须在投标截止时间前通过电子招标投标交易平台（网址：</w:t>
      </w:r>
      <w:r>
        <w:rPr>
          <w:rFonts w:hint="eastAsia" w:ascii="宋体" w:hAnsi="宋体"/>
          <w:color w:val="auto"/>
          <w:sz w:val="24"/>
          <w:highlight w:val="none"/>
          <w:u w:val="single"/>
        </w:rPr>
        <w:t xml:space="preserve">       </w:t>
      </w:r>
      <w:r>
        <w:rPr>
          <w:rFonts w:hint="eastAsia" w:ascii="宋体" w:hAnsi="宋体"/>
          <w:color w:val="auto"/>
          <w:sz w:val="24"/>
          <w:highlight w:val="none"/>
        </w:rPr>
        <w:t>）上传电子投标文件，但应认真检查投标文件的完整性。逾期到达或者未到达交易系统的投标文件视为放弃本次投标。</w:t>
      </w:r>
    </w:p>
    <w:p w14:paraId="75AB74A1">
      <w:pPr>
        <w:widowControl/>
        <w:tabs>
          <w:tab w:val="left" w:pos="510"/>
          <w:tab w:val="left" w:pos="900"/>
          <w:tab w:val="left" w:pos="1100"/>
          <w:tab w:val="left" w:pos="3807"/>
        </w:tabs>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5.2在投标截止时间前，允许投标人对已投递的电子投标文件撤回、编辑再投递。投标人应使用投标时所使用的数字证书完成电子投标文件的解密，</w:t>
      </w:r>
      <w:r>
        <w:rPr>
          <w:rFonts w:hint="eastAsia" w:ascii="宋体" w:hAnsi="宋体" w:cs="宋体"/>
          <w:color w:val="auto"/>
          <w:sz w:val="24"/>
          <w:highlight w:val="none"/>
        </w:rPr>
        <w:t>因投标人的原因，导致开标时无法解密投标文件的，按否决其投标处理。</w:t>
      </w:r>
    </w:p>
    <w:p w14:paraId="3D20902F">
      <w:pPr>
        <w:pStyle w:val="5"/>
        <w:spacing w:line="430" w:lineRule="exact"/>
        <w:rPr>
          <w:color w:val="auto"/>
          <w:highlight w:val="none"/>
        </w:rPr>
      </w:pPr>
      <w:bookmarkStart w:id="16" w:name="_Toc23420"/>
      <w:r>
        <w:rPr>
          <w:rFonts w:hint="eastAsia"/>
          <w:color w:val="auto"/>
          <w:highlight w:val="none"/>
          <w:lang w:val="en"/>
        </w:rPr>
        <w:t>6.</w:t>
      </w:r>
      <w:r>
        <w:rPr>
          <w:rFonts w:hint="eastAsia"/>
          <w:color w:val="auto"/>
          <w:highlight w:val="none"/>
        </w:rPr>
        <w:t>评标办法</w:t>
      </w:r>
      <w:bookmarkEnd w:id="16"/>
    </w:p>
    <w:p w14:paraId="6532E421">
      <w:pPr>
        <w:pStyle w:val="115"/>
        <w:wordWrap w:val="0"/>
        <w:spacing w:before="240" w:beforeLines="100" w:line="300" w:lineRule="auto"/>
        <w:ind w:firstLine="480"/>
        <w:rPr>
          <w:rFonts w:ascii="Times New Roman" w:hAnsi="Times New Roman"/>
          <w:color w:val="auto"/>
          <w:sz w:val="24"/>
          <w:szCs w:val="24"/>
          <w:highlight w:val="none"/>
        </w:rPr>
      </w:pPr>
      <w:r>
        <w:rPr>
          <w:rFonts w:hint="eastAsia" w:ascii="Times New Roman" w:hAnsi="Times New Roman"/>
          <w:color w:val="auto"/>
          <w:sz w:val="24"/>
          <w:szCs w:val="24"/>
          <w:highlight w:val="none"/>
        </w:rPr>
        <w:t>本招标项目采用的评标办法：</w:t>
      </w:r>
      <w:r>
        <w:rPr>
          <w:rFonts w:hint="eastAsia" w:ascii="宋体" w:hAnsi="宋体"/>
          <w:color w:val="auto"/>
          <w:sz w:val="24"/>
          <w:szCs w:val="24"/>
          <w:highlight w:val="none"/>
          <w:u w:val="single"/>
        </w:rPr>
        <w:t>定性评审法</w:t>
      </w:r>
      <w:r>
        <w:rPr>
          <w:rFonts w:hint="eastAsia" w:ascii="Times New Roman" w:hAnsi="Times New Roman"/>
          <w:color w:val="auto"/>
          <w:sz w:val="24"/>
          <w:szCs w:val="24"/>
          <w:highlight w:val="none"/>
        </w:rPr>
        <w:t>。</w:t>
      </w:r>
    </w:p>
    <w:p w14:paraId="357D7FE7">
      <w:pPr>
        <w:pStyle w:val="3"/>
        <w:wordWrap w:val="0"/>
        <w:spacing w:before="240" w:after="240" w:line="240" w:lineRule="atLeast"/>
        <w:rPr>
          <w:rFonts w:eastAsia="黑体"/>
          <w:color w:val="auto"/>
          <w:sz w:val="28"/>
          <w:szCs w:val="28"/>
          <w:highlight w:val="none"/>
        </w:rPr>
      </w:pPr>
      <w:r>
        <w:rPr>
          <w:rFonts w:hint="eastAsia" w:eastAsia="黑体"/>
          <w:color w:val="auto"/>
          <w:sz w:val="28"/>
          <w:szCs w:val="28"/>
          <w:highlight w:val="none"/>
        </w:rPr>
        <w:t>7.定标方法</w:t>
      </w:r>
    </w:p>
    <w:p w14:paraId="1386C3A0">
      <w:pPr>
        <w:pStyle w:val="115"/>
        <w:wordWrap w:val="0"/>
        <w:rPr>
          <w:rFonts w:ascii="Times New Roman" w:hAnsi="Times New Roman"/>
          <w:color w:val="auto"/>
          <w:sz w:val="24"/>
          <w:szCs w:val="24"/>
          <w:highlight w:val="none"/>
        </w:rPr>
      </w:pPr>
      <w:r>
        <w:rPr>
          <w:rFonts w:hint="eastAsia"/>
          <w:color w:val="auto"/>
          <w:szCs w:val="21"/>
          <w:highlight w:val="none"/>
        </w:rPr>
        <w:t xml:space="preserve"> </w:t>
      </w:r>
      <w:r>
        <w:rPr>
          <w:rFonts w:hint="eastAsia"/>
          <w:color w:val="auto"/>
          <w:sz w:val="24"/>
          <w:szCs w:val="24"/>
          <w:highlight w:val="none"/>
        </w:rPr>
        <w:t>本招标项目采用的定标方法</w:t>
      </w:r>
      <w:r>
        <w:rPr>
          <w:rStyle w:val="53"/>
          <w:rFonts w:hint="eastAsia"/>
          <w:color w:val="auto"/>
          <w:sz w:val="24"/>
          <w:szCs w:val="24"/>
          <w:highlight w:val="none"/>
        </w:rPr>
        <w:footnoteReference w:id="1"/>
      </w:r>
      <w:r>
        <w:rPr>
          <w:rFonts w:hint="eastAsia"/>
          <w:color w:val="auto"/>
          <w:sz w:val="24"/>
          <w:szCs w:val="24"/>
          <w:highlight w:val="none"/>
        </w:rPr>
        <w:t>：</w:t>
      </w:r>
      <w:r>
        <w:rPr>
          <w:rFonts w:hint="eastAsia"/>
          <w:color w:val="auto"/>
          <w:sz w:val="24"/>
          <w:szCs w:val="24"/>
          <w:highlight w:val="none"/>
          <w:u w:val="single"/>
        </w:rPr>
        <w:t xml:space="preserve">      。</w:t>
      </w:r>
    </w:p>
    <w:p w14:paraId="3CBAC2BD">
      <w:pPr>
        <w:pStyle w:val="5"/>
        <w:spacing w:line="430" w:lineRule="exact"/>
        <w:rPr>
          <w:color w:val="auto"/>
          <w:highlight w:val="none"/>
        </w:rPr>
      </w:pPr>
      <w:bookmarkStart w:id="17" w:name="_Toc487653338"/>
      <w:bookmarkStart w:id="18" w:name="_Toc488650767"/>
      <w:bookmarkStart w:id="19" w:name="_Toc487619420"/>
      <w:r>
        <w:rPr>
          <w:rFonts w:hint="eastAsia"/>
          <w:color w:val="auto"/>
          <w:highlight w:val="none"/>
        </w:rPr>
        <w:t>8</w:t>
      </w:r>
      <w:r>
        <w:rPr>
          <w:color w:val="auto"/>
          <w:highlight w:val="none"/>
        </w:rPr>
        <w:t>．</w:t>
      </w:r>
      <w:r>
        <w:rPr>
          <w:rFonts w:hint="eastAsia"/>
          <w:color w:val="auto"/>
          <w:highlight w:val="none"/>
        </w:rPr>
        <w:t>发布公告的媒介</w:t>
      </w:r>
      <w:bookmarkEnd w:id="17"/>
      <w:bookmarkEnd w:id="18"/>
      <w:bookmarkEnd w:id="19"/>
    </w:p>
    <w:p w14:paraId="7642F4C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本次招标公告在福建省公共资源交易电子公共服务平台（网址：</w:t>
      </w:r>
      <w:r>
        <w:rPr>
          <w:rStyle w:val="51"/>
          <w:rFonts w:hint="eastAsia" w:ascii="宋体" w:hAnsi="宋体"/>
          <w:color w:val="auto"/>
          <w:sz w:val="24"/>
          <w:highlight w:val="none"/>
          <w:u w:val="none"/>
        </w:rPr>
        <w:t>https://www.</w:t>
      </w:r>
      <w:r>
        <w:rPr>
          <w:rFonts w:ascii="宋体" w:hAnsi="宋体"/>
          <w:color w:val="auto"/>
          <w:szCs w:val="21"/>
          <w:highlight w:val="none"/>
        </w:rPr>
        <w:t>ggzyfw.fj.gov.cn</w:t>
      </w:r>
      <w:r>
        <w:rPr>
          <w:rStyle w:val="51"/>
          <w:rFonts w:hint="eastAsia" w:ascii="宋体" w:hAnsi="宋体"/>
          <w:color w:val="auto"/>
          <w:sz w:val="24"/>
          <w:highlight w:val="none"/>
          <w:u w:val="none"/>
        </w:rPr>
        <w:t>/</w:t>
      </w:r>
      <w:r>
        <w:rPr>
          <w:rFonts w:hint="eastAsia" w:ascii="宋体" w:hAnsi="宋体"/>
          <w:color w:val="auto"/>
          <w:sz w:val="24"/>
          <w:highlight w:val="none"/>
        </w:rPr>
        <w:t xml:space="preserve">）、 </w:t>
      </w:r>
      <w:r>
        <w:rPr>
          <w:rStyle w:val="51"/>
          <w:rFonts w:hint="eastAsia" w:ascii="宋体" w:hAnsi="宋体" w:cs="宋体"/>
          <w:color w:val="auto"/>
          <w:sz w:val="24"/>
          <w:highlight w:val="none"/>
          <w:u w:val="none"/>
        </w:rPr>
        <w:t>电子招标投标交易平台</w:t>
      </w:r>
      <w:r>
        <w:rPr>
          <w:rFonts w:hint="eastAsia" w:ascii="宋体" w:hAnsi="宋体"/>
          <w:color w:val="auto"/>
          <w:sz w:val="24"/>
          <w:highlight w:val="none"/>
          <w:u w:val="single"/>
        </w:rPr>
        <w:t xml:space="preserve">（网址：   ）                  </w:t>
      </w:r>
      <w:r>
        <w:rPr>
          <w:rFonts w:hint="eastAsia" w:ascii="宋体" w:hAnsi="宋体"/>
          <w:color w:val="auto"/>
          <w:sz w:val="24"/>
          <w:highlight w:val="none"/>
        </w:rPr>
        <w:t>发布。</w:t>
      </w:r>
    </w:p>
    <w:p w14:paraId="7D6B8038">
      <w:pPr>
        <w:widowControl/>
        <w:tabs>
          <w:tab w:val="left" w:pos="900"/>
          <w:tab w:val="left" w:pos="1100"/>
        </w:tabs>
        <w:spacing w:line="440" w:lineRule="exact"/>
        <w:ind w:left="105" w:leftChars="50" w:firstLine="360" w:firstLineChars="150"/>
        <w:rPr>
          <w:rStyle w:val="84"/>
          <w:color w:val="auto"/>
          <w:sz w:val="24"/>
          <w:highlight w:val="none"/>
        </w:rPr>
      </w:pPr>
      <w:r>
        <w:rPr>
          <w:rFonts w:hint="eastAsia" w:ascii="宋体" w:hAnsi="宋体"/>
          <w:color w:val="auto"/>
          <w:sz w:val="24"/>
          <w:highlight w:val="none"/>
        </w:rPr>
        <w:t>注意事项：本工程答疑纪要及补充通知等将在福建省公共资源交易电子公共服务平台（网址：</w:t>
      </w:r>
      <w:r>
        <w:rPr>
          <w:color w:val="auto"/>
          <w:highlight w:val="none"/>
        </w:rPr>
        <w:fldChar w:fldCharType="begin"/>
      </w:r>
      <w:r>
        <w:rPr>
          <w:color w:val="auto"/>
          <w:highlight w:val="none"/>
        </w:rPr>
        <w:instrText xml:space="preserve"> HYPERLINK "http://www.fjbid.gov.cn）、电子招标投标交易平台" </w:instrText>
      </w:r>
      <w:r>
        <w:rPr>
          <w:color w:val="auto"/>
          <w:highlight w:val="none"/>
        </w:rPr>
        <w:fldChar w:fldCharType="separate"/>
      </w:r>
      <w:r>
        <w:rPr>
          <w:rStyle w:val="51"/>
          <w:rFonts w:hint="eastAsia" w:ascii="宋体" w:hAnsi="宋体"/>
          <w:color w:val="auto"/>
          <w:sz w:val="24"/>
          <w:highlight w:val="none"/>
          <w:u w:val="none"/>
        </w:rPr>
        <w:t>https://www.</w:t>
      </w:r>
      <w:r>
        <w:rPr>
          <w:rFonts w:ascii="宋体" w:hAnsi="宋体"/>
          <w:color w:val="auto"/>
          <w:szCs w:val="21"/>
          <w:highlight w:val="none"/>
        </w:rPr>
        <w:t>ggzyfw.fj.gov.cn</w:t>
      </w:r>
      <w:r>
        <w:rPr>
          <w:rStyle w:val="51"/>
          <w:rFonts w:hint="eastAsia" w:ascii="宋体" w:hAnsi="宋体"/>
          <w:color w:val="auto"/>
          <w:sz w:val="24"/>
          <w:highlight w:val="none"/>
          <w:u w:val="none"/>
        </w:rPr>
        <w:t>/）、电子招标投标交易平台</w:t>
      </w:r>
      <w:r>
        <w:rPr>
          <w:rStyle w:val="51"/>
          <w:rFonts w:hint="eastAsia" w:ascii="宋体" w:hAnsi="宋体"/>
          <w:color w:val="auto"/>
          <w:sz w:val="24"/>
          <w:highlight w:val="none"/>
          <w:u w:val="none"/>
        </w:rPr>
        <w:fldChar w:fldCharType="end"/>
      </w:r>
      <w:r>
        <w:rPr>
          <w:rFonts w:hint="eastAsia" w:ascii="宋体" w:hAnsi="宋体"/>
          <w:color w:val="auto"/>
          <w:sz w:val="24"/>
          <w:highlight w:val="none"/>
        </w:rPr>
        <w:t>（</w:t>
      </w:r>
      <w:r>
        <w:rPr>
          <w:rFonts w:hint="eastAsia" w:ascii="宋体" w:hAnsi="宋体"/>
          <w:color w:val="auto"/>
          <w:sz w:val="24"/>
          <w:highlight w:val="none"/>
          <w:u w:val="single"/>
        </w:rPr>
        <w:t xml:space="preserve">网址：       </w:t>
      </w:r>
      <w:r>
        <w:rPr>
          <w:rFonts w:hint="eastAsia" w:ascii="宋体" w:hAnsi="宋体"/>
          <w:color w:val="auto"/>
          <w:sz w:val="24"/>
          <w:highlight w:val="none"/>
        </w:rPr>
        <w:t>) “公告答疑”上发布。各投标人应随时关注发布的相关信息，否则由此引起的后果及损失由各投标人自行承担。</w:t>
      </w:r>
    </w:p>
    <w:p w14:paraId="2CCC38F0">
      <w:pPr>
        <w:pStyle w:val="5"/>
        <w:spacing w:line="430" w:lineRule="exact"/>
        <w:rPr>
          <w:color w:val="auto"/>
          <w:highlight w:val="none"/>
        </w:rPr>
      </w:pPr>
      <w:bookmarkStart w:id="20" w:name="_Toc488650768"/>
      <w:bookmarkStart w:id="21" w:name="_Toc487653339"/>
      <w:bookmarkStart w:id="22" w:name="_Toc487619421"/>
      <w:r>
        <w:rPr>
          <w:rFonts w:hint="eastAsia"/>
          <w:color w:val="auto"/>
          <w:highlight w:val="none"/>
        </w:rPr>
        <w:t>9</w:t>
      </w:r>
      <w:r>
        <w:rPr>
          <w:color w:val="auto"/>
          <w:highlight w:val="none"/>
        </w:rPr>
        <w:t>．</w:t>
      </w:r>
      <w:r>
        <w:rPr>
          <w:rFonts w:hint="eastAsia"/>
          <w:color w:val="auto"/>
          <w:highlight w:val="none"/>
        </w:rPr>
        <w:t>联系方式</w:t>
      </w:r>
      <w:bookmarkEnd w:id="20"/>
      <w:bookmarkEnd w:id="21"/>
      <w:bookmarkEnd w:id="22"/>
    </w:p>
    <w:p w14:paraId="206E3F67">
      <w:pPr>
        <w:pStyle w:val="13"/>
        <w:spacing w:line="360" w:lineRule="auto"/>
        <w:ind w:firstLine="482"/>
        <w:rPr>
          <w:rFonts w:hAnsi="宋体"/>
          <w:bCs/>
          <w:color w:val="auto"/>
          <w:sz w:val="24"/>
          <w:highlight w:val="none"/>
        </w:rPr>
      </w:pPr>
      <w:r>
        <w:rPr>
          <w:rFonts w:hint="eastAsia" w:hAnsi="宋体"/>
          <w:b/>
          <w:bCs/>
          <w:color w:val="auto"/>
          <w:sz w:val="24"/>
          <w:highlight w:val="none"/>
        </w:rPr>
        <w:t>招标人</w:t>
      </w:r>
      <w:r>
        <w:rPr>
          <w:rFonts w:hint="eastAsia" w:hAnsi="宋体"/>
          <w:color w:val="auto"/>
          <w:sz w:val="24"/>
          <w:highlight w:val="none"/>
        </w:rPr>
        <w:t>：</w:t>
      </w:r>
      <w:r>
        <w:rPr>
          <w:rFonts w:hint="eastAsia" w:hAnsi="宋体"/>
          <w:color w:val="auto"/>
          <w:sz w:val="24"/>
          <w:highlight w:val="none"/>
          <w:u w:val="single"/>
        </w:rPr>
        <w:t xml:space="preserve"> </w:t>
      </w:r>
      <w:r>
        <w:rPr>
          <w:rFonts w:hint="eastAsia" w:hAnsi="宋体"/>
          <w:bCs/>
          <w:color w:val="auto"/>
          <w:sz w:val="24"/>
          <w:highlight w:val="none"/>
          <w:u w:val="single"/>
        </w:rPr>
        <w:t xml:space="preserve">                              </w:t>
      </w:r>
      <w:r>
        <w:rPr>
          <w:rFonts w:hint="eastAsia" w:hAnsi="宋体"/>
          <w:bCs/>
          <w:color w:val="auto"/>
          <w:sz w:val="24"/>
          <w:highlight w:val="none"/>
        </w:rPr>
        <w:t xml:space="preserve">  </w:t>
      </w:r>
    </w:p>
    <w:p w14:paraId="1FAEECF9">
      <w:pPr>
        <w:pStyle w:val="13"/>
        <w:spacing w:line="360" w:lineRule="auto"/>
        <w:ind w:firstLine="480"/>
        <w:rPr>
          <w:rFonts w:hAnsi="宋体"/>
          <w:bCs/>
          <w:color w:val="auto"/>
          <w:sz w:val="24"/>
          <w:highlight w:val="none"/>
        </w:rPr>
      </w:pPr>
      <w:r>
        <w:rPr>
          <w:rFonts w:hint="eastAsia" w:hAnsi="宋体"/>
          <w:bCs/>
          <w:color w:val="auto"/>
          <w:sz w:val="24"/>
          <w:highlight w:val="none"/>
        </w:rPr>
        <w:t>地址：</w:t>
      </w:r>
      <w:r>
        <w:rPr>
          <w:rFonts w:hint="eastAsia" w:hAnsi="宋体"/>
          <w:bCs/>
          <w:color w:val="auto"/>
          <w:sz w:val="24"/>
          <w:highlight w:val="none"/>
          <w:u w:val="single"/>
        </w:rPr>
        <w:t xml:space="preserve">                                </w:t>
      </w:r>
      <w:r>
        <w:rPr>
          <w:rFonts w:hint="eastAsia" w:hAnsi="宋体"/>
          <w:b/>
          <w:color w:val="auto"/>
          <w:sz w:val="24"/>
          <w:highlight w:val="none"/>
          <w:u w:val="single"/>
        </w:rPr>
        <w:t xml:space="preserve"> </w:t>
      </w:r>
      <w:r>
        <w:rPr>
          <w:rFonts w:hint="eastAsia" w:hAnsi="宋体"/>
          <w:bCs/>
          <w:color w:val="auto"/>
          <w:sz w:val="24"/>
          <w:highlight w:val="none"/>
        </w:rPr>
        <w:t xml:space="preserve">  </w:t>
      </w:r>
    </w:p>
    <w:p w14:paraId="345BED2C">
      <w:pPr>
        <w:pStyle w:val="13"/>
        <w:spacing w:line="360" w:lineRule="auto"/>
        <w:ind w:firstLine="480"/>
        <w:rPr>
          <w:rFonts w:hAnsi="宋体"/>
          <w:bCs/>
          <w:color w:val="auto"/>
          <w:sz w:val="24"/>
          <w:highlight w:val="none"/>
        </w:rPr>
      </w:pPr>
      <w:r>
        <w:rPr>
          <w:rFonts w:hint="eastAsia" w:hAnsi="宋体"/>
          <w:bCs/>
          <w:color w:val="auto"/>
          <w:sz w:val="24"/>
          <w:highlight w:val="none"/>
        </w:rPr>
        <w:t>邮政编码：</w:t>
      </w:r>
      <w:r>
        <w:rPr>
          <w:rFonts w:hint="eastAsia" w:hAnsi="宋体"/>
          <w:bCs/>
          <w:color w:val="auto"/>
          <w:sz w:val="24"/>
          <w:highlight w:val="none"/>
          <w:u w:val="single"/>
        </w:rPr>
        <w:t xml:space="preserve">                             </w:t>
      </w:r>
      <w:r>
        <w:rPr>
          <w:rFonts w:hint="eastAsia" w:hAnsi="宋体"/>
          <w:bCs/>
          <w:color w:val="auto"/>
          <w:sz w:val="24"/>
          <w:highlight w:val="none"/>
        </w:rPr>
        <w:t xml:space="preserve">  </w:t>
      </w:r>
    </w:p>
    <w:p w14:paraId="09DFF3B3">
      <w:pPr>
        <w:pStyle w:val="13"/>
        <w:spacing w:line="360" w:lineRule="auto"/>
        <w:ind w:firstLine="480"/>
        <w:rPr>
          <w:rFonts w:hAnsi="宋体"/>
          <w:bCs/>
          <w:color w:val="auto"/>
          <w:sz w:val="24"/>
          <w:highlight w:val="none"/>
        </w:rPr>
      </w:pPr>
      <w:r>
        <w:rPr>
          <w:rFonts w:hint="eastAsia" w:hAnsi="宋体"/>
          <w:bCs/>
          <w:color w:val="auto"/>
          <w:sz w:val="24"/>
          <w:highlight w:val="none"/>
        </w:rPr>
        <w:t>联系人：</w:t>
      </w:r>
      <w:r>
        <w:rPr>
          <w:rFonts w:hint="eastAsia" w:hAnsi="宋体"/>
          <w:bCs/>
          <w:color w:val="auto"/>
          <w:sz w:val="24"/>
          <w:highlight w:val="none"/>
          <w:u w:val="single"/>
        </w:rPr>
        <w:t xml:space="preserve">                               </w:t>
      </w:r>
      <w:r>
        <w:rPr>
          <w:rFonts w:hint="eastAsia" w:hAnsi="宋体"/>
          <w:bCs/>
          <w:color w:val="auto"/>
          <w:sz w:val="24"/>
          <w:highlight w:val="none"/>
        </w:rPr>
        <w:t xml:space="preserve">  </w:t>
      </w:r>
    </w:p>
    <w:p w14:paraId="30D93AB0">
      <w:pPr>
        <w:pStyle w:val="13"/>
        <w:spacing w:line="360" w:lineRule="auto"/>
        <w:ind w:firstLine="480"/>
        <w:rPr>
          <w:rFonts w:hAnsi="宋体"/>
          <w:bCs/>
          <w:color w:val="auto"/>
          <w:sz w:val="24"/>
          <w:highlight w:val="none"/>
        </w:rPr>
      </w:pPr>
      <w:r>
        <w:rPr>
          <w:rFonts w:hint="eastAsia" w:hAnsi="宋体"/>
          <w:bCs/>
          <w:color w:val="auto"/>
          <w:sz w:val="24"/>
          <w:highlight w:val="none"/>
        </w:rPr>
        <w:t>电话：</w:t>
      </w:r>
      <w:r>
        <w:rPr>
          <w:rFonts w:hint="eastAsia" w:hAnsi="宋体"/>
          <w:bCs/>
          <w:color w:val="auto"/>
          <w:sz w:val="24"/>
          <w:highlight w:val="none"/>
          <w:u w:val="single"/>
        </w:rPr>
        <w:t xml:space="preserve">                                 </w:t>
      </w:r>
      <w:r>
        <w:rPr>
          <w:rFonts w:hint="eastAsia" w:hAnsi="宋体"/>
          <w:bCs/>
          <w:color w:val="auto"/>
          <w:sz w:val="24"/>
          <w:highlight w:val="none"/>
        </w:rPr>
        <w:t xml:space="preserve">  </w:t>
      </w:r>
    </w:p>
    <w:p w14:paraId="2ABE1222">
      <w:pPr>
        <w:spacing w:line="360" w:lineRule="auto"/>
        <w:ind w:firstLine="482" w:firstLineChars="200"/>
        <w:rPr>
          <w:rFonts w:ascii="宋体" w:hAnsi="宋体"/>
          <w:b/>
          <w:bCs/>
          <w:color w:val="auto"/>
          <w:sz w:val="24"/>
          <w:highlight w:val="none"/>
        </w:rPr>
      </w:pPr>
    </w:p>
    <w:p w14:paraId="1A6379AA">
      <w:pPr>
        <w:spacing w:line="360" w:lineRule="auto"/>
        <w:ind w:firstLine="482" w:firstLineChars="200"/>
        <w:rPr>
          <w:rFonts w:ascii="宋体" w:hAnsi="宋体"/>
          <w:bCs/>
          <w:color w:val="auto"/>
          <w:sz w:val="24"/>
          <w:highlight w:val="none"/>
        </w:rPr>
      </w:pPr>
      <w:r>
        <w:rPr>
          <w:rFonts w:hint="eastAsia" w:ascii="宋体" w:hAnsi="宋体"/>
          <w:b/>
          <w:bCs/>
          <w:color w:val="auto"/>
          <w:sz w:val="24"/>
          <w:highlight w:val="none"/>
        </w:rPr>
        <w:t>招标代理机构</w:t>
      </w:r>
      <w:r>
        <w:rPr>
          <w:rFonts w:hint="eastAsia" w:ascii="宋体" w:hAnsi="宋体"/>
          <w:color w:val="auto"/>
          <w:sz w:val="24"/>
          <w:highlight w:val="none"/>
        </w:rPr>
        <w:t>：</w:t>
      </w:r>
      <w:r>
        <w:rPr>
          <w:rFonts w:hint="eastAsia" w:ascii="宋体" w:hAnsi="宋体"/>
          <w:bCs/>
          <w:color w:val="auto"/>
          <w:sz w:val="24"/>
          <w:highlight w:val="none"/>
          <w:u w:val="single"/>
        </w:rPr>
        <w:t xml:space="preserve">                         </w:t>
      </w:r>
    </w:p>
    <w:p w14:paraId="762F6878">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地    址：</w:t>
      </w:r>
      <w:r>
        <w:rPr>
          <w:rFonts w:hint="eastAsia" w:ascii="宋体" w:hAnsi="宋体"/>
          <w:bCs/>
          <w:color w:val="auto"/>
          <w:sz w:val="24"/>
          <w:highlight w:val="none"/>
          <w:u w:val="single"/>
        </w:rPr>
        <w:t xml:space="preserve">                             </w:t>
      </w:r>
    </w:p>
    <w:p w14:paraId="687EAE8F">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邮政编码：</w:t>
      </w:r>
      <w:r>
        <w:rPr>
          <w:rFonts w:hint="eastAsia" w:ascii="宋体" w:hAnsi="宋体"/>
          <w:bCs/>
          <w:color w:val="auto"/>
          <w:sz w:val="24"/>
          <w:highlight w:val="none"/>
          <w:u w:val="single"/>
        </w:rPr>
        <w:t xml:space="preserve">                             </w:t>
      </w:r>
      <w:r>
        <w:rPr>
          <w:rFonts w:hint="eastAsia" w:ascii="宋体" w:hAnsi="宋体"/>
          <w:bCs/>
          <w:color w:val="auto"/>
          <w:sz w:val="24"/>
          <w:highlight w:val="none"/>
        </w:rPr>
        <w:t xml:space="preserve"> </w:t>
      </w:r>
    </w:p>
    <w:p w14:paraId="2A6DC676">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联系人：</w:t>
      </w:r>
      <w:r>
        <w:rPr>
          <w:rFonts w:hint="eastAsia" w:ascii="宋体" w:hAnsi="宋体"/>
          <w:bCs/>
          <w:color w:val="auto"/>
          <w:sz w:val="24"/>
          <w:highlight w:val="none"/>
          <w:u w:val="single"/>
        </w:rPr>
        <w:t xml:space="preserve">                               </w:t>
      </w:r>
      <w:r>
        <w:rPr>
          <w:rFonts w:hint="eastAsia" w:ascii="宋体" w:hAnsi="宋体"/>
          <w:bCs/>
          <w:color w:val="auto"/>
          <w:sz w:val="24"/>
          <w:highlight w:val="none"/>
        </w:rPr>
        <w:t xml:space="preserve"> </w:t>
      </w:r>
    </w:p>
    <w:p w14:paraId="1A1FB51F">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电   话：</w:t>
      </w:r>
      <w:r>
        <w:rPr>
          <w:rFonts w:hint="eastAsia" w:ascii="宋体" w:hAnsi="宋体"/>
          <w:bCs/>
          <w:color w:val="auto"/>
          <w:sz w:val="24"/>
          <w:highlight w:val="none"/>
          <w:u w:val="single"/>
        </w:rPr>
        <w:t xml:space="preserve">                              </w:t>
      </w:r>
      <w:r>
        <w:rPr>
          <w:rFonts w:hint="eastAsia" w:ascii="宋体" w:hAnsi="宋体"/>
          <w:bCs/>
          <w:color w:val="auto"/>
          <w:sz w:val="24"/>
          <w:highlight w:val="none"/>
        </w:rPr>
        <w:t xml:space="preserve"> </w:t>
      </w:r>
    </w:p>
    <w:p w14:paraId="3675DAEE">
      <w:pPr>
        <w:spacing w:line="360" w:lineRule="auto"/>
        <w:ind w:firstLine="482" w:firstLineChars="200"/>
        <w:rPr>
          <w:rFonts w:hAnsi="宋体"/>
          <w:b/>
          <w:color w:val="auto"/>
          <w:sz w:val="24"/>
          <w:highlight w:val="none"/>
        </w:rPr>
      </w:pPr>
    </w:p>
    <w:p w14:paraId="51961977">
      <w:pPr>
        <w:pStyle w:val="13"/>
        <w:spacing w:line="360" w:lineRule="auto"/>
        <w:ind w:firstLine="482"/>
        <w:rPr>
          <w:rFonts w:hAnsi="宋体"/>
          <w:b/>
          <w:color w:val="auto"/>
          <w:sz w:val="24"/>
          <w:highlight w:val="none"/>
        </w:rPr>
      </w:pPr>
      <w:r>
        <w:rPr>
          <w:rFonts w:hint="eastAsia" w:hAnsi="宋体"/>
          <w:b/>
          <w:color w:val="auto"/>
          <w:sz w:val="24"/>
          <w:highlight w:val="none"/>
        </w:rPr>
        <w:t>监督单位</w:t>
      </w:r>
      <w:r>
        <w:rPr>
          <w:rFonts w:hint="eastAsia" w:hAnsi="宋体"/>
          <w:color w:val="auto"/>
          <w:sz w:val="24"/>
          <w:highlight w:val="none"/>
        </w:rPr>
        <w:t>：</w:t>
      </w:r>
      <w:r>
        <w:rPr>
          <w:rFonts w:hint="eastAsia" w:hAnsi="宋体"/>
          <w:color w:val="auto"/>
          <w:sz w:val="24"/>
          <w:highlight w:val="none"/>
          <w:u w:val="single"/>
        </w:rPr>
        <w:t xml:space="preserve">                        </w:t>
      </w:r>
    </w:p>
    <w:p w14:paraId="33C771B4">
      <w:pPr>
        <w:pStyle w:val="13"/>
        <w:spacing w:line="360" w:lineRule="auto"/>
        <w:ind w:firstLine="482"/>
        <w:rPr>
          <w:rFonts w:hAnsi="宋体"/>
          <w:color w:val="auto"/>
          <w:sz w:val="24"/>
          <w:highlight w:val="none"/>
          <w:u w:val="single"/>
        </w:rPr>
      </w:pPr>
      <w:r>
        <w:rPr>
          <w:rFonts w:hint="eastAsia" w:hAnsi="宋体"/>
          <w:b/>
          <w:color w:val="auto"/>
          <w:sz w:val="24"/>
          <w:highlight w:val="none"/>
        </w:rPr>
        <w:t>联系电话：</w:t>
      </w:r>
      <w:r>
        <w:rPr>
          <w:rFonts w:hint="eastAsia" w:hAnsi="宋体"/>
          <w:color w:val="auto"/>
          <w:sz w:val="24"/>
          <w:highlight w:val="none"/>
          <w:u w:val="single"/>
        </w:rPr>
        <w:t xml:space="preserve">                         </w:t>
      </w:r>
    </w:p>
    <w:p w14:paraId="2F9C614F">
      <w:pPr>
        <w:spacing w:line="360" w:lineRule="exact"/>
        <w:ind w:firstLine="420" w:firstLineChars="200"/>
        <w:rPr>
          <w:rFonts w:hAnsi="宋体" w:cs="黑体"/>
          <w:bCs/>
          <w:color w:val="auto"/>
          <w:szCs w:val="21"/>
          <w:highlight w:val="none"/>
        </w:rPr>
      </w:pPr>
    </w:p>
    <w:p w14:paraId="2B8A328F">
      <w:pPr>
        <w:spacing w:line="360" w:lineRule="exact"/>
        <w:ind w:firstLine="420" w:firstLineChars="200"/>
        <w:rPr>
          <w:rFonts w:hAnsi="宋体" w:cs="黑体"/>
          <w:bCs/>
          <w:color w:val="auto"/>
          <w:szCs w:val="21"/>
          <w:highlight w:val="none"/>
          <w:u w:val="single"/>
        </w:rPr>
      </w:pPr>
      <w:r>
        <w:rPr>
          <w:rFonts w:hint="eastAsia" w:hAnsi="宋体" w:cs="黑体"/>
          <w:bCs/>
          <w:color w:val="auto"/>
          <w:szCs w:val="21"/>
          <w:highlight w:val="none"/>
        </w:rPr>
        <w:t>电子交易平台联系电话</w:t>
      </w:r>
      <w:r>
        <w:rPr>
          <w:rFonts w:hint="eastAsia" w:hAnsi="宋体" w:cs="黑体"/>
          <w:bCs/>
          <w:color w:val="auto"/>
          <w:szCs w:val="21"/>
          <w:highlight w:val="none"/>
          <w:u w:val="single"/>
        </w:rPr>
        <w:t>：_________________________</w:t>
      </w:r>
    </w:p>
    <w:p w14:paraId="6B42825C">
      <w:pPr>
        <w:spacing w:line="430" w:lineRule="exact"/>
        <w:ind w:left="315" w:leftChars="150" w:firstLine="465" w:firstLineChars="194"/>
        <w:rPr>
          <w:rFonts w:ascii="宋体" w:hAnsi="宋体"/>
          <w:color w:val="auto"/>
          <w:sz w:val="24"/>
          <w:highlight w:val="none"/>
        </w:rPr>
      </w:pPr>
    </w:p>
    <w:p w14:paraId="22117B00">
      <w:pPr>
        <w:spacing w:line="430" w:lineRule="exact"/>
        <w:ind w:left="315" w:leftChars="150" w:firstLine="465" w:firstLineChars="194"/>
        <w:rPr>
          <w:color w:val="auto"/>
          <w:highlight w:val="none"/>
        </w:rPr>
      </w:pPr>
      <w:r>
        <w:rPr>
          <w:rFonts w:ascii="宋体" w:hAnsi="宋体"/>
          <w:color w:val="auto"/>
          <w:sz w:val="24"/>
          <w:highlight w:val="none"/>
        </w:rPr>
        <w:t xml:space="preserve">                                </w:t>
      </w:r>
      <w:r>
        <w:rPr>
          <w:rFonts w:ascii="宋体" w:hAnsi="宋体"/>
          <w:color w:val="auto"/>
          <w:spacing w:val="210"/>
          <w:kern w:val="0"/>
          <w:sz w:val="24"/>
          <w:highlight w:val="none"/>
        </w:rPr>
        <w:t>日</w:t>
      </w:r>
      <w:r>
        <w:rPr>
          <w:rFonts w:ascii="宋体" w:hAnsi="宋体"/>
          <w:color w:val="auto"/>
          <w:kern w:val="0"/>
          <w:sz w:val="24"/>
          <w:highlight w:val="none"/>
        </w:rPr>
        <w:t>期</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rPr>
        <w:t xml:space="preserve">日 </w:t>
      </w:r>
    </w:p>
    <w:p w14:paraId="2996CCBB">
      <w:pPr>
        <w:pStyle w:val="4"/>
        <w:pageBreakBefore/>
        <w:rPr>
          <w:color w:val="auto"/>
          <w:highlight w:val="none"/>
        </w:rPr>
      </w:pPr>
      <w:bookmarkStart w:id="23" w:name="_Toc488650769"/>
      <w:r>
        <w:rPr>
          <w:rFonts w:hint="eastAsia"/>
          <w:color w:val="auto"/>
          <w:highlight w:val="none"/>
        </w:rPr>
        <w:t>第二章  投标人须知</w:t>
      </w:r>
      <w:bookmarkEnd w:id="23"/>
    </w:p>
    <w:p w14:paraId="2AE4C309">
      <w:pPr>
        <w:pStyle w:val="5"/>
        <w:spacing w:before="0" w:after="120"/>
        <w:jc w:val="center"/>
        <w:rPr>
          <w:color w:val="auto"/>
          <w:highlight w:val="none"/>
        </w:rPr>
      </w:pPr>
      <w:bookmarkStart w:id="24" w:name="_Toc487291452"/>
      <w:bookmarkStart w:id="25" w:name="_Toc488650770"/>
      <w:r>
        <w:rPr>
          <w:rFonts w:hint="eastAsia"/>
          <w:color w:val="auto"/>
          <w:highlight w:val="none"/>
        </w:rPr>
        <w:t>投标人须知前附表</w:t>
      </w:r>
      <w:bookmarkEnd w:id="24"/>
      <w:bookmarkEnd w:id="25"/>
    </w:p>
    <w:p w14:paraId="6B7C5936">
      <w:pPr>
        <w:jc w:val="left"/>
        <w:rPr>
          <w:color w:val="auto"/>
          <w:highlight w:val="none"/>
        </w:rPr>
      </w:pPr>
      <w:r>
        <w:rPr>
          <w:rFonts w:hint="eastAsia"/>
          <w:color w:val="auto"/>
          <w:highlight w:val="none"/>
        </w:rPr>
        <w:t>说明：投标人须知前附表是投标人须知的修改和补充，不一致的以前附表内容为准。</w:t>
      </w:r>
    </w:p>
    <w:tbl>
      <w:tblPr>
        <w:tblStyle w:val="44"/>
        <w:tblW w:w="960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880"/>
        <w:gridCol w:w="5718"/>
      </w:tblGrid>
      <w:tr w14:paraId="06EBA0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008" w:type="dxa"/>
            <w:vAlign w:val="center"/>
          </w:tcPr>
          <w:p w14:paraId="2B03A77A">
            <w:pPr>
              <w:spacing w:line="360" w:lineRule="exact"/>
              <w:jc w:val="center"/>
              <w:rPr>
                <w:b/>
                <w:color w:val="auto"/>
                <w:sz w:val="24"/>
                <w:highlight w:val="none"/>
              </w:rPr>
            </w:pPr>
            <w:r>
              <w:rPr>
                <w:rFonts w:hint="eastAsia"/>
                <w:b/>
                <w:color w:val="auto"/>
                <w:sz w:val="24"/>
                <w:highlight w:val="none"/>
              </w:rPr>
              <w:t>条款号</w:t>
            </w:r>
          </w:p>
        </w:tc>
        <w:tc>
          <w:tcPr>
            <w:tcW w:w="2880" w:type="dxa"/>
            <w:vAlign w:val="center"/>
          </w:tcPr>
          <w:p w14:paraId="248DAC09">
            <w:pPr>
              <w:spacing w:line="360" w:lineRule="exact"/>
              <w:jc w:val="center"/>
              <w:rPr>
                <w:b/>
                <w:color w:val="auto"/>
                <w:sz w:val="24"/>
                <w:highlight w:val="none"/>
              </w:rPr>
            </w:pPr>
            <w:r>
              <w:rPr>
                <w:rFonts w:hint="eastAsia"/>
                <w:b/>
                <w:color w:val="auto"/>
                <w:sz w:val="24"/>
                <w:highlight w:val="none"/>
              </w:rPr>
              <w:t>条 款 名 称</w:t>
            </w:r>
          </w:p>
        </w:tc>
        <w:tc>
          <w:tcPr>
            <w:tcW w:w="5718" w:type="dxa"/>
            <w:vAlign w:val="center"/>
          </w:tcPr>
          <w:p w14:paraId="1BDEF26A">
            <w:pPr>
              <w:spacing w:line="360" w:lineRule="exact"/>
              <w:jc w:val="center"/>
              <w:rPr>
                <w:b/>
                <w:color w:val="auto"/>
                <w:sz w:val="24"/>
                <w:highlight w:val="none"/>
              </w:rPr>
            </w:pPr>
            <w:r>
              <w:rPr>
                <w:rFonts w:hint="eastAsia"/>
                <w:b/>
                <w:color w:val="auto"/>
                <w:sz w:val="24"/>
                <w:highlight w:val="none"/>
              </w:rPr>
              <w:t>编 列 内 容</w:t>
            </w:r>
          </w:p>
        </w:tc>
      </w:tr>
      <w:tr w14:paraId="3E5C74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008" w:type="dxa"/>
            <w:vAlign w:val="center"/>
          </w:tcPr>
          <w:p w14:paraId="142C8473">
            <w:pPr>
              <w:spacing w:line="360" w:lineRule="exact"/>
              <w:jc w:val="center"/>
              <w:rPr>
                <w:color w:val="auto"/>
                <w:szCs w:val="21"/>
                <w:highlight w:val="none"/>
              </w:rPr>
            </w:pPr>
            <w:r>
              <w:rPr>
                <w:color w:val="auto"/>
                <w:szCs w:val="21"/>
                <w:highlight w:val="none"/>
              </w:rPr>
              <w:t>1.1.2</w:t>
            </w:r>
          </w:p>
        </w:tc>
        <w:tc>
          <w:tcPr>
            <w:tcW w:w="2880" w:type="dxa"/>
            <w:vAlign w:val="center"/>
          </w:tcPr>
          <w:p w14:paraId="1D57837C">
            <w:pPr>
              <w:spacing w:line="360" w:lineRule="exact"/>
              <w:jc w:val="center"/>
              <w:rPr>
                <w:color w:val="auto"/>
                <w:szCs w:val="21"/>
                <w:highlight w:val="none"/>
              </w:rPr>
            </w:pPr>
            <w:r>
              <w:rPr>
                <w:color w:val="auto"/>
                <w:szCs w:val="21"/>
                <w:highlight w:val="none"/>
              </w:rPr>
              <w:t>招标人</w:t>
            </w:r>
          </w:p>
        </w:tc>
        <w:tc>
          <w:tcPr>
            <w:tcW w:w="5718" w:type="dxa"/>
            <w:vAlign w:val="center"/>
          </w:tcPr>
          <w:p w14:paraId="792FBEC6">
            <w:pPr>
              <w:tabs>
                <w:tab w:val="left" w:pos="480"/>
              </w:tabs>
              <w:adjustRightInd w:val="0"/>
              <w:snapToGrid w:val="0"/>
              <w:spacing w:line="324" w:lineRule="auto"/>
              <w:ind w:firstLine="420" w:firstLineChars="200"/>
              <w:rPr>
                <w:rFonts w:ascii="宋体" w:hAnsi="宋体" w:cs="宋体"/>
                <w:snapToGrid w:val="0"/>
                <w:color w:val="auto"/>
                <w:kern w:val="0"/>
                <w:szCs w:val="21"/>
                <w:highlight w:val="none"/>
                <w:u w:val="single"/>
              </w:rPr>
            </w:pPr>
            <w:r>
              <w:rPr>
                <w:rFonts w:hint="eastAsia" w:ascii="宋体" w:hAnsi="宋体" w:cs="宋体"/>
                <w:snapToGrid w:val="0"/>
                <w:color w:val="auto"/>
                <w:kern w:val="0"/>
                <w:szCs w:val="21"/>
                <w:highlight w:val="none"/>
              </w:rPr>
              <w:t>招标人：</w:t>
            </w:r>
            <w:r>
              <w:rPr>
                <w:rFonts w:hint="eastAsia" w:ascii="宋体" w:hAnsi="宋体" w:cs="宋体"/>
                <w:snapToGrid w:val="0"/>
                <w:color w:val="auto"/>
                <w:kern w:val="0"/>
                <w:szCs w:val="21"/>
                <w:highlight w:val="none"/>
                <w:u w:val="single"/>
              </w:rPr>
              <w:t xml:space="preserve">                                 </w:t>
            </w:r>
          </w:p>
          <w:p w14:paraId="7BD59C79">
            <w:pPr>
              <w:tabs>
                <w:tab w:val="left" w:pos="480"/>
              </w:tabs>
              <w:adjustRightInd w:val="0"/>
              <w:snapToGrid w:val="0"/>
              <w:spacing w:line="324"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地址：</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 xml:space="preserve">                  </w:t>
            </w:r>
          </w:p>
          <w:p w14:paraId="17AE5FBB">
            <w:pPr>
              <w:tabs>
                <w:tab w:val="left" w:pos="480"/>
              </w:tabs>
              <w:adjustRightInd w:val="0"/>
              <w:snapToGrid w:val="0"/>
              <w:spacing w:line="324" w:lineRule="auto"/>
              <w:ind w:firstLine="420" w:firstLineChars="200"/>
              <w:rPr>
                <w:rFonts w:ascii="宋体" w:hAnsi="宋体" w:cs="宋体"/>
                <w:snapToGrid w:val="0"/>
                <w:color w:val="auto"/>
                <w:kern w:val="0"/>
                <w:szCs w:val="21"/>
                <w:highlight w:val="none"/>
                <w:u w:val="single"/>
              </w:rPr>
            </w:pPr>
            <w:r>
              <w:rPr>
                <w:rFonts w:hint="eastAsia" w:ascii="宋体" w:hAnsi="宋体" w:cs="宋体"/>
                <w:snapToGrid w:val="0"/>
                <w:color w:val="auto"/>
                <w:kern w:val="0"/>
                <w:szCs w:val="21"/>
                <w:highlight w:val="none"/>
              </w:rPr>
              <w:t>联系人：</w:t>
            </w:r>
            <w:r>
              <w:rPr>
                <w:rFonts w:hint="eastAsia" w:ascii="宋体" w:hAnsi="宋体" w:cs="宋体"/>
                <w:snapToGrid w:val="0"/>
                <w:color w:val="auto"/>
                <w:kern w:val="0"/>
                <w:szCs w:val="21"/>
                <w:highlight w:val="none"/>
                <w:u w:val="single"/>
              </w:rPr>
              <w:t xml:space="preserve">                   </w:t>
            </w:r>
          </w:p>
          <w:p w14:paraId="26E70B92">
            <w:pPr>
              <w:tabs>
                <w:tab w:val="left" w:pos="480"/>
              </w:tabs>
              <w:adjustRightInd w:val="0"/>
              <w:snapToGrid w:val="0"/>
              <w:spacing w:line="324" w:lineRule="auto"/>
              <w:ind w:firstLine="420" w:firstLineChars="200"/>
              <w:rPr>
                <w:rFonts w:ascii="宋体" w:hAnsi="宋体" w:cs="宋体"/>
                <w:snapToGrid w:val="0"/>
                <w:color w:val="auto"/>
                <w:kern w:val="0"/>
                <w:szCs w:val="21"/>
                <w:highlight w:val="none"/>
                <w:u w:val="single"/>
              </w:rPr>
            </w:pPr>
            <w:r>
              <w:rPr>
                <w:rFonts w:hint="eastAsia" w:ascii="宋体" w:hAnsi="宋体" w:cs="宋体"/>
                <w:snapToGrid w:val="0"/>
                <w:color w:val="auto"/>
                <w:kern w:val="0"/>
                <w:szCs w:val="21"/>
                <w:highlight w:val="none"/>
              </w:rPr>
              <w:t>电话：</w:t>
            </w:r>
            <w:r>
              <w:rPr>
                <w:rFonts w:hint="eastAsia" w:ascii="宋体" w:hAnsi="宋体" w:cs="宋体"/>
                <w:snapToGrid w:val="0"/>
                <w:color w:val="auto"/>
                <w:kern w:val="0"/>
                <w:szCs w:val="21"/>
                <w:highlight w:val="none"/>
                <w:u w:val="single"/>
              </w:rPr>
              <w:t xml:space="preserve">                     </w:t>
            </w:r>
          </w:p>
          <w:p w14:paraId="7FB982CF">
            <w:pPr>
              <w:tabs>
                <w:tab w:val="left" w:pos="480"/>
              </w:tabs>
              <w:adjustRightInd w:val="0"/>
              <w:snapToGrid w:val="0"/>
              <w:spacing w:line="324" w:lineRule="auto"/>
              <w:ind w:firstLine="420" w:firstLineChars="200"/>
              <w:rPr>
                <w:rFonts w:ascii="宋体" w:hAnsi="宋体" w:cs="宋体"/>
                <w:color w:val="auto"/>
                <w:szCs w:val="21"/>
                <w:highlight w:val="none"/>
                <w:u w:val="single"/>
              </w:rPr>
            </w:pPr>
            <w:r>
              <w:rPr>
                <w:rFonts w:hint="eastAsia" w:ascii="宋体" w:hAnsi="宋体" w:cs="宋体"/>
                <w:snapToGrid w:val="0"/>
                <w:color w:val="auto"/>
                <w:kern w:val="0"/>
                <w:szCs w:val="21"/>
                <w:highlight w:val="none"/>
              </w:rPr>
              <w:t>传真：</w:t>
            </w:r>
            <w:r>
              <w:rPr>
                <w:rFonts w:hint="eastAsia" w:ascii="宋体" w:hAnsi="宋体" w:cs="宋体"/>
                <w:snapToGrid w:val="0"/>
                <w:color w:val="auto"/>
                <w:kern w:val="0"/>
                <w:szCs w:val="21"/>
                <w:highlight w:val="none"/>
                <w:u w:val="single"/>
              </w:rPr>
              <w:t xml:space="preserve">                     </w:t>
            </w:r>
          </w:p>
        </w:tc>
      </w:tr>
      <w:tr w14:paraId="3FC902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008" w:type="dxa"/>
            <w:vAlign w:val="center"/>
          </w:tcPr>
          <w:p w14:paraId="67B6507B">
            <w:pPr>
              <w:spacing w:line="360" w:lineRule="exact"/>
              <w:jc w:val="center"/>
              <w:rPr>
                <w:color w:val="auto"/>
                <w:szCs w:val="21"/>
                <w:highlight w:val="none"/>
              </w:rPr>
            </w:pPr>
            <w:r>
              <w:rPr>
                <w:color w:val="auto"/>
                <w:szCs w:val="21"/>
                <w:highlight w:val="none"/>
              </w:rPr>
              <w:t>1.1.3</w:t>
            </w:r>
          </w:p>
        </w:tc>
        <w:tc>
          <w:tcPr>
            <w:tcW w:w="2880" w:type="dxa"/>
            <w:vAlign w:val="center"/>
          </w:tcPr>
          <w:p w14:paraId="136E9208">
            <w:pPr>
              <w:spacing w:line="360" w:lineRule="exact"/>
              <w:jc w:val="center"/>
              <w:rPr>
                <w:color w:val="auto"/>
                <w:szCs w:val="21"/>
                <w:highlight w:val="none"/>
              </w:rPr>
            </w:pPr>
            <w:r>
              <w:rPr>
                <w:color w:val="auto"/>
                <w:szCs w:val="21"/>
                <w:highlight w:val="none"/>
              </w:rPr>
              <w:t>招标代理机构</w:t>
            </w:r>
          </w:p>
        </w:tc>
        <w:tc>
          <w:tcPr>
            <w:tcW w:w="5718" w:type="dxa"/>
            <w:vAlign w:val="center"/>
          </w:tcPr>
          <w:p w14:paraId="7FDC547A">
            <w:pPr>
              <w:tabs>
                <w:tab w:val="left" w:pos="480"/>
              </w:tabs>
              <w:adjustRightInd w:val="0"/>
              <w:snapToGrid w:val="0"/>
              <w:spacing w:line="324" w:lineRule="auto"/>
              <w:ind w:firstLine="420" w:firstLineChars="200"/>
              <w:rPr>
                <w:rFonts w:ascii="宋体" w:hAnsi="宋体" w:cs="宋体"/>
                <w:snapToGrid w:val="0"/>
                <w:color w:val="auto"/>
                <w:kern w:val="0"/>
                <w:szCs w:val="21"/>
                <w:highlight w:val="none"/>
                <w:u w:val="single"/>
              </w:rPr>
            </w:pPr>
            <w:r>
              <w:rPr>
                <w:rFonts w:hint="eastAsia" w:ascii="宋体" w:hAnsi="宋体" w:cs="宋体"/>
                <w:snapToGrid w:val="0"/>
                <w:color w:val="auto"/>
                <w:kern w:val="0"/>
                <w:szCs w:val="21"/>
                <w:highlight w:val="none"/>
              </w:rPr>
              <w:t>招标代理机构：</w:t>
            </w:r>
            <w:r>
              <w:rPr>
                <w:rFonts w:hint="eastAsia" w:ascii="宋体" w:hAnsi="宋体" w:cs="宋体"/>
                <w:snapToGrid w:val="0"/>
                <w:color w:val="auto"/>
                <w:kern w:val="0"/>
                <w:szCs w:val="21"/>
                <w:highlight w:val="none"/>
                <w:u w:val="single"/>
              </w:rPr>
              <w:t xml:space="preserve">                           </w:t>
            </w:r>
          </w:p>
          <w:p w14:paraId="687AE1F5">
            <w:pPr>
              <w:tabs>
                <w:tab w:val="left" w:pos="480"/>
              </w:tabs>
              <w:adjustRightInd w:val="0"/>
              <w:snapToGrid w:val="0"/>
              <w:spacing w:line="324" w:lineRule="auto"/>
              <w:ind w:firstLine="420" w:firstLineChars="200"/>
              <w:rPr>
                <w:rFonts w:ascii="宋体" w:hAnsi="宋体" w:cs="宋体"/>
                <w:snapToGrid w:val="0"/>
                <w:color w:val="auto"/>
                <w:kern w:val="0"/>
                <w:szCs w:val="21"/>
                <w:highlight w:val="none"/>
                <w:u w:val="single"/>
              </w:rPr>
            </w:pPr>
            <w:r>
              <w:rPr>
                <w:rFonts w:hint="eastAsia" w:ascii="宋体" w:hAnsi="宋体" w:cs="宋体"/>
                <w:snapToGrid w:val="0"/>
                <w:color w:val="auto"/>
                <w:kern w:val="0"/>
                <w:szCs w:val="21"/>
                <w:highlight w:val="none"/>
              </w:rPr>
              <w:t>地址：</w:t>
            </w:r>
            <w:r>
              <w:rPr>
                <w:rFonts w:hint="eastAsia" w:ascii="宋体" w:hAnsi="宋体" w:cs="宋体"/>
                <w:snapToGrid w:val="0"/>
                <w:color w:val="auto"/>
                <w:kern w:val="0"/>
                <w:szCs w:val="21"/>
                <w:highlight w:val="none"/>
                <w:u w:val="single"/>
              </w:rPr>
              <w:t xml:space="preserve">                                   </w:t>
            </w:r>
          </w:p>
          <w:p w14:paraId="3F7F93F8">
            <w:pPr>
              <w:tabs>
                <w:tab w:val="left" w:pos="480"/>
              </w:tabs>
              <w:adjustRightInd w:val="0"/>
              <w:snapToGrid w:val="0"/>
              <w:spacing w:line="324"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联系人：</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 xml:space="preserve">       </w:t>
            </w:r>
          </w:p>
          <w:p w14:paraId="549A0EB5">
            <w:pPr>
              <w:tabs>
                <w:tab w:val="left" w:pos="480"/>
              </w:tabs>
              <w:adjustRightInd w:val="0"/>
              <w:snapToGrid w:val="0"/>
              <w:spacing w:line="324"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电话：</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 xml:space="preserve">      </w:t>
            </w:r>
          </w:p>
          <w:p w14:paraId="3275D0EC">
            <w:pPr>
              <w:tabs>
                <w:tab w:val="left" w:pos="480"/>
              </w:tabs>
              <w:adjustRightInd w:val="0"/>
              <w:snapToGrid w:val="0"/>
              <w:spacing w:line="324"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传真：</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 xml:space="preserve"> </w:t>
            </w:r>
          </w:p>
          <w:p w14:paraId="5F5C34E8">
            <w:pPr>
              <w:tabs>
                <w:tab w:val="left" w:pos="480"/>
              </w:tabs>
              <w:adjustRightInd w:val="0"/>
              <w:snapToGrid w:val="0"/>
              <w:spacing w:line="324" w:lineRule="auto"/>
              <w:ind w:firstLine="420" w:firstLineChars="200"/>
              <w:rPr>
                <w:rFonts w:ascii="宋体" w:hAnsi="宋体" w:cs="宋体"/>
                <w:color w:val="auto"/>
                <w:szCs w:val="21"/>
                <w:highlight w:val="none"/>
                <w:u w:val="single"/>
              </w:rPr>
            </w:pPr>
            <w:r>
              <w:rPr>
                <w:rFonts w:hint="eastAsia" w:ascii="宋体" w:hAnsi="宋体" w:cs="宋体"/>
                <w:snapToGrid w:val="0"/>
                <w:color w:val="auto"/>
                <w:kern w:val="0"/>
                <w:szCs w:val="21"/>
                <w:highlight w:val="none"/>
              </w:rPr>
              <w:t>电子邮箱：</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 xml:space="preserve"> </w:t>
            </w:r>
          </w:p>
        </w:tc>
      </w:tr>
      <w:tr w14:paraId="2510E9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08" w:type="dxa"/>
            <w:vAlign w:val="center"/>
          </w:tcPr>
          <w:p w14:paraId="07A52906">
            <w:pPr>
              <w:pStyle w:val="42"/>
              <w:spacing w:line="360" w:lineRule="exact"/>
              <w:ind w:firstLine="0" w:firstLineChars="0"/>
              <w:jc w:val="center"/>
              <w:rPr>
                <w:color w:val="auto"/>
                <w:szCs w:val="21"/>
                <w:highlight w:val="none"/>
              </w:rPr>
            </w:pPr>
            <w:r>
              <w:rPr>
                <w:rFonts w:hint="eastAsia"/>
                <w:color w:val="auto"/>
                <w:szCs w:val="21"/>
                <w:highlight w:val="none"/>
              </w:rPr>
              <w:t>1.1.4</w:t>
            </w:r>
          </w:p>
        </w:tc>
        <w:tc>
          <w:tcPr>
            <w:tcW w:w="2880" w:type="dxa"/>
            <w:vAlign w:val="center"/>
          </w:tcPr>
          <w:p w14:paraId="1EE66AA4">
            <w:pPr>
              <w:spacing w:line="360" w:lineRule="exact"/>
              <w:jc w:val="center"/>
              <w:rPr>
                <w:color w:val="auto"/>
                <w:szCs w:val="21"/>
                <w:highlight w:val="none"/>
              </w:rPr>
            </w:pPr>
            <w:r>
              <w:rPr>
                <w:rFonts w:hint="eastAsia"/>
                <w:color w:val="auto"/>
                <w:szCs w:val="21"/>
                <w:highlight w:val="none"/>
              </w:rPr>
              <w:t>项目名称</w:t>
            </w:r>
          </w:p>
        </w:tc>
        <w:tc>
          <w:tcPr>
            <w:tcW w:w="5718" w:type="dxa"/>
            <w:vAlign w:val="center"/>
          </w:tcPr>
          <w:p w14:paraId="6C9F8D6D">
            <w:pPr>
              <w:spacing w:line="324" w:lineRule="auto"/>
              <w:ind w:firstLine="420" w:firstLineChars="200"/>
              <w:rPr>
                <w:rFonts w:ascii="宋体" w:hAnsi="宋体" w:cs="宋体"/>
                <w:color w:val="auto"/>
                <w:kern w:val="32"/>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施工监理</w:t>
            </w:r>
          </w:p>
        </w:tc>
      </w:tr>
      <w:tr w14:paraId="70A51C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08" w:type="dxa"/>
            <w:vAlign w:val="center"/>
          </w:tcPr>
          <w:p w14:paraId="4932D8C4">
            <w:pPr>
              <w:pStyle w:val="42"/>
              <w:spacing w:line="360" w:lineRule="exact"/>
              <w:ind w:firstLine="0" w:firstLineChars="0"/>
              <w:jc w:val="center"/>
              <w:rPr>
                <w:color w:val="auto"/>
                <w:szCs w:val="21"/>
                <w:highlight w:val="none"/>
              </w:rPr>
            </w:pPr>
            <w:r>
              <w:rPr>
                <w:rFonts w:hint="eastAsia"/>
                <w:color w:val="auto"/>
                <w:szCs w:val="21"/>
                <w:highlight w:val="none"/>
              </w:rPr>
              <w:t>1.1.5</w:t>
            </w:r>
          </w:p>
        </w:tc>
        <w:tc>
          <w:tcPr>
            <w:tcW w:w="2880" w:type="dxa"/>
            <w:vAlign w:val="center"/>
          </w:tcPr>
          <w:p w14:paraId="7A125BD2">
            <w:pPr>
              <w:spacing w:line="360" w:lineRule="exact"/>
              <w:jc w:val="center"/>
              <w:rPr>
                <w:color w:val="auto"/>
                <w:szCs w:val="21"/>
                <w:highlight w:val="none"/>
              </w:rPr>
            </w:pPr>
            <w:r>
              <w:rPr>
                <w:rFonts w:hint="eastAsia"/>
                <w:color w:val="auto"/>
                <w:szCs w:val="21"/>
                <w:highlight w:val="none"/>
              </w:rPr>
              <w:t>建设地点</w:t>
            </w:r>
          </w:p>
        </w:tc>
        <w:tc>
          <w:tcPr>
            <w:tcW w:w="5718" w:type="dxa"/>
            <w:vAlign w:val="center"/>
          </w:tcPr>
          <w:p w14:paraId="268EA6F1">
            <w:pPr>
              <w:spacing w:line="324" w:lineRule="auto"/>
              <w:ind w:firstLine="420" w:firstLineChars="200"/>
              <w:rPr>
                <w:rFonts w:ascii="宋体" w:hAnsi="宋体" w:cs="宋体"/>
                <w:color w:val="auto"/>
                <w:szCs w:val="21"/>
                <w:highlight w:val="none"/>
              </w:rPr>
            </w:pPr>
          </w:p>
        </w:tc>
      </w:tr>
      <w:tr w14:paraId="7ED6C2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08" w:type="dxa"/>
            <w:vAlign w:val="center"/>
          </w:tcPr>
          <w:p w14:paraId="596825B9">
            <w:pPr>
              <w:pStyle w:val="42"/>
              <w:spacing w:line="360" w:lineRule="exact"/>
              <w:ind w:firstLine="0" w:firstLineChars="0"/>
              <w:jc w:val="center"/>
              <w:rPr>
                <w:color w:val="auto"/>
                <w:szCs w:val="21"/>
                <w:highlight w:val="none"/>
              </w:rPr>
            </w:pPr>
            <w:r>
              <w:rPr>
                <w:rFonts w:hint="eastAsia"/>
                <w:color w:val="auto"/>
                <w:szCs w:val="21"/>
                <w:highlight w:val="none"/>
              </w:rPr>
              <w:t>1.1.6</w:t>
            </w:r>
          </w:p>
        </w:tc>
        <w:tc>
          <w:tcPr>
            <w:tcW w:w="2880" w:type="dxa"/>
            <w:vAlign w:val="center"/>
          </w:tcPr>
          <w:p w14:paraId="7886A556">
            <w:pPr>
              <w:spacing w:line="360" w:lineRule="exact"/>
              <w:jc w:val="center"/>
              <w:rPr>
                <w:color w:val="auto"/>
                <w:szCs w:val="21"/>
                <w:highlight w:val="none"/>
              </w:rPr>
            </w:pPr>
            <w:r>
              <w:rPr>
                <w:rFonts w:hint="eastAsia"/>
                <w:color w:val="auto"/>
                <w:szCs w:val="21"/>
                <w:highlight w:val="none"/>
              </w:rPr>
              <w:t>规模</w:t>
            </w:r>
          </w:p>
        </w:tc>
        <w:tc>
          <w:tcPr>
            <w:tcW w:w="5718" w:type="dxa"/>
            <w:vAlign w:val="center"/>
          </w:tcPr>
          <w:p w14:paraId="77539ACA">
            <w:pPr>
              <w:spacing w:line="324" w:lineRule="auto"/>
              <w:ind w:firstLine="420" w:firstLineChars="200"/>
              <w:rPr>
                <w:rFonts w:ascii="宋体" w:hAnsi="宋体" w:cs="宋体"/>
                <w:color w:val="auto"/>
                <w:szCs w:val="21"/>
                <w:highlight w:val="none"/>
              </w:rPr>
            </w:pPr>
          </w:p>
        </w:tc>
      </w:tr>
      <w:tr w14:paraId="758C18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008" w:type="dxa"/>
            <w:vAlign w:val="center"/>
          </w:tcPr>
          <w:p w14:paraId="19F16FF8">
            <w:pPr>
              <w:pStyle w:val="42"/>
              <w:spacing w:line="360" w:lineRule="exact"/>
              <w:ind w:firstLine="0" w:firstLineChars="0"/>
              <w:jc w:val="center"/>
              <w:rPr>
                <w:color w:val="auto"/>
                <w:szCs w:val="21"/>
                <w:highlight w:val="none"/>
              </w:rPr>
            </w:pPr>
            <w:r>
              <w:rPr>
                <w:rFonts w:hint="eastAsia"/>
                <w:color w:val="auto"/>
                <w:szCs w:val="21"/>
                <w:highlight w:val="none"/>
              </w:rPr>
              <w:t>1.2.1</w:t>
            </w:r>
          </w:p>
        </w:tc>
        <w:tc>
          <w:tcPr>
            <w:tcW w:w="2880" w:type="dxa"/>
            <w:vAlign w:val="center"/>
          </w:tcPr>
          <w:p w14:paraId="3CE01126">
            <w:pPr>
              <w:spacing w:line="360" w:lineRule="exact"/>
              <w:jc w:val="center"/>
              <w:rPr>
                <w:color w:val="auto"/>
                <w:szCs w:val="21"/>
                <w:highlight w:val="none"/>
              </w:rPr>
            </w:pPr>
            <w:r>
              <w:rPr>
                <w:rFonts w:hint="eastAsia"/>
                <w:color w:val="auto"/>
                <w:szCs w:val="21"/>
                <w:highlight w:val="none"/>
              </w:rPr>
              <w:t>资金来源</w:t>
            </w:r>
          </w:p>
        </w:tc>
        <w:tc>
          <w:tcPr>
            <w:tcW w:w="5718" w:type="dxa"/>
            <w:vAlign w:val="center"/>
          </w:tcPr>
          <w:p w14:paraId="5CA6218E">
            <w:pPr>
              <w:pStyle w:val="42"/>
              <w:spacing w:line="324" w:lineRule="auto"/>
              <w:ind w:firstLineChars="200"/>
              <w:rPr>
                <w:rFonts w:ascii="宋体" w:hAnsi="宋体" w:cs="宋体"/>
                <w:color w:val="auto"/>
                <w:szCs w:val="21"/>
                <w:highlight w:val="none"/>
              </w:rPr>
            </w:pPr>
          </w:p>
        </w:tc>
      </w:tr>
      <w:tr w14:paraId="71124E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08" w:type="dxa"/>
            <w:vAlign w:val="center"/>
          </w:tcPr>
          <w:p w14:paraId="6D5241D5">
            <w:pPr>
              <w:pStyle w:val="42"/>
              <w:spacing w:line="360" w:lineRule="exact"/>
              <w:ind w:firstLine="0" w:firstLineChars="0"/>
              <w:jc w:val="center"/>
              <w:rPr>
                <w:color w:val="auto"/>
                <w:szCs w:val="21"/>
                <w:highlight w:val="none"/>
              </w:rPr>
            </w:pPr>
            <w:r>
              <w:rPr>
                <w:rFonts w:hint="eastAsia"/>
                <w:color w:val="auto"/>
                <w:szCs w:val="21"/>
                <w:highlight w:val="none"/>
              </w:rPr>
              <w:t>1.2.2</w:t>
            </w:r>
          </w:p>
        </w:tc>
        <w:tc>
          <w:tcPr>
            <w:tcW w:w="2880" w:type="dxa"/>
            <w:vAlign w:val="center"/>
          </w:tcPr>
          <w:p w14:paraId="7E68B0AA">
            <w:pPr>
              <w:spacing w:line="360" w:lineRule="exact"/>
              <w:jc w:val="center"/>
              <w:rPr>
                <w:color w:val="auto"/>
                <w:szCs w:val="21"/>
                <w:highlight w:val="none"/>
              </w:rPr>
            </w:pPr>
            <w:r>
              <w:rPr>
                <w:rFonts w:hint="eastAsia"/>
                <w:color w:val="auto"/>
                <w:szCs w:val="21"/>
                <w:highlight w:val="none"/>
              </w:rPr>
              <w:t>资金落实情况</w:t>
            </w:r>
          </w:p>
        </w:tc>
        <w:tc>
          <w:tcPr>
            <w:tcW w:w="5718" w:type="dxa"/>
            <w:vAlign w:val="center"/>
          </w:tcPr>
          <w:p w14:paraId="7BEFA969">
            <w:pPr>
              <w:pStyle w:val="42"/>
              <w:spacing w:line="324" w:lineRule="auto"/>
              <w:ind w:firstLineChars="200"/>
              <w:rPr>
                <w:rFonts w:ascii="宋体" w:hAnsi="宋体" w:cs="宋体"/>
                <w:color w:val="auto"/>
                <w:szCs w:val="21"/>
                <w:highlight w:val="none"/>
              </w:rPr>
            </w:pPr>
          </w:p>
        </w:tc>
      </w:tr>
      <w:tr w14:paraId="1C66B9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008" w:type="dxa"/>
            <w:vAlign w:val="center"/>
          </w:tcPr>
          <w:p w14:paraId="51C6F7D1">
            <w:pPr>
              <w:pStyle w:val="42"/>
              <w:spacing w:line="360" w:lineRule="exact"/>
              <w:ind w:firstLine="0" w:firstLineChars="0"/>
              <w:jc w:val="center"/>
              <w:rPr>
                <w:color w:val="auto"/>
                <w:szCs w:val="21"/>
                <w:highlight w:val="none"/>
              </w:rPr>
            </w:pPr>
            <w:r>
              <w:rPr>
                <w:rFonts w:hint="eastAsia"/>
                <w:color w:val="auto"/>
                <w:szCs w:val="21"/>
                <w:highlight w:val="none"/>
              </w:rPr>
              <w:t>1.3.1</w:t>
            </w:r>
          </w:p>
        </w:tc>
        <w:tc>
          <w:tcPr>
            <w:tcW w:w="2880" w:type="dxa"/>
            <w:vAlign w:val="center"/>
          </w:tcPr>
          <w:p w14:paraId="668BE66E">
            <w:pPr>
              <w:spacing w:line="360" w:lineRule="exact"/>
              <w:jc w:val="center"/>
              <w:rPr>
                <w:color w:val="auto"/>
                <w:szCs w:val="21"/>
                <w:highlight w:val="none"/>
              </w:rPr>
            </w:pPr>
            <w:r>
              <w:rPr>
                <w:rFonts w:hint="eastAsia"/>
                <w:color w:val="auto"/>
                <w:szCs w:val="21"/>
                <w:highlight w:val="none"/>
              </w:rPr>
              <w:t>本次招标范围</w:t>
            </w:r>
          </w:p>
        </w:tc>
        <w:tc>
          <w:tcPr>
            <w:tcW w:w="5718" w:type="dxa"/>
            <w:vAlign w:val="center"/>
          </w:tcPr>
          <w:p w14:paraId="32AF4DE6">
            <w:pPr>
              <w:pStyle w:val="42"/>
              <w:spacing w:line="324" w:lineRule="auto"/>
              <w:ind w:firstLineChars="200"/>
              <w:rPr>
                <w:rFonts w:ascii="宋体" w:hAnsi="宋体" w:cs="宋体"/>
                <w:color w:val="auto"/>
                <w:szCs w:val="21"/>
                <w:highlight w:val="none"/>
              </w:rPr>
            </w:pPr>
          </w:p>
        </w:tc>
      </w:tr>
      <w:tr w14:paraId="7DD462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08" w:type="dxa"/>
            <w:vAlign w:val="center"/>
          </w:tcPr>
          <w:p w14:paraId="32343AF2">
            <w:pPr>
              <w:pStyle w:val="42"/>
              <w:spacing w:line="360" w:lineRule="exact"/>
              <w:ind w:firstLine="0" w:firstLineChars="0"/>
              <w:jc w:val="center"/>
              <w:rPr>
                <w:color w:val="auto"/>
                <w:szCs w:val="21"/>
                <w:highlight w:val="none"/>
              </w:rPr>
            </w:pPr>
            <w:r>
              <w:rPr>
                <w:rFonts w:hint="eastAsia"/>
                <w:color w:val="auto"/>
                <w:szCs w:val="21"/>
                <w:highlight w:val="none"/>
              </w:rPr>
              <w:t>1.3.2</w:t>
            </w:r>
          </w:p>
        </w:tc>
        <w:tc>
          <w:tcPr>
            <w:tcW w:w="2880" w:type="dxa"/>
            <w:vAlign w:val="center"/>
          </w:tcPr>
          <w:p w14:paraId="77F0AFB9">
            <w:pPr>
              <w:spacing w:line="360" w:lineRule="exact"/>
              <w:jc w:val="center"/>
              <w:rPr>
                <w:color w:val="auto"/>
                <w:szCs w:val="21"/>
                <w:highlight w:val="none"/>
              </w:rPr>
            </w:pPr>
            <w:r>
              <w:rPr>
                <w:rFonts w:hint="eastAsia"/>
                <w:color w:val="auto"/>
                <w:szCs w:val="21"/>
                <w:highlight w:val="none"/>
              </w:rPr>
              <w:t>监理服务阶段</w:t>
            </w:r>
          </w:p>
        </w:tc>
        <w:tc>
          <w:tcPr>
            <w:tcW w:w="5718" w:type="dxa"/>
            <w:vAlign w:val="center"/>
          </w:tcPr>
          <w:p w14:paraId="1D736F6C">
            <w:pPr>
              <w:pStyle w:val="42"/>
              <w:spacing w:line="324" w:lineRule="auto"/>
              <w:ind w:firstLineChars="200"/>
              <w:rPr>
                <w:rFonts w:ascii="宋体" w:hAnsi="宋体" w:cs="宋体"/>
                <w:color w:val="auto"/>
                <w:szCs w:val="21"/>
                <w:highlight w:val="none"/>
                <w:u w:val="single"/>
              </w:rPr>
            </w:pPr>
          </w:p>
        </w:tc>
      </w:tr>
      <w:tr w14:paraId="0CCEE1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008" w:type="dxa"/>
            <w:vAlign w:val="center"/>
          </w:tcPr>
          <w:p w14:paraId="769CDE6D">
            <w:pPr>
              <w:pStyle w:val="42"/>
              <w:spacing w:line="360" w:lineRule="exact"/>
              <w:ind w:firstLine="0" w:firstLineChars="0"/>
              <w:jc w:val="center"/>
              <w:rPr>
                <w:color w:val="auto"/>
                <w:szCs w:val="21"/>
                <w:highlight w:val="none"/>
              </w:rPr>
            </w:pPr>
            <w:r>
              <w:rPr>
                <w:rFonts w:hint="eastAsia"/>
                <w:color w:val="auto"/>
                <w:szCs w:val="21"/>
                <w:highlight w:val="none"/>
              </w:rPr>
              <w:t>1.3.3</w:t>
            </w:r>
          </w:p>
        </w:tc>
        <w:tc>
          <w:tcPr>
            <w:tcW w:w="2880" w:type="dxa"/>
            <w:vAlign w:val="center"/>
          </w:tcPr>
          <w:p w14:paraId="5919DD1F">
            <w:pPr>
              <w:spacing w:line="360" w:lineRule="exact"/>
              <w:jc w:val="center"/>
              <w:rPr>
                <w:color w:val="auto"/>
                <w:szCs w:val="21"/>
                <w:highlight w:val="none"/>
              </w:rPr>
            </w:pPr>
            <w:r>
              <w:rPr>
                <w:rFonts w:hint="eastAsia"/>
                <w:color w:val="auto"/>
                <w:szCs w:val="21"/>
                <w:highlight w:val="none"/>
              </w:rPr>
              <w:t>监理工作范围</w:t>
            </w:r>
          </w:p>
        </w:tc>
        <w:tc>
          <w:tcPr>
            <w:tcW w:w="5718" w:type="dxa"/>
            <w:vAlign w:val="center"/>
          </w:tcPr>
          <w:p w14:paraId="2BB2EB92">
            <w:pPr>
              <w:spacing w:line="324" w:lineRule="auto"/>
              <w:ind w:firstLine="420" w:firstLineChars="200"/>
              <w:rPr>
                <w:rFonts w:ascii="宋体" w:hAnsi="宋体" w:cs="宋体"/>
                <w:color w:val="auto"/>
                <w:szCs w:val="21"/>
                <w:highlight w:val="none"/>
                <w:u w:val="single"/>
              </w:rPr>
            </w:pPr>
          </w:p>
        </w:tc>
      </w:tr>
      <w:tr w14:paraId="70B471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008" w:type="dxa"/>
            <w:vAlign w:val="center"/>
          </w:tcPr>
          <w:p w14:paraId="24F0FCB7">
            <w:pPr>
              <w:pStyle w:val="42"/>
              <w:spacing w:line="360" w:lineRule="exact"/>
              <w:ind w:firstLine="0" w:firstLineChars="0"/>
              <w:jc w:val="center"/>
              <w:rPr>
                <w:color w:val="auto"/>
                <w:szCs w:val="21"/>
                <w:highlight w:val="none"/>
              </w:rPr>
            </w:pPr>
            <w:r>
              <w:rPr>
                <w:rFonts w:hint="eastAsia"/>
                <w:color w:val="auto"/>
                <w:szCs w:val="21"/>
                <w:highlight w:val="none"/>
              </w:rPr>
              <w:t>1.3.4</w:t>
            </w:r>
          </w:p>
        </w:tc>
        <w:tc>
          <w:tcPr>
            <w:tcW w:w="2880" w:type="dxa"/>
            <w:vAlign w:val="center"/>
          </w:tcPr>
          <w:p w14:paraId="4D50EFB4">
            <w:pPr>
              <w:spacing w:line="360" w:lineRule="exact"/>
              <w:jc w:val="center"/>
              <w:rPr>
                <w:color w:val="auto"/>
                <w:szCs w:val="21"/>
                <w:highlight w:val="none"/>
              </w:rPr>
            </w:pPr>
            <w:r>
              <w:rPr>
                <w:rFonts w:hint="eastAsia"/>
                <w:color w:val="auto"/>
                <w:szCs w:val="21"/>
                <w:highlight w:val="none"/>
              </w:rPr>
              <w:t>施工工期和监理服务期</w:t>
            </w:r>
          </w:p>
        </w:tc>
        <w:tc>
          <w:tcPr>
            <w:tcW w:w="5718" w:type="dxa"/>
            <w:vAlign w:val="center"/>
          </w:tcPr>
          <w:p w14:paraId="778A0878">
            <w:pPr>
              <w:spacing w:line="324" w:lineRule="auto"/>
              <w:ind w:firstLine="420" w:firstLineChars="200"/>
              <w:rPr>
                <w:rFonts w:ascii="宋体" w:hAnsi="宋体" w:cs="宋体"/>
                <w:color w:val="auto"/>
                <w:szCs w:val="21"/>
                <w:highlight w:val="none"/>
              </w:rPr>
            </w:pPr>
          </w:p>
        </w:tc>
      </w:tr>
      <w:tr w14:paraId="13E876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Align w:val="center"/>
          </w:tcPr>
          <w:p w14:paraId="08295C91">
            <w:pPr>
              <w:pStyle w:val="42"/>
              <w:spacing w:line="360" w:lineRule="exact"/>
              <w:ind w:firstLine="0" w:firstLineChars="0"/>
              <w:jc w:val="center"/>
              <w:rPr>
                <w:color w:val="auto"/>
                <w:szCs w:val="21"/>
                <w:highlight w:val="none"/>
              </w:rPr>
            </w:pPr>
            <w:r>
              <w:rPr>
                <w:rFonts w:hint="eastAsia"/>
                <w:color w:val="auto"/>
                <w:szCs w:val="21"/>
                <w:highlight w:val="none"/>
              </w:rPr>
              <w:t>1.4.1</w:t>
            </w:r>
          </w:p>
          <w:p w14:paraId="61512DE0">
            <w:pPr>
              <w:pStyle w:val="42"/>
              <w:spacing w:line="360" w:lineRule="exact"/>
              <w:ind w:firstLine="0" w:firstLineChars="0"/>
              <w:jc w:val="center"/>
              <w:rPr>
                <w:color w:val="auto"/>
                <w:szCs w:val="21"/>
                <w:highlight w:val="none"/>
              </w:rPr>
            </w:pPr>
            <w:r>
              <w:rPr>
                <w:rFonts w:hint="eastAsia"/>
                <w:color w:val="auto"/>
                <w:szCs w:val="21"/>
                <w:highlight w:val="none"/>
              </w:rPr>
              <w:t>（1）</w:t>
            </w:r>
          </w:p>
        </w:tc>
        <w:tc>
          <w:tcPr>
            <w:tcW w:w="2880" w:type="dxa"/>
            <w:vAlign w:val="center"/>
          </w:tcPr>
          <w:p w14:paraId="01210B87">
            <w:pPr>
              <w:spacing w:line="360" w:lineRule="exact"/>
              <w:jc w:val="center"/>
              <w:rPr>
                <w:color w:val="auto"/>
                <w:szCs w:val="21"/>
                <w:highlight w:val="none"/>
              </w:rPr>
            </w:pPr>
            <w:r>
              <w:rPr>
                <w:rFonts w:hint="eastAsia"/>
                <w:color w:val="auto"/>
                <w:szCs w:val="21"/>
                <w:highlight w:val="none"/>
              </w:rPr>
              <w:t>资质条件</w:t>
            </w:r>
          </w:p>
        </w:tc>
        <w:tc>
          <w:tcPr>
            <w:tcW w:w="5718" w:type="dxa"/>
            <w:vAlign w:val="center"/>
          </w:tcPr>
          <w:p w14:paraId="6ECF959F">
            <w:pPr>
              <w:spacing w:line="324" w:lineRule="auto"/>
              <w:rPr>
                <w:rFonts w:ascii="宋体" w:hAnsi="宋体" w:cs="宋体"/>
                <w:color w:val="auto"/>
                <w:szCs w:val="21"/>
                <w:highlight w:val="none"/>
              </w:rPr>
            </w:pPr>
            <w:r>
              <w:rPr>
                <w:rFonts w:hint="eastAsia" w:ascii="宋体" w:hAnsi="宋体" w:cs="宋体"/>
                <w:color w:val="auto"/>
                <w:szCs w:val="21"/>
                <w:highlight w:val="none"/>
              </w:rPr>
              <w:t>详见附件1</w:t>
            </w:r>
          </w:p>
        </w:tc>
      </w:tr>
      <w:tr w14:paraId="00D378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Align w:val="center"/>
          </w:tcPr>
          <w:p w14:paraId="687E9B6A">
            <w:pPr>
              <w:pStyle w:val="42"/>
              <w:spacing w:line="360" w:lineRule="exact"/>
              <w:ind w:firstLine="0" w:firstLineChars="0"/>
              <w:jc w:val="center"/>
              <w:rPr>
                <w:color w:val="auto"/>
                <w:szCs w:val="21"/>
                <w:highlight w:val="none"/>
              </w:rPr>
            </w:pPr>
            <w:r>
              <w:rPr>
                <w:rFonts w:hint="eastAsia"/>
                <w:color w:val="auto"/>
                <w:szCs w:val="21"/>
                <w:highlight w:val="none"/>
              </w:rPr>
              <w:t>1.4.1</w:t>
            </w:r>
          </w:p>
          <w:p w14:paraId="5A59689B">
            <w:pPr>
              <w:pStyle w:val="42"/>
              <w:spacing w:line="360" w:lineRule="exact"/>
              <w:ind w:firstLine="0" w:firstLineChars="0"/>
              <w:jc w:val="center"/>
              <w:rPr>
                <w:color w:val="auto"/>
                <w:szCs w:val="21"/>
                <w:highlight w:val="none"/>
              </w:rPr>
            </w:pPr>
            <w:r>
              <w:rPr>
                <w:rFonts w:hint="eastAsia"/>
                <w:color w:val="auto"/>
                <w:szCs w:val="21"/>
                <w:highlight w:val="none"/>
              </w:rPr>
              <w:t>（2）</w:t>
            </w:r>
          </w:p>
        </w:tc>
        <w:tc>
          <w:tcPr>
            <w:tcW w:w="2880" w:type="dxa"/>
            <w:vAlign w:val="center"/>
          </w:tcPr>
          <w:p w14:paraId="6CD8C8C2">
            <w:pPr>
              <w:spacing w:line="360" w:lineRule="exact"/>
              <w:jc w:val="center"/>
              <w:rPr>
                <w:color w:val="auto"/>
                <w:szCs w:val="21"/>
                <w:highlight w:val="none"/>
              </w:rPr>
            </w:pPr>
            <w:r>
              <w:rPr>
                <w:rFonts w:hint="eastAsia"/>
                <w:color w:val="auto"/>
                <w:szCs w:val="21"/>
                <w:highlight w:val="none"/>
              </w:rPr>
              <w:t>信誉要求</w:t>
            </w:r>
          </w:p>
        </w:tc>
        <w:tc>
          <w:tcPr>
            <w:tcW w:w="5718" w:type="dxa"/>
            <w:vAlign w:val="center"/>
          </w:tcPr>
          <w:p w14:paraId="759DD9AB">
            <w:pPr>
              <w:spacing w:line="324" w:lineRule="auto"/>
              <w:rPr>
                <w:rFonts w:ascii="宋体" w:hAnsi="宋体" w:cs="宋体"/>
                <w:color w:val="auto"/>
                <w:szCs w:val="21"/>
                <w:highlight w:val="none"/>
              </w:rPr>
            </w:pPr>
            <w:r>
              <w:rPr>
                <w:rFonts w:hint="eastAsia" w:ascii="宋体" w:hAnsi="宋体" w:cs="宋体"/>
                <w:color w:val="auto"/>
                <w:szCs w:val="21"/>
                <w:highlight w:val="none"/>
              </w:rPr>
              <w:t>详见附件2</w:t>
            </w:r>
          </w:p>
        </w:tc>
      </w:tr>
      <w:tr w14:paraId="63B4BF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Align w:val="center"/>
          </w:tcPr>
          <w:p w14:paraId="2B12B599">
            <w:pPr>
              <w:pStyle w:val="42"/>
              <w:spacing w:line="360" w:lineRule="exact"/>
              <w:ind w:firstLine="0" w:firstLineChars="0"/>
              <w:jc w:val="center"/>
              <w:rPr>
                <w:color w:val="auto"/>
                <w:szCs w:val="21"/>
                <w:highlight w:val="none"/>
              </w:rPr>
            </w:pPr>
            <w:r>
              <w:rPr>
                <w:rFonts w:hint="eastAsia"/>
                <w:color w:val="auto"/>
                <w:szCs w:val="21"/>
                <w:highlight w:val="none"/>
              </w:rPr>
              <w:t>1.4.1</w:t>
            </w:r>
          </w:p>
          <w:p w14:paraId="65E51C87">
            <w:pPr>
              <w:pStyle w:val="42"/>
              <w:spacing w:line="360" w:lineRule="exact"/>
              <w:ind w:firstLine="0" w:firstLineChars="0"/>
              <w:jc w:val="center"/>
              <w:rPr>
                <w:color w:val="auto"/>
                <w:szCs w:val="21"/>
                <w:highlight w:val="none"/>
              </w:rPr>
            </w:pPr>
            <w:r>
              <w:rPr>
                <w:rFonts w:hint="eastAsia"/>
                <w:color w:val="auto"/>
                <w:szCs w:val="21"/>
                <w:highlight w:val="none"/>
              </w:rPr>
              <w:t>（3）</w:t>
            </w:r>
          </w:p>
        </w:tc>
        <w:tc>
          <w:tcPr>
            <w:tcW w:w="2880" w:type="dxa"/>
            <w:vAlign w:val="center"/>
          </w:tcPr>
          <w:p w14:paraId="7F919A9B">
            <w:pPr>
              <w:spacing w:line="360" w:lineRule="exact"/>
              <w:jc w:val="center"/>
              <w:rPr>
                <w:color w:val="auto"/>
                <w:szCs w:val="21"/>
                <w:highlight w:val="none"/>
              </w:rPr>
            </w:pPr>
            <w:r>
              <w:rPr>
                <w:rFonts w:hint="eastAsia"/>
                <w:color w:val="auto"/>
                <w:szCs w:val="21"/>
                <w:highlight w:val="none"/>
              </w:rPr>
              <w:t>业绩要求</w:t>
            </w:r>
          </w:p>
        </w:tc>
        <w:tc>
          <w:tcPr>
            <w:tcW w:w="5718" w:type="dxa"/>
            <w:vAlign w:val="center"/>
          </w:tcPr>
          <w:p w14:paraId="74D10C45">
            <w:pPr>
              <w:spacing w:line="324" w:lineRule="auto"/>
              <w:rPr>
                <w:rFonts w:ascii="宋体" w:hAnsi="宋体" w:cs="宋体"/>
                <w:color w:val="auto"/>
                <w:szCs w:val="21"/>
                <w:highlight w:val="none"/>
              </w:rPr>
            </w:pPr>
            <w:r>
              <w:rPr>
                <w:rFonts w:hint="eastAsia" w:ascii="宋体" w:hAnsi="宋体" w:cs="宋体"/>
                <w:color w:val="auto"/>
                <w:szCs w:val="21"/>
                <w:highlight w:val="none"/>
              </w:rPr>
              <w:t>详见附件3</w:t>
            </w:r>
          </w:p>
        </w:tc>
      </w:tr>
      <w:tr w14:paraId="529BF7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008" w:type="dxa"/>
            <w:vAlign w:val="center"/>
          </w:tcPr>
          <w:p w14:paraId="1F238C9B">
            <w:pPr>
              <w:pStyle w:val="42"/>
              <w:spacing w:line="360" w:lineRule="exact"/>
              <w:ind w:firstLine="0" w:firstLineChars="0"/>
              <w:jc w:val="center"/>
              <w:rPr>
                <w:color w:val="auto"/>
                <w:szCs w:val="21"/>
                <w:highlight w:val="none"/>
              </w:rPr>
            </w:pPr>
            <w:r>
              <w:rPr>
                <w:rFonts w:hint="eastAsia"/>
                <w:color w:val="auto"/>
                <w:szCs w:val="21"/>
                <w:highlight w:val="none"/>
              </w:rPr>
              <w:t>1.4.1</w:t>
            </w:r>
          </w:p>
          <w:p w14:paraId="1E78A132">
            <w:pPr>
              <w:pStyle w:val="42"/>
              <w:spacing w:line="360" w:lineRule="exact"/>
              <w:ind w:firstLine="0" w:firstLineChars="0"/>
              <w:jc w:val="center"/>
              <w:rPr>
                <w:color w:val="auto"/>
                <w:szCs w:val="21"/>
                <w:highlight w:val="none"/>
              </w:rPr>
            </w:pPr>
            <w:r>
              <w:rPr>
                <w:rFonts w:hint="eastAsia"/>
                <w:color w:val="auto"/>
                <w:szCs w:val="21"/>
                <w:highlight w:val="none"/>
              </w:rPr>
              <w:t>（4）</w:t>
            </w:r>
          </w:p>
        </w:tc>
        <w:tc>
          <w:tcPr>
            <w:tcW w:w="2880" w:type="dxa"/>
            <w:vAlign w:val="center"/>
          </w:tcPr>
          <w:p w14:paraId="20C3BD3E">
            <w:pPr>
              <w:spacing w:line="360" w:lineRule="exact"/>
              <w:jc w:val="center"/>
              <w:rPr>
                <w:color w:val="auto"/>
                <w:szCs w:val="21"/>
                <w:highlight w:val="none"/>
              </w:rPr>
            </w:pPr>
            <w:r>
              <w:rPr>
                <w:rFonts w:hint="eastAsia"/>
                <w:color w:val="auto"/>
                <w:szCs w:val="21"/>
                <w:highlight w:val="none"/>
              </w:rPr>
              <w:t>主要人员资格要求</w:t>
            </w:r>
          </w:p>
        </w:tc>
        <w:tc>
          <w:tcPr>
            <w:tcW w:w="5718" w:type="dxa"/>
            <w:vAlign w:val="center"/>
          </w:tcPr>
          <w:p w14:paraId="02ED5E31">
            <w:pPr>
              <w:spacing w:line="324" w:lineRule="auto"/>
              <w:rPr>
                <w:rFonts w:ascii="宋体" w:hAnsi="宋体" w:cs="宋体"/>
                <w:color w:val="auto"/>
                <w:szCs w:val="21"/>
                <w:highlight w:val="none"/>
              </w:rPr>
            </w:pPr>
            <w:r>
              <w:rPr>
                <w:rFonts w:hint="eastAsia" w:ascii="宋体" w:hAnsi="宋体" w:cs="宋体"/>
                <w:color w:val="auto"/>
                <w:szCs w:val="21"/>
                <w:highlight w:val="none"/>
              </w:rPr>
              <w:t>详见附件4</w:t>
            </w:r>
          </w:p>
        </w:tc>
      </w:tr>
      <w:tr w14:paraId="245BAB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Align w:val="center"/>
          </w:tcPr>
          <w:p w14:paraId="4E365CFA">
            <w:pPr>
              <w:pStyle w:val="42"/>
              <w:spacing w:line="360" w:lineRule="exact"/>
              <w:ind w:firstLine="0" w:firstLineChars="0"/>
              <w:jc w:val="center"/>
              <w:rPr>
                <w:color w:val="auto"/>
                <w:szCs w:val="21"/>
                <w:highlight w:val="none"/>
              </w:rPr>
            </w:pPr>
            <w:r>
              <w:rPr>
                <w:rFonts w:hint="eastAsia"/>
                <w:color w:val="auto"/>
                <w:szCs w:val="21"/>
                <w:highlight w:val="none"/>
              </w:rPr>
              <w:t>1.4.1</w:t>
            </w:r>
          </w:p>
          <w:p w14:paraId="5F83EEBF">
            <w:pPr>
              <w:pStyle w:val="42"/>
              <w:spacing w:line="360" w:lineRule="exact"/>
              <w:ind w:firstLine="0" w:firstLineChars="0"/>
              <w:jc w:val="center"/>
              <w:rPr>
                <w:color w:val="auto"/>
                <w:szCs w:val="21"/>
                <w:highlight w:val="none"/>
              </w:rPr>
            </w:pPr>
            <w:r>
              <w:rPr>
                <w:rFonts w:hint="eastAsia"/>
                <w:color w:val="auto"/>
                <w:szCs w:val="21"/>
                <w:highlight w:val="none"/>
              </w:rPr>
              <w:t>（5）</w:t>
            </w:r>
          </w:p>
        </w:tc>
        <w:tc>
          <w:tcPr>
            <w:tcW w:w="2880" w:type="dxa"/>
            <w:vAlign w:val="center"/>
          </w:tcPr>
          <w:p w14:paraId="48FF0F74">
            <w:pPr>
              <w:spacing w:line="360" w:lineRule="exact"/>
              <w:jc w:val="center"/>
              <w:rPr>
                <w:color w:val="auto"/>
                <w:szCs w:val="21"/>
                <w:highlight w:val="none"/>
              </w:rPr>
            </w:pPr>
            <w:r>
              <w:rPr>
                <w:rFonts w:hint="eastAsia"/>
                <w:color w:val="auto"/>
                <w:szCs w:val="21"/>
                <w:highlight w:val="none"/>
              </w:rPr>
              <w:t>财务要求</w:t>
            </w:r>
          </w:p>
        </w:tc>
        <w:tc>
          <w:tcPr>
            <w:tcW w:w="5718" w:type="dxa"/>
            <w:vAlign w:val="center"/>
          </w:tcPr>
          <w:p w14:paraId="40AD769D">
            <w:pPr>
              <w:spacing w:line="324" w:lineRule="auto"/>
              <w:rPr>
                <w:rFonts w:ascii="宋体" w:hAnsi="宋体" w:cs="宋体"/>
                <w:color w:val="auto"/>
                <w:szCs w:val="21"/>
                <w:highlight w:val="none"/>
              </w:rPr>
            </w:pPr>
            <w:r>
              <w:rPr>
                <w:rFonts w:hint="eastAsia" w:ascii="宋体" w:hAnsi="宋体" w:cs="宋体"/>
                <w:color w:val="auto"/>
                <w:szCs w:val="21"/>
                <w:highlight w:val="none"/>
              </w:rPr>
              <w:t>详见附件5</w:t>
            </w:r>
          </w:p>
        </w:tc>
      </w:tr>
      <w:tr w14:paraId="5269D3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Align w:val="center"/>
          </w:tcPr>
          <w:p w14:paraId="30497740">
            <w:pPr>
              <w:pStyle w:val="42"/>
              <w:spacing w:line="360" w:lineRule="exact"/>
              <w:ind w:firstLine="0" w:firstLineChars="0"/>
              <w:jc w:val="center"/>
              <w:rPr>
                <w:color w:val="auto"/>
                <w:szCs w:val="21"/>
                <w:highlight w:val="none"/>
              </w:rPr>
            </w:pPr>
            <w:r>
              <w:rPr>
                <w:rFonts w:hint="eastAsia"/>
                <w:color w:val="auto"/>
                <w:szCs w:val="21"/>
                <w:highlight w:val="none"/>
              </w:rPr>
              <w:t>1.4.1</w:t>
            </w:r>
          </w:p>
          <w:p w14:paraId="40B2D700">
            <w:pPr>
              <w:pStyle w:val="42"/>
              <w:spacing w:line="360" w:lineRule="exact"/>
              <w:ind w:firstLine="0" w:firstLineChars="0"/>
              <w:jc w:val="center"/>
              <w:rPr>
                <w:color w:val="auto"/>
                <w:szCs w:val="21"/>
                <w:highlight w:val="none"/>
              </w:rPr>
            </w:pPr>
            <w:r>
              <w:rPr>
                <w:rFonts w:hint="eastAsia"/>
                <w:color w:val="auto"/>
                <w:szCs w:val="21"/>
                <w:highlight w:val="none"/>
              </w:rPr>
              <w:t>（6）</w:t>
            </w:r>
          </w:p>
        </w:tc>
        <w:tc>
          <w:tcPr>
            <w:tcW w:w="2880" w:type="dxa"/>
            <w:vAlign w:val="center"/>
          </w:tcPr>
          <w:p w14:paraId="1C11FCAC">
            <w:pPr>
              <w:spacing w:line="360" w:lineRule="exact"/>
              <w:jc w:val="center"/>
              <w:rPr>
                <w:color w:val="auto"/>
                <w:szCs w:val="21"/>
                <w:highlight w:val="none"/>
              </w:rPr>
            </w:pPr>
            <w:r>
              <w:rPr>
                <w:rFonts w:hint="eastAsia"/>
                <w:color w:val="auto"/>
                <w:szCs w:val="21"/>
                <w:highlight w:val="none"/>
              </w:rPr>
              <w:t>其他要求</w:t>
            </w:r>
          </w:p>
        </w:tc>
        <w:tc>
          <w:tcPr>
            <w:tcW w:w="5718" w:type="dxa"/>
            <w:vAlign w:val="center"/>
          </w:tcPr>
          <w:p w14:paraId="06B29216">
            <w:pPr>
              <w:spacing w:line="324" w:lineRule="auto"/>
              <w:rPr>
                <w:rFonts w:ascii="宋体" w:hAnsi="宋体" w:cs="宋体"/>
                <w:color w:val="auto"/>
                <w:szCs w:val="21"/>
                <w:highlight w:val="none"/>
              </w:rPr>
            </w:pPr>
            <w:r>
              <w:rPr>
                <w:rFonts w:hint="eastAsia" w:ascii="宋体" w:hAnsi="宋体" w:cs="宋体"/>
                <w:color w:val="auto"/>
                <w:szCs w:val="21"/>
                <w:highlight w:val="none"/>
              </w:rPr>
              <w:t>详见附件6</w:t>
            </w:r>
          </w:p>
        </w:tc>
      </w:tr>
      <w:tr w14:paraId="305E98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Align w:val="center"/>
          </w:tcPr>
          <w:p w14:paraId="39C64E85">
            <w:pPr>
              <w:pStyle w:val="42"/>
              <w:spacing w:line="360" w:lineRule="exact"/>
              <w:ind w:firstLine="0" w:firstLineChars="0"/>
              <w:jc w:val="center"/>
              <w:rPr>
                <w:color w:val="auto"/>
                <w:szCs w:val="21"/>
                <w:highlight w:val="none"/>
              </w:rPr>
            </w:pPr>
            <w:r>
              <w:rPr>
                <w:rFonts w:hint="eastAsia"/>
                <w:color w:val="auto"/>
                <w:szCs w:val="21"/>
                <w:highlight w:val="none"/>
              </w:rPr>
              <w:t>1.4.2</w:t>
            </w:r>
          </w:p>
        </w:tc>
        <w:tc>
          <w:tcPr>
            <w:tcW w:w="2880" w:type="dxa"/>
            <w:vAlign w:val="center"/>
          </w:tcPr>
          <w:p w14:paraId="1D046273">
            <w:pPr>
              <w:spacing w:line="360" w:lineRule="exact"/>
              <w:jc w:val="center"/>
              <w:rPr>
                <w:color w:val="auto"/>
                <w:szCs w:val="21"/>
                <w:highlight w:val="none"/>
              </w:rPr>
            </w:pPr>
            <w:r>
              <w:rPr>
                <w:rFonts w:hint="eastAsia"/>
                <w:color w:val="auto"/>
                <w:szCs w:val="21"/>
                <w:highlight w:val="none"/>
              </w:rPr>
              <w:t>是否接受联合体投标</w:t>
            </w:r>
          </w:p>
        </w:tc>
        <w:tc>
          <w:tcPr>
            <w:tcW w:w="5718" w:type="dxa"/>
            <w:vAlign w:val="center"/>
          </w:tcPr>
          <w:p w14:paraId="2FAFA8D5">
            <w:pPr>
              <w:widowControl/>
              <w:numPr>
                <w:ilvl w:val="255"/>
                <w:numId w:val="0"/>
              </w:numPr>
              <w:spacing w:line="360" w:lineRule="exact"/>
              <w:jc w:val="left"/>
              <w:textAlignment w:val="center"/>
              <w:rPr>
                <w:rFonts w:ascii="宋体" w:hAnsi="宋体" w:cs="宋体"/>
                <w:color w:val="auto"/>
                <w:szCs w:val="21"/>
                <w:highlight w:val="none"/>
              </w:rPr>
            </w:pPr>
            <w:r>
              <w:rPr>
                <w:rFonts w:hint="eastAsia" w:ascii="宋体" w:hAnsi="宋体" w:cs="宋体"/>
                <w:color w:val="auto"/>
                <w:szCs w:val="21"/>
                <w:highlight w:val="none"/>
              </w:rPr>
              <w:t>□不接受</w:t>
            </w:r>
          </w:p>
          <w:p w14:paraId="0A350028">
            <w:pPr>
              <w:widowControl/>
              <w:numPr>
                <w:ilvl w:val="255"/>
                <w:numId w:val="0"/>
              </w:numPr>
              <w:spacing w:line="360" w:lineRule="exact"/>
              <w:jc w:val="left"/>
              <w:textAlignment w:val="center"/>
              <w:rPr>
                <w:rFonts w:ascii="宋体" w:hAnsi="宋体" w:cs="宋体"/>
                <w:color w:val="auto"/>
                <w:szCs w:val="21"/>
                <w:highlight w:val="none"/>
              </w:rPr>
            </w:pPr>
            <w:r>
              <w:rPr>
                <w:rFonts w:hint="eastAsia" w:ascii="宋体" w:hAnsi="宋体" w:cs="宋体"/>
                <w:color w:val="auto"/>
                <w:szCs w:val="21"/>
                <w:highlight w:val="none"/>
              </w:rPr>
              <w:t>□接受，应满足下列要求：</w:t>
            </w:r>
          </w:p>
          <w:p w14:paraId="0F1D1529">
            <w:pPr>
              <w:numPr>
                <w:ilvl w:val="0"/>
                <w:numId w:val="2"/>
              </w:numPr>
              <w:spacing w:line="360" w:lineRule="exact"/>
              <w:jc w:val="left"/>
              <w:textAlignment w:val="center"/>
              <w:rPr>
                <w:rFonts w:ascii="宋体" w:hAnsi="宋体"/>
                <w:bCs/>
                <w:color w:val="auto"/>
                <w:szCs w:val="21"/>
                <w:highlight w:val="none"/>
              </w:rPr>
            </w:pPr>
            <w:r>
              <w:rPr>
                <w:rFonts w:hint="eastAsia" w:ascii="宋体" w:hAnsi="宋体"/>
                <w:bCs/>
                <w:color w:val="auto"/>
                <w:szCs w:val="21"/>
                <w:highlight w:val="none"/>
              </w:rPr>
              <w:t>联合体所有成员数量不得超过3家；</w:t>
            </w:r>
          </w:p>
          <w:p w14:paraId="372ABA83">
            <w:pPr>
              <w:numPr>
                <w:ilvl w:val="0"/>
                <w:numId w:val="2"/>
              </w:numPr>
              <w:spacing w:line="360" w:lineRule="exact"/>
              <w:ind w:firstLine="420" w:firstLineChars="200"/>
              <w:jc w:val="left"/>
              <w:textAlignment w:val="center"/>
              <w:rPr>
                <w:rFonts w:ascii="宋体" w:hAnsi="宋体" w:cs="宋体"/>
                <w:color w:val="auto"/>
                <w:szCs w:val="21"/>
                <w:highlight w:val="none"/>
              </w:rPr>
            </w:pPr>
            <w:r>
              <w:rPr>
                <w:rFonts w:hint="eastAsia" w:ascii="宋体" w:hAnsi="宋体" w:cs="宋体"/>
                <w:color w:val="auto"/>
                <w:szCs w:val="21"/>
                <w:highlight w:val="none"/>
              </w:rPr>
              <w:t>投标人的信用等级按联合体牵头人的信用等级确定。</w:t>
            </w:r>
          </w:p>
          <w:p w14:paraId="6872507C">
            <w:pPr>
              <w:numPr>
                <w:ilvl w:val="0"/>
                <w:numId w:val="2"/>
              </w:numPr>
              <w:spacing w:line="360" w:lineRule="exact"/>
              <w:ind w:firstLine="420" w:firstLineChars="200"/>
              <w:jc w:val="left"/>
              <w:textAlignment w:val="center"/>
              <w:rPr>
                <w:rFonts w:ascii="宋体" w:hAnsi="宋体" w:cs="宋体"/>
                <w:color w:val="auto"/>
                <w:szCs w:val="21"/>
                <w:highlight w:val="none"/>
              </w:rPr>
            </w:pPr>
            <w:r>
              <w:rPr>
                <w:rFonts w:hint="eastAsia" w:ascii="宋体" w:hAnsi="宋体" w:cs="宋体"/>
                <w:color w:val="auto"/>
                <w:szCs w:val="21"/>
                <w:highlight w:val="none"/>
                <w:u w:val="single"/>
              </w:rPr>
              <w:t xml:space="preserve">联合体要求：_____________________                     </w:t>
            </w:r>
          </w:p>
        </w:tc>
      </w:tr>
      <w:tr w14:paraId="513E4C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08" w:type="dxa"/>
            <w:vAlign w:val="center"/>
          </w:tcPr>
          <w:p w14:paraId="64E1B342">
            <w:pPr>
              <w:pStyle w:val="42"/>
              <w:spacing w:line="360" w:lineRule="exact"/>
              <w:ind w:firstLine="0" w:firstLineChars="0"/>
              <w:jc w:val="center"/>
              <w:rPr>
                <w:color w:val="auto"/>
                <w:szCs w:val="21"/>
                <w:highlight w:val="none"/>
              </w:rPr>
            </w:pPr>
            <w:r>
              <w:rPr>
                <w:rFonts w:hint="eastAsia"/>
                <w:color w:val="auto"/>
                <w:szCs w:val="21"/>
                <w:highlight w:val="none"/>
              </w:rPr>
              <w:t>1.9.1</w:t>
            </w:r>
          </w:p>
        </w:tc>
        <w:tc>
          <w:tcPr>
            <w:tcW w:w="2880" w:type="dxa"/>
            <w:vAlign w:val="center"/>
          </w:tcPr>
          <w:p w14:paraId="09058158">
            <w:pPr>
              <w:spacing w:line="360" w:lineRule="exact"/>
              <w:jc w:val="center"/>
              <w:rPr>
                <w:color w:val="auto"/>
                <w:szCs w:val="21"/>
                <w:highlight w:val="none"/>
              </w:rPr>
            </w:pPr>
            <w:r>
              <w:rPr>
                <w:rFonts w:hint="eastAsia"/>
                <w:color w:val="auto"/>
                <w:szCs w:val="21"/>
                <w:highlight w:val="none"/>
              </w:rPr>
              <w:t>踏勘现场</w:t>
            </w:r>
          </w:p>
        </w:tc>
        <w:tc>
          <w:tcPr>
            <w:tcW w:w="5718" w:type="dxa"/>
            <w:vAlign w:val="center"/>
          </w:tcPr>
          <w:p w14:paraId="10A9BB14">
            <w:pPr>
              <w:spacing w:line="324" w:lineRule="auto"/>
              <w:rPr>
                <w:rFonts w:ascii="宋体" w:hAnsi="宋体" w:cs="宋体"/>
                <w:color w:val="auto"/>
                <w:szCs w:val="21"/>
                <w:highlight w:val="none"/>
              </w:rPr>
            </w:pPr>
            <w:r>
              <w:rPr>
                <w:rFonts w:hint="eastAsia" w:ascii="宋体" w:hAnsi="宋体" w:cs="宋体"/>
                <w:color w:val="auto"/>
                <w:szCs w:val="21"/>
                <w:highlight w:val="none"/>
              </w:rPr>
              <w:t>不组织，投标人自行现场考察</w:t>
            </w:r>
          </w:p>
        </w:tc>
      </w:tr>
      <w:tr w14:paraId="47F21B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008" w:type="dxa"/>
            <w:vAlign w:val="center"/>
          </w:tcPr>
          <w:p w14:paraId="5D04292F">
            <w:pPr>
              <w:pStyle w:val="42"/>
              <w:spacing w:line="360" w:lineRule="exact"/>
              <w:ind w:firstLine="0" w:firstLineChars="0"/>
              <w:jc w:val="center"/>
              <w:rPr>
                <w:color w:val="auto"/>
                <w:szCs w:val="21"/>
                <w:highlight w:val="none"/>
              </w:rPr>
            </w:pPr>
            <w:r>
              <w:rPr>
                <w:rFonts w:hint="eastAsia"/>
                <w:color w:val="auto"/>
                <w:szCs w:val="21"/>
                <w:highlight w:val="none"/>
              </w:rPr>
              <w:t>1.10.1</w:t>
            </w:r>
          </w:p>
        </w:tc>
        <w:tc>
          <w:tcPr>
            <w:tcW w:w="2880" w:type="dxa"/>
            <w:vAlign w:val="center"/>
          </w:tcPr>
          <w:p w14:paraId="6A98DF95">
            <w:pPr>
              <w:spacing w:line="360" w:lineRule="exact"/>
              <w:jc w:val="center"/>
              <w:rPr>
                <w:color w:val="auto"/>
                <w:szCs w:val="21"/>
                <w:highlight w:val="none"/>
              </w:rPr>
            </w:pPr>
            <w:r>
              <w:rPr>
                <w:rFonts w:hint="eastAsia"/>
                <w:color w:val="auto"/>
                <w:szCs w:val="21"/>
                <w:highlight w:val="none"/>
              </w:rPr>
              <w:t>投标预备会</w:t>
            </w:r>
          </w:p>
        </w:tc>
        <w:tc>
          <w:tcPr>
            <w:tcW w:w="5718" w:type="dxa"/>
            <w:vAlign w:val="center"/>
          </w:tcPr>
          <w:p w14:paraId="2BDDE7BB">
            <w:pPr>
              <w:spacing w:line="324" w:lineRule="auto"/>
              <w:rPr>
                <w:rFonts w:ascii="宋体" w:hAnsi="宋体" w:cs="宋体"/>
                <w:color w:val="auto"/>
                <w:szCs w:val="21"/>
                <w:highlight w:val="none"/>
              </w:rPr>
            </w:pPr>
            <w:r>
              <w:rPr>
                <w:rFonts w:hint="eastAsia" w:ascii="宋体" w:hAnsi="宋体" w:cs="宋体"/>
                <w:color w:val="auto"/>
                <w:szCs w:val="21"/>
                <w:highlight w:val="none"/>
              </w:rPr>
              <w:t>不召开</w:t>
            </w:r>
          </w:p>
        </w:tc>
      </w:tr>
      <w:tr w14:paraId="1BA7A2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008" w:type="dxa"/>
            <w:vAlign w:val="center"/>
          </w:tcPr>
          <w:p w14:paraId="20728846">
            <w:pPr>
              <w:pStyle w:val="42"/>
              <w:spacing w:line="360" w:lineRule="exact"/>
              <w:ind w:firstLine="0" w:firstLineChars="0"/>
              <w:jc w:val="center"/>
              <w:rPr>
                <w:color w:val="auto"/>
                <w:szCs w:val="21"/>
                <w:highlight w:val="none"/>
              </w:rPr>
            </w:pPr>
            <w:r>
              <w:rPr>
                <w:rFonts w:hint="eastAsia"/>
                <w:color w:val="auto"/>
                <w:szCs w:val="21"/>
                <w:highlight w:val="none"/>
              </w:rPr>
              <w:t>1.10.2</w:t>
            </w:r>
          </w:p>
        </w:tc>
        <w:tc>
          <w:tcPr>
            <w:tcW w:w="2880" w:type="dxa"/>
            <w:vAlign w:val="center"/>
          </w:tcPr>
          <w:p w14:paraId="67DC74DD">
            <w:pPr>
              <w:spacing w:line="360" w:lineRule="exact"/>
              <w:jc w:val="center"/>
              <w:rPr>
                <w:color w:val="auto"/>
                <w:szCs w:val="21"/>
                <w:highlight w:val="none"/>
              </w:rPr>
            </w:pPr>
            <w:r>
              <w:rPr>
                <w:rFonts w:hint="eastAsia"/>
                <w:color w:val="auto"/>
                <w:szCs w:val="21"/>
                <w:highlight w:val="none"/>
              </w:rPr>
              <w:t>投标人提出问题的截止时间</w:t>
            </w:r>
          </w:p>
        </w:tc>
        <w:tc>
          <w:tcPr>
            <w:tcW w:w="5718" w:type="dxa"/>
            <w:vAlign w:val="center"/>
          </w:tcPr>
          <w:p w14:paraId="0B47DE00">
            <w:pPr>
              <w:spacing w:line="324" w:lineRule="auto"/>
              <w:ind w:firstLine="420" w:firstLineChars="200"/>
              <w:rPr>
                <w:rFonts w:ascii="宋体" w:hAnsi="宋体" w:cs="宋体"/>
                <w:color w:val="auto"/>
                <w:szCs w:val="21"/>
                <w:highlight w:val="none"/>
              </w:rPr>
            </w:pP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时</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分</w:t>
            </w:r>
            <w:r>
              <w:rPr>
                <w:rFonts w:hint="eastAsia" w:ascii="宋体" w:hAnsi="宋体"/>
                <w:snapToGrid w:val="0"/>
                <w:color w:val="auto"/>
                <w:kern w:val="0"/>
                <w:szCs w:val="21"/>
                <w:highlight w:val="none"/>
              </w:rPr>
              <w:t xml:space="preserve">  秒</w:t>
            </w:r>
          </w:p>
        </w:tc>
      </w:tr>
      <w:tr w14:paraId="674514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08" w:type="dxa"/>
            <w:vAlign w:val="center"/>
          </w:tcPr>
          <w:p w14:paraId="5BDC9E06">
            <w:pPr>
              <w:pStyle w:val="42"/>
              <w:spacing w:line="360" w:lineRule="exact"/>
              <w:ind w:firstLine="0" w:firstLineChars="0"/>
              <w:jc w:val="center"/>
              <w:rPr>
                <w:color w:val="auto"/>
                <w:szCs w:val="21"/>
                <w:highlight w:val="none"/>
              </w:rPr>
            </w:pPr>
            <w:r>
              <w:rPr>
                <w:rFonts w:hint="eastAsia"/>
                <w:color w:val="auto"/>
                <w:szCs w:val="21"/>
                <w:highlight w:val="none"/>
              </w:rPr>
              <w:t>1.10.3</w:t>
            </w:r>
          </w:p>
        </w:tc>
        <w:tc>
          <w:tcPr>
            <w:tcW w:w="2880" w:type="dxa"/>
            <w:vAlign w:val="center"/>
          </w:tcPr>
          <w:p w14:paraId="7A7DD16F">
            <w:pPr>
              <w:spacing w:line="360" w:lineRule="exact"/>
              <w:jc w:val="center"/>
              <w:rPr>
                <w:color w:val="auto"/>
                <w:szCs w:val="21"/>
                <w:highlight w:val="none"/>
              </w:rPr>
            </w:pPr>
            <w:r>
              <w:rPr>
                <w:rFonts w:hint="eastAsia"/>
                <w:color w:val="auto"/>
                <w:szCs w:val="21"/>
                <w:highlight w:val="none"/>
              </w:rPr>
              <w:t>招标人书面澄清的时间</w:t>
            </w:r>
          </w:p>
        </w:tc>
        <w:tc>
          <w:tcPr>
            <w:tcW w:w="5718" w:type="dxa"/>
            <w:vAlign w:val="center"/>
          </w:tcPr>
          <w:p w14:paraId="6EBA356C">
            <w:pPr>
              <w:spacing w:line="324" w:lineRule="auto"/>
              <w:ind w:firstLine="420" w:firstLineChars="200"/>
              <w:rPr>
                <w:rFonts w:ascii="宋体" w:hAnsi="宋体" w:cs="宋体"/>
                <w:color w:val="auto"/>
                <w:szCs w:val="21"/>
                <w:highlight w:val="none"/>
              </w:rPr>
            </w:pP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时</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分</w:t>
            </w:r>
            <w:r>
              <w:rPr>
                <w:rFonts w:hint="eastAsia" w:ascii="宋体" w:hAnsi="宋体"/>
                <w:snapToGrid w:val="0"/>
                <w:color w:val="auto"/>
                <w:kern w:val="0"/>
                <w:szCs w:val="21"/>
                <w:highlight w:val="none"/>
              </w:rPr>
              <w:t xml:space="preserve">  秒之前</w:t>
            </w:r>
          </w:p>
        </w:tc>
      </w:tr>
      <w:tr w14:paraId="34D205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Align w:val="center"/>
          </w:tcPr>
          <w:p w14:paraId="2207AD0A">
            <w:pPr>
              <w:pStyle w:val="42"/>
              <w:spacing w:line="360" w:lineRule="exact"/>
              <w:ind w:firstLine="0" w:firstLineChars="0"/>
              <w:jc w:val="center"/>
              <w:rPr>
                <w:color w:val="auto"/>
                <w:szCs w:val="21"/>
                <w:highlight w:val="none"/>
              </w:rPr>
            </w:pPr>
            <w:r>
              <w:rPr>
                <w:rFonts w:hint="eastAsia"/>
                <w:color w:val="auto"/>
                <w:szCs w:val="21"/>
                <w:highlight w:val="none"/>
              </w:rPr>
              <w:t>1.11</w:t>
            </w:r>
          </w:p>
        </w:tc>
        <w:tc>
          <w:tcPr>
            <w:tcW w:w="2880" w:type="dxa"/>
            <w:vAlign w:val="center"/>
          </w:tcPr>
          <w:p w14:paraId="71BE1A9D">
            <w:pPr>
              <w:spacing w:line="360" w:lineRule="exact"/>
              <w:jc w:val="center"/>
              <w:rPr>
                <w:color w:val="auto"/>
                <w:szCs w:val="21"/>
                <w:highlight w:val="none"/>
              </w:rPr>
            </w:pPr>
            <w:r>
              <w:rPr>
                <w:rFonts w:hint="eastAsia"/>
                <w:color w:val="auto"/>
                <w:szCs w:val="21"/>
                <w:highlight w:val="none"/>
              </w:rPr>
              <w:t>分包</w:t>
            </w:r>
          </w:p>
        </w:tc>
        <w:tc>
          <w:tcPr>
            <w:tcW w:w="5718" w:type="dxa"/>
            <w:vAlign w:val="center"/>
          </w:tcPr>
          <w:p w14:paraId="562784AF">
            <w:pPr>
              <w:spacing w:line="324"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□不允许</w:t>
            </w:r>
          </w:p>
          <w:p w14:paraId="653D413F">
            <w:pPr>
              <w:spacing w:line="324"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□允许，分包要求：</w:t>
            </w:r>
            <w:r>
              <w:rPr>
                <w:rFonts w:hint="eastAsia" w:ascii="宋体" w:hAnsi="宋体" w:cs="宋体"/>
                <w:color w:val="auto"/>
                <w:szCs w:val="21"/>
                <w:highlight w:val="none"/>
                <w:u w:val="single"/>
              </w:rPr>
              <w:t xml:space="preserve">                                </w:t>
            </w:r>
          </w:p>
        </w:tc>
      </w:tr>
      <w:tr w14:paraId="71CC2B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Align w:val="center"/>
          </w:tcPr>
          <w:p w14:paraId="68AC1FB2">
            <w:pPr>
              <w:pStyle w:val="42"/>
              <w:spacing w:line="360" w:lineRule="exact"/>
              <w:ind w:firstLine="0" w:firstLineChars="0"/>
              <w:jc w:val="center"/>
              <w:rPr>
                <w:color w:val="auto"/>
                <w:szCs w:val="21"/>
                <w:highlight w:val="none"/>
              </w:rPr>
            </w:pPr>
            <w:r>
              <w:rPr>
                <w:rFonts w:hint="eastAsia"/>
                <w:color w:val="auto"/>
                <w:szCs w:val="21"/>
                <w:highlight w:val="none"/>
              </w:rPr>
              <w:t>1.12</w:t>
            </w:r>
          </w:p>
        </w:tc>
        <w:tc>
          <w:tcPr>
            <w:tcW w:w="2880" w:type="dxa"/>
            <w:vAlign w:val="center"/>
          </w:tcPr>
          <w:p w14:paraId="7D3AD8FD">
            <w:pPr>
              <w:spacing w:line="360" w:lineRule="exact"/>
              <w:jc w:val="center"/>
              <w:rPr>
                <w:color w:val="auto"/>
                <w:szCs w:val="21"/>
                <w:highlight w:val="none"/>
              </w:rPr>
            </w:pPr>
            <w:r>
              <w:rPr>
                <w:rFonts w:hint="eastAsia"/>
                <w:color w:val="auto"/>
                <w:szCs w:val="21"/>
                <w:highlight w:val="none"/>
              </w:rPr>
              <w:t xml:space="preserve">偏差  </w:t>
            </w:r>
          </w:p>
        </w:tc>
        <w:tc>
          <w:tcPr>
            <w:tcW w:w="5718" w:type="dxa"/>
            <w:vAlign w:val="center"/>
          </w:tcPr>
          <w:p w14:paraId="1325EAA2">
            <w:pPr>
              <w:spacing w:line="332" w:lineRule="exact"/>
              <w:ind w:left="1575" w:leftChars="200" w:right="113" w:hanging="1155" w:hangingChars="550"/>
              <w:rPr>
                <w:rFonts w:ascii="宋体" w:hAnsi="宋体"/>
                <w:color w:val="auto"/>
                <w:szCs w:val="21"/>
                <w:highlight w:val="none"/>
              </w:rPr>
            </w:pPr>
            <w:r>
              <w:rPr>
                <w:rFonts w:hint="eastAsia" w:ascii="宋体" w:hAnsi="宋体"/>
                <w:color w:val="auto"/>
                <w:szCs w:val="21"/>
                <w:highlight w:val="none"/>
              </w:rPr>
              <w:t xml:space="preserve">重大偏差：1.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；2</w:t>
            </w:r>
            <w:r>
              <w:rPr>
                <w:rFonts w:ascii="宋体" w:hAnsi="宋体"/>
                <w:color w:val="auto"/>
                <w:szCs w:val="21"/>
                <w:highlight w:val="none"/>
                <w:lang w:val="en"/>
              </w:rPr>
              <w:t>.</w:t>
            </w: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；3</w:t>
            </w:r>
            <w:r>
              <w:rPr>
                <w:rFonts w:ascii="宋体" w:hAnsi="宋体"/>
                <w:color w:val="auto"/>
                <w:szCs w:val="21"/>
                <w:highlight w:val="none"/>
                <w:lang w:val="en"/>
              </w:rPr>
              <w:t>.</w:t>
            </w: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olor w:val="auto"/>
                <w:szCs w:val="21"/>
                <w:highlight w:val="none"/>
                <w:u w:val="single"/>
              </w:rPr>
              <w:t>……</w:t>
            </w:r>
          </w:p>
          <w:p w14:paraId="0F5582F9">
            <w:pPr>
              <w:spacing w:line="332" w:lineRule="exact"/>
              <w:ind w:left="113" w:leftChars="54" w:firstLine="315" w:firstLineChars="150"/>
              <w:rPr>
                <w:rFonts w:ascii="宋体" w:hAnsi="宋体" w:cs="宋体"/>
                <w:color w:val="auto"/>
                <w:szCs w:val="21"/>
                <w:highlight w:val="none"/>
              </w:rPr>
            </w:pPr>
            <w:r>
              <w:rPr>
                <w:rFonts w:hint="eastAsia" w:ascii="宋体" w:hAnsi="宋体"/>
                <w:color w:val="auto"/>
                <w:szCs w:val="21"/>
                <w:highlight w:val="none"/>
              </w:rPr>
              <w:t>除重大偏差外为细微偏差</w:t>
            </w:r>
          </w:p>
        </w:tc>
      </w:tr>
      <w:tr w14:paraId="0E9B8F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Align w:val="center"/>
          </w:tcPr>
          <w:p w14:paraId="6CC85BB7">
            <w:pPr>
              <w:pStyle w:val="42"/>
              <w:spacing w:line="360" w:lineRule="exact"/>
              <w:ind w:firstLine="0" w:firstLineChars="0"/>
              <w:jc w:val="center"/>
              <w:rPr>
                <w:color w:val="auto"/>
                <w:szCs w:val="21"/>
                <w:highlight w:val="none"/>
              </w:rPr>
            </w:pPr>
            <w:r>
              <w:rPr>
                <w:rFonts w:hint="eastAsia"/>
                <w:color w:val="auto"/>
                <w:szCs w:val="21"/>
                <w:highlight w:val="none"/>
              </w:rPr>
              <w:t>2.1（9）</w:t>
            </w:r>
          </w:p>
        </w:tc>
        <w:tc>
          <w:tcPr>
            <w:tcW w:w="2880" w:type="dxa"/>
            <w:vAlign w:val="center"/>
          </w:tcPr>
          <w:p w14:paraId="0EBD5BC6">
            <w:pPr>
              <w:spacing w:line="360" w:lineRule="exact"/>
              <w:jc w:val="center"/>
              <w:rPr>
                <w:color w:val="auto"/>
                <w:szCs w:val="21"/>
                <w:highlight w:val="none"/>
              </w:rPr>
            </w:pPr>
            <w:r>
              <w:rPr>
                <w:rFonts w:hint="eastAsia"/>
                <w:color w:val="auto"/>
                <w:szCs w:val="21"/>
                <w:highlight w:val="none"/>
              </w:rPr>
              <w:t>构成招标文件的其他材料</w:t>
            </w:r>
          </w:p>
        </w:tc>
        <w:tc>
          <w:tcPr>
            <w:tcW w:w="5718" w:type="dxa"/>
            <w:vAlign w:val="center"/>
          </w:tcPr>
          <w:p w14:paraId="3D225BE4">
            <w:pPr>
              <w:spacing w:line="324" w:lineRule="auto"/>
              <w:rPr>
                <w:rFonts w:ascii="宋体" w:hAnsi="宋体" w:cs="宋体"/>
                <w:color w:val="auto"/>
                <w:szCs w:val="21"/>
                <w:highlight w:val="none"/>
              </w:rPr>
            </w:pPr>
            <w:r>
              <w:rPr>
                <w:rFonts w:hint="eastAsia"/>
                <w:color w:val="auto"/>
                <w:szCs w:val="21"/>
                <w:highlight w:val="none"/>
              </w:rPr>
              <w:t>项目相关文件及相关图纸，招标人在投标截止时间之前发出的所有的澄清、修改、补遗书和其他有关通知等。</w:t>
            </w:r>
          </w:p>
        </w:tc>
      </w:tr>
      <w:tr w14:paraId="34997C4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Align w:val="center"/>
          </w:tcPr>
          <w:p w14:paraId="2C447E23">
            <w:pPr>
              <w:pStyle w:val="42"/>
              <w:spacing w:line="360" w:lineRule="exact"/>
              <w:ind w:firstLine="0" w:firstLineChars="0"/>
              <w:jc w:val="center"/>
              <w:rPr>
                <w:color w:val="auto"/>
                <w:szCs w:val="21"/>
                <w:highlight w:val="none"/>
              </w:rPr>
            </w:pPr>
            <w:r>
              <w:rPr>
                <w:rFonts w:hint="eastAsia"/>
                <w:color w:val="auto"/>
                <w:szCs w:val="21"/>
                <w:highlight w:val="none"/>
              </w:rPr>
              <w:t>2.2.1</w:t>
            </w:r>
          </w:p>
        </w:tc>
        <w:tc>
          <w:tcPr>
            <w:tcW w:w="2880" w:type="dxa"/>
            <w:vAlign w:val="center"/>
          </w:tcPr>
          <w:p w14:paraId="422A45BF">
            <w:pPr>
              <w:spacing w:line="360" w:lineRule="exact"/>
              <w:jc w:val="center"/>
              <w:rPr>
                <w:color w:val="auto"/>
                <w:szCs w:val="21"/>
                <w:highlight w:val="none"/>
              </w:rPr>
            </w:pPr>
            <w:r>
              <w:rPr>
                <w:rFonts w:hint="eastAsia"/>
                <w:color w:val="auto"/>
                <w:szCs w:val="21"/>
                <w:highlight w:val="none"/>
              </w:rPr>
              <w:t>投标人要求澄清招标文件的截止时间</w:t>
            </w:r>
          </w:p>
        </w:tc>
        <w:tc>
          <w:tcPr>
            <w:tcW w:w="5718" w:type="dxa"/>
            <w:vAlign w:val="center"/>
          </w:tcPr>
          <w:p w14:paraId="03D24CAB">
            <w:pPr>
              <w:spacing w:line="360" w:lineRule="exact"/>
              <w:rPr>
                <w:color w:val="auto"/>
                <w:szCs w:val="21"/>
                <w:highlight w:val="none"/>
                <w:u w:val="single"/>
              </w:rPr>
            </w:pPr>
            <w:r>
              <w:rPr>
                <w:rFonts w:hint="eastAsia" w:ascii="宋体" w:hAnsi="宋体"/>
                <w:color w:val="auto"/>
                <w:szCs w:val="21"/>
                <w:highlight w:val="none"/>
              </w:rPr>
              <w:t xml:space="preserve">    截止时间：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w:t>
            </w:r>
            <w:r>
              <w:rPr>
                <w:rFonts w:hint="eastAsia" w:ascii="宋体" w:hAnsi="宋体"/>
                <w:color w:val="auto"/>
                <w:szCs w:val="21"/>
                <w:highlight w:val="none"/>
              </w:rPr>
              <w:t>分</w:t>
            </w:r>
            <w:r>
              <w:rPr>
                <w:rFonts w:hint="eastAsia" w:ascii="宋体" w:hAnsi="宋体"/>
                <w:color w:val="auto"/>
                <w:szCs w:val="21"/>
                <w:highlight w:val="none"/>
                <w:u w:val="single"/>
              </w:rPr>
              <w:t xml:space="preserve">   </w:t>
            </w:r>
            <w:r>
              <w:rPr>
                <w:rFonts w:hint="eastAsia" w:ascii="宋体" w:hAnsi="宋体"/>
                <w:color w:val="auto"/>
                <w:szCs w:val="21"/>
                <w:highlight w:val="none"/>
              </w:rPr>
              <w:t>秒。</w:t>
            </w:r>
          </w:p>
        </w:tc>
      </w:tr>
      <w:tr w14:paraId="44A49C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08" w:type="dxa"/>
            <w:vAlign w:val="center"/>
          </w:tcPr>
          <w:p w14:paraId="7C8D8783">
            <w:pPr>
              <w:pStyle w:val="42"/>
              <w:spacing w:line="360" w:lineRule="exact"/>
              <w:ind w:firstLine="0" w:firstLineChars="0"/>
              <w:jc w:val="center"/>
              <w:rPr>
                <w:color w:val="auto"/>
                <w:szCs w:val="21"/>
                <w:highlight w:val="none"/>
              </w:rPr>
            </w:pPr>
            <w:r>
              <w:rPr>
                <w:rFonts w:hint="eastAsia"/>
                <w:color w:val="auto"/>
                <w:szCs w:val="21"/>
                <w:highlight w:val="none"/>
              </w:rPr>
              <w:t>2.2.2</w:t>
            </w:r>
          </w:p>
        </w:tc>
        <w:tc>
          <w:tcPr>
            <w:tcW w:w="2880" w:type="dxa"/>
            <w:vAlign w:val="center"/>
          </w:tcPr>
          <w:p w14:paraId="60B5F25A">
            <w:pPr>
              <w:spacing w:line="360" w:lineRule="exact"/>
              <w:jc w:val="center"/>
              <w:rPr>
                <w:color w:val="auto"/>
                <w:szCs w:val="21"/>
                <w:highlight w:val="none"/>
              </w:rPr>
            </w:pPr>
            <w:r>
              <w:rPr>
                <w:rFonts w:hint="eastAsia"/>
                <w:color w:val="auto"/>
                <w:szCs w:val="21"/>
                <w:highlight w:val="none"/>
              </w:rPr>
              <w:t>投标截止时间</w:t>
            </w:r>
          </w:p>
        </w:tc>
        <w:tc>
          <w:tcPr>
            <w:tcW w:w="5718" w:type="dxa"/>
            <w:vAlign w:val="center"/>
          </w:tcPr>
          <w:p w14:paraId="7A3487F3">
            <w:pPr>
              <w:spacing w:line="324"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w:t>
            </w:r>
            <w:r>
              <w:rPr>
                <w:rFonts w:hint="eastAsia" w:ascii="宋体" w:hAnsi="宋体"/>
                <w:color w:val="auto"/>
                <w:szCs w:val="21"/>
                <w:highlight w:val="none"/>
              </w:rPr>
              <w:t>分</w:t>
            </w:r>
            <w:r>
              <w:rPr>
                <w:rFonts w:hint="eastAsia" w:ascii="宋体" w:hAnsi="宋体"/>
                <w:color w:val="auto"/>
                <w:szCs w:val="21"/>
                <w:highlight w:val="none"/>
                <w:u w:val="single"/>
              </w:rPr>
              <w:t xml:space="preserve">   </w:t>
            </w:r>
            <w:r>
              <w:rPr>
                <w:rFonts w:hint="eastAsia" w:ascii="宋体" w:hAnsi="宋体"/>
                <w:color w:val="auto"/>
                <w:szCs w:val="21"/>
                <w:highlight w:val="none"/>
              </w:rPr>
              <w:t>秒</w:t>
            </w:r>
          </w:p>
        </w:tc>
      </w:tr>
      <w:tr w14:paraId="2D2FD2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Align w:val="center"/>
          </w:tcPr>
          <w:p w14:paraId="01240448">
            <w:pPr>
              <w:pStyle w:val="42"/>
              <w:spacing w:line="360" w:lineRule="exact"/>
              <w:ind w:firstLine="0" w:firstLineChars="0"/>
              <w:jc w:val="center"/>
              <w:rPr>
                <w:color w:val="auto"/>
                <w:szCs w:val="21"/>
                <w:highlight w:val="none"/>
              </w:rPr>
            </w:pPr>
            <w:r>
              <w:rPr>
                <w:rFonts w:hint="eastAsia"/>
                <w:color w:val="auto"/>
                <w:szCs w:val="21"/>
                <w:highlight w:val="none"/>
              </w:rPr>
              <w:t>2.2.3</w:t>
            </w:r>
          </w:p>
        </w:tc>
        <w:tc>
          <w:tcPr>
            <w:tcW w:w="2880" w:type="dxa"/>
            <w:vAlign w:val="center"/>
          </w:tcPr>
          <w:p w14:paraId="3F564259">
            <w:pPr>
              <w:spacing w:line="360" w:lineRule="exact"/>
              <w:jc w:val="center"/>
              <w:rPr>
                <w:color w:val="auto"/>
                <w:szCs w:val="21"/>
                <w:highlight w:val="none"/>
              </w:rPr>
            </w:pPr>
            <w:r>
              <w:rPr>
                <w:rFonts w:hint="eastAsia"/>
                <w:color w:val="auto"/>
                <w:szCs w:val="21"/>
                <w:highlight w:val="none"/>
              </w:rPr>
              <w:t>投标人确认收到招标文件澄清的时间</w:t>
            </w:r>
          </w:p>
        </w:tc>
        <w:tc>
          <w:tcPr>
            <w:tcW w:w="5718" w:type="dxa"/>
            <w:vAlign w:val="center"/>
          </w:tcPr>
          <w:p w14:paraId="613CF9D9">
            <w:pPr>
              <w:autoSpaceDE w:val="0"/>
              <w:autoSpaceDN w:val="0"/>
              <w:adjustRightInd w:val="0"/>
              <w:spacing w:line="360" w:lineRule="exact"/>
              <w:rPr>
                <w:rFonts w:ascii="宋体" w:hAnsi="宋体"/>
                <w:color w:val="auto"/>
                <w:szCs w:val="21"/>
                <w:highlight w:val="none"/>
              </w:rPr>
            </w:pPr>
            <w:r>
              <w:rPr>
                <w:rFonts w:hint="eastAsia" w:ascii="宋体" w:hAnsi="宋体"/>
                <w:color w:val="auto"/>
                <w:szCs w:val="21"/>
                <w:highlight w:val="none"/>
              </w:rPr>
              <w:t>由</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网上自行查询，无需确认。     </w:t>
            </w:r>
          </w:p>
        </w:tc>
      </w:tr>
      <w:tr w14:paraId="7E2532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Align w:val="center"/>
          </w:tcPr>
          <w:p w14:paraId="33F1B0E9">
            <w:pPr>
              <w:pStyle w:val="42"/>
              <w:spacing w:line="360" w:lineRule="exact"/>
              <w:ind w:firstLine="0" w:firstLineChars="0"/>
              <w:jc w:val="center"/>
              <w:rPr>
                <w:color w:val="auto"/>
                <w:szCs w:val="21"/>
                <w:highlight w:val="none"/>
              </w:rPr>
            </w:pPr>
            <w:r>
              <w:rPr>
                <w:rFonts w:hint="eastAsia"/>
                <w:color w:val="auto"/>
                <w:szCs w:val="21"/>
                <w:highlight w:val="none"/>
              </w:rPr>
              <w:t>2.3.2</w:t>
            </w:r>
          </w:p>
        </w:tc>
        <w:tc>
          <w:tcPr>
            <w:tcW w:w="2880" w:type="dxa"/>
            <w:vAlign w:val="center"/>
          </w:tcPr>
          <w:p w14:paraId="0D88EC6A">
            <w:pPr>
              <w:spacing w:line="360" w:lineRule="exact"/>
              <w:jc w:val="center"/>
              <w:rPr>
                <w:color w:val="auto"/>
                <w:szCs w:val="21"/>
                <w:highlight w:val="none"/>
              </w:rPr>
            </w:pPr>
            <w:r>
              <w:rPr>
                <w:rFonts w:hint="eastAsia"/>
                <w:color w:val="auto"/>
                <w:szCs w:val="21"/>
                <w:highlight w:val="none"/>
              </w:rPr>
              <w:t>投标人确认收到招标文件修改的时间</w:t>
            </w:r>
          </w:p>
        </w:tc>
        <w:tc>
          <w:tcPr>
            <w:tcW w:w="5718" w:type="dxa"/>
            <w:vAlign w:val="center"/>
          </w:tcPr>
          <w:p w14:paraId="17EB7F31">
            <w:pPr>
              <w:autoSpaceDE w:val="0"/>
              <w:autoSpaceDN w:val="0"/>
              <w:adjustRightInd w:val="0"/>
              <w:spacing w:line="360" w:lineRule="exact"/>
              <w:rPr>
                <w:rFonts w:ascii="宋体" w:hAnsi="宋体"/>
                <w:color w:val="auto"/>
                <w:szCs w:val="21"/>
                <w:highlight w:val="none"/>
              </w:rPr>
            </w:pPr>
            <w:r>
              <w:rPr>
                <w:rFonts w:hint="eastAsia" w:ascii="宋体" w:hAnsi="宋体"/>
                <w:color w:val="auto"/>
                <w:szCs w:val="21"/>
                <w:highlight w:val="none"/>
              </w:rPr>
              <w:t>由</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网上自行查询，无需确认。     </w:t>
            </w:r>
          </w:p>
        </w:tc>
      </w:tr>
      <w:tr w14:paraId="6DDA02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Align w:val="center"/>
          </w:tcPr>
          <w:p w14:paraId="11B5DE47">
            <w:pPr>
              <w:pStyle w:val="42"/>
              <w:spacing w:line="360" w:lineRule="exact"/>
              <w:ind w:firstLine="0" w:firstLineChars="0"/>
              <w:jc w:val="center"/>
              <w:rPr>
                <w:color w:val="auto"/>
                <w:szCs w:val="21"/>
                <w:highlight w:val="none"/>
              </w:rPr>
            </w:pPr>
            <w:r>
              <w:rPr>
                <w:rFonts w:hint="eastAsia"/>
                <w:color w:val="auto"/>
                <w:szCs w:val="21"/>
                <w:highlight w:val="none"/>
              </w:rPr>
              <w:t>3.1.1（10）</w:t>
            </w:r>
          </w:p>
        </w:tc>
        <w:tc>
          <w:tcPr>
            <w:tcW w:w="2880" w:type="dxa"/>
            <w:vAlign w:val="center"/>
          </w:tcPr>
          <w:p w14:paraId="6308BE25">
            <w:pPr>
              <w:spacing w:line="360" w:lineRule="exact"/>
              <w:jc w:val="center"/>
              <w:rPr>
                <w:color w:val="auto"/>
                <w:szCs w:val="21"/>
                <w:highlight w:val="none"/>
              </w:rPr>
            </w:pPr>
            <w:r>
              <w:rPr>
                <w:rFonts w:hint="eastAsia"/>
                <w:color w:val="auto"/>
                <w:szCs w:val="21"/>
                <w:highlight w:val="none"/>
              </w:rPr>
              <w:t>构成投标文件的其他材料</w:t>
            </w:r>
          </w:p>
        </w:tc>
        <w:tc>
          <w:tcPr>
            <w:tcW w:w="5718" w:type="dxa"/>
            <w:vAlign w:val="center"/>
          </w:tcPr>
          <w:p w14:paraId="1F1DF46F">
            <w:pPr>
              <w:spacing w:line="324" w:lineRule="auto"/>
              <w:rPr>
                <w:rFonts w:ascii="宋体" w:hAnsi="宋体" w:cs="宋体"/>
                <w:color w:val="auto"/>
                <w:szCs w:val="21"/>
                <w:highlight w:val="none"/>
                <w:u w:val="single"/>
              </w:rPr>
            </w:pPr>
            <w:r>
              <w:rPr>
                <w:rFonts w:hint="eastAsia" w:ascii="宋体" w:hAnsi="宋体"/>
                <w:color w:val="auto"/>
                <w:szCs w:val="21"/>
                <w:highlight w:val="none"/>
              </w:rPr>
              <w:t>包括但不限于投标文件格式所列要求需提供的证明材料、对评标委员会提出的投标文件有关问题（若有）的澄清函。</w:t>
            </w:r>
          </w:p>
        </w:tc>
      </w:tr>
      <w:tr w14:paraId="69D371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Align w:val="center"/>
          </w:tcPr>
          <w:p w14:paraId="3E1F98BF">
            <w:pPr>
              <w:pStyle w:val="42"/>
              <w:spacing w:line="360" w:lineRule="exact"/>
              <w:ind w:firstLine="0" w:firstLineChars="0"/>
              <w:jc w:val="center"/>
              <w:rPr>
                <w:color w:val="auto"/>
                <w:szCs w:val="21"/>
                <w:highlight w:val="none"/>
              </w:rPr>
            </w:pPr>
            <w:r>
              <w:rPr>
                <w:rFonts w:hint="eastAsia"/>
                <w:color w:val="auto"/>
                <w:szCs w:val="21"/>
                <w:highlight w:val="none"/>
              </w:rPr>
              <w:t>3.2.2</w:t>
            </w:r>
          </w:p>
        </w:tc>
        <w:tc>
          <w:tcPr>
            <w:tcW w:w="2880" w:type="dxa"/>
            <w:vAlign w:val="center"/>
          </w:tcPr>
          <w:p w14:paraId="18A357DF">
            <w:pPr>
              <w:spacing w:line="360" w:lineRule="exact"/>
              <w:jc w:val="center"/>
              <w:rPr>
                <w:color w:val="auto"/>
                <w:szCs w:val="21"/>
                <w:highlight w:val="none"/>
              </w:rPr>
            </w:pPr>
            <w:r>
              <w:rPr>
                <w:rFonts w:hint="eastAsia"/>
                <w:color w:val="auto"/>
                <w:szCs w:val="21"/>
                <w:highlight w:val="none"/>
              </w:rPr>
              <w:t>最高投标报价限价</w:t>
            </w:r>
          </w:p>
        </w:tc>
        <w:tc>
          <w:tcPr>
            <w:tcW w:w="5718" w:type="dxa"/>
            <w:vAlign w:val="center"/>
          </w:tcPr>
          <w:p w14:paraId="566729AC">
            <w:pPr>
              <w:spacing w:line="360" w:lineRule="exact"/>
              <w:rPr>
                <w:rFonts w:ascii="宋体" w:hAnsi="宋体" w:cs="宋体"/>
                <w:color w:val="auto"/>
                <w:szCs w:val="21"/>
                <w:highlight w:val="none"/>
              </w:rPr>
            </w:pPr>
            <w:r>
              <w:rPr>
                <w:rFonts w:hint="eastAsia"/>
                <w:color w:val="auto"/>
                <w:szCs w:val="21"/>
                <w:highlight w:val="none"/>
              </w:rPr>
              <w:t>最高投标报价限价</w:t>
            </w:r>
            <w:r>
              <w:rPr>
                <w:color w:val="auto"/>
                <w:szCs w:val="21"/>
                <w:highlight w:val="none"/>
              </w:rPr>
              <w:t>为</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元</w:t>
            </w:r>
            <w:r>
              <w:rPr>
                <w:rFonts w:hint="eastAsia" w:ascii="宋体" w:hAnsi="宋体"/>
                <w:snapToGrid w:val="0"/>
                <w:color w:val="auto"/>
                <w:kern w:val="0"/>
                <w:szCs w:val="21"/>
                <w:highlight w:val="none"/>
              </w:rPr>
              <w:t>。</w:t>
            </w:r>
            <w:r>
              <w:rPr>
                <w:rFonts w:hint="eastAsia" w:ascii="宋体" w:hAnsi="宋体"/>
                <w:color w:val="auto"/>
                <w:szCs w:val="21"/>
                <w:highlight w:val="none"/>
              </w:rPr>
              <w:t>投标人投标报价若高于最高投标报价限价，投标文件将做废标处理。</w:t>
            </w:r>
          </w:p>
        </w:tc>
      </w:tr>
      <w:tr w14:paraId="286541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008" w:type="dxa"/>
            <w:vAlign w:val="center"/>
          </w:tcPr>
          <w:p w14:paraId="68FED28B">
            <w:pPr>
              <w:pStyle w:val="42"/>
              <w:spacing w:line="360" w:lineRule="exact"/>
              <w:ind w:firstLine="0" w:firstLineChars="0"/>
              <w:jc w:val="center"/>
              <w:rPr>
                <w:color w:val="auto"/>
                <w:szCs w:val="21"/>
                <w:highlight w:val="none"/>
              </w:rPr>
            </w:pPr>
            <w:r>
              <w:rPr>
                <w:rFonts w:hint="eastAsia"/>
                <w:color w:val="auto"/>
                <w:szCs w:val="21"/>
                <w:highlight w:val="none"/>
              </w:rPr>
              <w:t>3.3.1</w:t>
            </w:r>
          </w:p>
        </w:tc>
        <w:tc>
          <w:tcPr>
            <w:tcW w:w="2880" w:type="dxa"/>
            <w:vAlign w:val="center"/>
          </w:tcPr>
          <w:p w14:paraId="40F81631">
            <w:pPr>
              <w:spacing w:line="360" w:lineRule="exact"/>
              <w:jc w:val="center"/>
              <w:rPr>
                <w:color w:val="auto"/>
                <w:szCs w:val="21"/>
                <w:highlight w:val="none"/>
              </w:rPr>
            </w:pPr>
            <w:r>
              <w:rPr>
                <w:rFonts w:hint="eastAsia"/>
                <w:color w:val="auto"/>
                <w:szCs w:val="21"/>
                <w:highlight w:val="none"/>
              </w:rPr>
              <w:t>投标有效期</w:t>
            </w:r>
          </w:p>
        </w:tc>
        <w:tc>
          <w:tcPr>
            <w:tcW w:w="5718" w:type="dxa"/>
            <w:vAlign w:val="center"/>
          </w:tcPr>
          <w:p w14:paraId="64D17F2F">
            <w:pPr>
              <w:pStyle w:val="42"/>
              <w:spacing w:line="324" w:lineRule="auto"/>
              <w:ind w:firstLineChars="200"/>
              <w:rPr>
                <w:rFonts w:ascii="宋体" w:hAnsi="宋体" w:cs="宋体"/>
                <w:color w:val="auto"/>
                <w:szCs w:val="21"/>
                <w:highlight w:val="none"/>
              </w:rPr>
            </w:pPr>
            <w:r>
              <w:rPr>
                <w:rFonts w:hint="eastAsia"/>
                <w:color w:val="auto"/>
                <w:szCs w:val="21"/>
                <w:highlight w:val="none"/>
              </w:rPr>
              <w:t>自投标截止时间起</w:t>
            </w:r>
            <w:r>
              <w:rPr>
                <w:rFonts w:hint="eastAsia"/>
                <w:color w:val="auto"/>
                <w:szCs w:val="21"/>
                <w:highlight w:val="none"/>
                <w:u w:val="single"/>
              </w:rPr>
              <w:t xml:space="preserve">       日历</w:t>
            </w:r>
            <w:r>
              <w:rPr>
                <w:rFonts w:hint="eastAsia"/>
                <w:color w:val="auto"/>
                <w:szCs w:val="21"/>
                <w:highlight w:val="none"/>
              </w:rPr>
              <w:t>天。</w:t>
            </w:r>
          </w:p>
        </w:tc>
      </w:tr>
      <w:tr w14:paraId="37A702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Align w:val="center"/>
          </w:tcPr>
          <w:p w14:paraId="3AF9DB06">
            <w:pPr>
              <w:pStyle w:val="42"/>
              <w:spacing w:line="360" w:lineRule="exact"/>
              <w:ind w:firstLine="0" w:firstLineChars="0"/>
              <w:jc w:val="center"/>
              <w:rPr>
                <w:color w:val="auto"/>
                <w:szCs w:val="21"/>
                <w:highlight w:val="none"/>
              </w:rPr>
            </w:pPr>
            <w:r>
              <w:rPr>
                <w:rFonts w:hint="eastAsia"/>
                <w:color w:val="auto"/>
                <w:szCs w:val="21"/>
                <w:highlight w:val="none"/>
              </w:rPr>
              <w:t>3.4.1</w:t>
            </w:r>
          </w:p>
        </w:tc>
        <w:tc>
          <w:tcPr>
            <w:tcW w:w="2880" w:type="dxa"/>
            <w:vAlign w:val="center"/>
          </w:tcPr>
          <w:p w14:paraId="0A0BB0BD">
            <w:pPr>
              <w:spacing w:line="360" w:lineRule="exact"/>
              <w:jc w:val="center"/>
              <w:rPr>
                <w:color w:val="auto"/>
                <w:szCs w:val="21"/>
                <w:highlight w:val="none"/>
              </w:rPr>
            </w:pPr>
            <w:r>
              <w:rPr>
                <w:color w:val="auto"/>
                <w:szCs w:val="21"/>
                <w:highlight w:val="none"/>
              </w:rPr>
              <w:t>投标保证金</w:t>
            </w:r>
            <w:r>
              <w:rPr>
                <w:rFonts w:hint="eastAsia"/>
                <w:color w:val="auto"/>
                <w:szCs w:val="21"/>
                <w:highlight w:val="none"/>
              </w:rPr>
              <w:t>（投标保证金按照项目估算价的2%计算，最高不得超过80万元）</w:t>
            </w:r>
          </w:p>
        </w:tc>
        <w:tc>
          <w:tcPr>
            <w:tcW w:w="5718" w:type="dxa"/>
            <w:vAlign w:val="center"/>
          </w:tcPr>
          <w:p w14:paraId="6C2C3594">
            <w:pPr>
              <w:wordWrap w:val="0"/>
              <w:adjustRightInd w:val="0"/>
              <w:snapToGrid w:val="0"/>
              <w:spacing w:before="32" w:beforeLines="10" w:afterLines="0" w:line="25" w:lineRule="atLeast"/>
              <w:ind w:firstLine="420" w:firstLineChars="200"/>
              <w:rPr>
                <w:rFonts w:hint="eastAsia" w:ascii="宋体" w:hAnsi="宋体" w:cs="宋体"/>
                <w:color w:val="auto"/>
                <w:szCs w:val="21"/>
                <w:highlight w:val="none"/>
                <w:shd w:val="clear" w:color="auto" w:fill="auto"/>
              </w:rPr>
            </w:pPr>
            <w:r>
              <w:rPr>
                <w:rFonts w:hint="eastAsia" w:ascii="宋体" w:hAnsi="宋体"/>
                <w:color w:val="auto"/>
                <w:szCs w:val="21"/>
                <w:highlight w:val="none"/>
              </w:rPr>
              <w:t>□</w:t>
            </w:r>
            <w:r>
              <w:rPr>
                <w:rFonts w:hint="eastAsia" w:ascii="宋体" w:hAnsi="宋体" w:cs="宋体"/>
                <w:color w:val="auto"/>
                <w:szCs w:val="21"/>
                <w:highlight w:val="none"/>
                <w:shd w:val="clear" w:color="auto" w:fill="auto"/>
              </w:rPr>
              <w:t>不要求。</w:t>
            </w:r>
          </w:p>
          <w:p w14:paraId="53CFEF36">
            <w:pPr>
              <w:wordWrap w:val="0"/>
              <w:adjustRightInd w:val="0"/>
              <w:snapToGrid w:val="0"/>
              <w:spacing w:before="32" w:beforeLines="10" w:afterLines="0" w:line="25" w:lineRule="atLeast"/>
              <w:ind w:firstLine="420" w:firstLineChars="200"/>
              <w:rPr>
                <w:rFonts w:hint="eastAsia" w:ascii="宋体" w:hAnsi="宋体" w:eastAsia="宋体" w:cs="宋体"/>
                <w:color w:val="auto"/>
                <w:szCs w:val="21"/>
                <w:highlight w:val="none"/>
                <w:shd w:val="clear" w:color="auto" w:fill="auto"/>
                <w:lang w:eastAsia="zh-CN"/>
              </w:rPr>
            </w:pPr>
            <w:r>
              <w:rPr>
                <w:rFonts w:hint="eastAsia" w:ascii="宋体" w:hAnsi="宋体"/>
                <w:color w:val="auto"/>
                <w:szCs w:val="21"/>
                <w:highlight w:val="none"/>
              </w:rPr>
              <w:t>□</w:t>
            </w:r>
            <w:r>
              <w:rPr>
                <w:rFonts w:hint="eastAsia" w:ascii="宋体" w:hAnsi="宋体" w:cs="宋体"/>
                <w:color w:val="auto"/>
                <w:szCs w:val="21"/>
                <w:highlight w:val="none"/>
                <w:shd w:val="clear" w:color="auto" w:fill="auto"/>
              </w:rPr>
              <w:t>要求</w:t>
            </w:r>
            <w:r>
              <w:rPr>
                <w:rFonts w:hint="eastAsia" w:ascii="宋体" w:hAnsi="宋体" w:cs="宋体"/>
                <w:color w:val="auto"/>
                <w:szCs w:val="21"/>
                <w:highlight w:val="none"/>
                <w:shd w:val="clear" w:color="auto" w:fill="auto"/>
                <w:lang w:eastAsia="zh-CN"/>
              </w:rPr>
              <w:t>。</w:t>
            </w:r>
            <w:r>
              <w:rPr>
                <w:rFonts w:hint="eastAsia" w:ascii="宋体" w:hAnsi="宋体" w:cs="宋体"/>
                <w:color w:val="auto"/>
                <w:szCs w:val="21"/>
                <w:highlight w:val="none"/>
                <w:shd w:val="clear" w:color="auto" w:fill="auto"/>
              </w:rPr>
              <w:t>投标保证金为人民币</w:t>
            </w:r>
            <w:r>
              <w:rPr>
                <w:rFonts w:hint="eastAsia" w:ascii="宋体" w:hAnsi="宋体" w:cs="宋体"/>
                <w:color w:val="auto"/>
                <w:szCs w:val="21"/>
                <w:highlight w:val="none"/>
                <w:u w:val="single"/>
                <w:shd w:val="clear" w:color="auto" w:fill="auto"/>
              </w:rPr>
              <w:t xml:space="preserve">     </w:t>
            </w:r>
            <w:r>
              <w:rPr>
                <w:rFonts w:hint="eastAsia" w:ascii="宋体" w:hAnsi="宋体" w:cs="宋体"/>
                <w:color w:val="auto"/>
                <w:szCs w:val="21"/>
                <w:highlight w:val="none"/>
                <w:shd w:val="clear" w:color="auto" w:fill="auto"/>
              </w:rPr>
              <w:t>万元</w:t>
            </w:r>
            <w:r>
              <w:rPr>
                <w:rFonts w:hint="eastAsia" w:ascii="宋体" w:hAnsi="宋体" w:cs="宋体"/>
                <w:color w:val="auto"/>
                <w:szCs w:val="21"/>
                <w:highlight w:val="none"/>
                <w:shd w:val="clear" w:color="auto" w:fill="auto"/>
                <w:lang w:eastAsia="zh-CN"/>
              </w:rPr>
              <w:t>。</w:t>
            </w:r>
          </w:p>
          <w:p w14:paraId="436751CA">
            <w:pPr>
              <w:wordWrap w:val="0"/>
              <w:adjustRightInd w:val="0"/>
              <w:snapToGrid w:val="0"/>
              <w:spacing w:before="32" w:beforeLines="10" w:afterLines="0" w:line="25" w:lineRule="atLeast"/>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1、</w:t>
            </w:r>
            <w:r>
              <w:rPr>
                <w:rFonts w:hint="eastAsia" w:ascii="宋体" w:hAnsi="宋体" w:cs="宋体"/>
                <w:color w:val="auto"/>
                <w:szCs w:val="21"/>
                <w:highlight w:val="none"/>
                <w:shd w:val="clear" w:color="auto" w:fill="auto"/>
              </w:rPr>
              <w:t>本招标项目</w:t>
            </w:r>
            <w:r>
              <w:rPr>
                <w:rFonts w:hint="eastAsia" w:ascii="宋体" w:hAnsi="宋体" w:cs="宋体"/>
                <w:color w:val="auto"/>
                <w:szCs w:val="21"/>
                <w:highlight w:val="none"/>
                <w:u w:val="single"/>
                <w:shd w:val="clear" w:color="auto" w:fill="auto"/>
              </w:rPr>
              <w:t>□ 不接受  □ 接受</w:t>
            </w:r>
            <w:r>
              <w:rPr>
                <w:rFonts w:hint="eastAsia" w:ascii="宋体" w:hAnsi="宋体" w:cs="宋体"/>
                <w:color w:val="auto"/>
                <w:szCs w:val="21"/>
                <w:highlight w:val="none"/>
                <w:shd w:val="clear" w:color="auto" w:fill="auto"/>
              </w:rPr>
              <w:t>投标保证金减缴：</w:t>
            </w:r>
          </w:p>
          <w:p w14:paraId="0A971C48">
            <w:pPr>
              <w:wordWrap w:val="0"/>
              <w:adjustRightInd w:val="0"/>
              <w:snapToGrid w:val="0"/>
              <w:spacing w:before="32" w:beforeLines="10" w:afterLines="0" w:line="25" w:lineRule="atLeast"/>
              <w:ind w:firstLine="420" w:firstLineChars="200"/>
              <w:rPr>
                <w:rFonts w:hint="eastAsia" w:ascii="宋体" w:hAnsi="宋体" w:cs="宋体"/>
                <w:color w:val="auto"/>
                <w:szCs w:val="21"/>
                <w:highlight w:val="none"/>
                <w:shd w:val="clear" w:color="auto" w:fill="auto"/>
              </w:rPr>
            </w:pPr>
            <w:r>
              <w:rPr>
                <w:rFonts w:ascii="宋体" w:hAnsi="宋体"/>
                <w:snapToGrid w:val="0"/>
                <w:color w:val="auto"/>
                <w:kern w:val="0"/>
                <w:szCs w:val="21"/>
                <w:highlight w:val="none"/>
              </w:rPr>
              <w:sym w:font="Wingdings 2" w:char="00A3"/>
            </w:r>
            <w:r>
              <w:rPr>
                <w:rFonts w:hint="eastAsia" w:ascii="宋体" w:hAnsi="宋体"/>
                <w:snapToGrid w:val="0"/>
                <w:color w:val="auto"/>
                <w:kern w:val="0"/>
                <w:szCs w:val="21"/>
                <w:highlight w:val="none"/>
              </w:rPr>
              <w:t>水运项目：</w:t>
            </w:r>
            <w:r>
              <w:rPr>
                <w:rFonts w:hint="eastAsia" w:ascii="宋体" w:hAnsi="宋体" w:cs="宋体"/>
                <w:color w:val="auto"/>
                <w:szCs w:val="21"/>
                <w:highlight w:val="none"/>
                <w:shd w:val="clear" w:color="auto" w:fill="auto"/>
              </w:rPr>
              <w:t>投标人最近期</w:t>
            </w:r>
            <w:r>
              <w:rPr>
                <w:rFonts w:hint="eastAsia"/>
                <w:color w:val="auto"/>
                <w:sz w:val="21"/>
                <w:szCs w:val="21"/>
                <w:highlight w:val="none"/>
                <w:shd w:val="clear" w:color="auto" w:fill="auto"/>
                <w:lang w:val="en-US" w:eastAsia="zh-CN"/>
              </w:rPr>
              <w:t>福建省交通建设市场信用考核评价结果</w:t>
            </w:r>
            <w:r>
              <w:rPr>
                <w:rFonts w:hint="eastAsia" w:ascii="宋体" w:hAnsi="宋体" w:cs="宋体"/>
                <w:color w:val="auto"/>
                <w:szCs w:val="21"/>
                <w:highlight w:val="none"/>
                <w:shd w:val="clear" w:color="auto" w:fill="auto"/>
              </w:rPr>
              <w:t xml:space="preserve">为 </w:t>
            </w:r>
            <w:r>
              <w:rPr>
                <w:rFonts w:hint="eastAsia" w:ascii="宋体" w:hAnsi="宋体" w:cs="宋体"/>
                <w:color w:val="auto"/>
                <w:szCs w:val="21"/>
                <w:highlight w:val="none"/>
                <w:shd w:val="clear" w:color="auto" w:fill="auto"/>
                <w:lang w:val="en-US" w:eastAsia="zh-CN"/>
              </w:rPr>
              <w:t>A</w:t>
            </w:r>
            <w:r>
              <w:rPr>
                <w:rFonts w:hint="eastAsia" w:ascii="宋体" w:hAnsi="宋体" w:cs="宋体"/>
                <w:color w:val="auto"/>
                <w:szCs w:val="21"/>
                <w:highlight w:val="none"/>
                <w:shd w:val="clear" w:color="auto" w:fill="auto"/>
              </w:rPr>
              <w:t>A级的，缴交投标保证金为招标文件要求金额的50%，即（</w:t>
            </w:r>
            <w:r>
              <w:rPr>
                <w:rFonts w:hint="eastAsia" w:ascii="宋体" w:hAnsi="宋体" w:cs="宋体"/>
                <w:color w:val="auto"/>
                <w:szCs w:val="21"/>
                <w:highlight w:val="none"/>
                <w:u w:val="single"/>
                <w:shd w:val="clear" w:color="auto" w:fill="auto"/>
              </w:rPr>
              <w:t xml:space="preserve">     </w:t>
            </w:r>
            <w:r>
              <w:rPr>
                <w:rFonts w:hint="eastAsia" w:ascii="宋体" w:hAnsi="宋体" w:cs="宋体"/>
                <w:color w:val="auto"/>
                <w:szCs w:val="21"/>
                <w:highlight w:val="none"/>
                <w:shd w:val="clear" w:color="auto" w:fill="auto"/>
              </w:rPr>
              <w:t>万元人民币）；投标人最近期</w:t>
            </w:r>
            <w:r>
              <w:rPr>
                <w:rFonts w:hint="eastAsia"/>
                <w:color w:val="auto"/>
                <w:sz w:val="21"/>
                <w:szCs w:val="21"/>
                <w:highlight w:val="none"/>
                <w:shd w:val="clear" w:color="auto" w:fill="auto"/>
                <w:lang w:val="en-US" w:eastAsia="zh-CN"/>
              </w:rPr>
              <w:t>福建省交通建设市场信用考核评价结果</w:t>
            </w:r>
            <w:r>
              <w:rPr>
                <w:rFonts w:hint="eastAsia" w:ascii="宋体" w:hAnsi="宋体" w:cs="宋体"/>
                <w:color w:val="auto"/>
                <w:szCs w:val="21"/>
                <w:highlight w:val="none"/>
                <w:shd w:val="clear" w:color="auto" w:fill="auto"/>
              </w:rPr>
              <w:t>为</w:t>
            </w:r>
            <w:r>
              <w:rPr>
                <w:rFonts w:hint="eastAsia" w:ascii="宋体" w:hAnsi="宋体" w:cs="宋体"/>
                <w:color w:val="auto"/>
                <w:szCs w:val="21"/>
                <w:highlight w:val="none"/>
                <w:shd w:val="clear" w:color="auto" w:fill="auto"/>
                <w:lang w:eastAsia="zh-CN"/>
              </w:rPr>
              <w:t>A</w:t>
            </w:r>
            <w:r>
              <w:rPr>
                <w:rFonts w:hint="eastAsia" w:ascii="宋体" w:hAnsi="宋体" w:cs="宋体"/>
                <w:color w:val="auto"/>
                <w:szCs w:val="21"/>
                <w:highlight w:val="none"/>
                <w:shd w:val="clear" w:color="auto" w:fill="auto"/>
              </w:rPr>
              <w:t>级的，缴交投标保证金为招标文件要求金额的75%，即（</w:t>
            </w:r>
            <w:r>
              <w:rPr>
                <w:rFonts w:hint="eastAsia" w:ascii="宋体" w:hAnsi="宋体" w:cs="宋体"/>
                <w:color w:val="auto"/>
                <w:szCs w:val="21"/>
                <w:highlight w:val="none"/>
                <w:u w:val="single"/>
                <w:shd w:val="clear" w:color="auto" w:fill="auto"/>
              </w:rPr>
              <w:t xml:space="preserve">     </w:t>
            </w:r>
            <w:r>
              <w:rPr>
                <w:rFonts w:hint="eastAsia" w:ascii="宋体" w:hAnsi="宋体" w:cs="宋体"/>
                <w:color w:val="auto"/>
                <w:szCs w:val="21"/>
                <w:highlight w:val="none"/>
                <w:shd w:val="clear" w:color="auto" w:fill="auto"/>
              </w:rPr>
              <w:t>万元人民币）。</w:t>
            </w:r>
          </w:p>
          <w:p w14:paraId="65E57957">
            <w:pPr>
              <w:wordWrap w:val="0"/>
              <w:adjustRightInd w:val="0"/>
              <w:snapToGrid w:val="0"/>
              <w:spacing w:before="32" w:beforeLines="10" w:afterLines="0" w:line="25" w:lineRule="atLeast"/>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sym w:font="Wingdings 2" w:char="00A3"/>
            </w:r>
            <w:r>
              <w:rPr>
                <w:rFonts w:hint="eastAsia" w:ascii="宋体" w:hAnsi="宋体"/>
                <w:snapToGrid w:val="0"/>
                <w:color w:val="auto"/>
                <w:kern w:val="0"/>
                <w:szCs w:val="21"/>
                <w:highlight w:val="none"/>
              </w:rPr>
              <w:t>涉海项目：</w:t>
            </w:r>
          </w:p>
          <w:p w14:paraId="0F8CDEA7">
            <w:pPr>
              <w:wordWrap w:val="0"/>
              <w:adjustRightInd w:val="0"/>
              <w:snapToGrid w:val="0"/>
              <w:spacing w:before="32" w:beforeLines="10" w:afterLines="0" w:line="25" w:lineRule="atLeast"/>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lang w:val="en-US" w:eastAsia="zh-CN"/>
              </w:rPr>
              <w:t>1</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lang w:val="en-US" w:eastAsia="zh-CN"/>
              </w:rPr>
              <w:t>投</w:t>
            </w:r>
            <w:r>
              <w:rPr>
                <w:rFonts w:hint="eastAsia" w:ascii="宋体" w:hAnsi="宋体" w:cs="宋体"/>
                <w:color w:val="auto"/>
                <w:szCs w:val="21"/>
                <w:highlight w:val="none"/>
                <w:shd w:val="clear" w:color="auto" w:fill="auto"/>
              </w:rPr>
              <w:t>标人最近期</w:t>
            </w:r>
            <w:r>
              <w:rPr>
                <w:rFonts w:hint="eastAsia"/>
                <w:color w:val="auto"/>
                <w:sz w:val="21"/>
                <w:szCs w:val="21"/>
                <w:highlight w:val="none"/>
                <w:shd w:val="clear" w:color="auto" w:fill="auto"/>
                <w:lang w:val="en-US" w:eastAsia="zh-CN"/>
              </w:rPr>
              <w:t>福建省交通建设市场信用考核评价结果</w:t>
            </w:r>
            <w:r>
              <w:rPr>
                <w:rFonts w:hint="eastAsia" w:ascii="宋体" w:hAnsi="宋体" w:cs="宋体"/>
                <w:color w:val="auto"/>
                <w:szCs w:val="21"/>
                <w:highlight w:val="none"/>
                <w:shd w:val="clear" w:color="auto" w:fill="auto"/>
              </w:rPr>
              <w:t xml:space="preserve">为 </w:t>
            </w:r>
            <w:r>
              <w:rPr>
                <w:rFonts w:hint="eastAsia" w:ascii="宋体" w:hAnsi="宋体" w:cs="宋体"/>
                <w:color w:val="auto"/>
                <w:szCs w:val="21"/>
                <w:highlight w:val="none"/>
                <w:shd w:val="clear" w:color="auto" w:fill="auto"/>
                <w:lang w:val="en-US" w:eastAsia="zh-CN"/>
              </w:rPr>
              <w:t>A</w:t>
            </w:r>
            <w:r>
              <w:rPr>
                <w:rFonts w:hint="eastAsia" w:ascii="宋体" w:hAnsi="宋体" w:cs="宋体"/>
                <w:color w:val="auto"/>
                <w:szCs w:val="21"/>
                <w:highlight w:val="none"/>
                <w:shd w:val="clear" w:color="auto" w:fill="auto"/>
              </w:rPr>
              <w:t>A级的，缴交投标保证金为招标文件要求金额的50%，即（</w:t>
            </w:r>
            <w:r>
              <w:rPr>
                <w:rFonts w:hint="eastAsia" w:ascii="宋体" w:hAnsi="宋体" w:cs="宋体"/>
                <w:color w:val="auto"/>
                <w:szCs w:val="21"/>
                <w:highlight w:val="none"/>
                <w:u w:val="single"/>
                <w:shd w:val="clear" w:color="auto" w:fill="auto"/>
              </w:rPr>
              <w:t xml:space="preserve">     </w:t>
            </w:r>
            <w:r>
              <w:rPr>
                <w:rFonts w:hint="eastAsia" w:ascii="宋体" w:hAnsi="宋体" w:cs="宋体"/>
                <w:color w:val="auto"/>
                <w:szCs w:val="21"/>
                <w:highlight w:val="none"/>
                <w:shd w:val="clear" w:color="auto" w:fill="auto"/>
              </w:rPr>
              <w:t>万元人民币）；投标人最近期</w:t>
            </w:r>
            <w:r>
              <w:rPr>
                <w:rFonts w:hint="eastAsia"/>
                <w:color w:val="auto"/>
                <w:sz w:val="21"/>
                <w:szCs w:val="21"/>
                <w:highlight w:val="none"/>
                <w:shd w:val="clear" w:color="auto" w:fill="auto"/>
                <w:lang w:val="en-US" w:eastAsia="zh-CN"/>
              </w:rPr>
              <w:t>福建省交通建设市场信用考核评价结果</w:t>
            </w:r>
            <w:r>
              <w:rPr>
                <w:rFonts w:hint="eastAsia" w:ascii="宋体" w:hAnsi="宋体" w:cs="宋体"/>
                <w:color w:val="auto"/>
                <w:szCs w:val="21"/>
                <w:highlight w:val="none"/>
                <w:shd w:val="clear" w:color="auto" w:fill="auto"/>
              </w:rPr>
              <w:t>为</w:t>
            </w:r>
            <w:r>
              <w:rPr>
                <w:rFonts w:hint="eastAsia" w:ascii="宋体" w:hAnsi="宋体" w:cs="宋体"/>
                <w:color w:val="auto"/>
                <w:szCs w:val="21"/>
                <w:highlight w:val="none"/>
                <w:shd w:val="clear" w:color="auto" w:fill="auto"/>
                <w:lang w:eastAsia="zh-CN"/>
              </w:rPr>
              <w:t>A</w:t>
            </w:r>
            <w:r>
              <w:rPr>
                <w:rFonts w:hint="eastAsia" w:ascii="宋体" w:hAnsi="宋体" w:cs="宋体"/>
                <w:color w:val="auto"/>
                <w:szCs w:val="21"/>
                <w:highlight w:val="none"/>
                <w:shd w:val="clear" w:color="auto" w:fill="auto"/>
              </w:rPr>
              <w:t>级的，缴交投标保证金为招标文件要求金额的75%，即（</w:t>
            </w:r>
            <w:r>
              <w:rPr>
                <w:rFonts w:hint="eastAsia" w:ascii="宋体" w:hAnsi="宋体" w:cs="宋体"/>
                <w:color w:val="auto"/>
                <w:szCs w:val="21"/>
                <w:highlight w:val="none"/>
                <w:u w:val="single"/>
                <w:shd w:val="clear" w:color="auto" w:fill="auto"/>
              </w:rPr>
              <w:t xml:space="preserve">     </w:t>
            </w:r>
            <w:r>
              <w:rPr>
                <w:rFonts w:hint="eastAsia" w:ascii="宋体" w:hAnsi="宋体" w:cs="宋体"/>
                <w:color w:val="auto"/>
                <w:szCs w:val="21"/>
                <w:highlight w:val="none"/>
                <w:shd w:val="clear" w:color="auto" w:fill="auto"/>
              </w:rPr>
              <w:t>万元人民币）。</w:t>
            </w:r>
          </w:p>
          <w:p w14:paraId="65F454C8">
            <w:pPr>
              <w:pStyle w:val="13"/>
              <w:adjustRightInd w:val="0"/>
              <w:snapToGrid w:val="0"/>
              <w:spacing w:before="32" w:beforeLines="10" w:afterLines="0" w:line="25" w:lineRule="atLeast"/>
              <w:ind w:firstLineChars="200"/>
              <w:rPr>
                <w:color w:val="auto"/>
                <w:highlight w:val="none"/>
              </w:rPr>
            </w:pPr>
            <w:r>
              <w:rPr>
                <w:rFonts w:hint="eastAsia" w:hAnsi="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投标人最近期厦门市建筑施工企业信用综合评价等级为 A 级的，缴交投标保证金为招标文件要求金额的50%，即（</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val="en-US" w:eastAsia="zh-CN"/>
              </w:rPr>
              <w:t>万元人民币）；投标人最近期厦门市建筑施工企业信用综合评价等级为 BB+级的，缴交投标保证金为招标文件要求金额的75%，即（</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val="en-US" w:eastAsia="zh-CN"/>
              </w:rPr>
              <w:t>万元人民币）。</w:t>
            </w:r>
          </w:p>
          <w:p w14:paraId="05A95CCB">
            <w:pPr>
              <w:pStyle w:val="2"/>
              <w:numPr>
                <w:ilvl w:val="0"/>
                <w:numId w:val="0"/>
              </w:numPr>
              <w:wordWrap w:val="0"/>
              <w:adjustRightInd w:val="0"/>
              <w:snapToGrid w:val="0"/>
              <w:spacing w:before="32" w:beforeLines="10" w:afterLines="0" w:line="300" w:lineRule="auto"/>
              <w:ind w:firstLine="420" w:firstLineChars="200"/>
              <w:rPr>
                <w:rFonts w:hint="eastAsia" w:ascii="宋体" w:hAnsi="宋体" w:cs="宋体"/>
                <w:color w:val="auto"/>
                <w:szCs w:val="21"/>
                <w:highlight w:val="none"/>
                <w:shd w:val="clear" w:color="auto" w:fill="auto"/>
                <w:lang w:eastAsia="zh-CN"/>
              </w:rPr>
            </w:pPr>
            <w:r>
              <w:rPr>
                <w:rFonts w:hint="eastAsia" w:ascii="宋体" w:hAnsi="宋体" w:eastAsia="宋体" w:cs="宋体"/>
                <w:color w:val="auto"/>
                <w:sz w:val="21"/>
                <w:szCs w:val="21"/>
                <w:highlight w:val="none"/>
              </w:rPr>
              <w:t>以联合体参与投标的，</w:t>
            </w:r>
            <w:r>
              <w:rPr>
                <w:rFonts w:hint="eastAsia" w:ascii="宋体" w:hAnsi="宋体" w:eastAsia="宋体" w:cs="宋体"/>
                <w:color w:val="auto"/>
                <w:sz w:val="21"/>
                <w:szCs w:val="21"/>
                <w:highlight w:val="none"/>
                <w:lang w:val="en-US" w:eastAsia="zh-CN"/>
              </w:rPr>
              <w:t>联合体</w:t>
            </w:r>
            <w:r>
              <w:rPr>
                <w:rFonts w:hint="eastAsia" w:ascii="宋体" w:hAnsi="宋体" w:eastAsia="宋体" w:cs="宋体"/>
                <w:color w:val="auto"/>
                <w:sz w:val="21"/>
                <w:szCs w:val="21"/>
                <w:highlight w:val="none"/>
              </w:rPr>
              <w:t>投标人的企业信用综合评价</w:t>
            </w:r>
            <w:r>
              <w:rPr>
                <w:rFonts w:hint="eastAsia" w:ascii="宋体" w:hAnsi="宋体" w:eastAsia="宋体" w:cs="宋体"/>
                <w:color w:val="auto"/>
                <w:sz w:val="21"/>
                <w:szCs w:val="21"/>
                <w:highlight w:val="none"/>
                <w:lang w:val="en-US" w:eastAsia="zh-CN"/>
              </w:rPr>
              <w:t>等级</w:t>
            </w:r>
            <w:r>
              <w:rPr>
                <w:rFonts w:hint="eastAsia" w:ascii="宋体" w:hAnsi="宋体" w:eastAsia="宋体" w:cs="宋体"/>
                <w:color w:val="auto"/>
                <w:sz w:val="21"/>
                <w:szCs w:val="21"/>
                <w:highlight w:val="none"/>
              </w:rPr>
              <w:t>按联合体</w:t>
            </w:r>
            <w:r>
              <w:rPr>
                <w:rFonts w:hint="eastAsia" w:ascii="宋体" w:hAnsi="宋体" w:eastAsia="宋体" w:cs="宋体"/>
                <w:color w:val="auto"/>
                <w:sz w:val="21"/>
                <w:szCs w:val="21"/>
                <w:highlight w:val="none"/>
                <w:lang w:val="en-US" w:eastAsia="zh-CN"/>
              </w:rPr>
              <w:t>牵头人的信用等级</w:t>
            </w:r>
            <w:r>
              <w:rPr>
                <w:rFonts w:hint="eastAsia" w:ascii="宋体" w:hAnsi="宋体" w:eastAsia="宋体" w:cs="宋体"/>
                <w:color w:val="auto"/>
                <w:sz w:val="21"/>
                <w:szCs w:val="21"/>
                <w:highlight w:val="none"/>
              </w:rPr>
              <w:t>确定。</w:t>
            </w:r>
          </w:p>
          <w:p w14:paraId="2A202705">
            <w:pPr>
              <w:wordWrap/>
              <w:adjustRightInd w:val="0"/>
              <w:snapToGrid w:val="0"/>
              <w:spacing w:before="32" w:beforeLines="10" w:afterLines="0" w:line="25" w:lineRule="atLeast"/>
              <w:ind w:firstLine="420" w:firstLineChars="200"/>
              <w:textAlignment w:val="auto"/>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2、</w:t>
            </w:r>
            <w:r>
              <w:rPr>
                <w:rFonts w:hint="eastAsia" w:ascii="宋体" w:hAnsi="宋体" w:cs="宋体"/>
                <w:color w:val="auto"/>
                <w:szCs w:val="21"/>
                <w:highlight w:val="none"/>
                <w:shd w:val="clear" w:color="auto" w:fill="auto"/>
              </w:rPr>
              <w:t>投标人可选择下列其中一种投标保证金形式</w:t>
            </w:r>
            <w:r>
              <w:rPr>
                <w:rStyle w:val="53"/>
                <w:rFonts w:hint="eastAsia" w:ascii="宋体" w:hAnsi="宋体" w:cs="宋体"/>
                <w:color w:val="auto"/>
                <w:szCs w:val="21"/>
                <w:highlight w:val="none"/>
                <w:shd w:val="clear" w:color="auto" w:fill="auto"/>
              </w:rPr>
              <w:footnoteReference w:id="2"/>
            </w:r>
            <w:r>
              <w:rPr>
                <w:rFonts w:hint="eastAsia" w:ascii="宋体" w:hAnsi="宋体" w:cs="宋体"/>
                <w:color w:val="auto"/>
                <w:szCs w:val="21"/>
                <w:highlight w:val="none"/>
                <w:shd w:val="clear" w:color="auto" w:fill="auto"/>
              </w:rPr>
              <w:t>：</w:t>
            </w:r>
            <w:r>
              <w:rPr>
                <w:rFonts w:hint="eastAsia" w:ascii="宋体" w:hAnsi="宋体" w:cs="宋体"/>
                <w:color w:val="auto"/>
                <w:sz w:val="21"/>
                <w:szCs w:val="21"/>
                <w:highlight w:val="none"/>
                <w:u w:val="single"/>
                <w:lang w:val="en-US" w:eastAsia="zh-CN"/>
              </w:rPr>
              <w:t>本</w:t>
            </w:r>
            <w:r>
              <w:rPr>
                <w:rFonts w:hint="eastAsia" w:cs="宋体"/>
                <w:color w:val="auto"/>
                <w:sz w:val="21"/>
                <w:szCs w:val="21"/>
                <w:highlight w:val="none"/>
                <w:u w:val="single"/>
                <w:lang w:val="en-US" w:eastAsia="zh-CN"/>
              </w:rPr>
              <w:t>招标</w:t>
            </w:r>
            <w:r>
              <w:rPr>
                <w:rFonts w:hint="eastAsia" w:ascii="宋体" w:hAnsi="宋体" w:cs="宋体"/>
                <w:color w:val="auto"/>
                <w:sz w:val="21"/>
                <w:szCs w:val="21"/>
                <w:highlight w:val="none"/>
                <w:u w:val="single"/>
                <w:lang w:val="en-US" w:eastAsia="zh-CN"/>
              </w:rPr>
              <w:t>项目投标截止时没有被列为招投标重点监管对象的投标人可以使用下列第</w:t>
            </w:r>
            <w:r>
              <w:rPr>
                <w:rFonts w:hint="eastAsia" w:cs="宋体"/>
                <w:color w:val="auto"/>
                <w:sz w:val="21"/>
                <w:szCs w:val="21"/>
                <w:highlight w:val="none"/>
                <w:u w:val="single"/>
                <w:lang w:val="en-US" w:eastAsia="zh-CN"/>
              </w:rPr>
              <w:t>□①、□②、□③、□④、□⑤、□⑥</w:t>
            </w:r>
            <w:r>
              <w:rPr>
                <w:rFonts w:hint="eastAsia" w:ascii="宋体" w:hAnsi="宋体" w:cs="宋体"/>
                <w:color w:val="auto"/>
                <w:sz w:val="21"/>
                <w:szCs w:val="21"/>
                <w:highlight w:val="none"/>
                <w:u w:val="single"/>
                <w:lang w:val="en-US" w:eastAsia="zh-CN"/>
              </w:rPr>
              <w:t>种形式提交；</w:t>
            </w:r>
          </w:p>
          <w:p w14:paraId="772B792B">
            <w:pPr>
              <w:wordWrap w:val="0"/>
              <w:adjustRightInd w:val="0"/>
              <w:snapToGrid w:val="0"/>
              <w:spacing w:before="32" w:beforeLines="10" w:afterLines="0" w:line="25" w:lineRule="atLeast"/>
              <w:ind w:firstLine="210" w:firstLineChars="100"/>
              <w:rPr>
                <w:rFonts w:hint="eastAsia" w:ascii="宋体" w:hAnsi="宋体" w:eastAsia="宋体" w:cs="宋体"/>
                <w:color w:val="auto"/>
                <w:szCs w:val="21"/>
                <w:highlight w:val="none"/>
                <w:u w:val="single"/>
                <w:shd w:val="clear" w:color="auto" w:fill="auto"/>
                <w:lang w:val="en-US" w:eastAsia="zh-CN"/>
              </w:rPr>
            </w:pPr>
            <w:r>
              <w:rPr>
                <w:rFonts w:hint="eastAsia" w:ascii="宋体" w:hAnsi="宋体" w:cs="宋体"/>
                <w:color w:val="auto"/>
                <w:szCs w:val="21"/>
                <w:highlight w:val="none"/>
                <w:u w:val="single"/>
                <w:shd w:val="clear" w:color="auto" w:fill="auto"/>
                <w:lang w:val="en-US" w:eastAsia="zh-CN"/>
              </w:rPr>
              <w:t>①</w:t>
            </w:r>
            <w:r>
              <w:rPr>
                <w:rFonts w:hint="eastAsia" w:ascii="宋体" w:hAnsi="宋体" w:cs="宋体"/>
                <w:color w:val="auto"/>
                <w:szCs w:val="21"/>
                <w:highlight w:val="none"/>
                <w:u w:val="single"/>
                <w:shd w:val="clear" w:color="auto" w:fill="auto"/>
              </w:rPr>
              <w:t>采用现金</w:t>
            </w:r>
            <w:r>
              <w:rPr>
                <w:rFonts w:hint="eastAsia" w:ascii="宋体" w:hAnsi="宋体" w:cs="宋体"/>
                <w:color w:val="auto"/>
                <w:szCs w:val="21"/>
                <w:highlight w:val="none"/>
                <w:u w:val="single"/>
                <w:shd w:val="clear" w:color="auto" w:fill="auto"/>
                <w:lang w:val="en-US" w:eastAsia="zh-CN"/>
              </w:rPr>
              <w:t>形式</w:t>
            </w:r>
          </w:p>
          <w:p w14:paraId="6E216AE8">
            <w:pPr>
              <w:wordWrap w:val="0"/>
              <w:adjustRightInd w:val="0"/>
              <w:snapToGrid w:val="0"/>
              <w:spacing w:before="32" w:beforeLines="10" w:afterLines="0" w:line="25" w:lineRule="atLeast"/>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应在投标截止时间之前从投标人所在地银行的投标人企业基本账户以电汇或银行转账的形式，汇到招标文件指定的投标保证金账户，并应在电汇或银行转账单上注明</w:t>
            </w:r>
            <w:r>
              <w:rPr>
                <w:rFonts w:hint="eastAsia" w:ascii="宋体" w:hAnsi="宋体" w:cs="宋体"/>
                <w:color w:val="auto"/>
                <w:szCs w:val="21"/>
                <w:highlight w:val="none"/>
                <w:u w:val="single"/>
                <w:shd w:val="clear" w:color="auto" w:fill="auto"/>
              </w:rPr>
              <w:t xml:space="preserve">    （招标项目编号）</w:t>
            </w:r>
            <w:r>
              <w:rPr>
                <w:rFonts w:hint="eastAsia" w:ascii="宋体" w:hAnsi="宋体" w:cs="宋体"/>
                <w:color w:val="auto"/>
                <w:szCs w:val="21"/>
                <w:highlight w:val="none"/>
                <w:shd w:val="clear" w:color="auto" w:fill="auto"/>
              </w:rPr>
              <w:t>，如因投标人汇款凭证未注明招标项目编号造成银行无法识别投标保证金到账情况或识别错误的，其责任由投标人自行承担。招标人在投标截止的同一时间到银行查询投标保证金到账情况，并以银行出具的加盖公章的投标保证金到账证明作为投标人是否按招标文件规定递交投标保证金的依据。投标人企业基本账户开户许可证或基本存款账户开户银行开具的《基本存款账户信息》上账号应与投标保证金转账回单上账号一致，否则视为未按规定提交投标保证金，</w:t>
            </w:r>
            <w:r>
              <w:rPr>
                <w:rFonts w:hint="eastAsia" w:ascii="宋体" w:hAnsi="宋体" w:cs="宋体"/>
                <w:b w:val="0"/>
                <w:bCs/>
                <w:color w:val="auto"/>
                <w:szCs w:val="21"/>
                <w:highlight w:val="none"/>
              </w:rPr>
              <w:t>应否决其投标</w:t>
            </w:r>
            <w:r>
              <w:rPr>
                <w:rFonts w:hint="eastAsia" w:ascii="宋体" w:hAnsi="宋体" w:cs="宋体"/>
                <w:color w:val="auto"/>
                <w:szCs w:val="21"/>
                <w:highlight w:val="none"/>
                <w:shd w:val="clear" w:color="auto" w:fill="auto"/>
              </w:rPr>
              <w:t>。</w:t>
            </w:r>
          </w:p>
          <w:p w14:paraId="48F1218C">
            <w:pPr>
              <w:pageBreakBefore w:val="0"/>
              <w:kinsoku/>
              <w:wordWrap/>
              <w:overflowPunct/>
              <w:topLinePunct w:val="0"/>
              <w:bidi w:val="0"/>
              <w:adjustRightInd w:val="0"/>
              <w:snapToGrid w:val="0"/>
              <w:spacing w:before="32" w:beforeLines="10" w:afterLines="0" w:line="25" w:lineRule="atLeast"/>
              <w:ind w:firstLine="420" w:firstLineChars="200"/>
              <w:textAlignment w:val="auto"/>
              <w:rPr>
                <w:rFonts w:hint="eastAsia" w:cs="宋体"/>
                <w:color w:val="auto"/>
                <w:sz w:val="21"/>
                <w:szCs w:val="21"/>
                <w:highlight w:val="none"/>
              </w:rPr>
            </w:pPr>
            <w:r>
              <w:rPr>
                <w:rFonts w:hint="eastAsia" w:cs="宋体"/>
                <w:color w:val="auto"/>
                <w:sz w:val="21"/>
                <w:szCs w:val="21"/>
                <w:highlight w:val="none"/>
              </w:rPr>
              <w:t>投标保证金银行</w:t>
            </w:r>
            <w:r>
              <w:rPr>
                <w:rFonts w:hint="eastAsia" w:cs="宋体"/>
                <w:color w:val="auto"/>
                <w:sz w:val="21"/>
                <w:szCs w:val="21"/>
                <w:highlight w:val="none"/>
                <w:lang w:eastAsia="zh-CN"/>
              </w:rPr>
              <w:t>账</w:t>
            </w:r>
            <w:r>
              <w:rPr>
                <w:rFonts w:hint="eastAsia" w:cs="宋体"/>
                <w:color w:val="auto"/>
                <w:sz w:val="21"/>
                <w:szCs w:val="21"/>
                <w:highlight w:val="none"/>
              </w:rPr>
              <w:t>号：</w:t>
            </w:r>
          </w:p>
          <w:p w14:paraId="65354144">
            <w:pPr>
              <w:pageBreakBefore w:val="0"/>
              <w:kinsoku/>
              <w:wordWrap/>
              <w:overflowPunct/>
              <w:topLinePunct w:val="0"/>
              <w:bidi w:val="0"/>
              <w:adjustRightInd w:val="0"/>
              <w:snapToGrid w:val="0"/>
              <w:spacing w:before="32" w:beforeLines="10" w:afterLines="0" w:line="25" w:lineRule="atLeast"/>
              <w:ind w:firstLine="420" w:firstLineChars="200"/>
              <w:textAlignment w:val="auto"/>
              <w:rPr>
                <w:rFonts w:hint="eastAsia"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中国农业银行股份有限公司厦门政务中心支行</w:t>
            </w:r>
          </w:p>
          <w:p w14:paraId="24869246">
            <w:pPr>
              <w:pageBreakBefore w:val="0"/>
              <w:kinsoku/>
              <w:wordWrap/>
              <w:overflowPunct/>
              <w:topLinePunct w:val="0"/>
              <w:bidi w:val="0"/>
              <w:adjustRightInd w:val="0"/>
              <w:snapToGrid w:val="0"/>
              <w:spacing w:before="32" w:beforeLines="10" w:afterLines="0" w:line="25" w:lineRule="atLeast"/>
              <w:ind w:firstLine="420" w:firstLineChars="200"/>
              <w:textAlignment w:val="auto"/>
              <w:rPr>
                <w:rFonts w:hint="eastAsia" w:cs="宋体"/>
                <w:color w:val="auto"/>
                <w:sz w:val="21"/>
                <w:szCs w:val="21"/>
                <w:highlight w:val="none"/>
              </w:rPr>
            </w:pPr>
            <w:r>
              <w:rPr>
                <w:rFonts w:hint="eastAsia" w:cs="宋体"/>
                <w:color w:val="auto"/>
                <w:sz w:val="21"/>
                <w:szCs w:val="21"/>
                <w:highlight w:val="none"/>
                <w:lang w:eastAsia="zh-CN"/>
              </w:rPr>
              <w:t>账</w:t>
            </w:r>
            <w:r>
              <w:rPr>
                <w:rFonts w:hint="eastAsia" w:cs="宋体"/>
                <w:color w:val="auto"/>
                <w:sz w:val="21"/>
                <w:szCs w:val="21"/>
                <w:highlight w:val="none"/>
              </w:rPr>
              <w:t>户名称：</w:t>
            </w:r>
            <w:r>
              <w:rPr>
                <w:rFonts w:hint="eastAsia" w:cs="宋体"/>
                <w:color w:val="auto"/>
                <w:sz w:val="21"/>
                <w:szCs w:val="21"/>
                <w:highlight w:val="none"/>
                <w:u w:val="single"/>
              </w:rPr>
              <w:t xml:space="preserve">厦门市公共资源交易中心 </w:t>
            </w:r>
          </w:p>
          <w:p w14:paraId="42BCB99F">
            <w:pPr>
              <w:pageBreakBefore w:val="0"/>
              <w:kinsoku/>
              <w:wordWrap/>
              <w:overflowPunct/>
              <w:topLinePunct w:val="0"/>
              <w:bidi w:val="0"/>
              <w:adjustRightInd w:val="0"/>
              <w:snapToGrid w:val="0"/>
              <w:spacing w:before="32" w:beforeLines="10" w:afterLines="0" w:line="25" w:lineRule="atLeast"/>
              <w:ind w:firstLine="420" w:firstLineChars="200"/>
              <w:textAlignment w:val="auto"/>
              <w:rPr>
                <w:rFonts w:hint="eastAsia" w:cs="宋体"/>
                <w:color w:val="auto"/>
                <w:sz w:val="21"/>
                <w:szCs w:val="21"/>
                <w:highlight w:val="none"/>
              </w:rPr>
            </w:pPr>
            <w:r>
              <w:rPr>
                <w:rFonts w:hint="eastAsia" w:cs="宋体"/>
                <w:color w:val="auto"/>
                <w:sz w:val="21"/>
                <w:szCs w:val="21"/>
                <w:highlight w:val="none"/>
                <w:lang w:eastAsia="zh-CN"/>
              </w:rPr>
              <w:t>账</w:t>
            </w:r>
            <w:r>
              <w:rPr>
                <w:rFonts w:hint="eastAsia" w:cs="宋体"/>
                <w:color w:val="auto"/>
                <w:sz w:val="21"/>
                <w:szCs w:val="21"/>
                <w:highlight w:val="none"/>
              </w:rPr>
              <w:t xml:space="preserve">    号：</w:t>
            </w:r>
            <w:r>
              <w:rPr>
                <w:rFonts w:hint="eastAsia" w:cs="宋体"/>
                <w:color w:val="auto"/>
                <w:sz w:val="21"/>
                <w:szCs w:val="21"/>
                <w:highlight w:val="none"/>
                <w:u w:val="single"/>
              </w:rPr>
              <w:t xml:space="preserve">                       </w:t>
            </w:r>
          </w:p>
          <w:p w14:paraId="5F126663">
            <w:pPr>
              <w:keepNext w:val="0"/>
              <w:keepLines w:val="0"/>
              <w:pageBreakBefore w:val="0"/>
              <w:kinsoku/>
              <w:wordWrap/>
              <w:overflowPunct/>
              <w:topLinePunct w:val="0"/>
              <w:bidi w:val="0"/>
              <w:adjustRightInd w:val="0"/>
              <w:snapToGrid w:val="0"/>
              <w:spacing w:before="32" w:beforeLines="10" w:afterLines="0" w:line="25" w:lineRule="atLeast"/>
              <w:ind w:firstLine="420" w:firstLineChars="200"/>
              <w:textAlignment w:val="auto"/>
              <w:rPr>
                <w:rFonts w:ascii="宋体" w:hAnsi="宋体" w:cs="宋体"/>
                <w:color w:val="auto"/>
                <w:szCs w:val="21"/>
                <w:highlight w:val="none"/>
                <w:u w:val="single"/>
              </w:rPr>
            </w:pPr>
            <w:r>
              <w:rPr>
                <w:rFonts w:hint="eastAsia" w:ascii="宋体" w:hAnsi="宋体" w:cs="宋体"/>
                <w:color w:val="auto"/>
                <w:szCs w:val="21"/>
                <w:highlight w:val="none"/>
              </w:rPr>
              <w:t>银行存款利率类型为：银行存款同期活期利率，并从投标截止当日开始计息。</w:t>
            </w:r>
          </w:p>
          <w:p w14:paraId="20E8A6B9">
            <w:pPr>
              <w:keepNext w:val="0"/>
              <w:keepLines w:val="0"/>
              <w:pageBreakBefore w:val="0"/>
              <w:kinsoku/>
              <w:wordWrap/>
              <w:overflowPunct/>
              <w:topLinePunct w:val="0"/>
              <w:bidi w:val="0"/>
              <w:adjustRightInd w:val="0"/>
              <w:snapToGrid w:val="0"/>
              <w:spacing w:before="32" w:beforeLines="10" w:afterLines="0" w:line="25" w:lineRule="atLeas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利息部分应出具发票的类型为：</w:t>
            </w:r>
            <w:r>
              <w:rPr>
                <w:rFonts w:hint="eastAsia" w:ascii="宋体" w:hAnsi="宋体" w:cs="宋体"/>
                <w:color w:val="auto"/>
                <w:szCs w:val="21"/>
                <w:highlight w:val="none"/>
                <w:u w:val="single"/>
              </w:rPr>
              <w:t>税务发票</w:t>
            </w:r>
            <w:r>
              <w:rPr>
                <w:rFonts w:hint="eastAsia" w:ascii="宋体" w:hAnsi="宋体" w:cs="宋体"/>
                <w:color w:val="auto"/>
                <w:szCs w:val="21"/>
                <w:highlight w:val="none"/>
              </w:rPr>
              <w:t>。</w:t>
            </w:r>
          </w:p>
          <w:p w14:paraId="02DFDC9B">
            <w:pPr>
              <w:pageBreakBefore w:val="0"/>
              <w:kinsoku/>
              <w:wordWrap/>
              <w:overflowPunct/>
              <w:topLinePunct w:val="0"/>
              <w:bidi w:val="0"/>
              <w:adjustRightInd w:val="0"/>
              <w:snapToGrid w:val="0"/>
              <w:spacing w:before="32" w:beforeLines="10" w:afterLines="0" w:line="25" w:lineRule="atLeast"/>
              <w:ind w:firstLine="420" w:firstLineChars="200"/>
              <w:textAlignment w:val="auto"/>
              <w:rPr>
                <w:rFonts w:hint="eastAsia" w:cs="宋体"/>
                <w:color w:val="auto"/>
                <w:sz w:val="21"/>
                <w:szCs w:val="21"/>
                <w:highlight w:val="none"/>
              </w:rPr>
            </w:pPr>
            <w:r>
              <w:rPr>
                <w:rFonts w:hint="eastAsia" w:cs="宋体"/>
                <w:color w:val="auto"/>
                <w:sz w:val="21"/>
                <w:szCs w:val="21"/>
                <w:highlight w:val="none"/>
              </w:rPr>
              <w:t>②银行保函形式：</w:t>
            </w:r>
            <w:r>
              <w:rPr>
                <w:rFonts w:hint="eastAsia" w:cs="宋体"/>
                <w:color w:val="auto"/>
                <w:sz w:val="21"/>
                <w:szCs w:val="21"/>
                <w:highlight w:val="none"/>
                <w:u w:val="single"/>
              </w:rPr>
              <w:t>投标人须在投标截止时间前按厦建筑〔2019〕41 号规定要求自行办妥电子投标保函手续；银行电子保函应注明项目名称，保函额度等信息，电子保函额度不少于招标文件规定的金额。</w:t>
            </w:r>
          </w:p>
          <w:p w14:paraId="0733601E">
            <w:pPr>
              <w:pageBreakBefore w:val="0"/>
              <w:kinsoku/>
              <w:wordWrap/>
              <w:overflowPunct/>
              <w:topLinePunct w:val="0"/>
              <w:bidi w:val="0"/>
              <w:adjustRightInd w:val="0"/>
              <w:snapToGrid w:val="0"/>
              <w:spacing w:before="32" w:beforeLines="10" w:afterLines="0" w:line="25" w:lineRule="atLeast"/>
              <w:ind w:firstLine="420" w:firstLineChars="200"/>
              <w:textAlignment w:val="auto"/>
              <w:rPr>
                <w:rFonts w:hint="eastAsia" w:cs="宋体"/>
                <w:color w:val="auto"/>
                <w:sz w:val="21"/>
                <w:szCs w:val="21"/>
                <w:highlight w:val="none"/>
              </w:rPr>
            </w:pPr>
            <w:r>
              <w:rPr>
                <w:rFonts w:hint="eastAsia" w:cs="宋体"/>
                <w:color w:val="auto"/>
                <w:sz w:val="21"/>
                <w:szCs w:val="21"/>
                <w:highlight w:val="none"/>
              </w:rPr>
              <w:t>③工程担保公司出具的担保保函形式：</w:t>
            </w:r>
            <w:r>
              <w:rPr>
                <w:rFonts w:hint="eastAsia" w:cs="宋体"/>
                <w:color w:val="auto"/>
                <w:sz w:val="21"/>
                <w:szCs w:val="21"/>
                <w:highlight w:val="none"/>
                <w:u w:val="single"/>
              </w:rPr>
              <w:t>投标人须在投标截止时间前按厦建筑〔2019〕41 号规定要求自行办妥电子投标保函手续；电子工程担保保函应注明项目名称，保函额度等信息，电子担保保函额度不少于招标文件规定的金额。</w:t>
            </w:r>
          </w:p>
          <w:p w14:paraId="583880B5">
            <w:pPr>
              <w:pageBreakBefore w:val="0"/>
              <w:widowControl/>
              <w:kinsoku/>
              <w:wordWrap/>
              <w:overflowPunct/>
              <w:topLinePunct w:val="0"/>
              <w:bidi w:val="0"/>
              <w:adjustRightInd w:val="0"/>
              <w:snapToGrid w:val="0"/>
              <w:spacing w:before="32" w:beforeLines="10" w:afterLines="0" w:line="25" w:lineRule="atLeast"/>
              <w:ind w:firstLine="420" w:firstLineChars="200"/>
              <w:rPr>
                <w:rFonts w:hint="eastAsia" w:cs="宋体"/>
                <w:color w:val="auto"/>
                <w:sz w:val="21"/>
                <w:szCs w:val="21"/>
                <w:highlight w:val="none"/>
                <w:u w:val="single"/>
              </w:rPr>
            </w:pPr>
            <w:r>
              <w:rPr>
                <w:rFonts w:hint="eastAsia" w:cs="宋体"/>
                <w:color w:val="auto"/>
                <w:kern w:val="2"/>
                <w:sz w:val="21"/>
                <w:szCs w:val="21"/>
                <w:highlight w:val="none"/>
              </w:rPr>
              <w:t>④保险公司出具的投标保证保险形式：</w:t>
            </w:r>
            <w:r>
              <w:rPr>
                <w:rFonts w:hint="eastAsia" w:cs="宋体"/>
                <w:color w:val="auto"/>
                <w:sz w:val="21"/>
                <w:szCs w:val="21"/>
                <w:highlight w:val="none"/>
                <w:u w:val="single"/>
              </w:rPr>
              <w:t>投标保证保险应为先行赔付、后续追偿的见索即付保单。保险条款须经</w:t>
            </w:r>
            <w:r>
              <w:rPr>
                <w:rFonts w:hint="eastAsia" w:ascii="宋体" w:cs="宋体"/>
                <w:b w:val="0"/>
                <w:bCs/>
                <w:iCs/>
                <w:color w:val="auto"/>
                <w:sz w:val="21"/>
                <w:szCs w:val="21"/>
                <w:highlight w:val="none"/>
                <w:u w:val="single"/>
                <w:lang w:val="en-US"/>
              </w:rPr>
              <w:t>国家金融监督管理总局</w:t>
            </w:r>
            <w:r>
              <w:rPr>
                <w:rFonts w:hint="eastAsia" w:cs="宋体"/>
                <w:color w:val="auto"/>
                <w:sz w:val="21"/>
                <w:szCs w:val="21"/>
                <w:highlight w:val="none"/>
                <w:u w:val="single"/>
              </w:rPr>
              <w:t>批准或备案。保险人应在保单中的特别约定条款中注明以下责任，如无注明则视为无效保单：</w:t>
            </w:r>
          </w:p>
          <w:p w14:paraId="48683C11">
            <w:pPr>
              <w:pageBreakBefore w:val="0"/>
              <w:widowControl/>
              <w:kinsoku/>
              <w:wordWrap/>
              <w:overflowPunct/>
              <w:topLinePunct w:val="0"/>
              <w:bidi w:val="0"/>
              <w:adjustRightInd w:val="0"/>
              <w:snapToGrid w:val="0"/>
              <w:spacing w:before="32" w:beforeLines="10" w:afterLines="0" w:line="25" w:lineRule="atLeast"/>
              <w:ind w:firstLine="420" w:firstLineChars="200"/>
              <w:textAlignment w:val="auto"/>
              <w:rPr>
                <w:rFonts w:hint="eastAsia" w:cs="宋体"/>
                <w:color w:val="auto"/>
                <w:sz w:val="21"/>
                <w:szCs w:val="21"/>
                <w:highlight w:val="none"/>
                <w:u w:val="single"/>
              </w:rPr>
            </w:pPr>
            <w:r>
              <w:rPr>
                <w:rFonts w:hint="eastAsia" w:cs="宋体"/>
                <w:color w:val="auto"/>
                <w:sz w:val="21"/>
                <w:szCs w:val="21"/>
                <w:highlight w:val="none"/>
                <w:u w:val="single"/>
                <w:lang w:val="en-US" w:eastAsia="zh-CN"/>
              </w:rPr>
              <w:t>a</w:t>
            </w:r>
            <w:r>
              <w:rPr>
                <w:rFonts w:hint="eastAsia" w:cs="宋体"/>
                <w:color w:val="auto"/>
                <w:sz w:val="21"/>
                <w:szCs w:val="21"/>
                <w:highlight w:val="none"/>
                <w:u w:val="single"/>
              </w:rPr>
              <w:t>.保险人在投标人存在违反法律、法规和招标文件规定投标保证金不予退还的情形时承担保证保险责任。</w:t>
            </w:r>
          </w:p>
          <w:p w14:paraId="0952C783">
            <w:pPr>
              <w:pStyle w:val="13"/>
              <w:pageBreakBefore w:val="0"/>
              <w:kinsoku/>
              <w:wordWrap/>
              <w:overflowPunct/>
              <w:topLinePunct w:val="0"/>
              <w:bidi w:val="0"/>
              <w:adjustRightInd w:val="0"/>
              <w:snapToGrid w:val="0"/>
              <w:spacing w:before="32" w:beforeLines="10" w:afterLines="0" w:line="25" w:lineRule="atLeast"/>
              <w:ind w:right="59" w:rightChars="28" w:firstLineChars="200"/>
              <w:rPr>
                <w:rFonts w:hint="eastAsia" w:cs="宋体"/>
                <w:color w:val="auto"/>
                <w:kern w:val="0"/>
                <w:sz w:val="21"/>
                <w:szCs w:val="21"/>
                <w:highlight w:val="none"/>
                <w:u w:val="single"/>
              </w:rPr>
            </w:pPr>
            <w:r>
              <w:rPr>
                <w:rFonts w:hint="eastAsia" w:cs="宋体"/>
                <w:color w:val="auto"/>
                <w:kern w:val="0"/>
                <w:sz w:val="21"/>
                <w:szCs w:val="21"/>
                <w:highlight w:val="none"/>
                <w:u w:val="single"/>
                <w:lang w:val="en-US" w:eastAsia="zh-CN"/>
              </w:rPr>
              <w:t>b</w:t>
            </w:r>
            <w:r>
              <w:rPr>
                <w:rFonts w:hint="eastAsia" w:cs="宋体"/>
                <w:color w:val="auto"/>
                <w:kern w:val="0"/>
                <w:sz w:val="21"/>
                <w:szCs w:val="21"/>
                <w:highlight w:val="none"/>
                <w:u w:val="single"/>
              </w:rPr>
              <w:t>.本保单为</w:t>
            </w:r>
            <w:r>
              <w:rPr>
                <w:rFonts w:hint="eastAsia" w:cs="宋体"/>
                <w:color w:val="auto"/>
                <w:kern w:val="0"/>
                <w:sz w:val="21"/>
                <w:szCs w:val="21"/>
                <w:highlight w:val="none"/>
                <w:u w:val="single"/>
                <w:lang w:val="en-US" w:eastAsia="zh-CN"/>
              </w:rPr>
              <w:t>先</w:t>
            </w:r>
            <w:r>
              <w:rPr>
                <w:rFonts w:hint="eastAsia" w:cs="宋体"/>
                <w:color w:val="auto"/>
                <w:kern w:val="0"/>
                <w:sz w:val="21"/>
                <w:szCs w:val="21"/>
                <w:highlight w:val="none"/>
                <w:u w:val="single"/>
              </w:rPr>
              <w:t>行赔付、后续追偿的见索即付保单。本保单</w:t>
            </w:r>
            <w:r>
              <w:rPr>
                <w:rFonts w:hint="eastAsia" w:cs="宋体"/>
                <w:color w:val="auto"/>
                <w:kern w:val="0"/>
                <w:sz w:val="21"/>
                <w:szCs w:val="21"/>
                <w:highlight w:val="none"/>
                <w:u w:val="single"/>
                <w:lang w:eastAsia="zh-CN"/>
              </w:rPr>
              <w:t>有效期</w:t>
            </w:r>
            <w:r>
              <w:rPr>
                <w:rFonts w:hint="eastAsia" w:cs="宋体"/>
                <w:color w:val="auto"/>
                <w:kern w:val="0"/>
                <w:sz w:val="21"/>
                <w:szCs w:val="21"/>
                <w:highlight w:val="none"/>
                <w:u w:val="single"/>
              </w:rPr>
              <w:t>自开立之日起至投标有效期届满之日后的28日（含）。</w:t>
            </w:r>
          </w:p>
          <w:p w14:paraId="358D082B">
            <w:pPr>
              <w:adjustRightInd w:val="0"/>
              <w:snapToGrid w:val="0"/>
              <w:spacing w:before="32" w:beforeLines="10" w:afterLines="0" w:line="25" w:lineRule="atLeast"/>
              <w:ind w:firstLine="420" w:firstLineChars="200"/>
              <w:textAlignment w:val="auto"/>
              <w:rPr>
                <w:rFonts w:cs="宋体"/>
                <w:color w:val="auto"/>
                <w:kern w:val="2"/>
                <w:sz w:val="21"/>
                <w:szCs w:val="21"/>
                <w:highlight w:val="none"/>
              </w:rPr>
            </w:pPr>
            <w:r>
              <w:rPr>
                <w:rFonts w:hint="eastAsia" w:ascii="宋体" w:hAnsi="宋体" w:cs="宋体"/>
                <w:color w:val="auto"/>
                <w:szCs w:val="21"/>
                <w:highlight w:val="none"/>
                <w:shd w:val="clear" w:color="auto" w:fill="auto"/>
                <w:lang w:val="en-US" w:eastAsia="zh-CN"/>
              </w:rPr>
              <w:t>⑤</w:t>
            </w:r>
            <w:r>
              <w:rPr>
                <w:rFonts w:hint="eastAsia" w:cs="宋体"/>
                <w:color w:val="auto"/>
                <w:kern w:val="2"/>
                <w:sz w:val="21"/>
                <w:szCs w:val="21"/>
                <w:highlight w:val="none"/>
              </w:rPr>
              <w:t>免缴投标保证金形式：符合下列情形的投标人，予以免缴投标保证金。</w:t>
            </w:r>
          </w:p>
          <w:p w14:paraId="2585EB35">
            <w:pPr>
              <w:pStyle w:val="13"/>
              <w:keepNext w:val="0"/>
              <w:keepLines w:val="0"/>
              <w:pageBreakBefore w:val="0"/>
              <w:widowControl w:val="0"/>
              <w:kinsoku/>
              <w:wordWrap/>
              <w:overflowPunct/>
              <w:topLinePunct w:val="0"/>
              <w:autoSpaceDE/>
              <w:autoSpaceDN/>
              <w:bidi w:val="0"/>
              <w:adjustRightInd w:val="0"/>
              <w:snapToGrid w:val="0"/>
              <w:spacing w:before="32" w:beforeLines="10" w:afterLines="0" w:line="25" w:lineRule="atLeast"/>
              <w:ind w:firstLine="525" w:firstLineChars="250"/>
              <w:textAlignment w:val="auto"/>
              <w:rPr>
                <w:rFonts w:hint="eastAsia" w:ascii="宋体" w:hAnsi="宋体" w:cs="宋体"/>
                <w:color w:val="auto"/>
                <w:sz w:val="21"/>
                <w:szCs w:val="21"/>
                <w:highlight w:val="none"/>
                <w:lang w:val="en-US" w:eastAsia="zh-CN"/>
              </w:rPr>
            </w:pPr>
            <w:r>
              <w:rPr>
                <w:rFonts w:hint="eastAsia" w:cs="宋体"/>
                <w:color w:val="auto"/>
                <w:sz w:val="21"/>
                <w:szCs w:val="21"/>
                <w:highlight w:val="none"/>
                <w:lang w:val="en-US" w:eastAsia="zh-CN"/>
              </w:rPr>
              <w:t>□</w:t>
            </w:r>
            <w:r>
              <w:rPr>
                <w:rFonts w:hint="eastAsia" w:ascii="宋体" w:hAnsi="宋体" w:eastAsia="宋体" w:cs="宋体"/>
                <w:color w:val="auto"/>
                <w:kern w:val="0"/>
                <w:sz w:val="21"/>
                <w:szCs w:val="21"/>
                <w:highlight w:val="none"/>
                <w:lang w:val="en-US" w:eastAsia="zh-CN"/>
              </w:rPr>
              <w:t>投标人</w:t>
            </w:r>
            <w:r>
              <w:rPr>
                <w:rFonts w:hint="eastAsia" w:ascii="宋体" w:hAnsi="宋体" w:eastAsia="宋体" w:cs="宋体"/>
                <w:color w:val="auto"/>
                <w:kern w:val="0"/>
                <w:sz w:val="21"/>
                <w:szCs w:val="21"/>
                <w:highlight w:val="none"/>
                <w:u w:val="none"/>
                <w:lang w:val="en-US" w:eastAsia="zh-CN"/>
              </w:rPr>
              <w:t>最近三年（    -    ）</w:t>
            </w:r>
            <w:r>
              <w:rPr>
                <w:rFonts w:hint="eastAsia" w:ascii="宋体" w:hAnsi="宋体" w:eastAsia="宋体" w:cs="宋体"/>
                <w:color w:val="auto"/>
                <w:kern w:val="0"/>
                <w:sz w:val="21"/>
                <w:szCs w:val="21"/>
                <w:highlight w:val="none"/>
                <w:shd w:val="clear" w:color="auto" w:fill="auto"/>
                <w:lang w:val="en-US" w:eastAsia="zh-CN"/>
              </w:rPr>
              <w:t>福建省交通建设市场信用考核评价结果</w:t>
            </w:r>
            <w:r>
              <w:rPr>
                <w:rFonts w:hint="eastAsia" w:ascii="宋体" w:hAnsi="宋体" w:eastAsia="宋体" w:cs="宋体"/>
                <w:color w:val="auto"/>
                <w:kern w:val="0"/>
                <w:sz w:val="21"/>
                <w:szCs w:val="21"/>
                <w:highlight w:val="none"/>
                <w:lang w:val="en-US" w:eastAsia="zh-CN"/>
              </w:rPr>
              <w:t>均为AA级别</w:t>
            </w:r>
            <w:r>
              <w:rPr>
                <w:rFonts w:hint="eastAsia" w:ascii="宋体" w:hAnsi="宋体" w:cs="宋体"/>
                <w:color w:val="auto"/>
                <w:sz w:val="21"/>
                <w:szCs w:val="21"/>
                <w:highlight w:val="none"/>
                <w:lang w:val="en-US" w:eastAsia="zh-CN"/>
              </w:rPr>
              <w:t>；</w:t>
            </w:r>
          </w:p>
          <w:p w14:paraId="7DA7B2C3">
            <w:pPr>
              <w:pStyle w:val="13"/>
              <w:adjustRightInd w:val="0"/>
              <w:snapToGrid w:val="0"/>
              <w:spacing w:before="32" w:beforeLines="10" w:afterLines="0" w:line="25" w:lineRule="atLeast"/>
              <w:ind w:right="59" w:rightChars="28"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以联合体参与投标的，</w:t>
            </w:r>
            <w:r>
              <w:rPr>
                <w:rFonts w:hint="eastAsia" w:ascii="宋体" w:hAnsi="宋体" w:eastAsia="宋体" w:cs="宋体"/>
                <w:color w:val="auto"/>
                <w:sz w:val="21"/>
                <w:szCs w:val="21"/>
                <w:highlight w:val="none"/>
                <w:lang w:val="en-US" w:eastAsia="zh-CN"/>
              </w:rPr>
              <w:t>联合体</w:t>
            </w:r>
            <w:r>
              <w:rPr>
                <w:rFonts w:hint="eastAsia" w:ascii="宋体" w:hAnsi="宋体" w:eastAsia="宋体" w:cs="宋体"/>
                <w:color w:val="auto"/>
                <w:sz w:val="21"/>
                <w:szCs w:val="21"/>
                <w:highlight w:val="none"/>
              </w:rPr>
              <w:t>投标人的企业信用综合评价</w:t>
            </w:r>
            <w:r>
              <w:rPr>
                <w:rFonts w:hint="eastAsia" w:ascii="宋体" w:hAnsi="宋体" w:eastAsia="宋体" w:cs="宋体"/>
                <w:color w:val="auto"/>
                <w:sz w:val="21"/>
                <w:szCs w:val="21"/>
                <w:highlight w:val="none"/>
                <w:lang w:val="en-US" w:eastAsia="zh-CN"/>
              </w:rPr>
              <w:t>等级</w:t>
            </w:r>
            <w:r>
              <w:rPr>
                <w:rFonts w:hint="eastAsia" w:ascii="宋体" w:hAnsi="宋体" w:eastAsia="宋体" w:cs="宋体"/>
                <w:color w:val="auto"/>
                <w:sz w:val="21"/>
                <w:szCs w:val="21"/>
                <w:highlight w:val="none"/>
              </w:rPr>
              <w:t>按联合体</w:t>
            </w:r>
            <w:r>
              <w:rPr>
                <w:rFonts w:hint="eastAsia" w:ascii="宋体" w:hAnsi="宋体" w:eastAsia="宋体" w:cs="宋体"/>
                <w:color w:val="auto"/>
                <w:sz w:val="21"/>
                <w:szCs w:val="21"/>
                <w:highlight w:val="none"/>
                <w:lang w:val="en-US" w:eastAsia="zh-CN"/>
              </w:rPr>
              <w:t>牵头人的信用等级</w:t>
            </w:r>
            <w:r>
              <w:rPr>
                <w:rFonts w:hint="eastAsia" w:ascii="宋体" w:hAnsi="宋体" w:eastAsia="宋体" w:cs="宋体"/>
                <w:color w:val="auto"/>
                <w:sz w:val="21"/>
                <w:szCs w:val="21"/>
                <w:highlight w:val="none"/>
              </w:rPr>
              <w:t>确定。</w:t>
            </w:r>
          </w:p>
          <w:p w14:paraId="761B1D40">
            <w:pPr>
              <w:pStyle w:val="13"/>
              <w:adjustRightInd w:val="0"/>
              <w:snapToGrid w:val="0"/>
              <w:spacing w:before="32" w:beforeLines="10" w:afterLines="0" w:line="25" w:lineRule="atLeast"/>
              <w:ind w:right="59" w:rightChars="28" w:firstLineChars="200"/>
              <w:rPr>
                <w:rFonts w:hint="eastAsia" w:cs="宋体"/>
                <w:color w:val="auto"/>
                <w:kern w:val="0"/>
                <w:sz w:val="21"/>
                <w:szCs w:val="21"/>
                <w:highlight w:val="none"/>
              </w:rPr>
            </w:pPr>
            <w:r>
              <w:rPr>
                <w:rFonts w:hint="eastAsia" w:ascii="宋体" w:hAnsi="宋体" w:cs="宋体"/>
                <w:color w:val="auto"/>
                <w:sz w:val="21"/>
                <w:szCs w:val="21"/>
                <w:highlight w:val="none"/>
                <w:lang w:val="en-US" w:eastAsia="zh-CN"/>
              </w:rPr>
              <w:t>⑥其他形式：</w:t>
            </w:r>
            <w:r>
              <w:rPr>
                <w:rFonts w:hint="eastAsia" w:ascii="宋体" w:hAnsi="宋体" w:cs="宋体"/>
                <w:color w:val="auto"/>
                <w:sz w:val="21"/>
                <w:szCs w:val="21"/>
                <w:highlight w:val="none"/>
                <w:u w:val="single"/>
                <w:lang w:val="en-US" w:eastAsia="zh-CN"/>
              </w:rPr>
              <w:t xml:space="preserve">            </w:t>
            </w:r>
            <w:r>
              <w:rPr>
                <w:rFonts w:hint="eastAsia"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val="en-US" w:eastAsia="zh-CN"/>
              </w:rPr>
              <w:t>。</w:t>
            </w:r>
          </w:p>
          <w:p w14:paraId="045F1216">
            <w:pPr>
              <w:adjustRightInd w:val="0"/>
              <w:snapToGrid w:val="0"/>
              <w:spacing w:before="32" w:beforeLines="10" w:afterLines="0" w:line="25" w:lineRule="atLeast"/>
              <w:ind w:firstLine="420" w:firstLineChars="200"/>
              <w:jc w:val="left"/>
              <w:textAlignment w:val="auto"/>
              <w:rPr>
                <w:rFonts w:cs="宋体"/>
                <w:b w:val="0"/>
                <w:bCs/>
                <w:color w:val="auto"/>
                <w:sz w:val="21"/>
                <w:szCs w:val="21"/>
                <w:highlight w:val="none"/>
              </w:rPr>
            </w:pPr>
            <w:r>
              <w:rPr>
                <w:rFonts w:hint="eastAsia" w:cs="宋体"/>
                <w:b w:val="0"/>
                <w:bCs/>
                <w:color w:val="auto"/>
                <w:sz w:val="21"/>
                <w:szCs w:val="21"/>
                <w:highlight w:val="none"/>
              </w:rPr>
              <w:t>3.投标保证金证明材料要求：</w:t>
            </w:r>
          </w:p>
          <w:p w14:paraId="015CDEF1">
            <w:pPr>
              <w:adjustRightInd w:val="0"/>
              <w:snapToGrid w:val="0"/>
              <w:spacing w:before="32" w:beforeLines="10" w:afterLines="0" w:line="25" w:lineRule="atLeast"/>
              <w:ind w:firstLine="420" w:firstLineChars="200"/>
              <w:jc w:val="left"/>
              <w:textAlignment w:val="auto"/>
              <w:rPr>
                <w:rFonts w:cs="宋体"/>
                <w:color w:val="auto"/>
                <w:sz w:val="21"/>
                <w:szCs w:val="21"/>
                <w:highlight w:val="none"/>
              </w:rPr>
            </w:pPr>
            <w:r>
              <w:rPr>
                <w:rFonts w:hint="eastAsia" w:cs="宋体"/>
                <w:color w:val="auto"/>
                <w:sz w:val="21"/>
                <w:szCs w:val="21"/>
                <w:highlight w:val="none"/>
              </w:rPr>
              <w:t>①采用现金形式：提交电汇或银行转账单的扫描件以及企业基本账户开户许可证或基本存款账户开户银行开具的《基本存款账户信息》扫描件，并加盖投标人单位电子印章，作为资格文件的组成部分。</w:t>
            </w:r>
          </w:p>
          <w:p w14:paraId="43E0C75B">
            <w:pPr>
              <w:adjustRightInd w:val="0"/>
              <w:snapToGrid w:val="0"/>
              <w:spacing w:before="32" w:beforeLines="10" w:afterLines="0" w:line="25" w:lineRule="atLeast"/>
              <w:ind w:firstLine="420" w:firstLineChars="200"/>
              <w:jc w:val="left"/>
              <w:textAlignment w:val="auto"/>
              <w:rPr>
                <w:rFonts w:cs="宋体"/>
                <w:color w:val="auto"/>
                <w:sz w:val="21"/>
                <w:szCs w:val="21"/>
                <w:highlight w:val="none"/>
              </w:rPr>
            </w:pPr>
            <w:r>
              <w:rPr>
                <w:rFonts w:hint="eastAsia" w:cs="宋体"/>
                <w:color w:val="auto"/>
                <w:sz w:val="21"/>
                <w:szCs w:val="21"/>
                <w:highlight w:val="none"/>
              </w:rPr>
              <w:t>②采用投标保函（包括银行保函、担保保函、投标保证保险，下同）：</w:t>
            </w:r>
          </w:p>
          <w:p w14:paraId="69E95446">
            <w:pPr>
              <w:adjustRightInd w:val="0"/>
              <w:snapToGrid w:val="0"/>
              <w:spacing w:before="32" w:beforeLines="10" w:afterLines="0" w:line="25" w:lineRule="atLeast"/>
              <w:ind w:firstLine="420" w:firstLineChars="200"/>
              <w:jc w:val="left"/>
              <w:textAlignment w:val="auto"/>
              <w:rPr>
                <w:rFonts w:cs="宋体"/>
                <w:color w:val="auto"/>
                <w:sz w:val="21"/>
                <w:szCs w:val="21"/>
                <w:highlight w:val="none"/>
              </w:rPr>
            </w:pPr>
            <w:r>
              <w:rPr>
                <w:rFonts w:hint="eastAsia" w:cs="宋体"/>
                <w:color w:val="auto"/>
                <w:sz w:val="21"/>
                <w:szCs w:val="21"/>
                <w:highlight w:val="none"/>
              </w:rPr>
              <w:t>a.投标保函应采用电子保函形式，投标人应通过“厦门市建设工程电子招投标交易平台——电子投标保函系统”使用其企业CA证书申请购买电子投标保函。</w:t>
            </w:r>
          </w:p>
          <w:p w14:paraId="1ACC8A09">
            <w:pPr>
              <w:pStyle w:val="43"/>
              <w:adjustRightInd w:val="0"/>
              <w:snapToGrid w:val="0"/>
              <w:spacing w:before="32" w:beforeLines="10" w:afterLines="0" w:line="25" w:lineRule="atLeast"/>
              <w:ind w:left="0" w:leftChars="0"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b.投标人应将</w:t>
            </w:r>
            <w:r>
              <w:rPr>
                <w:rFonts w:hint="eastAsia" w:ascii="宋体" w:hAnsi="宋体" w:cs="瀹嬩綋"/>
                <w:color w:val="auto"/>
                <w:kern w:val="0"/>
                <w:sz w:val="21"/>
                <w:szCs w:val="21"/>
                <w:highlight w:val="none"/>
              </w:rPr>
              <w:t>:①电子投标保函原件（加盖电子投标保函开立人电子印章或电子投标保函开立人依法刻制并授权用于投标保函业务的专用章）、②支付电子投标保函费用的电汇或银行转账回单扫描件（加盖投标人单位电子印章）、③电子投标保函开立人出具的加盖电子投标保函开立人电子印章或电子投标保函开立人依法刻制并授权用于投标保函业务的专用章的到账证明扫描件（加盖投标人单位电子印章）、④企业基本账户开户许可证或基本存款账户开户银行开具的《基本存款账户信息》扫描件（加盖投标人单位电子印章）作为资格文件的组成部分</w:t>
            </w:r>
            <w:r>
              <w:rPr>
                <w:rFonts w:hint="eastAsia" w:ascii="宋体" w:hAnsi="宋体" w:cs="宋体"/>
                <w:color w:val="auto"/>
                <w:kern w:val="0"/>
                <w:sz w:val="21"/>
                <w:szCs w:val="21"/>
                <w:highlight w:val="none"/>
              </w:rPr>
              <w:t>。</w:t>
            </w:r>
          </w:p>
          <w:p w14:paraId="039C0802">
            <w:pPr>
              <w:adjustRightInd w:val="0"/>
              <w:snapToGrid w:val="0"/>
              <w:spacing w:before="32" w:beforeLines="10" w:afterLines="0" w:line="25" w:lineRule="atLeast"/>
              <w:ind w:firstLine="420" w:firstLineChars="200"/>
              <w:jc w:val="left"/>
              <w:textAlignment w:val="auto"/>
              <w:rPr>
                <w:rFonts w:cs="宋体"/>
                <w:color w:val="auto"/>
                <w:sz w:val="21"/>
                <w:szCs w:val="21"/>
                <w:highlight w:val="none"/>
              </w:rPr>
            </w:pPr>
            <w:r>
              <w:rPr>
                <w:rFonts w:hint="eastAsia" w:cs="宋体"/>
                <w:color w:val="auto"/>
                <w:sz w:val="21"/>
                <w:szCs w:val="21"/>
                <w:highlight w:val="none"/>
              </w:rPr>
              <w:t>c.投标人向电子投标保函开立人购买电子投标保函所支付的费用应在投标截止时间之前从投标人企业基本账户转出，并在电汇或银行转账回单上注明招标项目编号。</w:t>
            </w:r>
          </w:p>
          <w:p w14:paraId="15F51CE1">
            <w:pPr>
              <w:adjustRightInd w:val="0"/>
              <w:snapToGrid w:val="0"/>
              <w:spacing w:before="32" w:beforeLines="10" w:afterLines="0" w:line="25" w:lineRule="atLeast"/>
              <w:ind w:firstLine="420" w:firstLineChars="200"/>
              <w:jc w:val="left"/>
              <w:textAlignment w:val="auto"/>
              <w:rPr>
                <w:rFonts w:cs="宋体"/>
                <w:color w:val="auto"/>
                <w:sz w:val="21"/>
                <w:szCs w:val="21"/>
                <w:highlight w:val="none"/>
              </w:rPr>
            </w:pPr>
            <w:r>
              <w:rPr>
                <w:rFonts w:hint="eastAsia" w:cs="宋体"/>
                <w:color w:val="auto"/>
                <w:sz w:val="21"/>
                <w:szCs w:val="21"/>
                <w:highlight w:val="none"/>
              </w:rPr>
              <w:t>投标人应确保其企业基本账户开户许可证或基本存款账户开户银行开具的《基本存款账户信息》上账号与投标人支付电子投标保函费用的电汇或银行转账回单上账号一致，否则视同未缴交投标保证金。</w:t>
            </w:r>
          </w:p>
          <w:p w14:paraId="1B8259EB">
            <w:pPr>
              <w:adjustRightInd w:val="0"/>
              <w:snapToGrid w:val="0"/>
              <w:spacing w:before="32" w:beforeLines="10" w:afterLines="0" w:line="25" w:lineRule="atLeast"/>
              <w:ind w:firstLine="420" w:firstLineChars="200"/>
              <w:jc w:val="left"/>
              <w:textAlignment w:val="auto"/>
              <w:rPr>
                <w:rFonts w:cs="宋体"/>
                <w:bCs/>
                <w:color w:val="auto"/>
                <w:sz w:val="21"/>
                <w:szCs w:val="21"/>
                <w:highlight w:val="none"/>
              </w:rPr>
            </w:pPr>
            <w:r>
              <w:rPr>
                <w:rFonts w:hint="eastAsia" w:cs="宋体"/>
                <w:bCs/>
                <w:color w:val="auto"/>
                <w:sz w:val="21"/>
                <w:szCs w:val="21"/>
                <w:highlight w:val="none"/>
              </w:rPr>
              <w:t>d.投标人以电子投标保函形式提交投标保证金的，</w:t>
            </w:r>
            <w:r>
              <w:rPr>
                <w:rFonts w:hint="eastAsia" w:cs="宋体"/>
                <w:bCs/>
                <w:color w:val="auto"/>
                <w:sz w:val="21"/>
                <w:szCs w:val="21"/>
                <w:highlight w:val="none"/>
                <w:lang w:eastAsia="zh-CN"/>
              </w:rPr>
              <w:t>评标委员会</w:t>
            </w:r>
            <w:r>
              <w:rPr>
                <w:rFonts w:hint="eastAsia" w:cs="宋体"/>
                <w:bCs/>
                <w:color w:val="auto"/>
                <w:sz w:val="21"/>
                <w:szCs w:val="21"/>
                <w:highlight w:val="none"/>
              </w:rPr>
              <w:t>应当核对投标人支付电子投标保函费用电汇或银行转账回单上账号是否与投标人企业基本账户开户许可证或基本存款账户开户银行开具的《基本存款账户信息》上账号一致，如不一致的，应否决其投标。</w:t>
            </w:r>
          </w:p>
          <w:p w14:paraId="63C40467">
            <w:pPr>
              <w:adjustRightInd w:val="0"/>
              <w:snapToGrid w:val="0"/>
              <w:spacing w:before="32" w:beforeLines="10" w:afterLines="0" w:line="25" w:lineRule="atLeast"/>
              <w:ind w:firstLine="420" w:firstLineChars="200"/>
              <w:textAlignment w:val="auto"/>
              <w:rPr>
                <w:rFonts w:cs="宋体"/>
                <w:color w:val="auto"/>
                <w:sz w:val="21"/>
                <w:szCs w:val="21"/>
                <w:highlight w:val="none"/>
              </w:rPr>
            </w:pPr>
            <w:r>
              <w:rPr>
                <w:rFonts w:hint="eastAsia" w:cs="宋体"/>
                <w:color w:val="auto"/>
                <w:sz w:val="21"/>
                <w:szCs w:val="21"/>
                <w:highlight w:val="none"/>
              </w:rPr>
              <w:t>e.各工程担保保证人应确保其出具的电子投标保函的真实性、合法性和有效性，如出现将电子投标保函相关数据信息泄露给其他任何机构和个人，或未按照规定履行赔付义务等情况，主管部门将视情节给予通报批评、暂停或关闭与市公共资源交易中心电子投标保函对接、行政处罚等处理。</w:t>
            </w:r>
          </w:p>
          <w:p w14:paraId="23A79280">
            <w:pPr>
              <w:adjustRightInd w:val="0"/>
              <w:snapToGrid w:val="0"/>
              <w:spacing w:before="32" w:beforeLines="10" w:after="0" w:afterLines="0" w:line="25" w:lineRule="atLeas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③采用</w:t>
            </w:r>
            <w:r>
              <w:rPr>
                <w:rFonts w:hint="eastAsia" w:ascii="Times New Roman" w:hAnsi="Times New Roman" w:eastAsia="宋体" w:cs="宋体"/>
                <w:color w:val="auto"/>
                <w:szCs w:val="21"/>
                <w:highlight w:val="none"/>
                <w:lang w:val="zh-CN"/>
              </w:rPr>
              <w:t>免缴投标保证金形式：</w:t>
            </w:r>
            <w:r>
              <w:rPr>
                <w:rFonts w:hint="eastAsia" w:ascii="Times New Roman" w:hAnsi="Times New Roman" w:eastAsia="宋体" w:cs="宋体"/>
                <w:color w:val="auto"/>
                <w:kern w:val="2"/>
                <w:szCs w:val="21"/>
                <w:highlight w:val="none"/>
              </w:rPr>
              <w:t>符合免缴投标保证金情形的投标人，在本招标项目采用免缴投标保证金形式的，提交加盖投标人单位电子印章的《免缴投标保证金承诺函》</w:t>
            </w:r>
            <w:r>
              <w:rPr>
                <w:rFonts w:hint="eastAsia" w:ascii="Times New Roman" w:hAnsi="Times New Roman" w:eastAsia="宋体" w:cs="宋体"/>
                <w:b w:val="0"/>
                <w:bCs w:val="0"/>
                <w:i w:val="0"/>
                <w:iCs w:val="0"/>
                <w:color w:val="auto"/>
                <w:kern w:val="2"/>
                <w:szCs w:val="21"/>
                <w:highlight w:val="none"/>
                <w:lang w:val="en-US" w:eastAsia="zh-CN"/>
              </w:rPr>
              <w:t>并提交加盖投标人单位电子印章的符合免缴投标保证金形式规定的证明材料</w:t>
            </w:r>
            <w:r>
              <w:rPr>
                <w:rFonts w:hint="eastAsia" w:ascii="Times New Roman" w:hAnsi="Times New Roman" w:eastAsia="宋体" w:cs="宋体"/>
                <w:color w:val="auto"/>
                <w:kern w:val="2"/>
                <w:szCs w:val="21"/>
                <w:highlight w:val="none"/>
              </w:rPr>
              <w:t>，作为资格文件的组成部分。</w:t>
            </w:r>
          </w:p>
          <w:p w14:paraId="536AB2CC">
            <w:pPr>
              <w:widowControl/>
              <w:numPr>
                <w:ilvl w:val="0"/>
                <w:numId w:val="0"/>
              </w:numPr>
              <w:shd w:val="clear" w:color="auto" w:fill="auto"/>
              <w:adjustRightInd w:val="0"/>
              <w:snapToGrid w:val="0"/>
              <w:spacing w:before="32" w:beforeLines="10" w:afterLines="0" w:line="25" w:lineRule="atLeast"/>
              <w:ind w:firstLine="420" w:firstLineChars="200"/>
              <w:textAlignment w:val="auto"/>
              <w:rPr>
                <w:rFonts w:hint="eastAsia" w:cs="宋体"/>
                <w:color w:val="auto"/>
                <w:spacing w:val="0"/>
                <w:sz w:val="21"/>
                <w:szCs w:val="21"/>
                <w:highlight w:val="none"/>
              </w:rPr>
            </w:pPr>
            <w:r>
              <w:rPr>
                <w:rFonts w:hint="eastAsia" w:ascii="Times New Roman" w:hAnsi="Times New Roman" w:eastAsia="宋体" w:cs="宋体"/>
                <w:color w:val="auto"/>
                <w:spacing w:val="0"/>
                <w:sz w:val="21"/>
                <w:szCs w:val="21"/>
                <w:highlight w:val="none"/>
                <w:lang w:val="en-US" w:eastAsia="zh-CN" w:bidi="ar-SA"/>
              </w:rPr>
              <w:t>4.</w:t>
            </w:r>
            <w:r>
              <w:rPr>
                <w:rFonts w:hint="eastAsia" w:cs="宋体"/>
                <w:b w:val="0"/>
                <w:bCs w:val="0"/>
                <w:color w:val="auto"/>
                <w:spacing w:val="0"/>
                <w:sz w:val="21"/>
                <w:szCs w:val="21"/>
                <w:highlight w:val="none"/>
              </w:rPr>
              <w:t>投标保证金有效期：</w:t>
            </w:r>
            <w:r>
              <w:rPr>
                <w:rFonts w:hint="eastAsia" w:cs="宋体"/>
                <w:color w:val="auto"/>
                <w:spacing w:val="0"/>
                <w:sz w:val="21"/>
                <w:szCs w:val="21"/>
                <w:highlight w:val="none"/>
              </w:rPr>
              <w:t>除保证保险形式外，至少与投标有效期一致。</w:t>
            </w:r>
          </w:p>
          <w:p w14:paraId="7EB6812F">
            <w:pPr>
              <w:tabs>
                <w:tab w:val="left" w:pos="900"/>
                <w:tab w:val="left" w:pos="1100"/>
              </w:tabs>
              <w:spacing w:line="360" w:lineRule="auto"/>
              <w:ind w:firstLine="327" w:firstLineChars="150"/>
              <w:rPr>
                <w:rFonts w:ascii="宋体" w:hAnsi="宋体" w:cs="黑体"/>
                <w:bCs/>
                <w:color w:val="auto"/>
                <w:szCs w:val="21"/>
                <w:highlight w:val="none"/>
                <w:u w:val="single"/>
              </w:rPr>
            </w:pPr>
            <w:r>
              <w:rPr>
                <w:rFonts w:hint="eastAsia" w:ascii="宋体" w:hAnsi="宋体" w:eastAsia="宋体" w:cs="宋体"/>
                <w:color w:val="auto"/>
                <w:spacing w:val="4"/>
                <w:sz w:val="21"/>
                <w:szCs w:val="21"/>
                <w:highlight w:val="none"/>
                <w:lang w:val="en-US" w:eastAsia="zh-CN" w:bidi="ar-SA"/>
              </w:rPr>
              <w:t>5.其他：投标人享受投标保证金减缴或免缴的，应当提交相应证明材料，作为资格文件的组成部分，否则有关情形不予确认。投标人出现招标文件或法律法规中投标保证金不予退还的情形时，满足享受减缴或免缴并负有责任，投标人应当无条件按照招标人要求限时足额补缴投标保证金并依法承担违约责任。对未按期足额补缴投标保证金给招标人带来损失的，依法承担赔偿责任。</w:t>
            </w:r>
          </w:p>
        </w:tc>
      </w:tr>
      <w:tr w14:paraId="5C5DA5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008" w:type="dxa"/>
            <w:vAlign w:val="center"/>
          </w:tcPr>
          <w:p w14:paraId="533F0FC1">
            <w:pPr>
              <w:pStyle w:val="42"/>
              <w:spacing w:line="360" w:lineRule="exact"/>
              <w:ind w:firstLine="0" w:firstLineChars="0"/>
              <w:jc w:val="center"/>
              <w:rPr>
                <w:rFonts w:hint="default" w:eastAsia="宋体"/>
                <w:color w:val="auto"/>
                <w:szCs w:val="21"/>
                <w:highlight w:val="none"/>
                <w:lang w:val="en-US" w:eastAsia="zh-CN"/>
              </w:rPr>
            </w:pPr>
            <w:r>
              <w:rPr>
                <w:rFonts w:hint="eastAsia"/>
                <w:color w:val="auto"/>
                <w:szCs w:val="21"/>
                <w:highlight w:val="none"/>
                <w:lang w:val="en-US" w:eastAsia="zh-CN"/>
              </w:rPr>
              <w:t>3.4.3</w:t>
            </w:r>
          </w:p>
        </w:tc>
        <w:tc>
          <w:tcPr>
            <w:tcW w:w="2880" w:type="dxa"/>
            <w:vAlign w:val="center"/>
          </w:tcPr>
          <w:p w14:paraId="5F010123">
            <w:pPr>
              <w:spacing w:line="360" w:lineRule="exact"/>
              <w:jc w:val="center"/>
              <w:rPr>
                <w:rFonts w:hint="eastAsia"/>
                <w:color w:val="auto"/>
                <w:szCs w:val="21"/>
                <w:highlight w:val="none"/>
              </w:rPr>
            </w:pPr>
            <w:r>
              <w:rPr>
                <w:rFonts w:hint="eastAsia" w:ascii="宋体" w:hAnsi="宋体" w:cs="宋体"/>
                <w:color w:val="auto"/>
                <w:szCs w:val="21"/>
                <w:highlight w:val="none"/>
                <w:shd w:val="clear" w:color="auto" w:fill="auto"/>
              </w:rPr>
              <w:t>投标保证金的利息计算原则</w:t>
            </w:r>
          </w:p>
        </w:tc>
        <w:tc>
          <w:tcPr>
            <w:tcW w:w="5718" w:type="dxa"/>
            <w:vAlign w:val="center"/>
          </w:tcPr>
          <w:p w14:paraId="7EF014FB">
            <w:pPr>
              <w:pStyle w:val="116"/>
              <w:tabs>
                <w:tab w:val="left" w:pos="537"/>
              </w:tabs>
              <w:spacing w:before="120" w:beforeLines="50" w:line="300" w:lineRule="auto"/>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
              </w:rPr>
              <w:t>（</w:t>
            </w:r>
            <w:r>
              <w:rPr>
                <w:rFonts w:hint="eastAsia"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
              </w:rPr>
              <w:t>）</w:t>
            </w:r>
            <w:r>
              <w:rPr>
                <w:rFonts w:hint="eastAsia" w:ascii="宋体" w:hAnsi="宋体" w:cs="宋体"/>
                <w:color w:val="auto"/>
                <w:szCs w:val="21"/>
                <w:highlight w:val="none"/>
                <w:shd w:val="clear" w:color="auto" w:fill="auto"/>
              </w:rPr>
              <w:t>计算利息的起始日期为投标截止当日，终止日期为招标人退还投标保证金日期的前一日；</w:t>
            </w:r>
          </w:p>
          <w:p w14:paraId="6AAEDE3D">
            <w:pPr>
              <w:pStyle w:val="116"/>
              <w:tabs>
                <w:tab w:val="left" w:pos="531"/>
              </w:tabs>
              <w:spacing w:before="120" w:beforeLines="50" w:line="300" w:lineRule="auto"/>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（2）投标保证金的利息按照第（1）款所述计息时间段内招标人指定汇入银行公告的活期存款利率计付，并扣除招标人汇款手续费；</w:t>
            </w:r>
          </w:p>
          <w:p w14:paraId="50E65158">
            <w:pPr>
              <w:pStyle w:val="42"/>
              <w:spacing w:line="324" w:lineRule="auto"/>
              <w:ind w:firstLineChars="200"/>
              <w:rPr>
                <w:rFonts w:hint="eastAsia"/>
                <w:color w:val="auto"/>
                <w:szCs w:val="21"/>
                <w:highlight w:val="none"/>
              </w:rPr>
            </w:pPr>
            <w:r>
              <w:rPr>
                <w:rFonts w:hint="eastAsia" w:ascii="宋体" w:hAnsi="宋体" w:cs="宋体"/>
                <w:color w:val="auto"/>
                <w:szCs w:val="21"/>
                <w:highlight w:val="none"/>
                <w:shd w:val="clear" w:color="auto" w:fill="auto"/>
              </w:rPr>
              <w:t>（3）利息金额计算至分位，分以下尾数四舍五入。</w:t>
            </w:r>
          </w:p>
        </w:tc>
      </w:tr>
      <w:tr w14:paraId="5F211E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008" w:type="dxa"/>
            <w:vAlign w:val="center"/>
          </w:tcPr>
          <w:p w14:paraId="5823A343">
            <w:pPr>
              <w:pStyle w:val="42"/>
              <w:spacing w:line="360" w:lineRule="exact"/>
              <w:ind w:firstLine="0" w:firstLineChars="0"/>
              <w:jc w:val="center"/>
              <w:rPr>
                <w:rFonts w:hint="default"/>
                <w:color w:val="auto"/>
                <w:szCs w:val="21"/>
                <w:highlight w:val="none"/>
                <w:lang w:val="en-US" w:eastAsia="zh-CN"/>
              </w:rPr>
            </w:pPr>
            <w:r>
              <w:rPr>
                <w:rFonts w:hint="eastAsia"/>
                <w:color w:val="auto"/>
                <w:szCs w:val="21"/>
                <w:highlight w:val="none"/>
                <w:lang w:val="en-US" w:eastAsia="zh-CN"/>
              </w:rPr>
              <w:t>3.4.4</w:t>
            </w:r>
          </w:p>
        </w:tc>
        <w:tc>
          <w:tcPr>
            <w:tcW w:w="2880" w:type="dxa"/>
            <w:shd w:val="clear" w:color="auto" w:fill="auto"/>
            <w:vAlign w:val="center"/>
          </w:tcPr>
          <w:p w14:paraId="6D255E67">
            <w:pPr>
              <w:autoSpaceDE/>
              <w:autoSpaceDN/>
              <w:adjustRightInd w:val="0"/>
              <w:snapToGrid w:val="0"/>
              <w:spacing w:before="32" w:beforeLines="10" w:afterLines="0" w:line="25" w:lineRule="atLeast"/>
              <w:ind w:right="6" w:rightChars="0"/>
              <w:jc w:val="center"/>
              <w:rPr>
                <w:rFonts w:hint="eastAsia" w:ascii="Calibri" w:hAnsi="Calibri" w:eastAsia="宋体" w:cs="Times New Roman"/>
                <w:color w:val="auto"/>
                <w:kern w:val="2"/>
                <w:sz w:val="18"/>
                <w:szCs w:val="18"/>
                <w:highlight w:val="none"/>
                <w:lang w:val="en-US" w:eastAsia="zh-CN" w:bidi="ar-SA"/>
              </w:rPr>
            </w:pPr>
            <w:r>
              <w:rPr>
                <w:rStyle w:val="120"/>
                <w:rFonts w:hint="eastAsia"/>
                <w:color w:val="auto"/>
                <w:sz w:val="21"/>
                <w:szCs w:val="21"/>
                <w:highlight w:val="none"/>
                <w:shd w:val="clear" w:color="auto" w:fill="auto"/>
              </w:rPr>
              <w:t>其他可以</w:t>
            </w:r>
            <w:r>
              <w:rPr>
                <w:rStyle w:val="120"/>
                <w:rFonts w:hint="eastAsia"/>
                <w:color w:val="auto"/>
                <w:sz w:val="21"/>
                <w:szCs w:val="21"/>
                <w:highlight w:val="none"/>
                <w:shd w:val="clear" w:color="auto" w:fill="auto"/>
                <w:lang w:val="zh-TW" w:eastAsia="zh-TW"/>
              </w:rPr>
              <w:t>不予退还投标保证金的情形</w:t>
            </w:r>
          </w:p>
        </w:tc>
        <w:tc>
          <w:tcPr>
            <w:tcW w:w="5718" w:type="dxa"/>
            <w:vAlign w:val="center"/>
          </w:tcPr>
          <w:p w14:paraId="73DA185A">
            <w:pPr>
              <w:wordWrap w:val="0"/>
              <w:adjustRightInd w:val="0"/>
              <w:snapToGrid w:val="0"/>
              <w:spacing w:before="32" w:beforeLines="10" w:afterLines="0" w:line="25" w:lineRule="atLeast"/>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（1）投标人提交了虚假资料；</w:t>
            </w:r>
          </w:p>
          <w:p w14:paraId="4B1D5CE8">
            <w:pPr>
              <w:wordWrap w:val="0"/>
              <w:adjustRightInd w:val="0"/>
              <w:snapToGrid w:val="0"/>
              <w:spacing w:before="32" w:beforeLines="10" w:afterLines="0" w:line="25" w:lineRule="atLeast"/>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（2）不同投标人的电子投标文件上传计算机的网卡MAC地址、CPU序列号和硬盘序列号硬件均相同的（开标现场上传电子投标文件的除外）；</w:t>
            </w:r>
          </w:p>
          <w:p w14:paraId="73944071">
            <w:pPr>
              <w:wordWrap w:val="0"/>
              <w:adjustRightInd w:val="0"/>
              <w:snapToGrid w:val="0"/>
              <w:spacing w:before="32" w:beforeLines="10" w:afterLines="0" w:line="25" w:lineRule="atLeast"/>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（3）有证据显示投标人以他人名义投标、与他人串通投标、以非法手段谋取中标；</w:t>
            </w:r>
          </w:p>
          <w:p w14:paraId="3C1B8086">
            <w:pPr>
              <w:pStyle w:val="42"/>
              <w:spacing w:line="324" w:lineRule="auto"/>
              <w:ind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（4）法律、法规规定的其他情形。</w:t>
            </w:r>
          </w:p>
        </w:tc>
      </w:tr>
      <w:tr w14:paraId="14F3FD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008" w:type="dxa"/>
            <w:vAlign w:val="center"/>
          </w:tcPr>
          <w:p w14:paraId="02A0246F">
            <w:pPr>
              <w:pStyle w:val="42"/>
              <w:spacing w:line="360" w:lineRule="exact"/>
              <w:ind w:firstLine="0" w:firstLineChars="0"/>
              <w:jc w:val="center"/>
              <w:rPr>
                <w:color w:val="auto"/>
                <w:szCs w:val="21"/>
                <w:highlight w:val="none"/>
              </w:rPr>
            </w:pPr>
            <w:r>
              <w:rPr>
                <w:rFonts w:hint="eastAsia"/>
                <w:color w:val="auto"/>
                <w:szCs w:val="21"/>
                <w:highlight w:val="none"/>
              </w:rPr>
              <w:t>3.5.2</w:t>
            </w:r>
          </w:p>
        </w:tc>
        <w:tc>
          <w:tcPr>
            <w:tcW w:w="2880" w:type="dxa"/>
            <w:vAlign w:val="center"/>
          </w:tcPr>
          <w:p w14:paraId="4EFD762D">
            <w:pPr>
              <w:spacing w:line="360" w:lineRule="exact"/>
              <w:jc w:val="center"/>
              <w:rPr>
                <w:color w:val="auto"/>
                <w:szCs w:val="21"/>
                <w:highlight w:val="none"/>
              </w:rPr>
            </w:pPr>
            <w:r>
              <w:rPr>
                <w:rFonts w:hint="eastAsia"/>
                <w:color w:val="auto"/>
                <w:szCs w:val="21"/>
                <w:highlight w:val="none"/>
              </w:rPr>
              <w:t>近年财务状况的年份要求</w:t>
            </w:r>
          </w:p>
        </w:tc>
        <w:tc>
          <w:tcPr>
            <w:tcW w:w="5718" w:type="dxa"/>
            <w:vAlign w:val="center"/>
          </w:tcPr>
          <w:p w14:paraId="5DFE8F1C">
            <w:pPr>
              <w:pStyle w:val="42"/>
              <w:spacing w:line="324" w:lineRule="auto"/>
              <w:ind w:firstLineChars="200"/>
              <w:rPr>
                <w:rFonts w:ascii="宋体" w:hAnsi="宋体" w:cs="宋体"/>
                <w:color w:val="auto"/>
                <w:szCs w:val="21"/>
                <w:highlight w:val="none"/>
              </w:rPr>
            </w:pPr>
            <w:r>
              <w:rPr>
                <w:rFonts w:hint="eastAsia"/>
                <w:color w:val="auto"/>
                <w:szCs w:val="21"/>
                <w:highlight w:val="none"/>
                <w:lang w:val="en-US" w:eastAsia="zh-CN"/>
              </w:rPr>
              <w:t>不需要</w:t>
            </w:r>
          </w:p>
        </w:tc>
      </w:tr>
      <w:tr w14:paraId="43D29B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Align w:val="center"/>
          </w:tcPr>
          <w:p w14:paraId="52E4CC39">
            <w:pPr>
              <w:pStyle w:val="42"/>
              <w:spacing w:line="360" w:lineRule="exact"/>
              <w:ind w:firstLine="0" w:firstLineChars="0"/>
              <w:jc w:val="center"/>
              <w:rPr>
                <w:color w:val="auto"/>
                <w:szCs w:val="21"/>
                <w:highlight w:val="none"/>
              </w:rPr>
            </w:pPr>
            <w:r>
              <w:rPr>
                <w:rFonts w:hint="eastAsia"/>
                <w:color w:val="auto"/>
                <w:szCs w:val="21"/>
                <w:highlight w:val="none"/>
              </w:rPr>
              <w:t>3.5.3</w:t>
            </w:r>
          </w:p>
        </w:tc>
        <w:tc>
          <w:tcPr>
            <w:tcW w:w="2880" w:type="dxa"/>
            <w:vAlign w:val="center"/>
          </w:tcPr>
          <w:p w14:paraId="579C4F0B">
            <w:pPr>
              <w:spacing w:line="360" w:lineRule="exact"/>
              <w:jc w:val="center"/>
              <w:rPr>
                <w:color w:val="auto"/>
                <w:szCs w:val="21"/>
                <w:highlight w:val="none"/>
              </w:rPr>
            </w:pPr>
            <w:r>
              <w:rPr>
                <w:rFonts w:hint="eastAsia"/>
                <w:color w:val="auto"/>
                <w:szCs w:val="21"/>
                <w:highlight w:val="none"/>
              </w:rPr>
              <w:t>近年已完工的同类工程一览表的年份要求</w:t>
            </w:r>
          </w:p>
        </w:tc>
        <w:tc>
          <w:tcPr>
            <w:tcW w:w="5718" w:type="dxa"/>
            <w:vAlign w:val="center"/>
          </w:tcPr>
          <w:p w14:paraId="74625AA5">
            <w:pPr>
              <w:spacing w:line="320" w:lineRule="exact"/>
              <w:rPr>
                <w:rFonts w:ascii="宋体" w:hAnsi="宋体"/>
                <w:color w:val="auto"/>
                <w:highlight w:val="none"/>
              </w:rPr>
            </w:pPr>
            <w:r>
              <w:rPr>
                <w:rFonts w:hint="eastAsia" w:ascii="宋体" w:hAnsi="宋体"/>
                <w:color w:val="auto"/>
                <w:highlight w:val="none"/>
              </w:rPr>
              <w:t>□不作要求</w:t>
            </w:r>
          </w:p>
          <w:p w14:paraId="6BCED555">
            <w:pPr>
              <w:spacing w:line="320" w:lineRule="exact"/>
              <w:rPr>
                <w:color w:val="auto"/>
                <w:szCs w:val="21"/>
                <w:highlight w:val="none"/>
                <w:u w:val="single"/>
              </w:rPr>
            </w:pPr>
            <w:r>
              <w:rPr>
                <w:rFonts w:hint="eastAsia" w:ascii="宋体" w:hAnsi="宋体"/>
                <w:color w:val="auto"/>
                <w:highlight w:val="none"/>
              </w:rPr>
              <w:t>□近5年：</w:t>
            </w:r>
            <w:r>
              <w:rPr>
                <w:rFonts w:hint="eastAsia" w:ascii="宋体" w:hAnsi="宋体"/>
                <w:color w:val="auto"/>
                <w:szCs w:val="21"/>
                <w:highlight w:val="none"/>
              </w:rPr>
              <w:t>自招标公告正式发布之日前5年至</w:t>
            </w:r>
            <w:r>
              <w:rPr>
                <w:rFonts w:hint="eastAsia"/>
                <w:color w:val="auto"/>
                <w:szCs w:val="21"/>
                <w:highlight w:val="none"/>
                <w:u w:val="single"/>
              </w:rPr>
              <w:t>投标截止时</w:t>
            </w:r>
          </w:p>
          <w:p w14:paraId="235C7393">
            <w:pPr>
              <w:pStyle w:val="42"/>
              <w:spacing w:line="324" w:lineRule="auto"/>
              <w:ind w:firstLine="0" w:firstLineChars="0"/>
              <w:rPr>
                <w:color w:val="auto"/>
                <w:szCs w:val="21"/>
                <w:highlight w:val="none"/>
                <w:u w:val="single"/>
              </w:rPr>
            </w:pPr>
            <w:r>
              <w:rPr>
                <w:rFonts w:hint="eastAsia" w:ascii="宋体" w:hAnsi="宋体"/>
                <w:color w:val="auto"/>
                <w:highlight w:val="none"/>
              </w:rPr>
              <w:t>□近10年：</w:t>
            </w:r>
            <w:r>
              <w:rPr>
                <w:rFonts w:hint="eastAsia" w:ascii="宋体" w:hAnsi="宋体"/>
                <w:color w:val="auto"/>
                <w:szCs w:val="21"/>
                <w:highlight w:val="none"/>
              </w:rPr>
              <w:t>自招标公告正式发布之日前10年至</w:t>
            </w:r>
            <w:r>
              <w:rPr>
                <w:rFonts w:hint="eastAsia"/>
                <w:color w:val="auto"/>
                <w:szCs w:val="21"/>
                <w:highlight w:val="none"/>
                <w:u w:val="single"/>
              </w:rPr>
              <w:t>投标截止时</w:t>
            </w:r>
          </w:p>
        </w:tc>
      </w:tr>
      <w:tr w14:paraId="252F85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Align w:val="center"/>
          </w:tcPr>
          <w:p w14:paraId="32DD576F">
            <w:pPr>
              <w:pStyle w:val="42"/>
              <w:spacing w:line="360" w:lineRule="exact"/>
              <w:ind w:firstLine="0" w:firstLineChars="0"/>
              <w:jc w:val="center"/>
              <w:rPr>
                <w:color w:val="auto"/>
                <w:szCs w:val="21"/>
                <w:highlight w:val="none"/>
              </w:rPr>
            </w:pPr>
            <w:r>
              <w:rPr>
                <w:rFonts w:hint="eastAsia"/>
                <w:color w:val="auto"/>
                <w:szCs w:val="21"/>
                <w:highlight w:val="none"/>
              </w:rPr>
              <w:t>3.5.4</w:t>
            </w:r>
          </w:p>
        </w:tc>
        <w:tc>
          <w:tcPr>
            <w:tcW w:w="2880" w:type="dxa"/>
            <w:vAlign w:val="center"/>
          </w:tcPr>
          <w:p w14:paraId="0FB71FA6">
            <w:pPr>
              <w:spacing w:line="360" w:lineRule="exact"/>
              <w:jc w:val="center"/>
              <w:rPr>
                <w:color w:val="auto"/>
                <w:szCs w:val="21"/>
                <w:highlight w:val="none"/>
              </w:rPr>
            </w:pPr>
            <w:r>
              <w:rPr>
                <w:rFonts w:hint="eastAsia"/>
                <w:color w:val="auto"/>
                <w:szCs w:val="21"/>
                <w:highlight w:val="none"/>
              </w:rPr>
              <w:t>近年发生的诉讼及仲裁情况的年份要求</w:t>
            </w:r>
          </w:p>
        </w:tc>
        <w:tc>
          <w:tcPr>
            <w:tcW w:w="5718" w:type="dxa"/>
            <w:vAlign w:val="center"/>
          </w:tcPr>
          <w:p w14:paraId="0EEA9EEC">
            <w:pPr>
              <w:pStyle w:val="42"/>
              <w:spacing w:line="324" w:lineRule="auto"/>
              <w:ind w:firstLineChars="200"/>
              <w:rPr>
                <w:rFonts w:ascii="宋体" w:hAnsi="宋体" w:cs="宋体"/>
                <w:color w:val="auto"/>
                <w:szCs w:val="21"/>
                <w:highlight w:val="none"/>
              </w:rPr>
            </w:pPr>
            <w:r>
              <w:rPr>
                <w:rFonts w:hint="eastAsia"/>
                <w:color w:val="auto"/>
                <w:szCs w:val="21"/>
                <w:highlight w:val="none"/>
              </w:rPr>
              <w:t>近三年，</w:t>
            </w:r>
            <w:r>
              <w:rPr>
                <w:rFonts w:hint="eastAsia" w:ascii="宋体" w:hAnsi="宋体"/>
                <w:color w:val="auto"/>
                <w:szCs w:val="21"/>
                <w:highlight w:val="none"/>
              </w:rPr>
              <w:t>自招标公告正式发布之日前3年</w:t>
            </w:r>
            <w:r>
              <w:rPr>
                <w:rFonts w:hint="eastAsia"/>
                <w:color w:val="auto"/>
                <w:szCs w:val="21"/>
                <w:highlight w:val="none"/>
              </w:rPr>
              <w:t>至</w:t>
            </w:r>
            <w:r>
              <w:rPr>
                <w:rFonts w:hint="eastAsia"/>
                <w:color w:val="auto"/>
                <w:szCs w:val="21"/>
                <w:highlight w:val="none"/>
                <w:u w:val="single"/>
              </w:rPr>
              <w:t>投标截止时</w:t>
            </w:r>
          </w:p>
        </w:tc>
      </w:tr>
      <w:tr w14:paraId="493A92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08" w:type="dxa"/>
            <w:vAlign w:val="center"/>
          </w:tcPr>
          <w:p w14:paraId="60F8A9F1">
            <w:pPr>
              <w:pStyle w:val="42"/>
              <w:spacing w:line="360" w:lineRule="exact"/>
              <w:ind w:firstLine="0" w:firstLineChars="0"/>
              <w:jc w:val="center"/>
              <w:rPr>
                <w:color w:val="auto"/>
                <w:szCs w:val="21"/>
                <w:highlight w:val="none"/>
              </w:rPr>
            </w:pPr>
            <w:r>
              <w:rPr>
                <w:rFonts w:hint="eastAsia"/>
                <w:color w:val="auto"/>
                <w:szCs w:val="21"/>
                <w:highlight w:val="none"/>
              </w:rPr>
              <w:t>3.6.3</w:t>
            </w:r>
          </w:p>
        </w:tc>
        <w:tc>
          <w:tcPr>
            <w:tcW w:w="2880" w:type="dxa"/>
            <w:vAlign w:val="center"/>
          </w:tcPr>
          <w:p w14:paraId="0295B4B3">
            <w:pPr>
              <w:spacing w:line="360" w:lineRule="exact"/>
              <w:jc w:val="center"/>
              <w:rPr>
                <w:color w:val="auto"/>
                <w:szCs w:val="21"/>
                <w:highlight w:val="none"/>
              </w:rPr>
            </w:pPr>
            <w:r>
              <w:rPr>
                <w:rFonts w:hint="eastAsia"/>
                <w:color w:val="auto"/>
                <w:szCs w:val="21"/>
                <w:highlight w:val="none"/>
              </w:rPr>
              <w:t>投标文件签字或盖章要求</w:t>
            </w:r>
          </w:p>
        </w:tc>
        <w:tc>
          <w:tcPr>
            <w:tcW w:w="5718" w:type="dxa"/>
            <w:vAlign w:val="center"/>
          </w:tcPr>
          <w:p w14:paraId="600C0F31">
            <w:pPr>
              <w:spacing w:line="324" w:lineRule="auto"/>
              <w:ind w:firstLine="420" w:firstLineChars="200"/>
              <w:rPr>
                <w:rFonts w:ascii="宋体" w:hAnsi="宋体" w:cs="宋体"/>
                <w:color w:val="auto"/>
                <w:szCs w:val="21"/>
                <w:highlight w:val="none"/>
              </w:rPr>
            </w:pPr>
            <w:r>
              <w:rPr>
                <w:rFonts w:hint="eastAsia" w:ascii="宋体" w:hAnsi="宋体"/>
                <w:color w:val="auto"/>
                <w:szCs w:val="21"/>
                <w:highlight w:val="none"/>
              </w:rPr>
              <w:t>按投标文件格式要求盖章</w:t>
            </w:r>
          </w:p>
        </w:tc>
      </w:tr>
      <w:tr w14:paraId="54299E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Align w:val="center"/>
          </w:tcPr>
          <w:p w14:paraId="15BB7D0D">
            <w:pPr>
              <w:pStyle w:val="42"/>
              <w:spacing w:line="360" w:lineRule="exact"/>
              <w:ind w:firstLine="0" w:firstLineChars="0"/>
              <w:jc w:val="center"/>
              <w:rPr>
                <w:color w:val="auto"/>
                <w:szCs w:val="21"/>
                <w:highlight w:val="none"/>
              </w:rPr>
            </w:pPr>
            <w:r>
              <w:rPr>
                <w:rFonts w:hint="eastAsia"/>
                <w:color w:val="auto"/>
                <w:szCs w:val="21"/>
                <w:highlight w:val="none"/>
              </w:rPr>
              <w:t>5.1</w:t>
            </w:r>
          </w:p>
        </w:tc>
        <w:tc>
          <w:tcPr>
            <w:tcW w:w="2880" w:type="dxa"/>
            <w:vAlign w:val="center"/>
          </w:tcPr>
          <w:p w14:paraId="0B2A3545">
            <w:pPr>
              <w:spacing w:line="360" w:lineRule="exact"/>
              <w:jc w:val="center"/>
              <w:rPr>
                <w:color w:val="auto"/>
                <w:szCs w:val="21"/>
                <w:highlight w:val="none"/>
              </w:rPr>
            </w:pPr>
            <w:r>
              <w:rPr>
                <w:rFonts w:hint="eastAsia"/>
                <w:color w:val="auto"/>
                <w:szCs w:val="21"/>
                <w:highlight w:val="none"/>
              </w:rPr>
              <w:t>开标时间和地点</w:t>
            </w:r>
          </w:p>
        </w:tc>
        <w:tc>
          <w:tcPr>
            <w:tcW w:w="5718" w:type="dxa"/>
            <w:vAlign w:val="center"/>
          </w:tcPr>
          <w:p w14:paraId="2CF62AFB">
            <w:pPr>
              <w:pStyle w:val="42"/>
              <w:spacing w:line="324" w:lineRule="auto"/>
              <w:ind w:firstLineChars="200"/>
              <w:rPr>
                <w:rFonts w:ascii="宋体" w:hAnsi="宋体" w:cs="宋体"/>
                <w:color w:val="auto"/>
                <w:szCs w:val="21"/>
                <w:highlight w:val="none"/>
              </w:rPr>
            </w:pPr>
            <w:r>
              <w:rPr>
                <w:rFonts w:hint="eastAsia" w:ascii="宋体" w:hAnsi="宋体" w:cs="宋体"/>
                <w:color w:val="auto"/>
                <w:szCs w:val="21"/>
                <w:highlight w:val="none"/>
              </w:rPr>
              <w:t>开标时间：同投标截止时间</w:t>
            </w:r>
          </w:p>
          <w:p w14:paraId="0887FA82">
            <w:pPr>
              <w:pStyle w:val="42"/>
              <w:spacing w:line="324" w:lineRule="auto"/>
              <w:ind w:firstLineChars="200"/>
              <w:rPr>
                <w:rFonts w:ascii="宋体" w:hAnsi="宋体" w:cs="宋体"/>
                <w:color w:val="auto"/>
                <w:szCs w:val="21"/>
                <w:highlight w:val="none"/>
                <w:u w:val="single"/>
              </w:rPr>
            </w:pPr>
            <w:r>
              <w:rPr>
                <w:rFonts w:hint="eastAsia" w:ascii="宋体" w:hAnsi="宋体" w:cs="宋体"/>
                <w:color w:val="auto"/>
                <w:szCs w:val="21"/>
                <w:highlight w:val="none"/>
              </w:rPr>
              <w:t>开标地点：</w:t>
            </w:r>
            <w:r>
              <w:rPr>
                <w:rFonts w:hint="eastAsia" w:ascii="宋体" w:hAnsi="宋体"/>
                <w:color w:val="auto"/>
                <w:szCs w:val="21"/>
                <w:highlight w:val="none"/>
              </w:rPr>
              <w:t>在电子交易平台上在线公开开标，投标人应在线参加开标。同时在</w:t>
            </w:r>
            <w:r>
              <w:rPr>
                <w:rFonts w:hint="eastAsia" w:ascii="宋体" w:hAnsi="宋体"/>
                <w:color w:val="auto"/>
                <w:szCs w:val="21"/>
                <w:highlight w:val="none"/>
                <w:u w:val="single"/>
              </w:rPr>
              <w:t xml:space="preserve">      （</w:t>
            </w:r>
            <w:r>
              <w:rPr>
                <w:rFonts w:hint="eastAsia" w:ascii="宋体" w:hAnsi="宋体"/>
                <w:color w:val="auto"/>
                <w:szCs w:val="21"/>
                <w:highlight w:val="none"/>
              </w:rPr>
              <w:t>交易场所）设置在线开标会场，投标人可到场参加开标会。</w:t>
            </w:r>
          </w:p>
        </w:tc>
      </w:tr>
      <w:tr w14:paraId="697793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Align w:val="center"/>
          </w:tcPr>
          <w:p w14:paraId="00934D3C">
            <w:pPr>
              <w:pStyle w:val="42"/>
              <w:spacing w:line="360" w:lineRule="exact"/>
              <w:ind w:firstLine="0" w:firstLineChars="0"/>
              <w:jc w:val="center"/>
              <w:rPr>
                <w:color w:val="auto"/>
                <w:szCs w:val="21"/>
                <w:highlight w:val="none"/>
              </w:rPr>
            </w:pPr>
            <w:r>
              <w:rPr>
                <w:rFonts w:hint="eastAsia"/>
                <w:color w:val="auto"/>
                <w:szCs w:val="21"/>
                <w:highlight w:val="none"/>
              </w:rPr>
              <w:t>6.1.1</w:t>
            </w:r>
          </w:p>
        </w:tc>
        <w:tc>
          <w:tcPr>
            <w:tcW w:w="2880" w:type="dxa"/>
            <w:vAlign w:val="center"/>
          </w:tcPr>
          <w:p w14:paraId="49DCE354">
            <w:pPr>
              <w:spacing w:line="360" w:lineRule="exact"/>
              <w:jc w:val="center"/>
              <w:rPr>
                <w:color w:val="auto"/>
                <w:szCs w:val="21"/>
                <w:highlight w:val="none"/>
              </w:rPr>
            </w:pPr>
            <w:r>
              <w:rPr>
                <w:rFonts w:hint="eastAsia"/>
                <w:color w:val="auto"/>
                <w:szCs w:val="21"/>
                <w:highlight w:val="none"/>
              </w:rPr>
              <w:t>评标委员会的组建</w:t>
            </w:r>
          </w:p>
        </w:tc>
        <w:tc>
          <w:tcPr>
            <w:tcW w:w="5718" w:type="dxa"/>
            <w:vAlign w:val="center"/>
          </w:tcPr>
          <w:p w14:paraId="1013CBFB">
            <w:pPr>
              <w:spacing w:line="360" w:lineRule="exact"/>
              <w:jc w:val="left"/>
              <w:rPr>
                <w:rFonts w:ascii="宋体" w:hAnsi="宋体"/>
                <w:color w:val="auto"/>
                <w:szCs w:val="21"/>
                <w:highlight w:val="none"/>
              </w:rPr>
            </w:pPr>
            <w:r>
              <w:rPr>
                <w:rFonts w:hint="eastAsia" w:ascii="宋体" w:hAnsi="宋体"/>
                <w:color w:val="auto"/>
                <w:szCs w:val="21"/>
                <w:highlight w:val="none"/>
              </w:rPr>
              <w:t>评标委员会构成：</w:t>
            </w:r>
            <w:r>
              <w:rPr>
                <w:rFonts w:hint="eastAsia" w:ascii="宋体" w:hAnsi="宋体"/>
                <w:color w:val="auto"/>
                <w:szCs w:val="21"/>
                <w:highlight w:val="none"/>
                <w:u w:val="single"/>
              </w:rPr>
              <w:t xml:space="preserve">   </w:t>
            </w:r>
            <w:r>
              <w:rPr>
                <w:rFonts w:hint="eastAsia" w:ascii="宋体" w:hAnsi="宋体"/>
                <w:color w:val="auto"/>
                <w:szCs w:val="21"/>
                <w:highlight w:val="none"/>
              </w:rPr>
              <w:t>人，其中招标人代表</w:t>
            </w:r>
            <w:r>
              <w:rPr>
                <w:rFonts w:hint="eastAsia" w:ascii="宋体" w:hAnsi="宋体"/>
                <w:color w:val="auto"/>
                <w:szCs w:val="21"/>
                <w:highlight w:val="none"/>
                <w:u w:val="single"/>
              </w:rPr>
              <w:t xml:space="preserve">    </w:t>
            </w:r>
            <w:r>
              <w:rPr>
                <w:rFonts w:hint="eastAsia" w:ascii="宋体" w:hAnsi="宋体"/>
                <w:color w:val="auto"/>
                <w:szCs w:val="21"/>
                <w:highlight w:val="none"/>
              </w:rPr>
              <w:t>人，专家</w:t>
            </w:r>
            <w:r>
              <w:rPr>
                <w:rFonts w:hint="eastAsia" w:ascii="宋体" w:hAnsi="宋体"/>
                <w:color w:val="auto"/>
                <w:szCs w:val="21"/>
                <w:highlight w:val="none"/>
                <w:u w:val="single"/>
              </w:rPr>
              <w:t xml:space="preserve">   </w:t>
            </w:r>
            <w:r>
              <w:rPr>
                <w:rFonts w:hint="eastAsia" w:ascii="宋体" w:hAnsi="宋体"/>
                <w:color w:val="auto"/>
                <w:szCs w:val="21"/>
                <w:highlight w:val="none"/>
              </w:rPr>
              <w:t>人；</w:t>
            </w:r>
          </w:p>
          <w:p w14:paraId="2F2D7198">
            <w:pPr>
              <w:autoSpaceDE w:val="0"/>
              <w:autoSpaceDN w:val="0"/>
              <w:adjustRightInd w:val="0"/>
              <w:spacing w:line="360" w:lineRule="exact"/>
              <w:rPr>
                <w:rFonts w:ascii="宋体" w:hAnsi="宋体"/>
                <w:color w:val="auto"/>
                <w:szCs w:val="21"/>
                <w:highlight w:val="none"/>
              </w:rPr>
            </w:pPr>
            <w:r>
              <w:rPr>
                <w:rFonts w:hint="eastAsia" w:ascii="宋体" w:hAnsi="宋体"/>
                <w:color w:val="auto"/>
                <w:szCs w:val="21"/>
                <w:highlight w:val="none"/>
              </w:rPr>
              <w:t>评标专家确定方式：</w:t>
            </w:r>
          </w:p>
          <w:p w14:paraId="06AAC1DE">
            <w:pPr>
              <w:spacing w:line="324" w:lineRule="auto"/>
              <w:rPr>
                <w:rFonts w:ascii="宋体" w:hAnsi="宋体" w:cs="宋体"/>
                <w:color w:val="auto"/>
                <w:szCs w:val="21"/>
                <w:highlight w:val="none"/>
              </w:rPr>
            </w:pPr>
            <w:r>
              <w:rPr>
                <w:rFonts w:hint="eastAsia" w:ascii="宋体" w:hAnsi="宋体"/>
                <w:color w:val="auto"/>
                <w:szCs w:val="21"/>
                <w:highlight w:val="none"/>
              </w:rPr>
              <w:t xml:space="preserve">按规定从  </w:t>
            </w:r>
            <w:r>
              <w:rPr>
                <w:rFonts w:hint="eastAsia" w:ascii="宋体" w:hAnsi="宋体"/>
                <w:color w:val="auto"/>
                <w:szCs w:val="21"/>
                <w:highlight w:val="none"/>
                <w:u w:val="single"/>
                <w:lang w:val="en"/>
              </w:rPr>
              <w:t>（</w:t>
            </w:r>
            <w:r>
              <w:rPr>
                <w:rFonts w:ascii="宋体" w:hAnsi="宋体"/>
                <w:color w:val="auto"/>
                <w:szCs w:val="21"/>
                <w:highlight w:val="none"/>
                <w:u w:val="single"/>
              </w:rPr>
              <w:t>交通运输部或</w:t>
            </w:r>
            <w:r>
              <w:rPr>
                <w:rFonts w:hint="eastAsia" w:ascii="宋体" w:hAnsi="宋体"/>
                <w:color w:val="auto"/>
                <w:szCs w:val="21"/>
                <w:highlight w:val="none"/>
                <w:u w:val="single"/>
              </w:rPr>
              <w:t>福建省</w:t>
            </w:r>
            <w:r>
              <w:rPr>
                <w:rFonts w:hint="eastAsia" w:ascii="宋体" w:hAnsi="宋体"/>
                <w:color w:val="auto"/>
                <w:szCs w:val="21"/>
                <w:highlight w:val="none"/>
                <w:u w:val="single"/>
                <w:lang w:val="en"/>
              </w:rPr>
              <w:t>）</w:t>
            </w:r>
            <w:r>
              <w:rPr>
                <w:rFonts w:ascii="宋体" w:hAnsi="宋体"/>
                <w:color w:val="auto"/>
                <w:szCs w:val="21"/>
                <w:highlight w:val="none"/>
                <w:u w:val="single"/>
              </w:rPr>
              <w:t>评标</w:t>
            </w:r>
            <w:r>
              <w:rPr>
                <w:rFonts w:hint="eastAsia" w:ascii="宋体" w:hAnsi="宋体"/>
                <w:color w:val="auto"/>
                <w:szCs w:val="21"/>
                <w:highlight w:val="none"/>
              </w:rPr>
              <w:t>专家库中随机抽取。</w:t>
            </w:r>
          </w:p>
        </w:tc>
      </w:tr>
      <w:tr w14:paraId="010F20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Align w:val="center"/>
          </w:tcPr>
          <w:p w14:paraId="3D769A98">
            <w:pPr>
              <w:pStyle w:val="42"/>
              <w:spacing w:line="360" w:lineRule="exact"/>
              <w:ind w:firstLine="0" w:firstLineChars="0"/>
              <w:jc w:val="center"/>
              <w:rPr>
                <w:rFonts w:hint="default" w:eastAsia="宋体"/>
                <w:color w:val="auto"/>
                <w:szCs w:val="21"/>
                <w:highlight w:val="none"/>
                <w:lang w:val="en-US" w:eastAsia="zh-CN"/>
              </w:rPr>
            </w:pPr>
            <w:r>
              <w:rPr>
                <w:rFonts w:hint="eastAsia"/>
                <w:color w:val="auto"/>
                <w:szCs w:val="21"/>
                <w:highlight w:val="none"/>
              </w:rPr>
              <w:t>7.</w:t>
            </w:r>
            <w:r>
              <w:rPr>
                <w:rFonts w:hint="eastAsia"/>
                <w:color w:val="auto"/>
                <w:szCs w:val="21"/>
                <w:highlight w:val="none"/>
                <w:lang w:val="en-US" w:eastAsia="zh-CN"/>
              </w:rPr>
              <w:t>4/7.5</w:t>
            </w:r>
          </w:p>
        </w:tc>
        <w:tc>
          <w:tcPr>
            <w:tcW w:w="2880" w:type="dxa"/>
            <w:vAlign w:val="center"/>
          </w:tcPr>
          <w:p w14:paraId="67148121">
            <w:pPr>
              <w:spacing w:line="360" w:lineRule="exact"/>
              <w:jc w:val="center"/>
              <w:rPr>
                <w:rFonts w:hint="eastAsia" w:eastAsia="宋体"/>
                <w:color w:val="auto"/>
                <w:szCs w:val="21"/>
                <w:highlight w:val="none"/>
                <w:lang w:val="en-US" w:eastAsia="zh-CN"/>
              </w:rPr>
            </w:pPr>
            <w:r>
              <w:rPr>
                <w:rFonts w:hint="eastAsia" w:ascii="宋体" w:hAnsi="宋体"/>
                <w:color w:val="auto"/>
                <w:szCs w:val="21"/>
                <w:highlight w:val="none"/>
              </w:rPr>
              <w:t>中标候选人公示媒体和中标结果公布媒</w:t>
            </w:r>
            <w:r>
              <w:rPr>
                <w:rFonts w:hint="eastAsia" w:ascii="宋体" w:hAnsi="宋体"/>
                <w:color w:val="auto"/>
                <w:szCs w:val="21"/>
                <w:highlight w:val="none"/>
                <w:lang w:val="en-US" w:eastAsia="zh-CN"/>
              </w:rPr>
              <w:t>体</w:t>
            </w:r>
          </w:p>
        </w:tc>
        <w:tc>
          <w:tcPr>
            <w:tcW w:w="5718" w:type="dxa"/>
            <w:vAlign w:val="center"/>
          </w:tcPr>
          <w:p w14:paraId="247087ED">
            <w:pPr>
              <w:autoSpaceDE w:val="0"/>
              <w:autoSpaceDN w:val="0"/>
              <w:adjustRightInd w:val="0"/>
              <w:spacing w:line="360" w:lineRule="exact"/>
              <w:jc w:val="left"/>
              <w:rPr>
                <w:rFonts w:ascii="宋体" w:hAnsi="宋体"/>
                <w:color w:val="auto"/>
                <w:kern w:val="0"/>
                <w:szCs w:val="21"/>
                <w:highlight w:val="none"/>
              </w:rPr>
            </w:pPr>
            <w:r>
              <w:rPr>
                <w:rFonts w:hint="eastAsia" w:ascii="宋体" w:hAnsi="宋体"/>
                <w:color w:val="auto"/>
                <w:kern w:val="0"/>
                <w:szCs w:val="21"/>
                <w:highlight w:val="none"/>
              </w:rPr>
              <w:t>公示方式：网站公示</w:t>
            </w:r>
          </w:p>
          <w:p w14:paraId="0F027194">
            <w:pPr>
              <w:spacing w:line="324" w:lineRule="auto"/>
              <w:rPr>
                <w:rFonts w:ascii="宋体" w:hAnsi="宋体" w:cs="宋体"/>
                <w:color w:val="auto"/>
                <w:szCs w:val="21"/>
                <w:highlight w:val="none"/>
              </w:rPr>
            </w:pPr>
            <w:r>
              <w:rPr>
                <w:rFonts w:hint="eastAsia" w:ascii="宋体" w:hAnsi="宋体"/>
                <w:color w:val="auto"/>
                <w:kern w:val="0"/>
                <w:szCs w:val="21"/>
                <w:highlight w:val="none"/>
              </w:rPr>
              <w:t>公示网站：</w:t>
            </w:r>
            <w:r>
              <w:rPr>
                <w:rFonts w:hint="eastAsia" w:ascii="宋体" w:hAnsi="宋体" w:cs="宋体"/>
                <w:color w:val="auto"/>
                <w:szCs w:val="21"/>
                <w:highlight w:val="none"/>
              </w:rPr>
              <w:t>福建省公共资源交易电子公共服务平台（网址：</w:t>
            </w:r>
            <w:r>
              <w:rPr>
                <w:color w:val="auto"/>
                <w:highlight w:val="none"/>
              </w:rPr>
              <w:fldChar w:fldCharType="begin"/>
            </w:r>
            <w:r>
              <w:rPr>
                <w:color w:val="auto"/>
                <w:highlight w:val="none"/>
              </w:rPr>
              <w:instrText xml:space="preserve"> HYPERLINK "http://www.fjbid.gov.cn）、电子招标投标交易平台" </w:instrText>
            </w:r>
            <w:r>
              <w:rPr>
                <w:color w:val="auto"/>
                <w:highlight w:val="none"/>
              </w:rPr>
              <w:fldChar w:fldCharType="separate"/>
            </w:r>
            <w:r>
              <w:rPr>
                <w:rFonts w:ascii="宋体" w:hAnsi="宋体"/>
                <w:color w:val="auto"/>
                <w:szCs w:val="21"/>
                <w:highlight w:val="none"/>
              </w:rPr>
              <w:t>ggzyfw.fj.gov.cn</w:t>
            </w:r>
            <w:r>
              <w:rPr>
                <w:rStyle w:val="51"/>
                <w:rFonts w:hint="eastAsia" w:ascii="宋体" w:hAnsi="宋体" w:cs="宋体"/>
                <w:color w:val="auto"/>
                <w:szCs w:val="21"/>
                <w:highlight w:val="none"/>
              </w:rPr>
              <w:t>）、电子招标投标交易平台</w:t>
            </w:r>
            <w:r>
              <w:rPr>
                <w:rStyle w:val="51"/>
                <w:rFonts w:hint="eastAsia" w:ascii="宋体" w:hAnsi="宋体" w:cs="宋体"/>
                <w:color w:val="auto"/>
                <w:szCs w:val="21"/>
                <w:highlight w:val="none"/>
              </w:rPr>
              <w:fldChar w:fldCharType="end"/>
            </w:r>
            <w:r>
              <w:rPr>
                <w:rFonts w:hint="eastAsia" w:ascii="宋体" w:hAnsi="宋体" w:cs="宋体"/>
                <w:color w:val="auto"/>
                <w:szCs w:val="21"/>
                <w:highlight w:val="none"/>
              </w:rPr>
              <w:t>（</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tc>
      </w:tr>
      <w:tr w14:paraId="066C8B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Merge w:val="restart"/>
            <w:vAlign w:val="center"/>
          </w:tcPr>
          <w:p w14:paraId="53A37EC2">
            <w:pPr>
              <w:pStyle w:val="42"/>
              <w:spacing w:line="360" w:lineRule="exact"/>
              <w:ind w:firstLine="0" w:firstLineChars="0"/>
              <w:jc w:val="center"/>
              <w:rPr>
                <w:rFonts w:hint="default" w:eastAsia="宋体"/>
                <w:color w:val="auto"/>
                <w:szCs w:val="21"/>
                <w:highlight w:val="none"/>
                <w:lang w:val="en-US" w:eastAsia="zh-CN"/>
              </w:rPr>
            </w:pPr>
            <w:r>
              <w:rPr>
                <w:rFonts w:hint="eastAsia"/>
                <w:color w:val="auto"/>
                <w:szCs w:val="21"/>
                <w:highlight w:val="none"/>
                <w:lang w:val="en-US" w:eastAsia="zh-CN"/>
              </w:rPr>
              <w:t>7.3</w:t>
            </w:r>
          </w:p>
        </w:tc>
        <w:tc>
          <w:tcPr>
            <w:tcW w:w="2880" w:type="dxa"/>
            <w:vAlign w:val="center"/>
          </w:tcPr>
          <w:p w14:paraId="0C42A924">
            <w:pPr>
              <w:pStyle w:val="116"/>
              <w:spacing w:before="120" w:beforeLines="50" w:line="300" w:lineRule="auto"/>
              <w:jc w:val="center"/>
              <w:rPr>
                <w:rFonts w:ascii="宋体" w:hAnsi="宋体"/>
                <w:color w:val="auto"/>
                <w:szCs w:val="21"/>
                <w:highlight w:val="none"/>
              </w:rPr>
            </w:pPr>
            <w:r>
              <w:rPr>
                <w:rFonts w:hint="eastAsia" w:ascii="宋体" w:hAnsi="宋体" w:cs="宋体"/>
                <w:color w:val="auto"/>
                <w:szCs w:val="21"/>
                <w:highlight w:val="none"/>
              </w:rPr>
              <w:t>定标方法</w:t>
            </w:r>
          </w:p>
        </w:tc>
        <w:tc>
          <w:tcPr>
            <w:tcW w:w="5718" w:type="dxa"/>
          </w:tcPr>
          <w:p w14:paraId="3237B629">
            <w:pPr>
              <w:spacing w:line="360" w:lineRule="exact"/>
              <w:jc w:val="left"/>
              <w:rPr>
                <w:rFonts w:ascii="宋体" w:hAnsi="宋体"/>
                <w:color w:val="auto"/>
                <w:szCs w:val="21"/>
                <w:highlight w:val="none"/>
              </w:rPr>
            </w:pPr>
            <w:r>
              <w:rPr>
                <w:rFonts w:hint="eastAsia" w:ascii="宋体" w:hAnsi="宋体"/>
                <w:color w:val="auto"/>
                <w:szCs w:val="21"/>
                <w:highlight w:val="none"/>
                <w:lang w:val="zh-CN" w:bidi="zh-CN"/>
              </w:rPr>
              <w:t xml:space="preserve">□ </w:t>
            </w:r>
            <w:r>
              <w:rPr>
                <w:rFonts w:hint="eastAsia" w:ascii="宋体" w:hAnsi="宋体"/>
                <w:color w:val="auto"/>
                <w:szCs w:val="21"/>
                <w:highlight w:val="none"/>
                <w:lang w:bidi="zh-CN"/>
              </w:rPr>
              <w:t>高分低价</w:t>
            </w:r>
            <w:r>
              <w:rPr>
                <w:rFonts w:hint="eastAsia" w:ascii="宋体" w:hAnsi="宋体"/>
                <w:color w:val="auto"/>
                <w:szCs w:val="21"/>
                <w:highlight w:val="none"/>
                <w:lang w:val="zh-CN" w:bidi="zh-CN"/>
              </w:rPr>
              <w:t>法</w:t>
            </w:r>
          </w:p>
          <w:p w14:paraId="36FE2781">
            <w:pPr>
              <w:spacing w:line="360" w:lineRule="exact"/>
              <w:jc w:val="left"/>
              <w:rPr>
                <w:rFonts w:ascii="宋体" w:hAnsi="宋体"/>
                <w:color w:val="auto"/>
                <w:szCs w:val="21"/>
                <w:highlight w:val="none"/>
              </w:rPr>
            </w:pPr>
            <w:r>
              <w:rPr>
                <w:rFonts w:hint="eastAsia" w:ascii="宋体" w:hAnsi="宋体"/>
                <w:color w:val="auto"/>
                <w:szCs w:val="21"/>
                <w:highlight w:val="none"/>
                <w:lang w:val="zh-CN" w:bidi="zh-CN"/>
              </w:rPr>
              <w:t xml:space="preserve">□ </w:t>
            </w:r>
            <w:r>
              <w:rPr>
                <w:rFonts w:hint="eastAsia" w:ascii="宋体" w:hAnsi="宋体"/>
                <w:color w:val="auto"/>
                <w:szCs w:val="21"/>
                <w:highlight w:val="none"/>
                <w:lang w:bidi="zh-CN"/>
              </w:rPr>
              <w:t>高分随机</w:t>
            </w:r>
            <w:r>
              <w:rPr>
                <w:rFonts w:hint="eastAsia" w:ascii="宋体" w:hAnsi="宋体"/>
                <w:color w:val="auto"/>
                <w:szCs w:val="21"/>
                <w:highlight w:val="none"/>
              </w:rPr>
              <w:t>法</w:t>
            </w:r>
          </w:p>
          <w:p w14:paraId="308D9156">
            <w:pPr>
              <w:pStyle w:val="116"/>
              <w:spacing w:before="120" w:beforeLines="50" w:line="300" w:lineRule="auto"/>
              <w:jc w:val="left"/>
              <w:rPr>
                <w:rFonts w:ascii="宋体" w:hAnsi="宋体"/>
                <w:color w:val="auto"/>
                <w:szCs w:val="21"/>
                <w:highlight w:val="none"/>
              </w:rPr>
            </w:pPr>
            <w:r>
              <w:rPr>
                <w:rFonts w:hint="eastAsia" w:ascii="宋体" w:hAnsi="宋体"/>
                <w:color w:val="auto"/>
                <w:szCs w:val="21"/>
                <w:highlight w:val="none"/>
                <w:lang w:val="zh-CN" w:bidi="zh-CN"/>
              </w:rPr>
              <w:sym w:font="Wingdings 2" w:char="00A3"/>
            </w:r>
            <w:r>
              <w:rPr>
                <w:rFonts w:hint="eastAsia" w:ascii="宋体" w:hAnsi="宋体"/>
                <w:color w:val="auto"/>
                <w:szCs w:val="21"/>
                <w:highlight w:val="none"/>
                <w:lang w:val="zh-CN" w:bidi="zh-CN"/>
              </w:rPr>
              <w:t xml:space="preserve"> </w:t>
            </w:r>
            <w:r>
              <w:rPr>
                <w:rFonts w:hint="eastAsia" w:ascii="宋体" w:hAnsi="宋体"/>
                <w:color w:val="auto"/>
                <w:szCs w:val="21"/>
                <w:highlight w:val="none"/>
                <w:lang w:bidi="zh-CN"/>
              </w:rPr>
              <w:t>低价随机</w:t>
            </w:r>
            <w:r>
              <w:rPr>
                <w:rFonts w:hint="eastAsia" w:ascii="宋体" w:hAnsi="宋体"/>
                <w:color w:val="auto"/>
                <w:szCs w:val="21"/>
                <w:highlight w:val="none"/>
              </w:rPr>
              <w:t>法</w:t>
            </w:r>
          </w:p>
          <w:p w14:paraId="7006333E">
            <w:pPr>
              <w:pStyle w:val="116"/>
              <w:spacing w:before="120" w:beforeLines="50" w:line="300" w:lineRule="auto"/>
              <w:jc w:val="left"/>
              <w:rPr>
                <w:rFonts w:ascii="宋体" w:hAnsi="宋体"/>
                <w:color w:val="auto"/>
                <w:szCs w:val="21"/>
                <w:highlight w:val="none"/>
              </w:rPr>
            </w:pPr>
            <w:r>
              <w:rPr>
                <w:rFonts w:hint="eastAsia" w:ascii="宋体" w:hAnsi="宋体"/>
                <w:color w:val="auto"/>
                <w:szCs w:val="21"/>
                <w:highlight w:val="none"/>
                <w:lang w:val="zh-CN" w:bidi="zh-CN"/>
              </w:rPr>
              <w:sym w:font="Wingdings 2" w:char="00A3"/>
            </w:r>
            <w:r>
              <w:rPr>
                <w:rFonts w:hint="eastAsia" w:cs="宋体"/>
                <w:color w:val="auto"/>
                <w:szCs w:val="21"/>
                <w:highlight w:val="none"/>
                <w:lang w:bidi="zh-CN"/>
              </w:rPr>
              <w:t>在“</w:t>
            </w:r>
            <w:r>
              <w:rPr>
                <w:rFonts w:hint="eastAsia" w:ascii="宋体" w:hAnsi="宋体" w:cs="宋体"/>
                <w:color w:val="auto"/>
                <w:szCs w:val="21"/>
                <w:highlight w:val="none"/>
              </w:rPr>
              <w:t>高分低价法</w:t>
            </w:r>
            <w:r>
              <w:rPr>
                <w:rFonts w:hint="eastAsia" w:cs="宋体"/>
                <w:color w:val="auto"/>
                <w:szCs w:val="21"/>
                <w:highlight w:val="none"/>
                <w:lang w:bidi="zh-CN"/>
              </w:rPr>
              <w:t>”、“</w:t>
            </w:r>
            <w:r>
              <w:rPr>
                <w:rFonts w:hint="eastAsia" w:ascii="宋体" w:hAnsi="宋体" w:cs="宋体"/>
                <w:color w:val="auto"/>
                <w:szCs w:val="21"/>
                <w:highlight w:val="none"/>
              </w:rPr>
              <w:t>高分随机法</w:t>
            </w:r>
            <w:r>
              <w:rPr>
                <w:rFonts w:hint="eastAsia" w:cs="宋体"/>
                <w:color w:val="auto"/>
                <w:szCs w:val="21"/>
                <w:highlight w:val="none"/>
                <w:lang w:bidi="zh-CN"/>
              </w:rPr>
              <w:t>”、“</w:t>
            </w:r>
            <w:r>
              <w:rPr>
                <w:rFonts w:hint="eastAsia" w:ascii="宋体" w:hAnsi="宋体" w:cs="宋体"/>
                <w:color w:val="auto"/>
                <w:szCs w:val="21"/>
                <w:highlight w:val="none"/>
              </w:rPr>
              <w:t>低价随机法</w:t>
            </w:r>
            <w:r>
              <w:rPr>
                <w:rFonts w:hint="eastAsia" w:cs="宋体"/>
                <w:color w:val="auto"/>
                <w:szCs w:val="21"/>
                <w:highlight w:val="none"/>
                <w:lang w:bidi="zh-CN"/>
              </w:rPr>
              <w:t>”</w:t>
            </w:r>
            <w:r>
              <w:rPr>
                <w:rFonts w:hint="eastAsia" w:cs="宋体"/>
                <w:color w:val="auto"/>
                <w:szCs w:val="21"/>
                <w:highlight w:val="none"/>
              </w:rPr>
              <w:t>中</w:t>
            </w:r>
            <w:r>
              <w:rPr>
                <w:rFonts w:hint="eastAsia" w:ascii="宋体" w:hAnsi="宋体" w:cs="宋体"/>
                <w:color w:val="auto"/>
                <w:szCs w:val="21"/>
                <w:highlight w:val="none"/>
              </w:rPr>
              <w:t>随机抽取</w:t>
            </w:r>
          </w:p>
        </w:tc>
      </w:tr>
      <w:tr w14:paraId="26A0BA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Merge w:val="continue"/>
            <w:vAlign w:val="center"/>
          </w:tcPr>
          <w:p w14:paraId="082D46CE">
            <w:pPr>
              <w:pStyle w:val="42"/>
              <w:spacing w:line="360" w:lineRule="exact"/>
              <w:ind w:firstLine="0" w:firstLineChars="0"/>
              <w:jc w:val="center"/>
              <w:rPr>
                <w:color w:val="auto"/>
                <w:szCs w:val="21"/>
                <w:highlight w:val="none"/>
              </w:rPr>
            </w:pPr>
          </w:p>
        </w:tc>
        <w:tc>
          <w:tcPr>
            <w:tcW w:w="2880" w:type="dxa"/>
            <w:vAlign w:val="center"/>
          </w:tcPr>
          <w:p w14:paraId="314DE1E1">
            <w:pPr>
              <w:pStyle w:val="116"/>
              <w:spacing w:before="120" w:beforeLines="50" w:line="300" w:lineRule="auto"/>
              <w:jc w:val="center"/>
              <w:rPr>
                <w:rFonts w:ascii="宋体" w:hAnsi="宋体" w:cs="宋体"/>
                <w:color w:val="auto"/>
                <w:szCs w:val="21"/>
                <w:highlight w:val="none"/>
              </w:rPr>
            </w:pPr>
            <w:r>
              <w:rPr>
                <w:rFonts w:hint="eastAsia" w:cs="宋体"/>
                <w:color w:val="auto"/>
                <w:kern w:val="1"/>
                <w:szCs w:val="21"/>
                <w:highlight w:val="none"/>
              </w:rPr>
              <w:t>总监理工程师答辩考核工作方案</w:t>
            </w:r>
          </w:p>
        </w:tc>
        <w:tc>
          <w:tcPr>
            <w:tcW w:w="5718" w:type="dxa"/>
          </w:tcPr>
          <w:p w14:paraId="7A3C1027">
            <w:pPr>
              <w:pStyle w:val="5"/>
              <w:widowControl/>
              <w:spacing w:line="300" w:lineRule="auto"/>
              <w:ind w:firstLine="499" w:firstLineChars="238"/>
              <w:rPr>
                <w:rFonts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定标方案明确要求总监理工程师答辩考核的，答辩考核工作方案具体内容如下，应参加答辩的投标人名称</w:t>
            </w:r>
            <w:r>
              <w:rPr>
                <w:rFonts w:hint="eastAsia" w:ascii="宋体" w:hAnsi="宋体" w:eastAsia="宋体" w:cs="宋体"/>
                <w:b/>
                <w:bCs/>
                <w:color w:val="auto"/>
                <w:kern w:val="0"/>
                <w:sz w:val="21"/>
                <w:szCs w:val="21"/>
                <w:highlight w:val="none"/>
              </w:rPr>
              <w:t>（所有确定入围的投标人均为参加答辩的通知范围）</w:t>
            </w:r>
            <w:r>
              <w:rPr>
                <w:rFonts w:hint="eastAsia" w:ascii="宋体" w:hAnsi="宋体" w:eastAsia="宋体" w:cs="宋体"/>
                <w:b w:val="0"/>
                <w:bCs w:val="0"/>
                <w:color w:val="auto"/>
                <w:kern w:val="0"/>
                <w:sz w:val="21"/>
                <w:szCs w:val="21"/>
                <w:highlight w:val="none"/>
              </w:rPr>
              <w:t>以及总监理工程师姓名、时间、地点由招标人另行通知：</w:t>
            </w:r>
          </w:p>
          <w:p w14:paraId="073C6C86">
            <w:pPr>
              <w:autoSpaceDE w:val="0"/>
              <w:autoSpaceDN w:val="0"/>
              <w:spacing w:line="300" w:lineRule="auto"/>
              <w:ind w:firstLine="420" w:firstLineChars="200"/>
              <w:jc w:val="left"/>
              <w:rPr>
                <w:rFonts w:ascii="宋体" w:hAnsi="宋体" w:cs="宋体"/>
                <w:color w:val="auto"/>
                <w:szCs w:val="21"/>
                <w:highlight w:val="none"/>
                <w:lang w:val="zh-CN" w:bidi="zh-CN"/>
              </w:rPr>
            </w:pPr>
            <w:r>
              <w:rPr>
                <w:rFonts w:hint="eastAsia" w:ascii="宋体" w:hAnsi="宋体" w:cs="宋体"/>
                <w:color w:val="auto"/>
                <w:szCs w:val="21"/>
                <w:highlight w:val="none"/>
                <w:lang w:val="zh-CN" w:bidi="zh-CN"/>
              </w:rPr>
              <w:t>一、总则</w:t>
            </w:r>
          </w:p>
          <w:p w14:paraId="13B8E913">
            <w:pPr>
              <w:autoSpaceDE w:val="0"/>
              <w:autoSpaceDN w:val="0"/>
              <w:spacing w:line="300" w:lineRule="auto"/>
              <w:ind w:firstLine="420" w:firstLineChars="200"/>
              <w:jc w:val="left"/>
              <w:rPr>
                <w:rFonts w:ascii="宋体" w:hAnsi="宋体" w:cs="宋体"/>
                <w:color w:val="auto"/>
                <w:szCs w:val="21"/>
                <w:highlight w:val="none"/>
                <w:lang w:val="zh-CN" w:bidi="zh-CN"/>
              </w:rPr>
            </w:pPr>
            <w:r>
              <w:rPr>
                <w:rFonts w:hint="eastAsia" w:ascii="宋体" w:hAnsi="宋体" w:cs="宋体"/>
                <w:color w:val="auto"/>
                <w:szCs w:val="21"/>
                <w:highlight w:val="none"/>
                <w:lang w:val="zh-CN" w:bidi="zh-CN"/>
              </w:rPr>
              <w:t>为确保</w:t>
            </w:r>
            <w:r>
              <w:rPr>
                <w:rFonts w:hint="eastAsia" w:ascii="宋体" w:hAnsi="宋体" w:cs="宋体"/>
                <w:color w:val="auto"/>
                <w:kern w:val="0"/>
                <w:szCs w:val="21"/>
                <w:highlight w:val="none"/>
              </w:rPr>
              <w:t>总监理工程师</w:t>
            </w:r>
            <w:r>
              <w:rPr>
                <w:rFonts w:hint="eastAsia" w:ascii="宋体" w:hAnsi="宋体" w:cs="宋体"/>
                <w:color w:val="auto"/>
                <w:szCs w:val="21"/>
                <w:highlight w:val="none"/>
                <w:lang w:val="zh-CN" w:bidi="zh-CN"/>
              </w:rPr>
              <w:t>答辩工作安排合理，工作人员分工明确，</w:t>
            </w:r>
            <w:r>
              <w:rPr>
                <w:rFonts w:hint="eastAsia" w:ascii="宋体" w:hAnsi="宋体" w:cs="宋体"/>
                <w:color w:val="auto"/>
                <w:szCs w:val="21"/>
                <w:highlight w:val="none"/>
                <w:lang w:bidi="zh-CN"/>
              </w:rPr>
              <w:t>有关</w:t>
            </w:r>
            <w:r>
              <w:rPr>
                <w:rFonts w:hint="eastAsia" w:ascii="宋体" w:hAnsi="宋体" w:cs="宋体"/>
                <w:color w:val="auto"/>
                <w:szCs w:val="21"/>
                <w:highlight w:val="none"/>
                <w:lang w:val="zh-CN" w:bidi="zh-CN"/>
              </w:rPr>
              <w:t>人员互不干扰串通，答辩评价结果客观公正，参加答辩的</w:t>
            </w:r>
            <w:r>
              <w:rPr>
                <w:rFonts w:hint="eastAsia" w:ascii="宋体" w:hAnsi="宋体" w:cs="宋体"/>
                <w:color w:val="auto"/>
                <w:szCs w:val="21"/>
                <w:highlight w:val="none"/>
              </w:rPr>
              <w:t>拟派本招标项目的总监理工程师</w:t>
            </w:r>
            <w:r>
              <w:rPr>
                <w:rFonts w:hint="eastAsia" w:ascii="宋体" w:hAnsi="宋体" w:cs="宋体"/>
                <w:color w:val="auto"/>
                <w:szCs w:val="21"/>
                <w:highlight w:val="none"/>
                <w:lang w:val="zh-CN" w:bidi="zh-CN"/>
              </w:rPr>
              <w:t>（以下简称答辩人员）应</w:t>
            </w:r>
            <w:r>
              <w:rPr>
                <w:rFonts w:hint="eastAsia" w:ascii="宋体" w:hAnsi="宋体" w:cs="宋体"/>
                <w:color w:val="auto"/>
                <w:szCs w:val="21"/>
                <w:highlight w:val="none"/>
                <w:lang w:bidi="zh-CN"/>
              </w:rPr>
              <w:t>按</w:t>
            </w:r>
            <w:r>
              <w:rPr>
                <w:rFonts w:hint="eastAsia" w:ascii="宋体" w:hAnsi="宋体" w:cs="宋体"/>
                <w:color w:val="auto"/>
                <w:szCs w:val="21"/>
                <w:highlight w:val="none"/>
                <w:lang w:val="zh-CN" w:bidi="zh-CN"/>
              </w:rPr>
              <w:t>要求做好准备工作，服从现场工作人员的安排。</w:t>
            </w:r>
          </w:p>
          <w:p w14:paraId="51ED3C79">
            <w:pPr>
              <w:autoSpaceDE w:val="0"/>
              <w:autoSpaceDN w:val="0"/>
              <w:spacing w:line="300" w:lineRule="auto"/>
              <w:ind w:firstLine="420" w:firstLineChars="200"/>
              <w:jc w:val="left"/>
              <w:rPr>
                <w:rFonts w:ascii="宋体" w:hAnsi="宋体" w:cs="宋体"/>
                <w:color w:val="auto"/>
                <w:szCs w:val="21"/>
                <w:highlight w:val="none"/>
                <w:lang w:val="zh-CN" w:bidi="zh-CN"/>
              </w:rPr>
            </w:pPr>
            <w:r>
              <w:rPr>
                <w:rFonts w:hint="eastAsia" w:ascii="宋体" w:hAnsi="宋体" w:cs="宋体"/>
                <w:color w:val="auto"/>
                <w:szCs w:val="21"/>
                <w:highlight w:val="none"/>
                <w:lang w:val="zh-CN" w:bidi="zh-CN"/>
              </w:rPr>
              <w:t>二、答辩人员</w:t>
            </w:r>
          </w:p>
          <w:p w14:paraId="439C5A60">
            <w:pPr>
              <w:autoSpaceDE w:val="0"/>
              <w:autoSpaceDN w:val="0"/>
              <w:spacing w:line="300" w:lineRule="auto"/>
              <w:ind w:firstLine="420" w:firstLineChars="200"/>
              <w:jc w:val="left"/>
              <w:rPr>
                <w:rFonts w:ascii="宋体" w:hAnsi="宋体" w:cs="宋体"/>
                <w:color w:val="auto"/>
                <w:szCs w:val="21"/>
                <w:highlight w:val="none"/>
                <w:lang w:val="zh-CN" w:bidi="zh-CN"/>
              </w:rPr>
            </w:pPr>
            <w:r>
              <w:rPr>
                <w:rFonts w:hint="eastAsia" w:ascii="宋体" w:hAnsi="宋体" w:cs="宋体"/>
                <w:color w:val="auto"/>
                <w:szCs w:val="21"/>
                <w:highlight w:val="none"/>
                <w:lang w:bidi="zh-CN"/>
              </w:rPr>
              <w:t>1.</w:t>
            </w:r>
            <w:r>
              <w:rPr>
                <w:rFonts w:hint="eastAsia" w:ascii="宋体" w:hAnsi="宋体" w:cs="宋体"/>
                <w:color w:val="auto"/>
                <w:szCs w:val="21"/>
                <w:highlight w:val="none"/>
                <w:lang w:val="zh-CN" w:bidi="zh-CN"/>
              </w:rPr>
              <w:t>答辩人员</w:t>
            </w:r>
            <w:r>
              <w:rPr>
                <w:rFonts w:hint="eastAsia" w:ascii="宋体" w:hAnsi="宋体" w:cs="宋体"/>
                <w:color w:val="auto"/>
                <w:szCs w:val="21"/>
                <w:highlight w:val="none"/>
                <w:lang w:bidi="zh-CN"/>
              </w:rPr>
              <w:t>必须为</w:t>
            </w:r>
            <w:r>
              <w:rPr>
                <w:rFonts w:hint="eastAsia" w:ascii="宋体" w:hAnsi="宋体" w:cs="宋体"/>
                <w:color w:val="auto"/>
                <w:szCs w:val="21"/>
                <w:highlight w:val="none"/>
                <w:lang w:val="zh-CN" w:bidi="zh-CN"/>
              </w:rPr>
              <w:t>投标文件中确定的</w:t>
            </w:r>
            <w:r>
              <w:rPr>
                <w:rFonts w:hint="eastAsia" w:ascii="宋体" w:hAnsi="宋体" w:cs="宋体"/>
                <w:color w:val="auto"/>
                <w:kern w:val="0"/>
                <w:szCs w:val="21"/>
                <w:highlight w:val="none"/>
              </w:rPr>
              <w:t>总监理工程师</w:t>
            </w:r>
            <w:r>
              <w:rPr>
                <w:rFonts w:hint="eastAsia" w:ascii="宋体" w:hAnsi="宋体" w:cs="宋体"/>
                <w:color w:val="auto"/>
                <w:szCs w:val="21"/>
                <w:highlight w:val="none"/>
                <w:lang w:val="zh-CN" w:bidi="zh-CN"/>
              </w:rPr>
              <w:t>，除此之外的其他人员不得作为答辩人员。</w:t>
            </w:r>
          </w:p>
          <w:p w14:paraId="659700EE">
            <w:pPr>
              <w:autoSpaceDE w:val="0"/>
              <w:autoSpaceDN w:val="0"/>
              <w:spacing w:line="300" w:lineRule="auto"/>
              <w:ind w:firstLine="420" w:firstLineChars="200"/>
              <w:jc w:val="both"/>
              <w:rPr>
                <w:rFonts w:ascii="宋体" w:hAnsi="宋体" w:cs="宋体"/>
                <w:color w:val="auto"/>
                <w:szCs w:val="21"/>
                <w:highlight w:val="none"/>
                <w:lang w:bidi="zh-CN"/>
              </w:rPr>
            </w:pPr>
            <w:r>
              <w:rPr>
                <w:rFonts w:hint="eastAsia" w:ascii="宋体" w:hAnsi="宋体" w:cs="宋体"/>
                <w:color w:val="auto"/>
                <w:szCs w:val="21"/>
                <w:highlight w:val="none"/>
                <w:lang w:bidi="zh-CN"/>
              </w:rPr>
              <w:t>2.</w:t>
            </w:r>
            <w:r>
              <w:rPr>
                <w:rFonts w:hint="eastAsia" w:ascii="宋体" w:hAnsi="宋体" w:cs="宋体"/>
                <w:color w:val="auto"/>
                <w:szCs w:val="21"/>
                <w:highlight w:val="none"/>
                <w:lang w:val="zh-CN" w:bidi="zh-CN"/>
              </w:rPr>
              <w:t>答辩人员应携带《答辩授权委托书》</w:t>
            </w:r>
            <w:r>
              <w:rPr>
                <w:rFonts w:hint="eastAsia" w:ascii="宋体" w:hAnsi="宋体" w:cs="宋体"/>
                <w:color w:val="auto"/>
                <w:szCs w:val="21"/>
                <w:highlight w:val="none"/>
                <w:lang w:bidi="zh-CN"/>
              </w:rPr>
              <w:t>原件</w:t>
            </w:r>
            <w:r>
              <w:rPr>
                <w:rFonts w:hint="eastAsia" w:ascii="宋体" w:hAnsi="宋体" w:cs="宋体"/>
                <w:color w:val="auto"/>
                <w:szCs w:val="21"/>
                <w:highlight w:val="none"/>
                <w:lang w:val="zh-CN" w:bidi="zh-CN"/>
              </w:rPr>
              <w:t>（具体格式详见附件）、</w:t>
            </w:r>
            <w:r>
              <w:rPr>
                <w:rFonts w:hint="eastAsia" w:ascii="宋体" w:hAnsi="宋体" w:cs="宋体"/>
                <w:color w:val="auto"/>
                <w:szCs w:val="21"/>
                <w:highlight w:val="none"/>
              </w:rPr>
              <w:t>本人《中华人民共和国居民身份证》原件和《中华人民共和国注册监理工程师注册执业证书》原件</w:t>
            </w:r>
            <w:r>
              <w:rPr>
                <w:rFonts w:hint="eastAsia" w:ascii="宋体" w:hAnsi="宋体" w:eastAsia="宋体" w:cs="宋体"/>
                <w:b w:val="0"/>
                <w:bCs w:val="0"/>
                <w:color w:val="auto"/>
                <w:sz w:val="21"/>
                <w:szCs w:val="21"/>
                <w:highlight w:val="none"/>
                <w:lang w:val="en-US" w:eastAsia="zh-CN"/>
              </w:rPr>
              <w:t>或《</w:t>
            </w:r>
            <w:r>
              <w:rPr>
                <w:rFonts w:hint="eastAsia"/>
                <w:color w:val="auto"/>
                <w:szCs w:val="21"/>
                <w:highlight w:val="none"/>
                <w:shd w:val="clear" w:color="auto" w:fill="auto"/>
              </w:rPr>
              <w:t>交通运输部</w:t>
            </w:r>
            <w:r>
              <w:rPr>
                <w:rFonts w:hint="eastAsia"/>
                <w:color w:val="auto"/>
                <w:szCs w:val="21"/>
                <w:highlight w:val="none"/>
                <w:shd w:val="clear" w:color="auto" w:fill="auto"/>
                <w:lang w:val="en-US" w:eastAsia="zh-CN"/>
              </w:rPr>
              <w:t>水运</w:t>
            </w:r>
            <w:r>
              <w:rPr>
                <w:rFonts w:hint="eastAsia"/>
                <w:color w:val="auto"/>
                <w:szCs w:val="21"/>
                <w:highlight w:val="none"/>
                <w:shd w:val="clear" w:color="auto" w:fill="auto"/>
              </w:rPr>
              <w:t>工程监理工程师</w:t>
            </w:r>
            <w:r>
              <w:rPr>
                <w:rFonts w:hint="eastAsia" w:ascii="宋体" w:hAnsi="宋体" w:eastAsia="宋体" w:cs="宋体"/>
                <w:b w:val="0"/>
                <w:bCs w:val="0"/>
                <w:color w:val="auto"/>
                <w:sz w:val="21"/>
                <w:szCs w:val="21"/>
                <w:highlight w:val="none"/>
                <w:lang w:val="en-US" w:eastAsia="zh-CN"/>
              </w:rPr>
              <w:t>》</w:t>
            </w:r>
            <w:r>
              <w:rPr>
                <w:rFonts w:hint="eastAsia" w:ascii="宋体" w:hAnsi="宋体" w:cs="宋体"/>
                <w:color w:val="auto"/>
                <w:szCs w:val="21"/>
                <w:highlight w:val="none"/>
              </w:rPr>
              <w:t>，以</w:t>
            </w:r>
            <w:r>
              <w:rPr>
                <w:rFonts w:hint="eastAsia" w:ascii="宋体" w:hAnsi="宋体" w:cs="宋体"/>
                <w:color w:val="auto"/>
                <w:szCs w:val="21"/>
                <w:highlight w:val="none"/>
                <w:lang w:val="zh-CN" w:bidi="zh-CN"/>
              </w:rPr>
              <w:t>及</w:t>
            </w:r>
            <w:r>
              <w:rPr>
                <w:rFonts w:hint="eastAsia" w:ascii="宋体" w:hAnsi="宋体" w:cs="宋体"/>
                <w:color w:val="auto"/>
                <w:szCs w:val="21"/>
                <w:highlight w:val="none"/>
              </w:rPr>
              <w:t>身份证</w:t>
            </w:r>
            <w:r>
              <w:rPr>
                <w:rFonts w:hint="eastAsia" w:ascii="宋体" w:hAnsi="宋体" w:cs="宋体"/>
                <w:color w:val="auto"/>
                <w:szCs w:val="21"/>
                <w:highlight w:val="none"/>
                <w:lang w:val="zh-CN" w:bidi="zh-CN"/>
              </w:rPr>
              <w:t>（正反两面）</w:t>
            </w:r>
            <w:r>
              <w:rPr>
                <w:rFonts w:hint="eastAsia" w:ascii="宋体" w:hAnsi="宋体" w:cs="宋体"/>
                <w:color w:val="auto"/>
                <w:szCs w:val="21"/>
                <w:highlight w:val="none"/>
              </w:rPr>
              <w:t>和注册执业证书</w:t>
            </w:r>
            <w:r>
              <w:rPr>
                <w:rFonts w:hint="eastAsia" w:ascii="宋体" w:hAnsi="宋体" w:cs="宋体"/>
                <w:color w:val="auto"/>
                <w:szCs w:val="21"/>
                <w:highlight w:val="none"/>
                <w:lang w:val="zh-CN" w:bidi="zh-CN"/>
              </w:rPr>
              <w:t>复印件加盖公章，在</w:t>
            </w:r>
            <w:r>
              <w:rPr>
                <w:rFonts w:hint="eastAsia" w:ascii="宋体" w:hAnsi="宋体" w:cs="宋体"/>
                <w:color w:val="auto"/>
                <w:szCs w:val="21"/>
                <w:highlight w:val="none"/>
                <w:lang w:bidi="zh-CN"/>
              </w:rPr>
              <w:t>招标人通知的时间和地点，准时</w:t>
            </w:r>
            <w:r>
              <w:rPr>
                <w:rFonts w:hint="eastAsia" w:ascii="宋体" w:hAnsi="宋体" w:cs="宋体"/>
                <w:color w:val="auto"/>
                <w:szCs w:val="21"/>
                <w:highlight w:val="none"/>
                <w:lang w:val="zh-CN" w:bidi="zh-CN"/>
              </w:rPr>
              <w:t>签到</w:t>
            </w:r>
            <w:r>
              <w:rPr>
                <w:rFonts w:hint="eastAsia" w:ascii="宋体" w:hAnsi="宋体" w:cs="宋体"/>
                <w:color w:val="auto"/>
                <w:szCs w:val="21"/>
                <w:highlight w:val="none"/>
                <w:lang w:bidi="zh-CN"/>
              </w:rPr>
              <w:t>并</w:t>
            </w:r>
            <w:r>
              <w:rPr>
                <w:rFonts w:hint="eastAsia" w:ascii="宋体" w:hAnsi="宋体" w:cs="宋体"/>
                <w:color w:val="auto"/>
                <w:szCs w:val="21"/>
                <w:highlight w:val="none"/>
                <w:lang w:val="zh-CN" w:bidi="zh-CN"/>
              </w:rPr>
              <w:t>向</w:t>
            </w:r>
            <w:r>
              <w:rPr>
                <w:rFonts w:hint="eastAsia" w:ascii="宋体" w:hAnsi="宋体" w:cs="宋体"/>
                <w:color w:val="auto"/>
                <w:szCs w:val="21"/>
                <w:highlight w:val="none"/>
                <w:lang w:bidi="zh-CN"/>
              </w:rPr>
              <w:t>工作人员</w:t>
            </w:r>
            <w:r>
              <w:rPr>
                <w:rFonts w:hint="eastAsia" w:ascii="宋体" w:hAnsi="宋体" w:cs="宋体"/>
                <w:color w:val="auto"/>
                <w:szCs w:val="21"/>
                <w:highlight w:val="none"/>
                <w:lang w:val="zh-CN" w:bidi="zh-CN"/>
              </w:rPr>
              <w:t>提交身份验证（验证时应摘除口罩），验证通过方可参加答辩，</w:t>
            </w:r>
            <w:r>
              <w:rPr>
                <w:rFonts w:hint="eastAsia" w:ascii="宋体" w:hAnsi="宋体" w:cs="宋体"/>
                <w:color w:val="auto"/>
                <w:szCs w:val="21"/>
                <w:highlight w:val="none"/>
                <w:lang w:bidi="zh-CN"/>
              </w:rPr>
              <w:t>未准时签到或验证不符合要求的，视为放弃答辩。</w:t>
            </w:r>
          </w:p>
          <w:p w14:paraId="6B6C6EF4">
            <w:pPr>
              <w:autoSpaceDE w:val="0"/>
              <w:autoSpaceDN w:val="0"/>
              <w:spacing w:line="300" w:lineRule="auto"/>
              <w:ind w:firstLine="420" w:firstLineChars="200"/>
              <w:jc w:val="left"/>
              <w:rPr>
                <w:rFonts w:ascii="宋体" w:hAnsi="宋体" w:cs="宋体"/>
                <w:color w:val="auto"/>
                <w:szCs w:val="21"/>
                <w:highlight w:val="none"/>
                <w:lang w:bidi="zh-CN"/>
              </w:rPr>
            </w:pPr>
            <w:r>
              <w:rPr>
                <w:rFonts w:hint="eastAsia" w:ascii="宋体" w:hAnsi="宋体" w:cs="宋体"/>
                <w:color w:val="auto"/>
                <w:szCs w:val="21"/>
                <w:highlight w:val="none"/>
                <w:lang w:bidi="zh-CN"/>
              </w:rPr>
              <w:t>3.答辩人员在答辩期间应全程携带工作牌。</w:t>
            </w:r>
          </w:p>
          <w:p w14:paraId="318E0306">
            <w:pPr>
              <w:autoSpaceDE w:val="0"/>
              <w:autoSpaceDN w:val="0"/>
              <w:spacing w:line="300" w:lineRule="auto"/>
              <w:ind w:firstLine="420" w:firstLineChars="200"/>
              <w:jc w:val="left"/>
              <w:rPr>
                <w:rFonts w:ascii="宋体" w:hAnsi="宋体" w:cs="宋体"/>
                <w:color w:val="auto"/>
                <w:szCs w:val="21"/>
                <w:highlight w:val="none"/>
                <w:lang w:val="zh-CN" w:bidi="zh-CN"/>
              </w:rPr>
            </w:pPr>
            <w:r>
              <w:rPr>
                <w:rFonts w:hint="eastAsia" w:ascii="宋体" w:hAnsi="宋体" w:cs="宋体"/>
                <w:color w:val="auto"/>
                <w:szCs w:val="21"/>
                <w:highlight w:val="none"/>
                <w:lang w:bidi="zh-CN"/>
              </w:rPr>
              <w:t>4.身份</w:t>
            </w:r>
            <w:r>
              <w:rPr>
                <w:rFonts w:hint="eastAsia" w:ascii="宋体" w:hAnsi="宋体" w:cs="宋体"/>
                <w:color w:val="auto"/>
                <w:szCs w:val="21"/>
                <w:highlight w:val="none"/>
                <w:lang w:val="zh-CN" w:bidi="zh-CN"/>
              </w:rPr>
              <w:t>验证后</w:t>
            </w:r>
            <w:r>
              <w:rPr>
                <w:rFonts w:hint="eastAsia" w:ascii="宋体" w:hAnsi="宋体" w:cs="宋体"/>
                <w:color w:val="auto"/>
                <w:szCs w:val="21"/>
                <w:highlight w:val="none"/>
                <w:lang w:bidi="zh-CN"/>
              </w:rPr>
              <w:t>工作人员</w:t>
            </w:r>
            <w:r>
              <w:rPr>
                <w:rFonts w:hint="eastAsia" w:ascii="宋体" w:hAnsi="宋体" w:cs="宋体"/>
                <w:color w:val="auto"/>
                <w:szCs w:val="21"/>
                <w:highlight w:val="none"/>
                <w:lang w:val="zh-CN" w:bidi="zh-CN"/>
              </w:rPr>
              <w:t>留存授权书、身份证</w:t>
            </w:r>
            <w:r>
              <w:rPr>
                <w:rFonts w:hint="eastAsia" w:ascii="宋体" w:hAnsi="宋体" w:cs="宋体"/>
                <w:color w:val="auto"/>
                <w:szCs w:val="21"/>
                <w:highlight w:val="none"/>
              </w:rPr>
              <w:t>和注册执业证书</w:t>
            </w:r>
            <w:r>
              <w:rPr>
                <w:rFonts w:hint="eastAsia" w:ascii="宋体" w:hAnsi="宋体" w:cs="宋体"/>
                <w:color w:val="auto"/>
                <w:szCs w:val="21"/>
                <w:highlight w:val="none"/>
                <w:lang w:val="zh-CN" w:bidi="zh-CN"/>
              </w:rPr>
              <w:t>复印件。</w:t>
            </w:r>
          </w:p>
          <w:p w14:paraId="688738DC">
            <w:pPr>
              <w:autoSpaceDE w:val="0"/>
              <w:autoSpaceDN w:val="0"/>
              <w:spacing w:line="300" w:lineRule="auto"/>
              <w:ind w:firstLine="420" w:firstLineChars="200"/>
              <w:jc w:val="left"/>
              <w:rPr>
                <w:rFonts w:ascii="宋体" w:hAnsi="宋体" w:cs="宋体"/>
                <w:color w:val="auto"/>
                <w:szCs w:val="21"/>
                <w:highlight w:val="none"/>
                <w:lang w:val="zh-CN" w:bidi="zh-CN"/>
              </w:rPr>
            </w:pPr>
            <w:r>
              <w:rPr>
                <w:rFonts w:hint="eastAsia" w:ascii="宋体" w:hAnsi="宋体" w:cs="宋体"/>
                <w:color w:val="auto"/>
                <w:szCs w:val="21"/>
                <w:highlight w:val="none"/>
                <w:lang w:val="zh-CN" w:bidi="zh-CN"/>
              </w:rPr>
              <w:t>三、答辩签到时间、地点</w:t>
            </w:r>
          </w:p>
          <w:p w14:paraId="2AD406E7">
            <w:pPr>
              <w:autoSpaceDE w:val="0"/>
              <w:autoSpaceDN w:val="0"/>
              <w:spacing w:line="300" w:lineRule="auto"/>
              <w:ind w:firstLine="420" w:firstLineChars="200"/>
              <w:jc w:val="left"/>
              <w:rPr>
                <w:rFonts w:ascii="宋体" w:hAnsi="宋体" w:cs="宋体"/>
                <w:color w:val="auto"/>
                <w:szCs w:val="21"/>
                <w:highlight w:val="none"/>
                <w:lang w:bidi="zh-CN"/>
              </w:rPr>
            </w:pPr>
            <w:r>
              <w:rPr>
                <w:rFonts w:hint="eastAsia" w:ascii="宋体" w:hAnsi="宋体" w:cs="宋体"/>
                <w:color w:val="auto"/>
                <w:szCs w:val="21"/>
                <w:highlight w:val="none"/>
                <w:lang w:bidi="zh-CN"/>
              </w:rPr>
              <w:t>1.</w:t>
            </w:r>
            <w:r>
              <w:rPr>
                <w:rFonts w:hint="eastAsia" w:ascii="宋体" w:hAnsi="宋体" w:cs="宋体"/>
                <w:color w:val="auto"/>
                <w:szCs w:val="21"/>
                <w:highlight w:val="none"/>
                <w:lang w:val="zh-CN" w:bidi="zh-CN"/>
              </w:rPr>
              <w:t>签到时间：</w:t>
            </w:r>
            <w:r>
              <w:rPr>
                <w:rFonts w:hint="eastAsia" w:ascii="宋体" w:hAnsi="宋体" w:cs="宋体"/>
                <w:color w:val="auto"/>
                <w:szCs w:val="21"/>
                <w:highlight w:val="none"/>
                <w:lang w:bidi="zh-CN"/>
              </w:rPr>
              <w:t>另行通知</w:t>
            </w:r>
          </w:p>
          <w:p w14:paraId="51CF1C98">
            <w:pPr>
              <w:autoSpaceDE w:val="0"/>
              <w:autoSpaceDN w:val="0"/>
              <w:spacing w:line="300" w:lineRule="auto"/>
              <w:ind w:firstLine="420" w:firstLineChars="200"/>
              <w:jc w:val="left"/>
              <w:rPr>
                <w:rFonts w:ascii="宋体" w:hAnsi="宋体" w:cs="宋体"/>
                <w:color w:val="auto"/>
                <w:szCs w:val="21"/>
                <w:highlight w:val="none"/>
                <w:lang w:val="zh-CN" w:bidi="zh-CN"/>
              </w:rPr>
            </w:pPr>
            <w:r>
              <w:rPr>
                <w:rFonts w:hint="eastAsia" w:ascii="宋体" w:hAnsi="宋体" w:cs="宋体"/>
                <w:color w:val="auto"/>
                <w:szCs w:val="21"/>
                <w:highlight w:val="none"/>
                <w:lang w:bidi="zh-CN"/>
              </w:rPr>
              <w:t>2.签到</w:t>
            </w:r>
            <w:r>
              <w:rPr>
                <w:rFonts w:hint="eastAsia" w:ascii="宋体" w:hAnsi="宋体" w:cs="宋体"/>
                <w:color w:val="auto"/>
                <w:szCs w:val="21"/>
                <w:highlight w:val="none"/>
                <w:lang w:val="zh-CN" w:bidi="zh-CN"/>
              </w:rPr>
              <w:t>地点：</w:t>
            </w:r>
            <w:r>
              <w:rPr>
                <w:rFonts w:hint="eastAsia" w:ascii="宋体" w:hAnsi="宋体" w:cs="宋体"/>
                <w:color w:val="auto"/>
                <w:szCs w:val="21"/>
                <w:highlight w:val="none"/>
                <w:lang w:bidi="zh-CN"/>
              </w:rPr>
              <w:t>另行通知，</w:t>
            </w:r>
            <w:r>
              <w:rPr>
                <w:rFonts w:hint="eastAsia" w:ascii="宋体" w:hAnsi="宋体" w:cs="宋体"/>
                <w:color w:val="auto"/>
                <w:szCs w:val="21"/>
                <w:highlight w:val="none"/>
                <w:lang w:val="zh-CN" w:bidi="zh-CN"/>
              </w:rPr>
              <w:t>签到地点即为候辩室。</w:t>
            </w:r>
          </w:p>
          <w:p w14:paraId="18FC36CD">
            <w:pPr>
              <w:autoSpaceDE w:val="0"/>
              <w:autoSpaceDN w:val="0"/>
              <w:spacing w:line="300" w:lineRule="auto"/>
              <w:ind w:firstLine="420" w:firstLineChars="200"/>
              <w:jc w:val="left"/>
              <w:rPr>
                <w:rFonts w:ascii="宋体" w:hAnsi="宋体" w:cs="宋体"/>
                <w:color w:val="auto"/>
                <w:szCs w:val="21"/>
                <w:highlight w:val="none"/>
                <w:lang w:val="zh-CN" w:bidi="zh-CN"/>
              </w:rPr>
            </w:pPr>
            <w:r>
              <w:rPr>
                <w:rFonts w:hint="eastAsia" w:ascii="宋体" w:hAnsi="宋体" w:cs="宋体"/>
                <w:color w:val="auto"/>
                <w:szCs w:val="21"/>
                <w:highlight w:val="none"/>
                <w:lang w:val="zh-CN" w:bidi="zh-CN"/>
              </w:rPr>
              <w:t>四、答辩方式</w:t>
            </w:r>
          </w:p>
          <w:p w14:paraId="5B0C0C1D">
            <w:pPr>
              <w:autoSpaceDE w:val="0"/>
              <w:autoSpaceDN w:val="0"/>
              <w:spacing w:line="300" w:lineRule="auto"/>
              <w:ind w:firstLine="420" w:firstLineChars="200"/>
              <w:jc w:val="left"/>
              <w:rPr>
                <w:rFonts w:ascii="宋体" w:hAnsi="宋体" w:cs="宋体"/>
                <w:color w:val="auto"/>
                <w:szCs w:val="21"/>
                <w:highlight w:val="none"/>
                <w:lang w:val="zh-CN" w:bidi="zh-CN"/>
              </w:rPr>
            </w:pPr>
            <w:r>
              <w:rPr>
                <w:rFonts w:hint="eastAsia" w:ascii="宋体" w:hAnsi="宋体" w:cs="宋体"/>
                <w:color w:val="auto"/>
                <w:kern w:val="0"/>
                <w:szCs w:val="21"/>
                <w:highlight w:val="none"/>
              </w:rPr>
              <w:t>使用厦门市建设工程电子招投标交易平台电子答辩系统完成总监理工程师答辩</w:t>
            </w:r>
            <w:r>
              <w:rPr>
                <w:rFonts w:hint="eastAsia" w:ascii="宋体" w:hAnsi="宋体" w:cs="宋体"/>
                <w:color w:val="auto"/>
                <w:szCs w:val="21"/>
                <w:highlight w:val="none"/>
                <w:lang w:val="zh-CN" w:bidi="zh-CN"/>
              </w:rPr>
              <w:t>。</w:t>
            </w:r>
            <w:r>
              <w:rPr>
                <w:rFonts w:hint="eastAsia" w:cs="宋体"/>
                <w:color w:val="auto"/>
                <w:szCs w:val="21"/>
                <w:highlight w:val="none"/>
                <w:lang w:bidi="zh-CN"/>
              </w:rPr>
              <w:t>答辩人员不得以任何形式向定标委员会透露姓名以及所属投标人名称，否则答辩不得分。</w:t>
            </w:r>
          </w:p>
          <w:p w14:paraId="29146969">
            <w:pPr>
              <w:autoSpaceDE w:val="0"/>
              <w:autoSpaceDN w:val="0"/>
              <w:spacing w:line="300" w:lineRule="auto"/>
              <w:ind w:firstLine="420" w:firstLineChars="200"/>
              <w:jc w:val="left"/>
              <w:rPr>
                <w:rFonts w:ascii="宋体" w:hAnsi="宋体" w:cs="宋体"/>
                <w:color w:val="auto"/>
                <w:szCs w:val="21"/>
                <w:highlight w:val="none"/>
                <w:lang w:val="zh-CN" w:bidi="zh-CN"/>
              </w:rPr>
            </w:pPr>
            <w:r>
              <w:rPr>
                <w:rFonts w:hint="eastAsia" w:ascii="宋体" w:hAnsi="宋体" w:cs="宋体"/>
                <w:color w:val="auto"/>
                <w:szCs w:val="21"/>
                <w:highlight w:val="none"/>
                <w:lang w:val="zh-CN" w:bidi="zh-CN"/>
              </w:rPr>
              <w:t>五、答辩</w:t>
            </w:r>
            <w:r>
              <w:rPr>
                <w:rFonts w:hint="eastAsia" w:ascii="宋体" w:hAnsi="宋体" w:cs="宋体"/>
                <w:color w:val="auto"/>
                <w:szCs w:val="21"/>
                <w:highlight w:val="none"/>
                <w:lang w:bidi="zh-CN"/>
              </w:rPr>
              <w:t>控制</w:t>
            </w:r>
            <w:r>
              <w:rPr>
                <w:rFonts w:hint="eastAsia" w:ascii="宋体" w:hAnsi="宋体" w:cs="宋体"/>
                <w:color w:val="auto"/>
                <w:szCs w:val="21"/>
                <w:highlight w:val="none"/>
                <w:lang w:val="zh-CN" w:bidi="zh-CN"/>
              </w:rPr>
              <w:t>时间</w:t>
            </w:r>
          </w:p>
          <w:p w14:paraId="391DB43F">
            <w:pPr>
              <w:autoSpaceDE w:val="0"/>
              <w:autoSpaceDN w:val="0"/>
              <w:spacing w:line="300" w:lineRule="auto"/>
              <w:ind w:firstLine="420" w:firstLineChars="200"/>
              <w:jc w:val="left"/>
              <w:rPr>
                <w:rFonts w:ascii="宋体" w:hAnsi="宋体" w:cs="宋体"/>
                <w:color w:val="auto"/>
                <w:szCs w:val="21"/>
                <w:highlight w:val="none"/>
                <w:lang w:val="zh-CN" w:bidi="zh-CN"/>
              </w:rPr>
            </w:pPr>
            <w:r>
              <w:rPr>
                <w:rFonts w:hint="eastAsia" w:ascii="宋体" w:hAnsi="宋体" w:cs="宋体"/>
                <w:color w:val="auto"/>
                <w:szCs w:val="21"/>
                <w:highlight w:val="none"/>
                <w:lang w:val="zh-CN" w:bidi="zh-CN"/>
              </w:rPr>
              <w:t>答辩时间</w:t>
            </w:r>
            <w:r>
              <w:rPr>
                <w:rFonts w:hint="eastAsia" w:ascii="宋体" w:hAnsi="宋体" w:cs="宋体"/>
                <w:color w:val="auto"/>
                <w:szCs w:val="21"/>
                <w:highlight w:val="none"/>
                <w:lang w:bidi="zh-CN"/>
              </w:rPr>
              <w:t>见第四章定标方案-定标方案前附表第2项规定</w:t>
            </w:r>
            <w:r>
              <w:rPr>
                <w:rFonts w:hint="eastAsia" w:ascii="宋体" w:hAnsi="宋体" w:cs="宋体"/>
                <w:color w:val="auto"/>
                <w:szCs w:val="21"/>
                <w:highlight w:val="none"/>
                <w:lang w:val="zh-CN" w:bidi="zh-CN"/>
              </w:rPr>
              <w:t>。</w:t>
            </w:r>
          </w:p>
          <w:p w14:paraId="2441BA11">
            <w:pPr>
              <w:autoSpaceDE w:val="0"/>
              <w:autoSpaceDN w:val="0"/>
              <w:spacing w:line="300" w:lineRule="auto"/>
              <w:ind w:firstLine="420" w:firstLineChars="200"/>
              <w:jc w:val="left"/>
              <w:rPr>
                <w:rFonts w:ascii="宋体" w:hAnsi="宋体" w:cs="宋体"/>
                <w:color w:val="auto"/>
                <w:szCs w:val="21"/>
                <w:highlight w:val="none"/>
                <w:lang w:val="zh-CN" w:bidi="zh-CN"/>
              </w:rPr>
            </w:pPr>
            <w:r>
              <w:rPr>
                <w:rFonts w:hint="eastAsia" w:ascii="宋体" w:hAnsi="宋体" w:cs="宋体"/>
                <w:color w:val="auto"/>
                <w:szCs w:val="21"/>
                <w:highlight w:val="none"/>
                <w:lang w:val="zh-CN" w:bidi="zh-CN"/>
              </w:rPr>
              <w:t>六、答辩流程</w:t>
            </w:r>
          </w:p>
          <w:p w14:paraId="713216CD">
            <w:pPr>
              <w:autoSpaceDE w:val="0"/>
              <w:autoSpaceDN w:val="0"/>
              <w:spacing w:line="300" w:lineRule="auto"/>
              <w:ind w:firstLine="420" w:firstLineChars="200"/>
              <w:jc w:val="left"/>
              <w:rPr>
                <w:rFonts w:ascii="宋体" w:hAnsi="宋体" w:cs="宋体"/>
                <w:color w:val="auto"/>
                <w:szCs w:val="21"/>
                <w:highlight w:val="none"/>
                <w:lang w:val="zh-CN" w:bidi="zh-CN"/>
              </w:rPr>
            </w:pPr>
            <w:r>
              <w:rPr>
                <w:rFonts w:hint="eastAsia" w:ascii="宋体" w:hAnsi="宋体" w:cs="宋体"/>
                <w:color w:val="auto"/>
                <w:szCs w:val="21"/>
                <w:highlight w:val="none"/>
                <w:lang w:bidi="zh-CN"/>
              </w:rPr>
              <w:t>1</w:t>
            </w:r>
            <w:r>
              <w:rPr>
                <w:rFonts w:hint="eastAsia" w:ascii="宋体" w:hAnsi="宋体" w:cs="宋体"/>
                <w:color w:val="auto"/>
                <w:szCs w:val="21"/>
                <w:highlight w:val="none"/>
                <w:lang w:val="zh-CN" w:bidi="zh-CN"/>
              </w:rPr>
              <w:t>.</w:t>
            </w:r>
            <w:r>
              <w:rPr>
                <w:rFonts w:hint="eastAsia" w:ascii="宋体" w:hAnsi="宋体" w:cs="宋体"/>
                <w:color w:val="auto"/>
                <w:szCs w:val="21"/>
                <w:highlight w:val="none"/>
                <w:lang w:bidi="zh-CN"/>
              </w:rPr>
              <w:t>工作人员应宣读答辩纪律。</w:t>
            </w:r>
            <w:r>
              <w:rPr>
                <w:rFonts w:hint="eastAsia" w:ascii="宋体" w:hAnsi="宋体" w:cs="宋体"/>
                <w:color w:val="auto"/>
                <w:szCs w:val="21"/>
                <w:highlight w:val="none"/>
                <w:lang w:val="zh-CN" w:bidi="zh-CN"/>
              </w:rPr>
              <w:t>答辩人员应根据工作人员的安排，寄存个人物品中所有电子</w:t>
            </w:r>
            <w:r>
              <w:rPr>
                <w:rFonts w:hint="eastAsia" w:ascii="宋体" w:hAnsi="宋体" w:cs="宋体"/>
                <w:color w:val="auto"/>
                <w:szCs w:val="21"/>
                <w:highlight w:val="none"/>
                <w:lang w:bidi="zh-CN"/>
              </w:rPr>
              <w:t>设备、纸质材料及其他可能影响答辩的物品，</w:t>
            </w:r>
            <w:r>
              <w:rPr>
                <w:rFonts w:hint="eastAsia" w:ascii="宋体" w:hAnsi="宋体" w:cs="宋体"/>
                <w:color w:val="auto"/>
                <w:szCs w:val="21"/>
                <w:highlight w:val="none"/>
                <w:lang w:val="zh-CN" w:bidi="zh-CN"/>
              </w:rPr>
              <w:t>且不能随意到处走动。</w:t>
            </w:r>
          </w:p>
          <w:p w14:paraId="15243FAC">
            <w:pPr>
              <w:pStyle w:val="2"/>
              <w:spacing w:line="300" w:lineRule="auto"/>
              <w:ind w:firstLine="420" w:firstLineChars="200"/>
              <w:rPr>
                <w:rFonts w:ascii="宋体" w:hAnsi="宋体" w:eastAsia="宋体" w:cs="宋体"/>
                <w:color w:val="auto"/>
                <w:highlight w:val="none"/>
                <w:lang w:val="zh-CN"/>
              </w:rPr>
            </w:pPr>
            <w:r>
              <w:rPr>
                <w:rFonts w:hint="eastAsia" w:ascii="宋体" w:hAnsi="宋体" w:eastAsia="宋体" w:cs="宋体"/>
                <w:color w:val="auto"/>
                <w:szCs w:val="21"/>
                <w:highlight w:val="none"/>
              </w:rPr>
              <w:t>2.答辩</w:t>
            </w:r>
            <w:r>
              <w:rPr>
                <w:rFonts w:hint="eastAsia" w:ascii="宋体" w:hAnsi="宋体" w:eastAsia="宋体" w:cs="宋体"/>
                <w:color w:val="auto"/>
                <w:kern w:val="1"/>
                <w:szCs w:val="21"/>
                <w:highlight w:val="none"/>
              </w:rPr>
              <w:t>人员</w:t>
            </w:r>
            <w:r>
              <w:rPr>
                <w:rFonts w:hint="eastAsia" w:ascii="宋体" w:hAnsi="宋体" w:eastAsia="宋体" w:cs="宋体"/>
                <w:color w:val="auto"/>
                <w:szCs w:val="21"/>
                <w:highlight w:val="none"/>
              </w:rPr>
              <w:t>应在定标委员会选取答辩题之前，经招标人或招标代理工作人员身份核验后进入指定答辩室，答辩</w:t>
            </w:r>
            <w:r>
              <w:rPr>
                <w:rFonts w:hint="eastAsia" w:ascii="宋体" w:hAnsi="宋体" w:eastAsia="宋体" w:cs="宋体"/>
                <w:color w:val="auto"/>
                <w:kern w:val="1"/>
                <w:szCs w:val="21"/>
                <w:highlight w:val="none"/>
              </w:rPr>
              <w:t>人员</w:t>
            </w:r>
            <w:r>
              <w:rPr>
                <w:rFonts w:hint="eastAsia" w:ascii="宋体" w:hAnsi="宋体" w:eastAsia="宋体" w:cs="宋体"/>
                <w:color w:val="auto"/>
                <w:szCs w:val="21"/>
                <w:highlight w:val="none"/>
              </w:rPr>
              <w:t>在答辩时间截止之前不得离开答辩室。</w:t>
            </w:r>
          </w:p>
          <w:p w14:paraId="54F4E15A">
            <w:pPr>
              <w:autoSpaceDE w:val="0"/>
              <w:autoSpaceDN w:val="0"/>
              <w:spacing w:line="300" w:lineRule="auto"/>
              <w:ind w:firstLine="420" w:firstLineChars="200"/>
              <w:jc w:val="left"/>
              <w:rPr>
                <w:rFonts w:ascii="宋体" w:hAnsi="宋体" w:cs="宋体"/>
                <w:color w:val="auto"/>
                <w:szCs w:val="21"/>
                <w:highlight w:val="none"/>
                <w:lang w:val="zh-CN" w:bidi="zh-CN"/>
              </w:rPr>
            </w:pPr>
            <w:r>
              <w:rPr>
                <w:rFonts w:hint="eastAsia" w:ascii="宋体" w:hAnsi="宋体" w:cs="宋体"/>
                <w:color w:val="auto"/>
                <w:szCs w:val="21"/>
                <w:highlight w:val="none"/>
                <w:lang w:bidi="zh-CN"/>
              </w:rPr>
              <w:t>3.</w:t>
            </w:r>
            <w:r>
              <w:rPr>
                <w:rFonts w:hint="eastAsia" w:ascii="宋体" w:hAnsi="宋体" w:cs="宋体"/>
                <w:color w:val="auto"/>
                <w:szCs w:val="21"/>
                <w:highlight w:val="none"/>
                <w:lang w:val="zh-CN" w:bidi="zh-CN"/>
              </w:rPr>
              <w:t>候辩期间如需用餐，由工作人员统一订餐，用餐地点为候辩室。</w:t>
            </w:r>
          </w:p>
          <w:p w14:paraId="5E77FCBB">
            <w:pPr>
              <w:autoSpaceDE w:val="0"/>
              <w:autoSpaceDN w:val="0"/>
              <w:spacing w:line="300" w:lineRule="auto"/>
              <w:ind w:firstLine="420" w:firstLineChars="200"/>
              <w:jc w:val="left"/>
              <w:rPr>
                <w:rFonts w:ascii="宋体" w:hAnsi="宋体" w:cs="宋体"/>
                <w:color w:val="auto"/>
                <w:szCs w:val="21"/>
                <w:highlight w:val="none"/>
                <w:lang w:val="zh-CN" w:bidi="zh-CN"/>
              </w:rPr>
            </w:pPr>
            <w:r>
              <w:rPr>
                <w:rFonts w:hint="eastAsia" w:ascii="宋体" w:hAnsi="宋体" w:cs="宋体"/>
                <w:color w:val="auto"/>
                <w:szCs w:val="21"/>
                <w:highlight w:val="none"/>
                <w:lang w:bidi="zh-CN"/>
              </w:rPr>
              <w:t>4.</w:t>
            </w:r>
            <w:r>
              <w:rPr>
                <w:rFonts w:hint="eastAsia" w:ascii="宋体" w:hAnsi="宋体" w:cs="宋体"/>
                <w:color w:val="auto"/>
                <w:szCs w:val="21"/>
                <w:highlight w:val="none"/>
                <w:lang w:val="zh-CN" w:bidi="zh-CN"/>
              </w:rPr>
              <w:t>答辩人员候辩期间如需使用卫生间，</w:t>
            </w:r>
            <w:r>
              <w:rPr>
                <w:rFonts w:hint="eastAsia" w:ascii="宋体" w:hAnsi="宋体" w:cs="宋体"/>
                <w:color w:val="auto"/>
                <w:szCs w:val="21"/>
                <w:highlight w:val="none"/>
                <w:lang w:bidi="zh-CN"/>
              </w:rPr>
              <w:t>应</w:t>
            </w:r>
            <w:r>
              <w:rPr>
                <w:rFonts w:hint="eastAsia" w:ascii="宋体" w:hAnsi="宋体" w:cs="宋体"/>
                <w:color w:val="auto"/>
                <w:szCs w:val="21"/>
                <w:highlight w:val="none"/>
                <w:lang w:val="zh-CN" w:bidi="zh-CN"/>
              </w:rPr>
              <w:t>由工作人员陪同，</w:t>
            </w:r>
            <w:r>
              <w:rPr>
                <w:rFonts w:hint="eastAsia" w:ascii="宋体" w:hAnsi="宋体" w:cs="宋体"/>
                <w:color w:val="auto"/>
                <w:szCs w:val="21"/>
                <w:highlight w:val="none"/>
                <w:lang w:bidi="zh-CN"/>
              </w:rPr>
              <w:t>不得</w:t>
            </w:r>
            <w:r>
              <w:rPr>
                <w:rFonts w:hint="eastAsia" w:ascii="宋体" w:hAnsi="宋体" w:cs="宋体"/>
                <w:color w:val="auto"/>
                <w:szCs w:val="21"/>
                <w:highlight w:val="none"/>
                <w:lang w:val="zh-CN" w:bidi="zh-CN"/>
              </w:rPr>
              <w:t>接触其他人员。</w:t>
            </w:r>
          </w:p>
          <w:p w14:paraId="7B3C3201">
            <w:pPr>
              <w:autoSpaceDE w:val="0"/>
              <w:autoSpaceDN w:val="0"/>
              <w:spacing w:line="300" w:lineRule="auto"/>
              <w:ind w:firstLine="420" w:firstLineChars="200"/>
              <w:jc w:val="left"/>
              <w:rPr>
                <w:rFonts w:ascii="宋体" w:hAnsi="宋体" w:cs="宋体"/>
                <w:color w:val="auto"/>
                <w:szCs w:val="21"/>
                <w:highlight w:val="none"/>
                <w:lang w:val="zh-CN" w:bidi="zh-CN"/>
              </w:rPr>
            </w:pPr>
            <w:r>
              <w:rPr>
                <w:rFonts w:hint="eastAsia" w:ascii="宋体" w:hAnsi="宋体" w:cs="宋体"/>
                <w:color w:val="auto"/>
                <w:szCs w:val="21"/>
                <w:highlight w:val="none"/>
                <w:lang w:bidi="zh-CN"/>
              </w:rPr>
              <w:t>5.</w:t>
            </w:r>
            <w:r>
              <w:rPr>
                <w:rFonts w:hint="eastAsia" w:ascii="宋体" w:hAnsi="宋体" w:cs="宋体"/>
                <w:color w:val="auto"/>
                <w:szCs w:val="21"/>
                <w:highlight w:val="none"/>
                <w:lang w:val="zh-CN" w:bidi="zh-CN"/>
              </w:rPr>
              <w:t>答辩结束后，答辩人员不再进入候辩室，应领取个人物品后在工作人员监督下迅速离开市公共资源交易中心。</w:t>
            </w:r>
          </w:p>
          <w:p w14:paraId="63118AC2">
            <w:pPr>
              <w:autoSpaceDE w:val="0"/>
              <w:autoSpaceDN w:val="0"/>
              <w:spacing w:line="300" w:lineRule="auto"/>
              <w:ind w:firstLine="420" w:firstLineChars="200"/>
              <w:jc w:val="left"/>
              <w:rPr>
                <w:rFonts w:ascii="宋体" w:hAnsi="宋体" w:cs="宋体"/>
                <w:color w:val="auto"/>
                <w:szCs w:val="21"/>
                <w:highlight w:val="none"/>
                <w:lang w:val="zh-CN" w:bidi="zh-CN"/>
              </w:rPr>
            </w:pPr>
          </w:p>
          <w:p w14:paraId="7ED658A5">
            <w:pPr>
              <w:autoSpaceDE w:val="0"/>
              <w:autoSpaceDN w:val="0"/>
              <w:spacing w:line="300" w:lineRule="auto"/>
              <w:jc w:val="left"/>
              <w:rPr>
                <w:rFonts w:ascii="宋体" w:hAnsi="宋体" w:cs="宋体"/>
                <w:color w:val="auto"/>
                <w:szCs w:val="21"/>
                <w:highlight w:val="none"/>
                <w:lang w:val="zh-CN" w:bidi="zh-CN"/>
              </w:rPr>
            </w:pPr>
            <w:r>
              <w:rPr>
                <w:rFonts w:hint="eastAsia" w:ascii="宋体" w:hAnsi="宋体" w:cs="宋体"/>
                <w:color w:val="auto"/>
                <w:szCs w:val="21"/>
                <w:highlight w:val="none"/>
                <w:lang w:val="zh-CN" w:bidi="zh-CN"/>
              </w:rPr>
              <w:t>附件：</w:t>
            </w:r>
          </w:p>
          <w:p w14:paraId="71892CC0">
            <w:pPr>
              <w:autoSpaceDE w:val="0"/>
              <w:autoSpaceDN w:val="0"/>
              <w:spacing w:line="300" w:lineRule="auto"/>
              <w:ind w:firstLine="420" w:firstLineChars="200"/>
              <w:jc w:val="left"/>
              <w:rPr>
                <w:rFonts w:ascii="宋体" w:hAnsi="宋体" w:cs="宋体"/>
                <w:color w:val="auto"/>
                <w:szCs w:val="21"/>
                <w:highlight w:val="none"/>
                <w:lang w:val="zh-CN" w:bidi="zh-CN"/>
              </w:rPr>
            </w:pPr>
          </w:p>
          <w:p w14:paraId="33050E53">
            <w:pPr>
              <w:autoSpaceDE w:val="0"/>
              <w:autoSpaceDN w:val="0"/>
              <w:spacing w:line="300" w:lineRule="auto"/>
              <w:jc w:val="center"/>
              <w:rPr>
                <w:rFonts w:ascii="宋体" w:hAnsi="宋体" w:cs="宋体"/>
                <w:color w:val="auto"/>
                <w:szCs w:val="21"/>
                <w:highlight w:val="none"/>
                <w:lang w:val="zh-CN" w:bidi="zh-CN"/>
              </w:rPr>
            </w:pPr>
            <w:r>
              <w:rPr>
                <w:rFonts w:hint="eastAsia" w:ascii="宋体" w:hAnsi="宋体" w:cs="宋体"/>
                <w:color w:val="auto"/>
                <w:szCs w:val="21"/>
                <w:highlight w:val="none"/>
                <w:lang w:val="zh-CN" w:bidi="zh-CN"/>
              </w:rPr>
              <w:t>答辩授权委托书</w:t>
            </w:r>
          </w:p>
          <w:p w14:paraId="5625F70B">
            <w:pPr>
              <w:autoSpaceDE w:val="0"/>
              <w:autoSpaceDN w:val="0"/>
              <w:spacing w:line="300" w:lineRule="auto"/>
              <w:jc w:val="left"/>
              <w:rPr>
                <w:rFonts w:ascii="宋体" w:hAnsi="宋体" w:cs="宋体"/>
                <w:color w:val="auto"/>
                <w:szCs w:val="21"/>
                <w:highlight w:val="none"/>
                <w:lang w:val="zh-CN" w:bidi="zh-CN"/>
              </w:rPr>
            </w:pPr>
            <w:r>
              <w:rPr>
                <w:rFonts w:hint="eastAsia" w:cs="宋体"/>
                <w:color w:val="auto"/>
                <w:szCs w:val="21"/>
                <w:highlight w:val="none"/>
                <w:u w:val="single"/>
                <w:lang w:bidi="zh-CN"/>
              </w:rPr>
              <w:t xml:space="preserve">                 </w:t>
            </w:r>
            <w:r>
              <w:rPr>
                <w:rFonts w:hint="eastAsia" w:cs="宋体"/>
                <w:color w:val="auto"/>
                <w:szCs w:val="21"/>
                <w:highlight w:val="none"/>
                <w:lang w:bidi="zh-CN"/>
              </w:rPr>
              <w:t>（招标人名称）</w:t>
            </w:r>
            <w:r>
              <w:rPr>
                <w:rFonts w:hint="eastAsia" w:ascii="宋体" w:hAnsi="宋体" w:cs="宋体"/>
                <w:color w:val="auto"/>
                <w:szCs w:val="21"/>
                <w:highlight w:val="none"/>
                <w:lang w:val="zh-CN" w:bidi="zh-CN"/>
              </w:rPr>
              <w:t>：</w:t>
            </w:r>
          </w:p>
          <w:p w14:paraId="0AF8E466">
            <w:pPr>
              <w:autoSpaceDE w:val="0"/>
              <w:autoSpaceDN w:val="0"/>
              <w:spacing w:line="300" w:lineRule="auto"/>
              <w:ind w:firstLine="420" w:firstLineChars="200"/>
              <w:jc w:val="left"/>
              <w:rPr>
                <w:rFonts w:ascii="宋体" w:hAnsi="宋体" w:cs="宋体"/>
                <w:color w:val="auto"/>
                <w:szCs w:val="21"/>
                <w:highlight w:val="none"/>
                <w:lang w:val="zh-CN" w:bidi="zh-CN"/>
              </w:rPr>
            </w:pPr>
            <w:r>
              <w:rPr>
                <w:rFonts w:hint="eastAsia" w:ascii="宋体" w:hAnsi="宋体" w:cs="宋体"/>
                <w:color w:val="auto"/>
                <w:szCs w:val="21"/>
                <w:highlight w:val="none"/>
                <w:lang w:val="zh-CN" w:bidi="zh-CN"/>
              </w:rPr>
              <w:t>我公司现授权</w:t>
            </w:r>
            <w:r>
              <w:rPr>
                <w:rFonts w:hint="eastAsia" w:ascii="宋体" w:hAnsi="宋体" w:cs="宋体"/>
                <w:color w:val="auto"/>
                <w:szCs w:val="21"/>
                <w:highlight w:val="none"/>
                <w:u w:val="single"/>
                <w:lang w:val="zh-CN" w:bidi="zh-CN"/>
              </w:rPr>
              <w:t xml:space="preserve">           </w:t>
            </w:r>
            <w:r>
              <w:rPr>
                <w:rFonts w:hint="eastAsia" w:ascii="宋体" w:hAnsi="宋体" w:cs="宋体"/>
                <w:color w:val="auto"/>
                <w:szCs w:val="21"/>
                <w:highlight w:val="none"/>
                <w:lang w:val="zh-CN" w:bidi="zh-CN"/>
              </w:rPr>
              <w:t>（姓名）参加</w:t>
            </w:r>
            <w:r>
              <w:rPr>
                <w:rFonts w:hint="eastAsia" w:cs="宋体"/>
                <w:color w:val="auto"/>
                <w:szCs w:val="21"/>
                <w:highlight w:val="none"/>
                <w:u w:val="single"/>
                <w:lang w:bidi="zh-CN"/>
              </w:rPr>
              <w:t xml:space="preserve">             </w:t>
            </w:r>
            <w:r>
              <w:rPr>
                <w:rFonts w:hint="eastAsia" w:cs="宋体"/>
                <w:color w:val="auto"/>
                <w:szCs w:val="21"/>
                <w:highlight w:val="none"/>
                <w:lang w:val="zh-CN" w:bidi="zh-CN"/>
              </w:rPr>
              <w:t>（</w:t>
            </w:r>
            <w:r>
              <w:rPr>
                <w:rFonts w:hint="eastAsia" w:cs="宋体"/>
                <w:color w:val="auto"/>
                <w:szCs w:val="21"/>
                <w:highlight w:val="none"/>
                <w:lang w:bidi="zh-CN"/>
              </w:rPr>
              <w:t>招标项目名称</w:t>
            </w:r>
            <w:r>
              <w:rPr>
                <w:rFonts w:hint="eastAsia" w:cs="宋体"/>
                <w:color w:val="auto"/>
                <w:szCs w:val="21"/>
                <w:highlight w:val="none"/>
                <w:lang w:val="zh-CN" w:bidi="zh-CN"/>
              </w:rPr>
              <w:t>）</w:t>
            </w:r>
            <w:r>
              <w:rPr>
                <w:rFonts w:hint="eastAsia" w:cs="宋体"/>
                <w:color w:val="auto"/>
                <w:szCs w:val="21"/>
                <w:highlight w:val="none"/>
                <w:lang w:bidi="zh-CN"/>
              </w:rPr>
              <w:t>的总监理工程师</w:t>
            </w:r>
            <w:r>
              <w:rPr>
                <w:rFonts w:hint="eastAsia" w:ascii="宋体" w:hAnsi="宋体" w:cs="宋体"/>
                <w:color w:val="auto"/>
                <w:szCs w:val="21"/>
                <w:highlight w:val="none"/>
                <w:lang w:val="zh-CN" w:bidi="zh-CN"/>
              </w:rPr>
              <w:t>答辩，前述人员为投标文件中确定的</w:t>
            </w:r>
            <w:r>
              <w:rPr>
                <w:rFonts w:hint="eastAsia" w:ascii="宋体" w:hAnsi="宋体" w:cs="宋体"/>
                <w:color w:val="auto"/>
                <w:szCs w:val="21"/>
                <w:highlight w:val="none"/>
                <w:lang w:bidi="zh-CN"/>
              </w:rPr>
              <w:t>总监理工程师</w:t>
            </w:r>
            <w:r>
              <w:rPr>
                <w:rFonts w:hint="eastAsia" w:ascii="宋体" w:hAnsi="宋体" w:cs="宋体"/>
                <w:color w:val="auto"/>
                <w:szCs w:val="21"/>
                <w:highlight w:val="none"/>
                <w:lang w:val="zh-CN" w:bidi="zh-CN"/>
              </w:rPr>
              <w:t>。</w:t>
            </w:r>
          </w:p>
          <w:p w14:paraId="27D581F6">
            <w:pPr>
              <w:autoSpaceDE w:val="0"/>
              <w:autoSpaceDN w:val="0"/>
              <w:spacing w:line="300" w:lineRule="auto"/>
              <w:ind w:firstLine="420" w:firstLineChars="200"/>
              <w:jc w:val="left"/>
              <w:rPr>
                <w:rFonts w:ascii="宋体" w:hAnsi="宋体" w:cs="宋体"/>
                <w:color w:val="auto"/>
                <w:szCs w:val="21"/>
                <w:highlight w:val="none"/>
                <w:lang w:val="zh-CN" w:bidi="zh-CN"/>
              </w:rPr>
            </w:pPr>
            <w:r>
              <w:rPr>
                <w:rFonts w:hint="eastAsia" w:ascii="宋体" w:hAnsi="宋体" w:cs="宋体"/>
                <w:color w:val="auto"/>
                <w:szCs w:val="21"/>
                <w:highlight w:val="none"/>
                <w:lang w:val="zh-CN" w:bidi="zh-CN"/>
              </w:rPr>
              <w:t>附：身份证复印件（正反两面）</w:t>
            </w:r>
          </w:p>
          <w:p w14:paraId="105A5322">
            <w:pPr>
              <w:autoSpaceDE w:val="0"/>
              <w:autoSpaceDN w:val="0"/>
              <w:spacing w:line="300" w:lineRule="auto"/>
              <w:ind w:firstLine="420" w:firstLineChars="200"/>
              <w:jc w:val="left"/>
              <w:rPr>
                <w:rFonts w:ascii="宋体" w:hAnsi="宋体" w:cs="宋体"/>
                <w:color w:val="auto"/>
                <w:szCs w:val="21"/>
                <w:highlight w:val="none"/>
                <w:lang w:bidi="zh-CN"/>
              </w:rPr>
            </w:pPr>
            <w:r>
              <w:rPr>
                <w:rFonts w:hint="eastAsia" w:ascii="宋体" w:hAnsi="宋体" w:cs="宋体"/>
                <w:color w:val="auto"/>
                <w:szCs w:val="21"/>
                <w:highlight w:val="none"/>
                <w:lang w:bidi="zh-CN"/>
              </w:rPr>
              <w:t xml:space="preserve"> </w:t>
            </w:r>
          </w:p>
          <w:p w14:paraId="1E7CBF36">
            <w:pPr>
              <w:autoSpaceDE w:val="0"/>
              <w:autoSpaceDN w:val="0"/>
              <w:spacing w:line="300" w:lineRule="auto"/>
              <w:ind w:firstLine="2520" w:firstLineChars="1200"/>
              <w:jc w:val="left"/>
              <w:rPr>
                <w:rFonts w:ascii="宋体" w:hAnsi="宋体" w:cs="宋体"/>
                <w:color w:val="auto"/>
                <w:szCs w:val="21"/>
                <w:highlight w:val="none"/>
                <w:lang w:val="zh-CN" w:bidi="zh-CN"/>
              </w:rPr>
            </w:pPr>
            <w:r>
              <w:rPr>
                <w:rFonts w:hint="eastAsia" w:cs="宋体"/>
                <w:color w:val="auto"/>
                <w:szCs w:val="21"/>
                <w:highlight w:val="none"/>
                <w:lang w:bidi="zh-CN"/>
              </w:rPr>
              <w:t>投标人</w:t>
            </w:r>
            <w:r>
              <w:rPr>
                <w:rFonts w:hint="eastAsia" w:ascii="宋体" w:hAnsi="宋体" w:cs="宋体"/>
                <w:color w:val="auto"/>
                <w:szCs w:val="21"/>
                <w:highlight w:val="none"/>
                <w:lang w:val="zh-CN" w:bidi="zh-CN"/>
              </w:rPr>
              <w:t>：</w:t>
            </w:r>
            <w:r>
              <w:rPr>
                <w:rFonts w:hint="eastAsia" w:ascii="宋体" w:hAnsi="宋体" w:cs="宋体"/>
                <w:color w:val="auto"/>
                <w:szCs w:val="21"/>
                <w:highlight w:val="none"/>
                <w:u w:val="single"/>
                <w:lang w:val="zh-CN" w:bidi="zh-CN"/>
              </w:rPr>
              <w:t xml:space="preserve">       </w:t>
            </w:r>
            <w:r>
              <w:rPr>
                <w:rFonts w:hint="eastAsia" w:ascii="宋体" w:hAnsi="宋体" w:cs="宋体"/>
                <w:color w:val="auto"/>
                <w:szCs w:val="21"/>
                <w:highlight w:val="none"/>
                <w:lang w:val="zh-CN" w:bidi="zh-CN"/>
              </w:rPr>
              <w:t>（盖单位公章）</w:t>
            </w:r>
          </w:p>
          <w:p w14:paraId="6B96FF1C">
            <w:pPr>
              <w:pStyle w:val="116"/>
              <w:spacing w:before="120" w:beforeLines="50" w:line="300" w:lineRule="auto"/>
              <w:jc w:val="right"/>
              <w:rPr>
                <w:rFonts w:ascii="宋体" w:hAnsi="宋体"/>
                <w:color w:val="auto"/>
                <w:szCs w:val="21"/>
                <w:highlight w:val="none"/>
                <w:lang w:val="zh-CN" w:bidi="zh-CN"/>
              </w:rPr>
            </w:pPr>
            <w:r>
              <w:rPr>
                <w:rFonts w:hint="eastAsia" w:ascii="宋体" w:hAnsi="宋体" w:cs="宋体"/>
                <w:color w:val="auto"/>
                <w:szCs w:val="21"/>
                <w:highlight w:val="none"/>
                <w:u w:val="single"/>
                <w:lang w:bidi="zh-CN"/>
              </w:rPr>
              <w:t xml:space="preserve">       </w:t>
            </w:r>
            <w:r>
              <w:rPr>
                <w:rFonts w:hint="eastAsia" w:ascii="宋体" w:hAnsi="宋体" w:cs="宋体"/>
                <w:color w:val="auto"/>
                <w:szCs w:val="21"/>
                <w:highlight w:val="none"/>
                <w:lang w:val="zh-CN" w:bidi="zh-CN"/>
              </w:rPr>
              <w:t>年</w:t>
            </w:r>
            <w:r>
              <w:rPr>
                <w:rFonts w:hint="eastAsia" w:ascii="宋体" w:hAnsi="宋体" w:cs="宋体"/>
                <w:color w:val="auto"/>
                <w:szCs w:val="21"/>
                <w:highlight w:val="none"/>
                <w:u w:val="single"/>
                <w:lang w:val="zh-CN" w:bidi="zh-CN"/>
              </w:rPr>
              <w:t xml:space="preserve">    </w:t>
            </w:r>
            <w:r>
              <w:rPr>
                <w:rFonts w:hint="eastAsia" w:ascii="宋体" w:hAnsi="宋体" w:cs="宋体"/>
                <w:color w:val="auto"/>
                <w:szCs w:val="21"/>
                <w:highlight w:val="none"/>
                <w:lang w:val="zh-CN" w:bidi="zh-CN"/>
              </w:rPr>
              <w:t>月</w:t>
            </w:r>
            <w:r>
              <w:rPr>
                <w:rFonts w:hint="eastAsia" w:ascii="宋体" w:hAnsi="宋体" w:cs="宋体"/>
                <w:color w:val="auto"/>
                <w:szCs w:val="21"/>
                <w:highlight w:val="none"/>
                <w:u w:val="single"/>
                <w:lang w:val="zh-CN" w:bidi="zh-CN"/>
              </w:rPr>
              <w:t xml:space="preserve">    </w:t>
            </w:r>
            <w:r>
              <w:rPr>
                <w:rFonts w:hint="eastAsia" w:ascii="宋体" w:hAnsi="宋体" w:cs="宋体"/>
                <w:color w:val="auto"/>
                <w:szCs w:val="21"/>
                <w:highlight w:val="none"/>
                <w:lang w:val="zh-CN" w:bidi="zh-CN"/>
              </w:rPr>
              <w:t>日</w:t>
            </w:r>
          </w:p>
        </w:tc>
      </w:tr>
      <w:tr w14:paraId="3FBAE1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Align w:val="center"/>
          </w:tcPr>
          <w:p w14:paraId="247B96BA">
            <w:pPr>
              <w:pStyle w:val="42"/>
              <w:spacing w:line="360" w:lineRule="exact"/>
              <w:ind w:firstLine="0" w:firstLineChars="0"/>
              <w:jc w:val="center"/>
              <w:rPr>
                <w:color w:val="auto"/>
                <w:szCs w:val="21"/>
                <w:highlight w:val="none"/>
              </w:rPr>
            </w:pPr>
            <w:r>
              <w:rPr>
                <w:rFonts w:hint="eastAsia"/>
                <w:color w:val="auto"/>
                <w:szCs w:val="21"/>
                <w:highlight w:val="none"/>
              </w:rPr>
              <w:t>7.</w:t>
            </w:r>
            <w:r>
              <w:rPr>
                <w:rFonts w:hint="eastAsia"/>
                <w:color w:val="auto"/>
                <w:szCs w:val="21"/>
                <w:highlight w:val="none"/>
                <w:lang w:val="en-US" w:eastAsia="zh-CN"/>
              </w:rPr>
              <w:t>6</w:t>
            </w:r>
            <w:r>
              <w:rPr>
                <w:rFonts w:hint="eastAsia"/>
                <w:color w:val="auto"/>
                <w:szCs w:val="21"/>
                <w:highlight w:val="none"/>
              </w:rPr>
              <w:t>.1</w:t>
            </w:r>
          </w:p>
        </w:tc>
        <w:tc>
          <w:tcPr>
            <w:tcW w:w="2880" w:type="dxa"/>
            <w:vAlign w:val="center"/>
          </w:tcPr>
          <w:p w14:paraId="2780C41D">
            <w:pPr>
              <w:spacing w:line="360" w:lineRule="exact"/>
              <w:jc w:val="center"/>
              <w:rPr>
                <w:color w:val="auto"/>
                <w:szCs w:val="21"/>
                <w:highlight w:val="none"/>
              </w:rPr>
            </w:pPr>
            <w:r>
              <w:rPr>
                <w:rFonts w:hint="eastAsia"/>
                <w:color w:val="auto"/>
                <w:szCs w:val="21"/>
                <w:highlight w:val="none"/>
              </w:rPr>
              <w:t>履约保证金</w:t>
            </w:r>
          </w:p>
          <w:p w14:paraId="7B005F7B">
            <w:pPr>
              <w:spacing w:line="360" w:lineRule="exact"/>
              <w:jc w:val="center"/>
              <w:rPr>
                <w:rFonts w:ascii="宋体" w:hAnsi="宋体"/>
                <w:color w:val="auto"/>
                <w:szCs w:val="21"/>
                <w:highlight w:val="none"/>
              </w:rPr>
            </w:pPr>
            <w:r>
              <w:rPr>
                <w:rFonts w:hint="eastAsia"/>
                <w:color w:val="auto"/>
                <w:szCs w:val="21"/>
                <w:highlight w:val="none"/>
              </w:rPr>
              <w:t>（不超过中标合同金额的10%）</w:t>
            </w:r>
          </w:p>
        </w:tc>
        <w:tc>
          <w:tcPr>
            <w:tcW w:w="5718" w:type="dxa"/>
            <w:vAlign w:val="center"/>
          </w:tcPr>
          <w:p w14:paraId="5F85376F">
            <w:pPr>
              <w:spacing w:line="360" w:lineRule="exact"/>
              <w:ind w:left="14" w:leftChars="0" w:hanging="14" w:hangingChars="7"/>
              <w:rPr>
                <w:rFonts w:ascii="宋体" w:hAnsi="宋体"/>
                <w:color w:val="auto"/>
                <w:szCs w:val="21"/>
                <w:highlight w:val="none"/>
                <w:lang w:val="en"/>
              </w:rPr>
            </w:pPr>
            <w:r>
              <w:rPr>
                <w:rFonts w:hint="eastAsia" w:ascii="宋体" w:hAnsi="宋体"/>
                <w:bCs/>
                <w:color w:val="auto"/>
                <w:szCs w:val="21"/>
                <w:highlight w:val="none"/>
              </w:rPr>
              <w:t>□</w:t>
            </w:r>
            <w:r>
              <w:rPr>
                <w:rFonts w:hint="eastAsia" w:ascii="宋体" w:hAnsi="宋体"/>
                <w:color w:val="auto"/>
                <w:szCs w:val="21"/>
                <w:highlight w:val="none"/>
                <w:lang w:val="en"/>
              </w:rPr>
              <w:t>不需要提供</w:t>
            </w:r>
          </w:p>
          <w:p w14:paraId="0290CAF1">
            <w:pPr>
              <w:spacing w:line="360" w:lineRule="exact"/>
              <w:ind w:left="14" w:leftChars="0" w:hanging="14" w:hangingChars="7"/>
              <w:rPr>
                <w:rFonts w:hint="eastAsia" w:ascii="宋体" w:hAnsi="宋体"/>
                <w:color w:val="auto"/>
                <w:szCs w:val="21"/>
                <w:highlight w:val="none"/>
              </w:rPr>
            </w:pPr>
            <w:r>
              <w:rPr>
                <w:rFonts w:hint="eastAsia" w:ascii="宋体" w:hAnsi="宋体"/>
                <w:bCs/>
                <w:color w:val="auto"/>
                <w:szCs w:val="21"/>
                <w:highlight w:val="none"/>
              </w:rPr>
              <w:t>□</w:t>
            </w:r>
            <w:r>
              <w:rPr>
                <w:rFonts w:hint="eastAsia" w:ascii="宋体" w:hAnsi="宋体"/>
                <w:color w:val="auto"/>
                <w:szCs w:val="21"/>
                <w:highlight w:val="none"/>
              </w:rPr>
              <w:t>需提供</w:t>
            </w:r>
          </w:p>
          <w:p w14:paraId="6E1EA3B0">
            <w:pPr>
              <w:numPr>
                <w:ilvl w:val="0"/>
                <w:numId w:val="3"/>
              </w:numPr>
              <w:spacing w:line="320" w:lineRule="exact"/>
              <w:ind w:left="14" w:leftChars="0" w:hanging="14" w:hangingChars="7"/>
              <w:rPr>
                <w:rFonts w:ascii="宋体" w:hAnsi="宋体"/>
                <w:color w:val="auto"/>
                <w:szCs w:val="21"/>
                <w:highlight w:val="none"/>
              </w:rPr>
            </w:pPr>
            <w:r>
              <w:rPr>
                <w:rFonts w:hint="eastAsia" w:ascii="宋体" w:hAnsi="宋体"/>
                <w:color w:val="auto"/>
                <w:szCs w:val="21"/>
                <w:highlight w:val="none"/>
              </w:rPr>
              <w:t>履约</w:t>
            </w:r>
            <w:r>
              <w:rPr>
                <w:rFonts w:ascii="宋体" w:hAnsi="宋体"/>
                <w:color w:val="auto"/>
                <w:szCs w:val="21"/>
                <w:highlight w:val="none"/>
              </w:rPr>
              <w:t>保证金提交的方式</w:t>
            </w:r>
            <w:r>
              <w:rPr>
                <w:rFonts w:hint="eastAsia" w:ascii="宋体" w:hAnsi="宋体"/>
                <w:color w:val="auto"/>
                <w:szCs w:val="21"/>
                <w:highlight w:val="none"/>
              </w:rPr>
              <w:t>（可按以下任一方式提交）</w:t>
            </w:r>
          </w:p>
          <w:p w14:paraId="35DF8BBE">
            <w:pPr>
              <w:spacing w:line="320" w:lineRule="exact"/>
              <w:ind w:left="216" w:leftChars="103" w:firstLine="201" w:firstLineChars="96"/>
              <w:rPr>
                <w:rFonts w:ascii="宋体" w:hAnsi="宋体"/>
                <w:color w:val="auto"/>
                <w:szCs w:val="21"/>
                <w:highlight w:val="none"/>
              </w:rPr>
            </w:pPr>
            <w:r>
              <w:rPr>
                <w:rFonts w:hint="eastAsia" w:ascii="汉仪书宋二S" w:hAnsi="汉仪书宋二S" w:eastAsia="汉仪书宋二S" w:cs="汉仪书宋二S"/>
                <w:color w:val="auto"/>
                <w:szCs w:val="21"/>
                <w:highlight w:val="none"/>
              </w:rPr>
              <w:t>①</w:t>
            </w:r>
            <w:r>
              <w:rPr>
                <w:rFonts w:hint="eastAsia" w:ascii="宋体" w:hAnsi="宋体"/>
                <w:color w:val="auto"/>
                <w:szCs w:val="21"/>
                <w:highlight w:val="none"/>
              </w:rPr>
              <w:t>保函形式</w:t>
            </w:r>
          </w:p>
          <w:p w14:paraId="0CAD932C">
            <w:pPr>
              <w:spacing w:line="320" w:lineRule="exact"/>
              <w:ind w:left="216" w:leftChars="103" w:firstLine="201" w:firstLineChars="96"/>
              <w:rPr>
                <w:rFonts w:ascii="宋体" w:hAnsi="宋体"/>
                <w:bCs/>
                <w:color w:val="auto"/>
                <w:sz w:val="21"/>
                <w:szCs w:val="21"/>
                <w:highlight w:val="none"/>
                <w:u w:val="single"/>
              </w:rPr>
            </w:pPr>
            <w:r>
              <w:rPr>
                <w:rFonts w:hint="eastAsia" w:ascii="宋体" w:hAnsi="宋体"/>
                <w:bCs/>
                <w:color w:val="auto"/>
                <w:sz w:val="21"/>
                <w:szCs w:val="21"/>
                <w:highlight w:val="none"/>
              </w:rPr>
              <w:sym w:font="Wingdings 2" w:char="00A3"/>
            </w:r>
            <w:r>
              <w:rPr>
                <w:rFonts w:hint="eastAsia" w:ascii="宋体" w:hAnsi="宋体"/>
                <w:bCs/>
                <w:color w:val="auto"/>
                <w:sz w:val="21"/>
                <w:szCs w:val="21"/>
                <w:highlight w:val="none"/>
              </w:rPr>
              <w:t>银行：</w:t>
            </w:r>
            <w:r>
              <w:rPr>
                <w:rFonts w:hint="eastAsia" w:ascii="宋体" w:hAnsi="宋体"/>
                <w:bCs/>
                <w:color w:val="auto"/>
                <w:sz w:val="21"/>
                <w:szCs w:val="21"/>
                <w:highlight w:val="none"/>
                <w:u w:val="single"/>
              </w:rPr>
              <w:t xml:space="preserve">                                               </w:t>
            </w:r>
          </w:p>
          <w:p w14:paraId="72FF4188">
            <w:pPr>
              <w:autoSpaceDE w:val="0"/>
              <w:autoSpaceDN w:val="0"/>
              <w:spacing w:line="320" w:lineRule="exact"/>
              <w:ind w:left="216" w:leftChars="103" w:firstLine="201" w:firstLineChars="96"/>
              <w:rPr>
                <w:rFonts w:ascii="宋体" w:hAnsi="宋体"/>
                <w:bCs/>
                <w:color w:val="auto"/>
                <w:sz w:val="21"/>
                <w:szCs w:val="21"/>
                <w:highlight w:val="none"/>
                <w:u w:val="single"/>
              </w:rPr>
            </w:pPr>
            <w:r>
              <w:rPr>
                <w:rFonts w:hint="eastAsia" w:ascii="宋体" w:hAnsi="宋体"/>
                <w:bCs/>
                <w:color w:val="auto"/>
                <w:sz w:val="21"/>
                <w:szCs w:val="21"/>
                <w:highlight w:val="none"/>
              </w:rPr>
              <w:sym w:font="Wingdings 2" w:char="00A3"/>
            </w:r>
            <w:r>
              <w:rPr>
                <w:rFonts w:hint="eastAsia" w:ascii="宋体" w:hAnsi="宋体"/>
                <w:bCs/>
                <w:color w:val="auto"/>
                <w:sz w:val="21"/>
                <w:szCs w:val="21"/>
                <w:highlight w:val="none"/>
              </w:rPr>
              <w:t>其他金融机构：</w:t>
            </w:r>
            <w:r>
              <w:rPr>
                <w:rFonts w:hint="eastAsia" w:ascii="宋体" w:hAnsi="宋体"/>
                <w:bCs/>
                <w:color w:val="auto"/>
                <w:sz w:val="21"/>
                <w:szCs w:val="21"/>
                <w:highlight w:val="none"/>
                <w:u w:val="single"/>
              </w:rPr>
              <w:t xml:space="preserve">                 </w:t>
            </w:r>
          </w:p>
          <w:p w14:paraId="501DDB13">
            <w:pPr>
              <w:spacing w:line="320" w:lineRule="exact"/>
              <w:ind w:left="17" w:leftChars="8" w:firstLine="401" w:firstLineChars="191"/>
              <w:rPr>
                <w:rFonts w:hint="eastAsia" w:ascii="宋体" w:hAnsi="宋体"/>
                <w:color w:val="auto"/>
                <w:sz w:val="21"/>
                <w:szCs w:val="21"/>
                <w:highlight w:val="none"/>
              </w:rPr>
            </w:pPr>
            <w:r>
              <w:rPr>
                <w:rFonts w:hint="eastAsia" w:ascii="宋体" w:hAnsi="宋体" w:eastAsia="宋体" w:cs="Times New Roman"/>
                <w:color w:val="auto"/>
                <w:sz w:val="21"/>
                <w:szCs w:val="21"/>
                <w:highlight w:val="none"/>
              </w:rPr>
              <w:t>②</w:t>
            </w:r>
            <w:r>
              <w:rPr>
                <w:rFonts w:hint="eastAsia" w:ascii="宋体" w:hAnsi="宋体" w:eastAsia="宋体"/>
                <w:color w:val="auto"/>
                <w:sz w:val="21"/>
                <w:szCs w:val="21"/>
                <w:highlight w:val="none"/>
              </w:rPr>
              <w:t>现金形式</w:t>
            </w:r>
            <w:r>
              <w:rPr>
                <w:rFonts w:hint="eastAsia" w:ascii="宋体" w:hAnsi="宋体"/>
                <w:color w:val="auto"/>
                <w:sz w:val="21"/>
                <w:szCs w:val="21"/>
                <w:highlight w:val="none"/>
              </w:rPr>
              <w:t>：</w:t>
            </w:r>
            <w:r>
              <w:rPr>
                <w:rFonts w:hint="eastAsia" w:ascii="宋体" w:hAnsi="宋体" w:cs="Times New Roman"/>
                <w:color w:val="auto"/>
                <w:sz w:val="21"/>
                <w:szCs w:val="21"/>
                <w:highlight w:val="none"/>
                <w:u w:val="single"/>
              </w:rPr>
              <w:t>应从投标人基本账户</w:t>
            </w:r>
            <w:r>
              <w:rPr>
                <w:rFonts w:hint="eastAsia" w:ascii="宋体" w:hAnsi="宋体" w:cs="Times New Roman"/>
                <w:bCs w:val="0"/>
                <w:color w:val="auto"/>
                <w:sz w:val="21"/>
                <w:szCs w:val="21"/>
                <w:highlight w:val="none"/>
                <w:u w:val="single"/>
              </w:rPr>
              <w:t>以</w:t>
            </w:r>
            <w:r>
              <w:rPr>
                <w:rFonts w:hint="eastAsia" w:ascii="宋体" w:hAnsi="宋体" w:cs="Times New Roman"/>
                <w:color w:val="auto"/>
                <w:sz w:val="21"/>
                <w:szCs w:val="21"/>
                <w:highlight w:val="none"/>
                <w:u w:val="single"/>
              </w:rPr>
              <w:t>电汇或银行转账方式提交(以款项到达时间为准)，并应在电汇或银行转账单上注明为本招标项目的履约保证金。</w:t>
            </w:r>
          </w:p>
          <w:p w14:paraId="630FFC97">
            <w:pPr>
              <w:keepNext w:val="0"/>
              <w:keepLines w:val="0"/>
              <w:pageBreakBefore w:val="0"/>
              <w:widowControl w:val="0"/>
              <w:numPr>
                <w:ilvl w:val="0"/>
                <w:numId w:val="3"/>
              </w:numPr>
              <w:kinsoku/>
              <w:wordWrap/>
              <w:overflowPunct/>
              <w:topLinePunct w:val="0"/>
              <w:autoSpaceDE/>
              <w:autoSpaceDN/>
              <w:bidi w:val="0"/>
              <w:spacing w:after="0" w:line="320" w:lineRule="exact"/>
              <w:ind w:left="14" w:leftChars="0" w:hanging="14" w:hangingChars="7"/>
              <w:rPr>
                <w:rFonts w:hint="eastAsia" w:cs="宋体"/>
                <w:color w:val="auto"/>
                <w:sz w:val="21"/>
                <w:szCs w:val="21"/>
                <w:highlight w:val="none"/>
              </w:rPr>
            </w:pPr>
            <w:r>
              <w:rPr>
                <w:rFonts w:hint="eastAsia" w:ascii="宋体" w:hAnsi="宋体"/>
                <w:color w:val="auto"/>
                <w:sz w:val="21"/>
                <w:szCs w:val="21"/>
                <w:highlight w:val="none"/>
              </w:rPr>
              <w:t>履约担保的金额</w:t>
            </w:r>
            <w:r>
              <w:rPr>
                <w:rFonts w:hint="eastAsia" w:cs="宋体"/>
                <w:color w:val="auto"/>
                <w:sz w:val="21"/>
                <w:szCs w:val="21"/>
                <w:highlight w:val="none"/>
              </w:rPr>
              <w:t>为中标合同价的</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7B39EC6">
            <w:pPr>
              <w:pStyle w:val="43"/>
              <w:keepNext w:val="0"/>
              <w:keepLines w:val="0"/>
              <w:pageBreakBefore w:val="0"/>
              <w:widowControl w:val="0"/>
              <w:kinsoku/>
              <w:wordWrap/>
              <w:overflowPunct/>
              <w:topLinePunct w:val="0"/>
              <w:autoSpaceDE/>
              <w:autoSpaceDN/>
              <w:bidi w:val="0"/>
              <w:spacing w:after="0" w:line="300" w:lineRule="auto"/>
              <w:ind w:left="208" w:leftChars="99" w:firstLine="195" w:firstLineChars="93"/>
              <w:rPr>
                <w:rFonts w:hint="eastAsia" w:ascii="宋体" w:hAnsi="宋体" w:cs="宋体"/>
                <w:color w:val="auto"/>
                <w:kern w:val="0"/>
                <w:sz w:val="21"/>
                <w:szCs w:val="21"/>
                <w:highlight w:val="none"/>
                <w:lang w:val="en-US" w:eastAsia="zh-CN"/>
              </w:rPr>
            </w:pPr>
            <w:r>
              <w:rPr>
                <w:rFonts w:hint="eastAsia" w:ascii="宋体" w:hAnsi="宋体" w:cs="宋体"/>
                <w:color w:val="auto"/>
                <w:sz w:val="21"/>
                <w:szCs w:val="21"/>
                <w:highlight w:val="none"/>
                <w:lang w:val="en-US" w:eastAsia="zh-CN"/>
              </w:rPr>
              <w:t>本招标项目</w:t>
            </w:r>
            <w:r>
              <w:rPr>
                <w:rFonts w:hint="eastAsia" w:ascii="宋体" w:hAnsi="宋体" w:cs="宋体"/>
                <w:color w:val="auto"/>
                <w:sz w:val="21"/>
                <w:szCs w:val="21"/>
                <w:highlight w:val="none"/>
                <w:u w:val="single"/>
                <w:lang w:val="en-US" w:eastAsia="zh-CN"/>
              </w:rPr>
              <w:t xml:space="preserve"> □不接受  □接受 </w:t>
            </w:r>
            <w:r>
              <w:rPr>
                <w:rFonts w:hint="eastAsia" w:ascii="宋体" w:hAnsi="宋体" w:cs="宋体"/>
                <w:color w:val="auto"/>
                <w:sz w:val="21"/>
                <w:szCs w:val="21"/>
                <w:highlight w:val="none"/>
                <w:u w:val="none"/>
                <w:lang w:val="en-US" w:eastAsia="zh-CN"/>
              </w:rPr>
              <w:t>降低</w:t>
            </w:r>
            <w:r>
              <w:rPr>
                <w:rFonts w:hint="eastAsia" w:ascii="宋体" w:hAnsi="宋体" w:cs="宋体"/>
                <w:color w:val="auto"/>
                <w:kern w:val="0"/>
                <w:sz w:val="21"/>
                <w:szCs w:val="21"/>
                <w:highlight w:val="none"/>
              </w:rPr>
              <w:t>履约担保</w:t>
            </w:r>
            <w:r>
              <w:rPr>
                <w:rFonts w:hint="eastAsia" w:ascii="宋体" w:hAnsi="宋体" w:cs="宋体"/>
                <w:color w:val="auto"/>
                <w:kern w:val="0"/>
                <w:sz w:val="21"/>
                <w:szCs w:val="21"/>
                <w:highlight w:val="none"/>
                <w:lang w:val="en-US" w:eastAsia="zh-CN"/>
              </w:rPr>
              <w:t>金缴交比例：</w:t>
            </w:r>
          </w:p>
          <w:p w14:paraId="34E656AF">
            <w:pPr>
              <w:keepNext w:val="0"/>
              <w:keepLines w:val="0"/>
              <w:pageBreakBefore w:val="0"/>
              <w:widowControl w:val="0"/>
              <w:kinsoku/>
              <w:wordWrap/>
              <w:overflowPunct/>
              <w:topLinePunct w:val="0"/>
              <w:autoSpaceDE/>
              <w:autoSpaceDN/>
              <w:bidi w:val="0"/>
              <w:adjustRightInd w:val="0"/>
              <w:snapToGrid w:val="0"/>
              <w:spacing w:line="300" w:lineRule="auto"/>
              <w:ind w:firstLine="420" w:firstLineChars="200"/>
              <w:textAlignment w:val="baseline"/>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①</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kern w:val="2"/>
                <w:sz w:val="21"/>
                <w:szCs w:val="21"/>
                <w:highlight w:val="none"/>
              </w:rPr>
              <w:t>合同签订时</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0"/>
                <w:sz w:val="21"/>
                <w:szCs w:val="21"/>
                <w:highlight w:val="none"/>
                <w:u w:val="none"/>
                <w:lang w:val="en-US" w:eastAsia="zh-CN"/>
              </w:rPr>
              <w:t>最近三</w:t>
            </w:r>
            <w:r>
              <w:rPr>
                <w:rFonts w:hint="eastAsia" w:ascii="宋体" w:hAnsi="宋体" w:cs="宋体"/>
                <w:color w:val="auto"/>
                <w:kern w:val="0"/>
                <w:sz w:val="21"/>
                <w:szCs w:val="21"/>
                <w:highlight w:val="none"/>
                <w:u w:val="none"/>
                <w:lang w:val="en-US" w:eastAsia="zh-CN"/>
              </w:rPr>
              <w:t>个年度</w:t>
            </w:r>
            <w:r>
              <w:rPr>
                <w:rFonts w:hint="eastAsia" w:ascii="宋体" w:hAnsi="宋体" w:eastAsia="宋体" w:cs="宋体"/>
                <w:color w:val="auto"/>
                <w:kern w:val="0"/>
                <w:sz w:val="21"/>
                <w:szCs w:val="21"/>
                <w:highlight w:val="none"/>
                <w:shd w:val="clear" w:color="auto" w:fill="auto"/>
                <w:lang w:val="en-US" w:eastAsia="zh-CN"/>
              </w:rPr>
              <w:t>福建省交通建设市场信用考核评价结果</w:t>
            </w:r>
            <w:r>
              <w:rPr>
                <w:rFonts w:hint="eastAsia" w:ascii="宋体" w:hAnsi="宋体" w:eastAsia="宋体" w:cs="宋体"/>
                <w:color w:val="auto"/>
                <w:kern w:val="0"/>
                <w:sz w:val="21"/>
                <w:szCs w:val="21"/>
                <w:highlight w:val="none"/>
                <w:lang w:val="en-US" w:eastAsia="zh-CN"/>
              </w:rPr>
              <w:t>均为AA级别</w:t>
            </w:r>
            <w:r>
              <w:rPr>
                <w:rFonts w:hint="eastAsia" w:ascii="宋体" w:hAnsi="宋体" w:cs="宋体"/>
                <w:color w:val="auto"/>
                <w:sz w:val="21"/>
                <w:szCs w:val="21"/>
                <w:highlight w:val="none"/>
                <w:lang w:val="en-US" w:eastAsia="zh-CN"/>
              </w:rPr>
              <w:t>的，缴交</w:t>
            </w:r>
            <w:r>
              <w:rPr>
                <w:rFonts w:hint="eastAsia" w:ascii="宋体" w:hAnsi="宋体" w:cs="宋体"/>
                <w:color w:val="auto"/>
                <w:kern w:val="0"/>
                <w:szCs w:val="21"/>
                <w:highlight w:val="none"/>
              </w:rPr>
              <w:t>履约担保</w:t>
            </w:r>
            <w:r>
              <w:rPr>
                <w:rFonts w:hint="eastAsia" w:ascii="宋体" w:hAnsi="宋体" w:cs="宋体"/>
                <w:color w:val="auto"/>
                <w:kern w:val="0"/>
                <w:szCs w:val="21"/>
                <w:highlight w:val="none"/>
                <w:lang w:val="en-US" w:eastAsia="zh-CN"/>
              </w:rPr>
              <w:t>金比例</w:t>
            </w:r>
            <w:r>
              <w:rPr>
                <w:rFonts w:hint="eastAsia" w:ascii="宋体" w:hAnsi="宋体" w:cs="宋体"/>
                <w:color w:val="auto"/>
                <w:sz w:val="21"/>
                <w:szCs w:val="21"/>
                <w:highlight w:val="none"/>
                <w:lang w:val="en-US" w:eastAsia="zh-CN"/>
              </w:rPr>
              <w:t>为招标文件要求的25%；</w:t>
            </w:r>
          </w:p>
          <w:p w14:paraId="732529B7">
            <w:pPr>
              <w:keepNext w:val="0"/>
              <w:keepLines w:val="0"/>
              <w:pageBreakBefore w:val="0"/>
              <w:widowControl w:val="0"/>
              <w:kinsoku/>
              <w:wordWrap/>
              <w:overflowPunct/>
              <w:topLinePunct w:val="0"/>
              <w:autoSpaceDE/>
              <w:autoSpaceDN/>
              <w:bidi w:val="0"/>
              <w:adjustRightInd w:val="0"/>
              <w:snapToGrid w:val="0"/>
              <w:spacing w:line="300" w:lineRule="auto"/>
              <w:ind w:firstLine="420" w:firstLineChars="200"/>
              <w:textAlignment w:val="baseline"/>
              <w:rPr>
                <w:rFonts w:hint="eastAsia" w:ascii="宋体" w:hAnsi="宋体" w:cs="宋体"/>
                <w:color w:val="auto"/>
                <w:kern w:val="2"/>
                <w:sz w:val="21"/>
                <w:szCs w:val="21"/>
                <w:highlight w:val="none"/>
              </w:rPr>
            </w:pPr>
            <w:r>
              <w:rPr>
                <w:rFonts w:hint="eastAsia" w:ascii="宋体" w:hAnsi="宋体" w:eastAsia="宋体" w:cs="宋体"/>
                <w:color w:val="auto"/>
                <w:kern w:val="2"/>
                <w:sz w:val="21"/>
                <w:szCs w:val="21"/>
                <w:highlight w:val="none"/>
              </w:rPr>
              <w:t>②</w:t>
            </w:r>
            <w:r>
              <w:rPr>
                <w:rFonts w:hint="eastAsia" w:ascii="宋体" w:hAnsi="宋体" w:cs="宋体"/>
                <w:color w:val="auto"/>
                <w:kern w:val="2"/>
                <w:sz w:val="21"/>
                <w:szCs w:val="21"/>
                <w:highlight w:val="none"/>
              </w:rPr>
              <w:t>中标人合同签订时</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lang w:val="en-US" w:eastAsia="zh-CN"/>
              </w:rPr>
              <w:t>最近期</w:t>
            </w:r>
            <w:r>
              <w:rPr>
                <w:rFonts w:hint="eastAsia" w:ascii="宋体" w:hAnsi="宋体" w:eastAsia="宋体" w:cs="宋体"/>
                <w:color w:val="auto"/>
                <w:kern w:val="0"/>
                <w:sz w:val="21"/>
                <w:szCs w:val="21"/>
                <w:highlight w:val="none"/>
                <w:shd w:val="clear" w:color="auto" w:fill="auto"/>
                <w:lang w:val="en-US" w:eastAsia="zh-CN"/>
              </w:rPr>
              <w:t>福建省交通建设市场信用考核评价结果</w:t>
            </w:r>
            <w:r>
              <w:rPr>
                <w:rFonts w:hint="eastAsia" w:ascii="宋体" w:hAnsi="宋体" w:eastAsia="宋体" w:cs="宋体"/>
                <w:color w:val="auto"/>
                <w:kern w:val="0"/>
                <w:sz w:val="21"/>
                <w:szCs w:val="21"/>
                <w:highlight w:val="none"/>
                <w:lang w:val="en-US" w:eastAsia="zh-CN"/>
              </w:rPr>
              <w:t>均为AA级别</w:t>
            </w:r>
            <w:r>
              <w:rPr>
                <w:rFonts w:hint="eastAsia" w:ascii="宋体" w:hAnsi="宋体" w:cs="宋体"/>
                <w:color w:val="auto"/>
                <w:kern w:val="2"/>
                <w:sz w:val="21"/>
                <w:szCs w:val="21"/>
                <w:highlight w:val="none"/>
                <w:lang w:val="en-US" w:eastAsia="zh-CN"/>
              </w:rPr>
              <w:t>的</w:t>
            </w:r>
            <w:r>
              <w:rPr>
                <w:rFonts w:hint="eastAsia" w:ascii="宋体" w:hAnsi="宋体" w:cs="宋体"/>
                <w:color w:val="auto"/>
                <w:kern w:val="2"/>
                <w:sz w:val="21"/>
                <w:szCs w:val="21"/>
                <w:highlight w:val="none"/>
                <w:lang w:eastAsia="zh-CN"/>
              </w:rPr>
              <w:t>，</w:t>
            </w:r>
            <w:r>
              <w:rPr>
                <w:rFonts w:hint="eastAsia" w:ascii="宋体" w:hAnsi="宋体" w:cs="宋体"/>
                <w:color w:val="auto"/>
                <w:sz w:val="21"/>
                <w:szCs w:val="21"/>
                <w:highlight w:val="none"/>
                <w:lang w:val="en-US" w:eastAsia="zh-CN"/>
              </w:rPr>
              <w:t>缴交</w:t>
            </w:r>
            <w:r>
              <w:rPr>
                <w:rFonts w:hint="eastAsia" w:ascii="宋体" w:hAnsi="宋体" w:cs="宋体"/>
                <w:color w:val="auto"/>
                <w:kern w:val="0"/>
                <w:szCs w:val="21"/>
                <w:highlight w:val="none"/>
              </w:rPr>
              <w:t>履约担保</w:t>
            </w:r>
            <w:r>
              <w:rPr>
                <w:rFonts w:hint="eastAsia" w:ascii="宋体" w:hAnsi="宋体" w:cs="宋体"/>
                <w:color w:val="auto"/>
                <w:kern w:val="0"/>
                <w:szCs w:val="21"/>
                <w:highlight w:val="none"/>
                <w:lang w:val="en-US" w:eastAsia="zh-CN"/>
              </w:rPr>
              <w:t>金比例</w:t>
            </w:r>
            <w:r>
              <w:rPr>
                <w:rFonts w:hint="eastAsia" w:ascii="宋体" w:hAnsi="宋体" w:cs="宋体"/>
                <w:color w:val="auto"/>
                <w:sz w:val="21"/>
                <w:szCs w:val="21"/>
                <w:highlight w:val="none"/>
                <w:lang w:val="en-US" w:eastAsia="zh-CN"/>
              </w:rPr>
              <w:t>为招标文件要求的50%</w:t>
            </w:r>
            <w:r>
              <w:rPr>
                <w:rFonts w:hint="eastAsia" w:ascii="宋体" w:hAnsi="宋体" w:cs="宋体"/>
                <w:color w:val="auto"/>
                <w:kern w:val="2"/>
                <w:sz w:val="21"/>
                <w:szCs w:val="21"/>
                <w:highlight w:val="none"/>
              </w:rPr>
              <w:t>；</w:t>
            </w:r>
          </w:p>
          <w:p w14:paraId="76A940EC">
            <w:pPr>
              <w:keepNext w:val="0"/>
              <w:keepLines w:val="0"/>
              <w:pageBreakBefore w:val="0"/>
              <w:widowControl w:val="0"/>
              <w:kinsoku/>
              <w:wordWrap/>
              <w:overflowPunct/>
              <w:topLinePunct w:val="0"/>
              <w:autoSpaceDE/>
              <w:autoSpaceDN/>
              <w:bidi w:val="0"/>
              <w:adjustRightInd w:val="0"/>
              <w:snapToGrid w:val="0"/>
              <w:spacing w:line="300" w:lineRule="auto"/>
              <w:ind w:firstLine="420" w:firstLineChars="200"/>
              <w:textAlignment w:val="baseline"/>
              <w:rPr>
                <w:rFonts w:hint="default" w:ascii="宋体" w:hAnsi="宋体" w:cs="宋体"/>
                <w:color w:val="auto"/>
                <w:kern w:val="2"/>
                <w:sz w:val="21"/>
                <w:szCs w:val="21"/>
                <w:highlight w:val="none"/>
                <w:lang w:val="en-US"/>
              </w:rPr>
            </w:pPr>
            <w:r>
              <w:rPr>
                <w:rFonts w:hint="eastAsia" w:ascii="宋体" w:hAnsi="宋体" w:eastAsia="宋体" w:cs="宋体"/>
                <w:color w:val="auto"/>
                <w:sz w:val="21"/>
                <w:szCs w:val="21"/>
                <w:highlight w:val="none"/>
              </w:rPr>
              <w:t>③</w:t>
            </w:r>
            <w:r>
              <w:rPr>
                <w:rFonts w:hint="eastAsia" w:ascii="宋体" w:hAnsi="宋体" w:cs="宋体"/>
                <w:color w:val="auto"/>
                <w:kern w:val="2"/>
                <w:sz w:val="21"/>
                <w:szCs w:val="21"/>
                <w:highlight w:val="none"/>
              </w:rPr>
              <w:t>中标人合同签订时</w:t>
            </w:r>
            <w:r>
              <w:rPr>
                <w:rFonts w:hint="eastAsia" w:ascii="宋体" w:hAnsi="宋体" w:cs="宋体"/>
                <w:color w:val="auto"/>
                <w:kern w:val="2"/>
                <w:sz w:val="21"/>
                <w:szCs w:val="21"/>
                <w:highlight w:val="none"/>
                <w:lang w:eastAsia="zh-CN"/>
              </w:rPr>
              <w:t>，</w:t>
            </w:r>
            <w:r>
              <w:rPr>
                <w:rFonts w:hint="eastAsia" w:cs="宋体"/>
                <w:color w:val="auto"/>
                <w:kern w:val="2"/>
                <w:sz w:val="21"/>
                <w:szCs w:val="21"/>
                <w:highlight w:val="none"/>
                <w:lang w:val="en-US" w:eastAsia="zh-CN"/>
              </w:rPr>
              <w:t>最近期</w:t>
            </w:r>
            <w:r>
              <w:rPr>
                <w:rFonts w:hint="eastAsia" w:ascii="Times New Roman" w:hAnsi="Times New Roman" w:cs="宋体"/>
                <w:color w:val="auto"/>
                <w:sz w:val="21"/>
                <w:szCs w:val="21"/>
                <w:highlight w:val="none"/>
              </w:rPr>
              <w:t>福建省交通建设市场信用考核评价结果均为A级别</w:t>
            </w:r>
            <w:r>
              <w:rPr>
                <w:rFonts w:hint="eastAsia" w:ascii="Times New Roman" w:hAnsi="Times New Roman" w:cs="宋体"/>
                <w:color w:val="auto"/>
                <w:sz w:val="21"/>
                <w:szCs w:val="21"/>
                <w:highlight w:val="none"/>
                <w:lang w:val="en-US" w:eastAsia="zh-CN"/>
              </w:rPr>
              <w:t>的</w:t>
            </w:r>
            <w:r>
              <w:rPr>
                <w:rFonts w:hint="eastAsia" w:ascii="宋体" w:hAnsi="宋体" w:cs="宋体"/>
                <w:color w:val="auto"/>
                <w:kern w:val="2"/>
                <w:sz w:val="21"/>
                <w:szCs w:val="21"/>
                <w:highlight w:val="none"/>
                <w:lang w:eastAsia="zh-CN"/>
              </w:rPr>
              <w:t>，</w:t>
            </w:r>
            <w:r>
              <w:rPr>
                <w:rFonts w:hint="eastAsia" w:ascii="宋体" w:hAnsi="宋体" w:cs="宋体"/>
                <w:color w:val="auto"/>
                <w:sz w:val="21"/>
                <w:szCs w:val="21"/>
                <w:highlight w:val="none"/>
                <w:lang w:val="en-US" w:eastAsia="zh-CN"/>
              </w:rPr>
              <w:t>缴交</w:t>
            </w:r>
            <w:r>
              <w:rPr>
                <w:rFonts w:hint="eastAsia" w:ascii="宋体" w:hAnsi="宋体" w:cs="宋体"/>
                <w:color w:val="auto"/>
                <w:kern w:val="0"/>
                <w:szCs w:val="21"/>
                <w:highlight w:val="none"/>
              </w:rPr>
              <w:t>履约担保</w:t>
            </w:r>
            <w:r>
              <w:rPr>
                <w:rFonts w:hint="eastAsia" w:ascii="宋体" w:hAnsi="宋体" w:cs="宋体"/>
                <w:color w:val="auto"/>
                <w:kern w:val="0"/>
                <w:szCs w:val="21"/>
                <w:highlight w:val="none"/>
                <w:lang w:val="en-US" w:eastAsia="zh-CN"/>
              </w:rPr>
              <w:t>金比例</w:t>
            </w:r>
            <w:r>
              <w:rPr>
                <w:rFonts w:hint="eastAsia" w:ascii="宋体" w:hAnsi="宋体" w:cs="宋体"/>
                <w:color w:val="auto"/>
                <w:sz w:val="21"/>
                <w:szCs w:val="21"/>
                <w:highlight w:val="none"/>
                <w:lang w:val="en-US" w:eastAsia="zh-CN"/>
              </w:rPr>
              <w:t>为招标文件要求的75%。</w:t>
            </w:r>
          </w:p>
          <w:p w14:paraId="649732A0">
            <w:pPr>
              <w:pStyle w:val="2"/>
              <w:keepNext w:val="0"/>
              <w:keepLines w:val="0"/>
              <w:pageBreakBefore w:val="0"/>
              <w:widowControl w:val="0"/>
              <w:numPr>
                <w:ilvl w:val="0"/>
                <w:numId w:val="0"/>
              </w:numPr>
              <w:kinsoku/>
              <w:wordWrap/>
              <w:overflowPunct/>
              <w:topLinePunct w:val="0"/>
              <w:autoSpaceDE/>
              <w:autoSpaceDN/>
              <w:bidi w:val="0"/>
              <w:spacing w:line="300" w:lineRule="auto"/>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以联合体参与投标的，</w:t>
            </w:r>
            <w:r>
              <w:rPr>
                <w:rFonts w:hint="eastAsia" w:ascii="宋体" w:hAnsi="宋体" w:eastAsia="宋体" w:cs="宋体"/>
                <w:color w:val="auto"/>
                <w:sz w:val="21"/>
                <w:szCs w:val="21"/>
                <w:highlight w:val="none"/>
                <w:lang w:val="en-US" w:eastAsia="zh-CN"/>
              </w:rPr>
              <w:t>联合体</w:t>
            </w:r>
            <w:r>
              <w:rPr>
                <w:rFonts w:hint="eastAsia" w:ascii="宋体" w:hAnsi="宋体" w:eastAsia="宋体" w:cs="宋体"/>
                <w:color w:val="auto"/>
                <w:sz w:val="21"/>
                <w:szCs w:val="21"/>
                <w:highlight w:val="none"/>
              </w:rPr>
              <w:t>投标人的企业信用综合评价</w:t>
            </w:r>
            <w:r>
              <w:rPr>
                <w:rFonts w:hint="eastAsia" w:ascii="宋体" w:hAnsi="宋体" w:eastAsia="宋体" w:cs="宋体"/>
                <w:color w:val="auto"/>
                <w:sz w:val="21"/>
                <w:szCs w:val="21"/>
                <w:highlight w:val="none"/>
                <w:lang w:val="en-US" w:eastAsia="zh-CN"/>
              </w:rPr>
              <w:t>等级</w:t>
            </w:r>
            <w:r>
              <w:rPr>
                <w:rFonts w:hint="eastAsia" w:ascii="宋体" w:hAnsi="宋体" w:eastAsia="宋体" w:cs="宋体"/>
                <w:color w:val="auto"/>
                <w:sz w:val="21"/>
                <w:szCs w:val="21"/>
                <w:highlight w:val="none"/>
              </w:rPr>
              <w:t>按联合体</w:t>
            </w:r>
            <w:r>
              <w:rPr>
                <w:rFonts w:hint="eastAsia" w:ascii="宋体" w:hAnsi="宋体" w:eastAsia="宋体" w:cs="宋体"/>
                <w:color w:val="auto"/>
                <w:sz w:val="21"/>
                <w:szCs w:val="21"/>
                <w:highlight w:val="none"/>
                <w:lang w:val="en-US" w:eastAsia="zh-CN"/>
              </w:rPr>
              <w:t>牵头人的信用等级</w:t>
            </w:r>
            <w:r>
              <w:rPr>
                <w:rFonts w:hint="eastAsia" w:ascii="宋体" w:hAnsi="宋体" w:eastAsia="宋体" w:cs="宋体"/>
                <w:color w:val="auto"/>
                <w:sz w:val="21"/>
                <w:szCs w:val="21"/>
                <w:highlight w:val="none"/>
              </w:rPr>
              <w:t>确定。</w:t>
            </w:r>
          </w:p>
          <w:p w14:paraId="4DBA974A">
            <w:pPr>
              <w:pStyle w:val="2"/>
              <w:numPr>
                <w:ilvl w:val="0"/>
                <w:numId w:val="0"/>
              </w:numPr>
              <w:spacing w:line="30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投标人享受降低履约担保金缴交比例的，若出现履约违约情形，应当无条件按照招标人要求限时足额补缴招标文件要求的履约担保金并依法承担违约责任。</w:t>
            </w:r>
          </w:p>
          <w:p w14:paraId="58D73E0E">
            <w:pPr>
              <w:numPr>
                <w:ilvl w:val="0"/>
                <w:numId w:val="3"/>
              </w:numPr>
              <w:autoSpaceDE/>
              <w:autoSpaceDN/>
              <w:adjustRightInd/>
              <w:snapToGrid/>
              <w:spacing w:before="0" w:beforeLines="-2147483648" w:afterLines="-2147483648" w:line="320" w:lineRule="exact"/>
              <w:ind w:left="14" w:leftChars="0" w:hanging="14" w:hangingChars="7"/>
              <w:rPr>
                <w:rFonts w:hint="eastAsia" w:ascii="宋体" w:hAnsi="宋体"/>
                <w:color w:val="auto"/>
                <w:szCs w:val="21"/>
                <w:highlight w:val="none"/>
              </w:rPr>
            </w:pPr>
            <w:r>
              <w:rPr>
                <w:rFonts w:hint="eastAsia" w:ascii="宋体" w:hAnsi="宋体"/>
                <w:color w:val="auto"/>
                <w:szCs w:val="21"/>
                <w:highlight w:val="none"/>
              </w:rPr>
              <w:t>中标人应在收到中标通知书后30天内，在签订合同协议书之前提交。</w:t>
            </w:r>
          </w:p>
          <w:p w14:paraId="08A7F3F1">
            <w:pPr>
              <w:spacing w:line="324" w:lineRule="auto"/>
              <w:ind w:firstLine="420" w:firstLineChars="200"/>
              <w:rPr>
                <w:rFonts w:ascii="宋体" w:hAnsi="宋体" w:cs="宋体"/>
                <w:color w:val="auto"/>
                <w:szCs w:val="21"/>
                <w:highlight w:val="none"/>
                <w:u w:val="single"/>
              </w:rPr>
            </w:pPr>
          </w:p>
        </w:tc>
      </w:tr>
      <w:tr w14:paraId="63FC14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Align w:val="center"/>
          </w:tcPr>
          <w:p w14:paraId="2BDB8A41">
            <w:pPr>
              <w:pStyle w:val="42"/>
              <w:spacing w:line="360" w:lineRule="exact"/>
              <w:ind w:firstLine="0" w:firstLineChars="0"/>
              <w:jc w:val="center"/>
              <w:rPr>
                <w:color w:val="auto"/>
                <w:szCs w:val="21"/>
                <w:highlight w:val="none"/>
              </w:rPr>
            </w:pPr>
            <w:r>
              <w:rPr>
                <w:rFonts w:hint="eastAsia"/>
                <w:color w:val="auto"/>
                <w:szCs w:val="21"/>
                <w:highlight w:val="none"/>
              </w:rPr>
              <w:t>9.5</w:t>
            </w:r>
          </w:p>
        </w:tc>
        <w:tc>
          <w:tcPr>
            <w:tcW w:w="2880" w:type="dxa"/>
            <w:vAlign w:val="center"/>
          </w:tcPr>
          <w:p w14:paraId="17FF27A5">
            <w:pPr>
              <w:spacing w:line="360" w:lineRule="exact"/>
              <w:jc w:val="center"/>
              <w:rPr>
                <w:color w:val="auto"/>
                <w:szCs w:val="21"/>
                <w:highlight w:val="none"/>
              </w:rPr>
            </w:pPr>
            <w:r>
              <w:rPr>
                <w:rFonts w:hint="eastAsia"/>
                <w:color w:val="auto"/>
                <w:szCs w:val="21"/>
                <w:highlight w:val="none"/>
              </w:rPr>
              <w:t>行政监督主管部门</w:t>
            </w:r>
          </w:p>
        </w:tc>
        <w:tc>
          <w:tcPr>
            <w:tcW w:w="5718" w:type="dxa"/>
            <w:vAlign w:val="center"/>
          </w:tcPr>
          <w:p w14:paraId="64621577">
            <w:pPr>
              <w:snapToGrid w:val="0"/>
              <w:spacing w:line="324" w:lineRule="auto"/>
              <w:ind w:firstLine="420" w:firstLineChars="200"/>
              <w:rPr>
                <w:rFonts w:ascii="宋体" w:hAnsi="宋体" w:cs="宋体"/>
                <w:snapToGrid w:val="0"/>
                <w:color w:val="auto"/>
                <w:kern w:val="0"/>
                <w:szCs w:val="21"/>
                <w:highlight w:val="none"/>
                <w:u w:val="single"/>
              </w:rPr>
            </w:pPr>
            <w:r>
              <w:rPr>
                <w:rFonts w:hint="eastAsia" w:ascii="宋体" w:hAnsi="宋体" w:cs="宋体"/>
                <w:snapToGrid w:val="0"/>
                <w:color w:val="auto"/>
                <w:kern w:val="0"/>
                <w:szCs w:val="21"/>
                <w:highlight w:val="none"/>
              </w:rPr>
              <w:t>单位名称：</w:t>
            </w:r>
            <w:r>
              <w:rPr>
                <w:rFonts w:hint="eastAsia" w:ascii="宋体" w:hAnsi="宋体" w:cs="宋体"/>
                <w:snapToGrid w:val="0"/>
                <w:color w:val="auto"/>
                <w:kern w:val="0"/>
                <w:szCs w:val="21"/>
                <w:highlight w:val="none"/>
                <w:u w:val="single"/>
              </w:rPr>
              <w:t xml:space="preserve">                </w:t>
            </w:r>
          </w:p>
          <w:p w14:paraId="5502C4F9">
            <w:pPr>
              <w:snapToGrid w:val="0"/>
              <w:spacing w:line="324"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地   址：</w:t>
            </w:r>
            <w:r>
              <w:rPr>
                <w:rFonts w:hint="eastAsia" w:ascii="宋体" w:hAnsi="宋体" w:cs="宋体"/>
                <w:snapToGrid w:val="0"/>
                <w:color w:val="auto"/>
                <w:kern w:val="0"/>
                <w:szCs w:val="21"/>
                <w:highlight w:val="none"/>
                <w:u w:val="single"/>
              </w:rPr>
              <w:t xml:space="preserve">                     </w:t>
            </w:r>
          </w:p>
          <w:p w14:paraId="7F3595A2">
            <w:pPr>
              <w:snapToGrid w:val="0"/>
              <w:spacing w:line="324" w:lineRule="auto"/>
              <w:ind w:firstLine="420" w:firstLineChars="200"/>
              <w:rPr>
                <w:rFonts w:ascii="宋体" w:hAnsi="宋体" w:cs="宋体"/>
                <w:snapToGrid w:val="0"/>
                <w:color w:val="auto"/>
                <w:kern w:val="0"/>
                <w:szCs w:val="21"/>
                <w:highlight w:val="none"/>
                <w:u w:val="single"/>
              </w:rPr>
            </w:pPr>
            <w:r>
              <w:rPr>
                <w:rFonts w:hint="eastAsia" w:ascii="宋体" w:hAnsi="宋体" w:cs="宋体"/>
                <w:snapToGrid w:val="0"/>
                <w:color w:val="auto"/>
                <w:kern w:val="0"/>
                <w:szCs w:val="21"/>
                <w:highlight w:val="none"/>
              </w:rPr>
              <w:t>电   话：</w:t>
            </w:r>
            <w:r>
              <w:rPr>
                <w:rFonts w:hint="eastAsia" w:ascii="宋体" w:hAnsi="宋体" w:cs="宋体"/>
                <w:snapToGrid w:val="0"/>
                <w:color w:val="auto"/>
                <w:kern w:val="0"/>
                <w:szCs w:val="21"/>
                <w:highlight w:val="none"/>
                <w:u w:val="single"/>
              </w:rPr>
              <w:t xml:space="preserve">                 </w:t>
            </w:r>
          </w:p>
          <w:p w14:paraId="5DA15D01">
            <w:pPr>
              <w:snapToGrid w:val="0"/>
              <w:spacing w:line="324"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传   真：</w:t>
            </w:r>
            <w:r>
              <w:rPr>
                <w:rFonts w:hint="eastAsia" w:ascii="宋体" w:hAnsi="宋体" w:cs="宋体"/>
                <w:snapToGrid w:val="0"/>
                <w:color w:val="auto"/>
                <w:kern w:val="0"/>
                <w:szCs w:val="21"/>
                <w:highlight w:val="none"/>
                <w:u w:val="single"/>
              </w:rPr>
              <w:t xml:space="preserve">                    </w:t>
            </w:r>
          </w:p>
          <w:p w14:paraId="44AED8B0">
            <w:pPr>
              <w:tabs>
                <w:tab w:val="left" w:pos="480"/>
              </w:tabs>
              <w:adjustRightInd w:val="0"/>
              <w:snapToGrid w:val="0"/>
              <w:spacing w:line="324" w:lineRule="auto"/>
              <w:ind w:firstLine="420" w:firstLineChars="200"/>
              <w:rPr>
                <w:rFonts w:hint="eastAsia" w:ascii="宋体" w:hAnsi="宋体" w:cs="宋体"/>
                <w:snapToGrid w:val="0"/>
                <w:color w:val="auto"/>
                <w:kern w:val="0"/>
                <w:szCs w:val="21"/>
                <w:highlight w:val="none"/>
                <w:u w:val="single"/>
              </w:rPr>
            </w:pPr>
            <w:r>
              <w:rPr>
                <w:rFonts w:hint="eastAsia" w:ascii="宋体" w:hAnsi="宋体" w:cs="宋体"/>
                <w:snapToGrid w:val="0"/>
                <w:color w:val="auto"/>
                <w:kern w:val="0"/>
                <w:szCs w:val="21"/>
                <w:highlight w:val="none"/>
              </w:rPr>
              <w:t>邮   编：</w:t>
            </w:r>
            <w:r>
              <w:rPr>
                <w:rFonts w:hint="eastAsia" w:ascii="宋体" w:hAnsi="宋体" w:cs="宋体"/>
                <w:snapToGrid w:val="0"/>
                <w:color w:val="auto"/>
                <w:kern w:val="0"/>
                <w:szCs w:val="21"/>
                <w:highlight w:val="none"/>
                <w:u w:val="single"/>
              </w:rPr>
              <w:t xml:space="preserve">                 </w:t>
            </w:r>
          </w:p>
          <w:p w14:paraId="6A00C05E">
            <w:pPr>
              <w:pStyle w:val="17"/>
              <w:wordWrap w:val="0"/>
              <w:spacing w:before="120" w:beforeLines="50" w:line="300" w:lineRule="auto"/>
              <w:ind w:firstLine="420" w:firstLineChars="200"/>
              <w:jc w:val="left"/>
              <w:rPr>
                <w:rFonts w:hint="eastAsia" w:hAnsi="宋体" w:cs="宋体"/>
                <w:color w:val="auto"/>
                <w:sz w:val="21"/>
                <w:szCs w:val="21"/>
                <w:highlight w:val="none"/>
                <w:shd w:val="clear" w:color="auto" w:fill="auto"/>
              </w:rPr>
            </w:pPr>
            <w:r>
              <w:rPr>
                <w:rFonts w:hint="eastAsia" w:hAnsi="宋体" w:cs="宋体"/>
                <w:color w:val="auto"/>
                <w:sz w:val="21"/>
                <w:szCs w:val="21"/>
                <w:highlight w:val="none"/>
                <w:shd w:val="clear" w:color="auto" w:fill="auto"/>
              </w:rPr>
              <w:t>投标人或者其他利害关系人认为招标投标活动不符合法律行政法规规定的，可以自知道或应当知道之日起10日内向有关行政监督部门投诉。依照有关行政法规提出异议的，异议答复期间不计算在内。投诉人的投诉应符合《工程建设项目招标投标活动投诉处理办法》（国家发改委等七部委2004年第11号令，根据2013年3月11日国家发展和改革委员会、工业和信息化部、财政部等令第23号修订）的规定，否则不予受理。对恶意虚假投诉的，将报请省交通运输厅按有关规定进行处理。</w:t>
            </w:r>
          </w:p>
          <w:p w14:paraId="57440446">
            <w:pPr>
              <w:pStyle w:val="2"/>
              <w:ind w:firstLine="420" w:firstLineChars="200"/>
              <w:rPr>
                <w:color w:val="auto"/>
                <w:highlight w:val="none"/>
              </w:rPr>
            </w:pPr>
            <w:r>
              <w:rPr>
                <w:rFonts w:hint="eastAsia" w:ascii="Calibri" w:hAnsi="宋体" w:eastAsia="宋体" w:cs="宋体"/>
                <w:color w:val="auto"/>
                <w:sz w:val="21"/>
                <w:szCs w:val="21"/>
                <w:highlight w:val="none"/>
                <w:shd w:val="clear" w:color="auto" w:fill="auto"/>
              </w:rPr>
              <w:t>根据福建省交通运输厅《关于规范公路水运工程招投标线上投诉有关事项的通知》（闽交建函〔2020〕72号）规定，投诉以在线上投诉处理为原则，线下投诉处理为例外，投诉人应当在法定时限内通过在线监管平台如实填写投诉信息，应当有明确的请求和必要的证明材料。福建省公共资源交易电子行政监督平台：</w:t>
            </w:r>
            <w:r>
              <w:rPr>
                <w:rFonts w:hint="eastAsia" w:ascii="Calibri" w:hAnsi="宋体" w:eastAsia="宋体" w:cs="宋体"/>
                <w:color w:val="auto"/>
                <w:szCs w:val="21"/>
                <w:highlight w:val="none"/>
                <w:shd w:val="clear" w:color="auto" w:fill="auto"/>
              </w:rPr>
              <w:t>https://ggzyjd.fujian.gov.cn/</w:t>
            </w:r>
            <w:r>
              <w:rPr>
                <w:rFonts w:hint="eastAsia" w:ascii="Calibri" w:hAnsi="宋体" w:eastAsia="宋体" w:cs="宋体"/>
                <w:color w:val="auto"/>
                <w:sz w:val="21"/>
                <w:szCs w:val="21"/>
                <w:highlight w:val="none"/>
                <w:shd w:val="clear" w:color="auto" w:fill="auto"/>
                <w:lang w:eastAsia="zh-CN"/>
              </w:rPr>
              <w:t>。</w:t>
            </w:r>
          </w:p>
        </w:tc>
      </w:tr>
      <w:tr w14:paraId="2882A7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Align w:val="center"/>
          </w:tcPr>
          <w:p w14:paraId="5742D46F">
            <w:pPr>
              <w:pStyle w:val="42"/>
              <w:spacing w:line="360" w:lineRule="exact"/>
              <w:ind w:firstLine="0" w:firstLineChars="0"/>
              <w:jc w:val="center"/>
              <w:rPr>
                <w:color w:val="auto"/>
                <w:szCs w:val="21"/>
                <w:highlight w:val="none"/>
              </w:rPr>
            </w:pPr>
            <w:r>
              <w:rPr>
                <w:rFonts w:hint="eastAsia"/>
                <w:color w:val="auto"/>
                <w:szCs w:val="21"/>
                <w:highlight w:val="none"/>
              </w:rPr>
              <w:t>10</w:t>
            </w:r>
          </w:p>
        </w:tc>
        <w:tc>
          <w:tcPr>
            <w:tcW w:w="2880" w:type="dxa"/>
            <w:vAlign w:val="center"/>
          </w:tcPr>
          <w:p w14:paraId="51763DEB">
            <w:pPr>
              <w:spacing w:line="360" w:lineRule="exact"/>
              <w:ind w:firstLine="420" w:firstLineChars="200"/>
              <w:rPr>
                <w:color w:val="auto"/>
                <w:szCs w:val="21"/>
                <w:highlight w:val="none"/>
              </w:rPr>
            </w:pPr>
            <w:r>
              <w:rPr>
                <w:rFonts w:hint="eastAsia" w:ascii="宋体" w:hAnsi="宋体" w:cs="宋体"/>
                <w:color w:val="auto"/>
                <w:szCs w:val="21"/>
                <w:highlight w:val="none"/>
              </w:rPr>
              <w:t>需要补充的其他内容：</w:t>
            </w:r>
          </w:p>
        </w:tc>
        <w:tc>
          <w:tcPr>
            <w:tcW w:w="5718" w:type="dxa"/>
            <w:vAlign w:val="center"/>
          </w:tcPr>
          <w:p w14:paraId="5ED1272B">
            <w:pPr>
              <w:numPr>
                <w:ilvl w:val="-1"/>
                <w:numId w:val="0"/>
              </w:numPr>
              <w:wordWrap/>
              <w:adjustRightInd w:val="0"/>
              <w:snapToGrid w:val="0"/>
              <w:spacing w:before="32" w:beforeLines="10" w:afterLines="0" w:line="25" w:lineRule="atLeast"/>
              <w:ind w:firstLine="420" w:firstLineChars="200"/>
              <w:jc w:val="left"/>
              <w:textAlignment w:val="center"/>
              <w:rPr>
                <w:rFonts w:hint="eastAsia" w:ascii="宋体" w:hAnsi="宋体" w:cs="宋体"/>
                <w:b w:val="0"/>
                <w:bCs w:val="0"/>
                <w:color w:val="auto"/>
                <w:szCs w:val="21"/>
                <w:highlight w:val="none"/>
                <w:shd w:val="clear" w:color="auto" w:fill="auto"/>
              </w:rPr>
            </w:pPr>
            <w:r>
              <w:rPr>
                <w:rFonts w:hint="eastAsia" w:ascii="宋体" w:hAnsi="宋体"/>
                <w:snapToGrid w:val="0"/>
                <w:color w:val="auto"/>
                <w:kern w:val="0"/>
                <w:szCs w:val="21"/>
                <w:highlight w:val="none"/>
              </w:rPr>
              <w:t>10.</w:t>
            </w:r>
            <w:r>
              <w:rPr>
                <w:rFonts w:hint="eastAsia" w:ascii="宋体" w:hAnsi="宋体"/>
                <w:snapToGrid w:val="0"/>
                <w:color w:val="auto"/>
                <w:kern w:val="0"/>
                <w:szCs w:val="21"/>
                <w:highlight w:val="none"/>
                <w:lang w:val="en-US" w:eastAsia="zh-CN"/>
              </w:rPr>
              <w:t>3</w:t>
            </w:r>
            <w:r>
              <w:rPr>
                <w:rFonts w:hint="eastAsia" w:ascii="宋体" w:hAnsi="宋体" w:cs="宋体"/>
                <w:b w:val="0"/>
                <w:bCs w:val="0"/>
                <w:color w:val="auto"/>
                <w:szCs w:val="21"/>
                <w:highlight w:val="none"/>
                <w:shd w:val="clear" w:color="auto" w:fill="auto"/>
                <w:lang w:val="en-US" w:eastAsia="zh-CN"/>
              </w:rPr>
              <w:t>投标人</w:t>
            </w:r>
            <w:r>
              <w:rPr>
                <w:rFonts w:hint="eastAsia" w:ascii="宋体" w:hAnsi="宋体" w:cs="宋体"/>
                <w:b w:val="0"/>
                <w:bCs w:val="0"/>
                <w:color w:val="auto"/>
                <w:szCs w:val="21"/>
                <w:highlight w:val="none"/>
                <w:shd w:val="clear" w:color="auto" w:fill="auto"/>
              </w:rPr>
              <w:t>福建省交通建设市场信用考核评价结果</w:t>
            </w:r>
          </w:p>
          <w:p w14:paraId="623ED05F">
            <w:pPr>
              <w:numPr>
                <w:ilvl w:val="-1"/>
                <w:numId w:val="0"/>
              </w:numPr>
              <w:wordWrap/>
              <w:adjustRightInd w:val="0"/>
              <w:snapToGrid w:val="0"/>
              <w:spacing w:before="32" w:beforeLines="10" w:afterLines="0" w:line="25" w:lineRule="atLeast"/>
              <w:ind w:firstLine="420" w:firstLineChars="200"/>
              <w:jc w:val="left"/>
              <w:textAlignment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福建省交通建设市场信用考核评价结果以在“信用交通·福建”（http://220.160.53.3:30050/gzwz/）网站的公示结果为准</w:t>
            </w:r>
            <w:r>
              <w:rPr>
                <w:rFonts w:hint="eastAsia" w:ascii="宋体" w:hAnsi="宋体" w:cs="宋体"/>
                <w:color w:val="auto"/>
                <w:szCs w:val="21"/>
                <w:highlight w:val="none"/>
                <w:shd w:val="clear" w:color="auto" w:fill="auto"/>
                <w:lang w:val="en-US" w:eastAsia="zh-CN"/>
              </w:rPr>
              <w:t>。</w:t>
            </w:r>
          </w:p>
          <w:p w14:paraId="38B7B898">
            <w:pPr>
              <w:numPr>
                <w:ilvl w:val="-1"/>
                <w:numId w:val="0"/>
              </w:numPr>
              <w:wordWrap/>
              <w:adjustRightInd w:val="0"/>
              <w:snapToGrid w:val="0"/>
              <w:spacing w:before="32" w:beforeLines="10" w:afterLines="0" w:line="25" w:lineRule="atLeast"/>
              <w:ind w:firstLine="420" w:firstLineChars="200"/>
              <w:jc w:val="left"/>
              <w:textAlignment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eastAsia="zh-CN"/>
              </w:rPr>
              <w:t>（</w:t>
            </w:r>
            <w:r>
              <w:rPr>
                <w:rFonts w:hint="eastAsia" w:ascii="宋体" w:hAnsi="宋体" w:cs="宋体"/>
                <w:color w:val="auto"/>
                <w:szCs w:val="21"/>
                <w:highlight w:val="none"/>
                <w:shd w:val="clear" w:color="auto" w:fill="auto"/>
                <w:lang w:val="en-US" w:eastAsia="zh-CN"/>
              </w:rPr>
              <w:t>1</w:t>
            </w:r>
            <w:r>
              <w:rPr>
                <w:rFonts w:hint="eastAsia" w:ascii="宋体" w:hAnsi="宋体" w:cs="宋体"/>
                <w:color w:val="auto"/>
                <w:szCs w:val="21"/>
                <w:highlight w:val="none"/>
                <w:shd w:val="clear" w:color="auto" w:fill="auto"/>
                <w:lang w:eastAsia="zh-CN"/>
              </w:rPr>
              <w:t>）</w:t>
            </w:r>
            <w:r>
              <w:rPr>
                <w:rFonts w:hint="eastAsia" w:ascii="宋体" w:hAnsi="宋体" w:cs="宋体"/>
                <w:color w:val="auto"/>
                <w:szCs w:val="21"/>
                <w:highlight w:val="none"/>
                <w:shd w:val="clear" w:color="auto" w:fill="auto"/>
              </w:rPr>
              <w:t>本招标项目使用福建省交通运输厅最新公布的（</w:t>
            </w:r>
            <w:r>
              <w:rPr>
                <w:rFonts w:hint="eastAsia" w:ascii="宋体" w:hAnsi="宋体" w:cs="宋体"/>
                <w:color w:val="auto"/>
                <w:szCs w:val="21"/>
                <w:highlight w:val="none"/>
                <w:shd w:val="clear" w:color="auto" w:fill="auto"/>
                <w:lang w:val="en-US" w:eastAsia="zh-CN"/>
              </w:rPr>
              <w:t>水运工程</w:t>
            </w:r>
            <w:r>
              <w:rPr>
                <w:rFonts w:hint="eastAsia" w:ascii="宋体" w:hAnsi="宋体" w:cs="宋体"/>
                <w:color w:val="auto"/>
                <w:szCs w:val="21"/>
                <w:highlight w:val="none"/>
                <w:shd w:val="clear" w:color="auto" w:fill="auto"/>
              </w:rPr>
              <w:t>）施工从业单位及主要从业人员信用考核结果。</w:t>
            </w:r>
          </w:p>
          <w:p w14:paraId="42A094EA">
            <w:pPr>
              <w:numPr>
                <w:ilvl w:val="0"/>
                <w:numId w:val="0"/>
              </w:numPr>
              <w:adjustRightInd w:val="0"/>
              <w:snapToGrid w:val="0"/>
              <w:spacing w:before="32" w:beforeLines="10" w:after="0" w:afterLines="0" w:line="25" w:lineRule="atLeast"/>
              <w:ind w:firstLine="420" w:firstLineChars="200"/>
              <w:jc w:val="left"/>
              <w:textAlignment w:val="center"/>
              <w:rPr>
                <w:rFonts w:ascii="宋体" w:hAnsi="宋体"/>
                <w:snapToGrid w:val="0"/>
                <w:color w:val="auto"/>
                <w:kern w:val="0"/>
                <w:szCs w:val="21"/>
                <w:highlight w:val="none"/>
              </w:rPr>
            </w:pPr>
            <w:r>
              <w:rPr>
                <w:rFonts w:hint="eastAsia" w:ascii="宋体" w:hAnsi="宋体" w:cs="宋体"/>
                <w:color w:val="auto"/>
                <w:szCs w:val="21"/>
                <w:highlight w:val="none"/>
                <w:shd w:val="clear" w:color="auto" w:fill="auto"/>
                <w:lang w:eastAsia="zh-CN"/>
              </w:rPr>
              <w:t>（</w:t>
            </w:r>
            <w:r>
              <w:rPr>
                <w:rFonts w:hint="eastAsia" w:ascii="宋体" w:hAnsi="宋体" w:cs="宋体"/>
                <w:color w:val="auto"/>
                <w:szCs w:val="21"/>
                <w:highlight w:val="none"/>
                <w:shd w:val="clear" w:color="auto" w:fill="auto"/>
                <w:lang w:val="en-US" w:eastAsia="zh-CN"/>
              </w:rPr>
              <w:t>2</w:t>
            </w:r>
            <w:r>
              <w:rPr>
                <w:rFonts w:hint="eastAsia" w:ascii="宋体" w:hAnsi="宋体" w:cs="宋体"/>
                <w:color w:val="auto"/>
                <w:szCs w:val="21"/>
                <w:highlight w:val="none"/>
                <w:shd w:val="clear" w:color="auto" w:fill="auto"/>
                <w:lang w:eastAsia="zh-CN"/>
              </w:rPr>
              <w:t>）</w:t>
            </w:r>
            <w:r>
              <w:rPr>
                <w:rFonts w:hint="eastAsia" w:ascii="宋体" w:hAnsi="宋体" w:cs="宋体"/>
                <w:color w:val="auto"/>
                <w:szCs w:val="21"/>
                <w:highlight w:val="none"/>
                <w:shd w:val="clear" w:color="auto" w:fill="auto"/>
              </w:rPr>
              <w:t>福建省交通建设市场信用考核评价结果以招标项目截标时在“信用交通·福建”（http://220.160.53.3:30050/gzwz/）网站</w:t>
            </w:r>
            <w:r>
              <w:rPr>
                <w:rFonts w:hint="eastAsia" w:ascii="宋体" w:hAnsi="宋体" w:cs="宋体"/>
                <w:color w:val="auto"/>
                <w:szCs w:val="21"/>
                <w:highlight w:val="none"/>
                <w:shd w:val="clear" w:color="auto" w:fill="auto"/>
                <w:lang w:val="en-US" w:eastAsia="zh-CN"/>
              </w:rPr>
              <w:t>发布的最新日期</w:t>
            </w:r>
            <w:r>
              <w:rPr>
                <w:rFonts w:hint="eastAsia" w:ascii="宋体" w:hAnsi="宋体" w:cs="宋体"/>
                <w:color w:val="auto"/>
                <w:szCs w:val="21"/>
                <w:highlight w:val="none"/>
                <w:shd w:val="clear" w:color="auto" w:fill="auto"/>
              </w:rPr>
              <w:t>的数据为准。项目截标后不论何种原因变更的信用评价信息，不在变更前已截标的招投标项目中使用。</w:t>
            </w:r>
          </w:p>
          <w:p w14:paraId="0D8E9799">
            <w:pPr>
              <w:tabs>
                <w:tab w:val="left" w:pos="480"/>
              </w:tabs>
              <w:adjustRightInd w:val="0"/>
              <w:snapToGrid w:val="0"/>
              <w:spacing w:line="324" w:lineRule="auto"/>
              <w:ind w:firstLine="420" w:firstLineChars="200"/>
              <w:rPr>
                <w:rFonts w:ascii="宋体" w:hAnsi="宋体" w:cs="宋体"/>
                <w:snapToGrid w:val="0"/>
                <w:color w:val="auto"/>
                <w:kern w:val="0"/>
                <w:szCs w:val="21"/>
                <w:highlight w:val="none"/>
              </w:rPr>
            </w:pPr>
            <w:r>
              <w:rPr>
                <w:rFonts w:hint="eastAsia" w:ascii="宋体" w:hAnsi="宋体"/>
                <w:snapToGrid w:val="0"/>
                <w:color w:val="auto"/>
                <w:kern w:val="0"/>
                <w:szCs w:val="21"/>
                <w:highlight w:val="none"/>
              </w:rPr>
              <w:t>10.</w:t>
            </w:r>
            <w:r>
              <w:rPr>
                <w:rFonts w:hint="eastAsia" w:ascii="宋体" w:hAnsi="宋体"/>
                <w:snapToGrid w:val="0"/>
                <w:color w:val="auto"/>
                <w:kern w:val="0"/>
                <w:szCs w:val="21"/>
                <w:highlight w:val="none"/>
                <w:lang w:val="en-US" w:eastAsia="zh-CN"/>
              </w:rPr>
              <w:t>4</w:t>
            </w:r>
            <w:r>
              <w:rPr>
                <w:rFonts w:hint="eastAsia" w:ascii="宋体" w:hAnsi="宋体"/>
                <w:snapToGrid w:val="0"/>
                <w:color w:val="auto"/>
                <w:kern w:val="0"/>
                <w:szCs w:val="21"/>
                <w:highlight w:val="none"/>
              </w:rPr>
              <w:t xml:space="preserve"> 其他要求……</w:t>
            </w:r>
          </w:p>
        </w:tc>
      </w:tr>
    </w:tbl>
    <w:p w14:paraId="708BA570">
      <w:pPr>
        <w:rPr>
          <w:rStyle w:val="55"/>
          <w:rFonts w:ascii="宋体" w:hAnsi="宋体"/>
          <w:color w:val="auto"/>
          <w:sz w:val="24"/>
          <w:szCs w:val="24"/>
          <w:highlight w:val="none"/>
        </w:rPr>
      </w:pPr>
      <w:r>
        <w:rPr>
          <w:rFonts w:hint="eastAsia"/>
          <w:color w:val="auto"/>
          <w:sz w:val="24"/>
          <w:highlight w:val="none"/>
        </w:rPr>
        <w:br w:type="page"/>
      </w:r>
    </w:p>
    <w:p w14:paraId="39D32C86">
      <w:pPr>
        <w:jc w:val="left"/>
        <w:rPr>
          <w:rStyle w:val="55"/>
          <w:rFonts w:ascii="宋体" w:hAnsi="宋体"/>
          <w:color w:val="auto"/>
          <w:sz w:val="24"/>
          <w:szCs w:val="24"/>
          <w:highlight w:val="none"/>
        </w:rPr>
      </w:pPr>
    </w:p>
    <w:p w14:paraId="2DBEAE89">
      <w:pPr>
        <w:pStyle w:val="5"/>
        <w:jc w:val="center"/>
        <w:rPr>
          <w:rFonts w:ascii="宋体" w:hAnsi="宋体"/>
          <w:color w:val="auto"/>
          <w:highlight w:val="none"/>
        </w:rPr>
      </w:pPr>
      <w:bookmarkStart w:id="26" w:name="_Toc488650772"/>
      <w:bookmarkStart w:id="27" w:name="_Toc382997648"/>
      <w:bookmarkStart w:id="28" w:name="_Toc445392822"/>
      <w:bookmarkStart w:id="29" w:name="_Toc19612"/>
      <w:r>
        <w:rPr>
          <w:rFonts w:hint="eastAsia" w:ascii="宋体" w:hAnsi="宋体"/>
          <w:color w:val="auto"/>
          <w:highlight w:val="none"/>
        </w:rPr>
        <w:t>附件1 资格审查条件(资质条件)</w:t>
      </w:r>
      <w:bookmarkEnd w:id="26"/>
      <w:bookmarkEnd w:id="27"/>
      <w:bookmarkEnd w:id="28"/>
      <w:bookmarkEnd w:id="29"/>
    </w:p>
    <w:p w14:paraId="730BCA1D">
      <w:pPr>
        <w:rPr>
          <w:rFonts w:ascii="宋体" w:hAnsi="宋体"/>
          <w:color w:val="auto"/>
          <w:highlight w:val="none"/>
        </w:rPr>
      </w:pPr>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897"/>
      </w:tblGrid>
      <w:tr w14:paraId="2BE5A5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9" w:hRule="atLeast"/>
          <w:jc w:val="center"/>
        </w:trPr>
        <w:tc>
          <w:tcPr>
            <w:tcW w:w="8897" w:type="dxa"/>
            <w:vAlign w:val="center"/>
          </w:tcPr>
          <w:p w14:paraId="156E914A">
            <w:pPr>
              <w:jc w:val="center"/>
              <w:rPr>
                <w:rFonts w:ascii="宋体" w:hAnsi="宋体"/>
                <w:bCs/>
                <w:color w:val="auto"/>
                <w:szCs w:val="21"/>
                <w:highlight w:val="none"/>
              </w:rPr>
            </w:pPr>
            <w:r>
              <w:rPr>
                <w:rFonts w:hint="eastAsia" w:ascii="宋体" w:hAnsi="宋体"/>
                <w:b/>
                <w:color w:val="auto"/>
                <w:sz w:val="24"/>
                <w:highlight w:val="none"/>
              </w:rPr>
              <w:t>资质条件要求</w:t>
            </w:r>
          </w:p>
        </w:tc>
      </w:tr>
      <w:tr w14:paraId="75D8E3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897" w:type="dxa"/>
            <w:vAlign w:val="center"/>
          </w:tcPr>
          <w:p w14:paraId="1FED54BC">
            <w:pPr>
              <w:spacing w:line="440" w:lineRule="exact"/>
              <w:ind w:left="105" w:hanging="105" w:hangingChars="50"/>
              <w:jc w:val="left"/>
              <w:rPr>
                <w:rFonts w:ascii="宋体" w:hAnsi="宋体"/>
                <w:color w:val="auto"/>
                <w:szCs w:val="21"/>
                <w:highlight w:val="none"/>
                <w:u w:val="single"/>
              </w:rPr>
            </w:pPr>
            <w:r>
              <w:rPr>
                <w:rFonts w:hint="eastAsia" w:ascii="宋体" w:hAnsi="宋体"/>
                <w:color w:val="auto"/>
                <w:szCs w:val="21"/>
                <w:highlight w:val="none"/>
              </w:rPr>
              <w:t>1、</w:t>
            </w:r>
            <w:r>
              <w:rPr>
                <w:rFonts w:hint="eastAsia" w:ascii="宋体" w:hAnsi="宋体"/>
                <w:color w:val="auto"/>
                <w:highlight w:val="none"/>
              </w:rPr>
              <w:t>具有</w:t>
            </w:r>
            <w:r>
              <w:rPr>
                <w:rFonts w:hint="eastAsia" w:ascii="宋体" w:hAnsi="宋体"/>
                <w:color w:val="auto"/>
                <w:highlight w:val="none"/>
                <w:u w:val="single"/>
              </w:rPr>
              <w:t xml:space="preserve">         </w:t>
            </w:r>
            <w:r>
              <w:rPr>
                <w:rFonts w:hint="eastAsia" w:ascii="宋体" w:hAnsi="宋体"/>
                <w:color w:val="auto"/>
                <w:highlight w:val="none"/>
              </w:rPr>
              <w:t>资质等级证书。</w:t>
            </w:r>
          </w:p>
          <w:p w14:paraId="4806BE8B">
            <w:pPr>
              <w:spacing w:line="440" w:lineRule="exact"/>
              <w:rPr>
                <w:rFonts w:ascii="宋体" w:hAnsi="宋体"/>
                <w:color w:val="auto"/>
                <w:highlight w:val="none"/>
              </w:rPr>
            </w:pPr>
            <w:r>
              <w:rPr>
                <w:rFonts w:hint="eastAsia" w:ascii="宋体" w:hAnsi="宋体"/>
                <w:color w:val="auto"/>
                <w:szCs w:val="21"/>
                <w:highlight w:val="none"/>
              </w:rPr>
              <w:t>2、具备独立法人资格、具有有效的营业执照。</w:t>
            </w:r>
          </w:p>
          <w:p w14:paraId="7BB40D56">
            <w:pPr>
              <w:spacing w:line="440" w:lineRule="exact"/>
              <w:rPr>
                <w:rFonts w:ascii="宋体" w:hAnsi="宋体"/>
                <w:color w:val="auto"/>
                <w:szCs w:val="21"/>
                <w:highlight w:val="none"/>
              </w:rPr>
            </w:pPr>
            <w:r>
              <w:rPr>
                <w:rFonts w:hint="eastAsia" w:ascii="宋体" w:hAnsi="宋体"/>
                <w:color w:val="auto"/>
                <w:szCs w:val="21"/>
                <w:highlight w:val="none"/>
              </w:rPr>
              <w:t>3、本招标项目</w:t>
            </w:r>
            <w:r>
              <w:rPr>
                <w:rFonts w:hint="eastAsia" w:ascii="宋体" w:hAnsi="宋体"/>
                <w:b/>
                <w:color w:val="auto"/>
                <w:szCs w:val="21"/>
                <w:highlight w:val="none"/>
                <w:u w:val="single"/>
              </w:rPr>
              <w:t xml:space="preserve">  </w:t>
            </w:r>
            <w:r>
              <w:rPr>
                <w:rFonts w:hint="eastAsia" w:ascii="宋体" w:hAnsi="宋体"/>
                <w:color w:val="auto"/>
                <w:szCs w:val="21"/>
                <w:highlight w:val="none"/>
                <w:u w:val="single"/>
              </w:rPr>
              <w:t>（接受或不接受，要求两种及以上不同专业资质要求的，不得出现“不接受”联合体投标词汇。）</w:t>
            </w:r>
            <w:r>
              <w:rPr>
                <w:rFonts w:hint="eastAsia" w:ascii="宋体" w:hAnsi="宋体"/>
                <w:b/>
                <w:color w:val="auto"/>
                <w:szCs w:val="21"/>
                <w:highlight w:val="none"/>
                <w:u w:val="single"/>
              </w:rPr>
              <w:t xml:space="preserve">  </w:t>
            </w:r>
            <w:r>
              <w:rPr>
                <w:rFonts w:hint="eastAsia" w:ascii="宋体" w:hAnsi="宋体"/>
                <w:color w:val="auto"/>
                <w:szCs w:val="21"/>
                <w:highlight w:val="none"/>
              </w:rPr>
              <w:t>联合体投标。</w:t>
            </w:r>
          </w:p>
        </w:tc>
      </w:tr>
    </w:tbl>
    <w:p w14:paraId="3FF3BA96">
      <w:pPr>
        <w:rPr>
          <w:rFonts w:ascii="宋体" w:hAnsi="宋体"/>
          <w:snapToGrid w:val="0"/>
          <w:color w:val="auto"/>
          <w:kern w:val="0"/>
          <w:highlight w:val="none"/>
        </w:rPr>
      </w:pPr>
      <w:r>
        <w:rPr>
          <w:rFonts w:hint="eastAsia" w:ascii="宋体" w:hAnsi="宋体"/>
          <w:snapToGrid w:val="0"/>
          <w:color w:val="auto"/>
          <w:kern w:val="0"/>
          <w:highlight w:val="none"/>
        </w:rPr>
        <w:t>注：</w:t>
      </w:r>
      <w:r>
        <w:rPr>
          <w:rFonts w:hint="eastAsia" w:ascii="宋体" w:hAnsi="宋体" w:cs="宋体"/>
          <w:color w:val="auto"/>
          <w:szCs w:val="18"/>
          <w:highlight w:val="none"/>
        </w:rPr>
        <w:t>具体资质要求由招标人在满足国家相关法律法规前提下，根据招标项目具体特点和实际情况确定，不得设定与项目等级不相应、过高的资质要求。企业资质等级的选择以交通运输部最新发布的资质等级划分标准为准。</w:t>
      </w:r>
    </w:p>
    <w:p w14:paraId="1460A3AA">
      <w:pPr>
        <w:autoSpaceDE w:val="0"/>
        <w:autoSpaceDN w:val="0"/>
        <w:spacing w:line="300" w:lineRule="auto"/>
        <w:textAlignment w:val="bottom"/>
        <w:rPr>
          <w:rFonts w:ascii="宋体" w:hAnsi="宋体"/>
          <w:b/>
          <w:bCs/>
          <w:color w:val="auto"/>
          <w:sz w:val="24"/>
          <w:highlight w:val="none"/>
        </w:rPr>
      </w:pPr>
    </w:p>
    <w:p w14:paraId="2DFEDBBF">
      <w:pPr>
        <w:pStyle w:val="5"/>
        <w:jc w:val="center"/>
        <w:rPr>
          <w:rFonts w:ascii="宋体" w:hAnsi="宋体"/>
          <w:color w:val="auto"/>
          <w:highlight w:val="none"/>
        </w:rPr>
      </w:pPr>
      <w:bookmarkStart w:id="30" w:name="_Toc488650773"/>
      <w:r>
        <w:rPr>
          <w:rFonts w:hint="eastAsia" w:ascii="宋体" w:hAnsi="宋体"/>
          <w:color w:val="auto"/>
          <w:highlight w:val="none"/>
        </w:rPr>
        <w:t>附件2 资格审查条件(业绩要求)</w:t>
      </w:r>
      <w:bookmarkEnd w:id="30"/>
    </w:p>
    <w:p w14:paraId="77EDDAF3">
      <w:pPr>
        <w:rPr>
          <w:color w:val="auto"/>
          <w:highlight w:val="none"/>
        </w:rPr>
      </w:pPr>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755"/>
      </w:tblGrid>
      <w:tr w14:paraId="3492A1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1" w:hRule="atLeast"/>
          <w:jc w:val="center"/>
        </w:trPr>
        <w:tc>
          <w:tcPr>
            <w:tcW w:w="8755" w:type="dxa"/>
            <w:vAlign w:val="center"/>
          </w:tcPr>
          <w:p w14:paraId="0B9A89E4">
            <w:pPr>
              <w:jc w:val="center"/>
              <w:rPr>
                <w:rFonts w:ascii="宋体" w:hAnsi="宋体"/>
                <w:b/>
                <w:color w:val="auto"/>
                <w:sz w:val="24"/>
                <w:highlight w:val="none"/>
              </w:rPr>
            </w:pPr>
            <w:r>
              <w:rPr>
                <w:rFonts w:hint="eastAsia" w:ascii="宋体" w:hAnsi="宋体"/>
                <w:b/>
                <w:color w:val="auto"/>
                <w:sz w:val="24"/>
                <w:highlight w:val="none"/>
              </w:rPr>
              <w:t>业绩要求</w:t>
            </w:r>
          </w:p>
        </w:tc>
      </w:tr>
      <w:tr w14:paraId="006F8B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4" w:hRule="atLeast"/>
          <w:jc w:val="center"/>
        </w:trPr>
        <w:tc>
          <w:tcPr>
            <w:tcW w:w="8755" w:type="dxa"/>
          </w:tcPr>
          <w:p w14:paraId="7AADB6ED">
            <w:pPr>
              <w:spacing w:line="440" w:lineRule="exact"/>
              <w:ind w:firstLine="482" w:firstLineChars="200"/>
              <w:rPr>
                <w:rFonts w:ascii="宋体" w:hAnsi="宋体"/>
                <w:b/>
                <w:bCs/>
                <w:color w:val="auto"/>
                <w:sz w:val="24"/>
                <w:highlight w:val="none"/>
                <w:u w:val="single"/>
              </w:rPr>
            </w:pPr>
          </w:p>
        </w:tc>
      </w:tr>
    </w:tbl>
    <w:p w14:paraId="09ED845E">
      <w:pPr>
        <w:ind w:firstLine="420" w:firstLineChars="200"/>
        <w:rPr>
          <w:rFonts w:ascii="宋体" w:hAnsi="宋体" w:cs="宋体"/>
          <w:color w:val="auto"/>
          <w:szCs w:val="21"/>
          <w:highlight w:val="none"/>
        </w:rPr>
      </w:pPr>
      <w:r>
        <w:rPr>
          <w:rFonts w:hint="eastAsia" w:ascii="宋体" w:hAnsi="宋体" w:cs="宋体"/>
          <w:color w:val="auto"/>
          <w:szCs w:val="21"/>
          <w:highlight w:val="none"/>
        </w:rPr>
        <w:t>注：1.招标人可根据项目本身要求合理设定企业近5年或10年项目业绩，项目业绩最多设置1项。招标人设定项目业绩时，原则应与批复的建设规模相适应(含批复文件中明确的结构预留等级)，且设定的最大建设规模等级不得超过沿海10万吨级（内河500吨级），</w:t>
      </w:r>
      <w:r>
        <w:rPr>
          <w:rFonts w:hint="eastAsia" w:ascii="宋体" w:hAnsi="宋体"/>
          <w:bCs/>
          <w:color w:val="auto"/>
          <w:szCs w:val="21"/>
          <w:highlight w:val="none"/>
        </w:rPr>
        <w:t>其中码头工程业绩不得设置货种、结构形式要求，航道工程监理业绩应为单独立项的航道工程（分标段航道工程业绩视为单独立项的航道工程业绩）</w:t>
      </w:r>
      <w:r>
        <w:rPr>
          <w:rFonts w:hint="eastAsia" w:ascii="宋体" w:hAnsi="宋体" w:cs="宋体"/>
          <w:color w:val="auto"/>
          <w:szCs w:val="21"/>
          <w:highlight w:val="none"/>
        </w:rPr>
        <w:t>。招标人不得设置人员业绩。</w:t>
      </w:r>
    </w:p>
    <w:p w14:paraId="144BA946">
      <w:pPr>
        <w:wordWrap w:val="0"/>
        <w:spacing w:line="3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color w:val="auto"/>
          <w:highlight w:val="none"/>
        </w:rPr>
        <w:t>业绩证明材料：</w:t>
      </w:r>
      <w:r>
        <w:rPr>
          <w:rFonts w:hint="eastAsia" w:ascii="宋体" w:hAnsi="宋体"/>
          <w:color w:val="auto"/>
          <w:szCs w:val="21"/>
          <w:highlight w:val="none"/>
        </w:rPr>
        <w:t>在交通运输部“全国水运建设市场信用信息管理系统”（https://wtis.mot.gov.cn/credit/index.html）中查询到的企业“业绩信息”相关项目网页截图扫描件，或在“福建省交通公路水运建设与运输市场信用信息管理系统（信用交通·福建）”（http://220.160.53.3:30050/gzwz/）中查询到的网页截图（并注明查询路径）；并提供</w:t>
      </w:r>
      <w:r>
        <w:rPr>
          <w:rFonts w:hint="eastAsia" w:ascii="汉仪书宋二S" w:hAnsi="汉仪书宋二S" w:eastAsia="汉仪书宋二S" w:cs="汉仪书宋二S"/>
          <w:color w:val="auto"/>
          <w:szCs w:val="21"/>
          <w:highlight w:val="none"/>
        </w:rPr>
        <w:t>①</w:t>
      </w:r>
      <w:r>
        <w:rPr>
          <w:rFonts w:hint="eastAsia" w:ascii="宋体" w:hAnsi="宋体" w:cs="宋体"/>
          <w:bCs/>
          <w:color w:val="auto"/>
          <w:szCs w:val="21"/>
          <w:highlight w:val="none"/>
        </w:rPr>
        <w:t>合同文件扫描件，</w:t>
      </w:r>
      <w:r>
        <w:rPr>
          <w:rFonts w:hint="eastAsia" w:ascii="汉仪书宋二S" w:hAnsi="汉仪书宋二S" w:eastAsia="汉仪书宋二S" w:cs="汉仪书宋二S"/>
          <w:color w:val="auto"/>
          <w:szCs w:val="21"/>
          <w:highlight w:val="none"/>
        </w:rPr>
        <w:t>②</w:t>
      </w:r>
      <w:r>
        <w:rPr>
          <w:rFonts w:hint="eastAsia" w:ascii="宋体" w:hAnsi="宋体" w:cs="宋体"/>
          <w:bCs/>
          <w:color w:val="auto"/>
          <w:szCs w:val="21"/>
          <w:highlight w:val="none"/>
        </w:rPr>
        <w:t>交(竣)工验收证书或交工验收表或竣工验收现场核查报告</w:t>
      </w:r>
      <w:r>
        <w:rPr>
          <w:rFonts w:hint="eastAsia" w:ascii="宋体" w:hAnsi="宋体" w:cs="宋体"/>
          <w:bCs/>
          <w:color w:val="auto"/>
          <w:szCs w:val="21"/>
          <w:highlight w:val="none"/>
          <w:lang w:val="en-US" w:eastAsia="zh-CN"/>
        </w:rPr>
        <w:t>扫描件</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③工程交工质量核验意见或工程</w:t>
      </w:r>
      <w:r>
        <w:rPr>
          <w:rFonts w:hint="eastAsia" w:ascii="宋体" w:hAnsi="宋体" w:cs="宋体"/>
          <w:bCs/>
          <w:color w:val="auto"/>
          <w:szCs w:val="21"/>
          <w:highlight w:val="none"/>
        </w:rPr>
        <w:t>质量鉴定</w:t>
      </w:r>
      <w:r>
        <w:rPr>
          <w:rFonts w:hint="eastAsia" w:ascii="宋体" w:hAnsi="宋体" w:cs="宋体"/>
          <w:bCs/>
          <w:color w:val="auto"/>
          <w:szCs w:val="21"/>
          <w:highlight w:val="none"/>
          <w:lang w:val="en-US" w:eastAsia="zh-CN"/>
        </w:rPr>
        <w:t>报告</w:t>
      </w:r>
      <w:r>
        <w:rPr>
          <w:rFonts w:hint="eastAsia" w:ascii="宋体" w:hAnsi="宋体" w:cs="宋体"/>
          <w:bCs/>
          <w:color w:val="auto"/>
          <w:szCs w:val="21"/>
          <w:highlight w:val="none"/>
        </w:rPr>
        <w:t>扫描件。航道工程还需提供单独立项的</w:t>
      </w:r>
      <w:r>
        <w:rPr>
          <w:rFonts w:hint="eastAsia" w:ascii="宋体" w:hAnsi="宋体" w:cs="宋体"/>
          <w:bCs/>
          <w:color w:val="auto"/>
          <w:szCs w:val="21"/>
          <w:highlight w:val="none"/>
          <w:lang w:val="en-US" w:eastAsia="zh-CN"/>
        </w:rPr>
        <w:t>工可</w:t>
      </w:r>
      <w:r>
        <w:rPr>
          <w:rFonts w:hint="eastAsia" w:ascii="宋体" w:hAnsi="宋体" w:cs="宋体"/>
          <w:bCs/>
          <w:color w:val="auto"/>
          <w:szCs w:val="21"/>
          <w:highlight w:val="none"/>
        </w:rPr>
        <w:t>批复文件扫描件。</w:t>
      </w:r>
    </w:p>
    <w:p w14:paraId="52577519">
      <w:pPr>
        <w:rPr>
          <w:color w:val="auto"/>
          <w:highlight w:val="none"/>
        </w:rPr>
      </w:pPr>
      <w:r>
        <w:rPr>
          <w:rFonts w:hint="eastAsia" w:ascii="宋体" w:hAnsi="宋体" w:cs="宋体"/>
          <w:color w:val="auto"/>
          <w:szCs w:val="21"/>
          <w:highlight w:val="none"/>
        </w:rPr>
        <w:t xml:space="preserve">    3.若</w:t>
      </w:r>
      <w:r>
        <w:rPr>
          <w:rFonts w:ascii="宋体" w:hAnsi="宋体"/>
          <w:bCs/>
          <w:color w:val="auto"/>
          <w:szCs w:val="21"/>
          <w:highlight w:val="none"/>
        </w:rPr>
        <w:t>近年来，投标人法人机构发生合法变更或重组或法人名称变更时，应提供相关部门的合法批件或其他相关证明材料来证明其所附业绩的继承性。投标人提供的业绩必须是</w:t>
      </w:r>
      <w:r>
        <w:rPr>
          <w:rFonts w:hint="eastAsia" w:ascii="宋体" w:hAnsi="宋体"/>
          <w:bCs/>
          <w:color w:val="auto"/>
          <w:szCs w:val="21"/>
          <w:highlight w:val="none"/>
        </w:rPr>
        <w:t>独立投标人或联合体牵头人的自身业绩。</w:t>
      </w:r>
    </w:p>
    <w:p w14:paraId="372B7447">
      <w:pPr>
        <w:pStyle w:val="5"/>
        <w:jc w:val="center"/>
        <w:rPr>
          <w:rFonts w:ascii="宋体" w:hAnsi="宋体"/>
          <w:color w:val="auto"/>
          <w:highlight w:val="none"/>
        </w:rPr>
      </w:pPr>
    </w:p>
    <w:p w14:paraId="719FE2F1">
      <w:pPr>
        <w:rPr>
          <w:color w:val="auto"/>
          <w:highlight w:val="none"/>
        </w:rPr>
      </w:pPr>
    </w:p>
    <w:p w14:paraId="5C15F092">
      <w:pPr>
        <w:rPr>
          <w:color w:val="auto"/>
          <w:highlight w:val="none"/>
        </w:rPr>
      </w:pPr>
    </w:p>
    <w:p w14:paraId="6FE69BB7">
      <w:pPr>
        <w:pStyle w:val="5"/>
        <w:jc w:val="center"/>
        <w:rPr>
          <w:rFonts w:ascii="宋体" w:hAnsi="宋体"/>
          <w:color w:val="auto"/>
          <w:highlight w:val="none"/>
        </w:rPr>
      </w:pPr>
      <w:bookmarkStart w:id="31" w:name="_Toc488650774"/>
      <w:r>
        <w:rPr>
          <w:rFonts w:hint="eastAsia" w:ascii="宋体" w:hAnsi="宋体"/>
          <w:color w:val="auto"/>
          <w:highlight w:val="none"/>
        </w:rPr>
        <w:t>附件3 资格审查条件(信誉要求)</w:t>
      </w:r>
      <w:bookmarkEnd w:id="31"/>
    </w:p>
    <w:tbl>
      <w:tblPr>
        <w:tblStyle w:val="44"/>
        <w:tblpPr w:leftFromText="180" w:rightFromText="180" w:vertAnchor="text" w:horzAnchor="page" w:tblpX="1731" w:tblpY="305"/>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8755"/>
      </w:tblGrid>
      <w:tr w14:paraId="0EF5132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567" w:hRule="atLeast"/>
        </w:trPr>
        <w:tc>
          <w:tcPr>
            <w:tcW w:w="8755" w:type="dxa"/>
            <w:vAlign w:val="center"/>
          </w:tcPr>
          <w:p w14:paraId="11016BDD">
            <w:pPr>
              <w:jc w:val="center"/>
              <w:rPr>
                <w:rFonts w:ascii="宋体" w:hAnsi="宋体"/>
                <w:color w:val="auto"/>
                <w:highlight w:val="none"/>
              </w:rPr>
            </w:pPr>
            <w:r>
              <w:rPr>
                <w:rFonts w:hint="eastAsia" w:ascii="宋体" w:hAnsi="宋体"/>
                <w:b/>
                <w:color w:val="auto"/>
                <w:sz w:val="24"/>
                <w:highlight w:val="none"/>
              </w:rPr>
              <w:t>信誉要求</w:t>
            </w:r>
          </w:p>
        </w:tc>
      </w:tr>
      <w:tr w14:paraId="15C2C9A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378" w:hRule="atLeast"/>
        </w:trPr>
        <w:tc>
          <w:tcPr>
            <w:tcW w:w="8755" w:type="dxa"/>
          </w:tcPr>
          <w:p w14:paraId="20D3398E">
            <w:pPr>
              <w:wordWrap w:val="0"/>
              <w:rPr>
                <w:rFonts w:ascii="宋体" w:hAnsi="宋体"/>
                <w:b/>
                <w:color w:val="auto"/>
                <w:szCs w:val="21"/>
                <w:highlight w:val="none"/>
              </w:rPr>
            </w:pPr>
          </w:p>
        </w:tc>
      </w:tr>
    </w:tbl>
    <w:p w14:paraId="40E31630">
      <w:pPr>
        <w:rPr>
          <w:color w:val="auto"/>
          <w:highlight w:val="none"/>
        </w:rPr>
      </w:pPr>
    </w:p>
    <w:p w14:paraId="78EE5E50">
      <w:pPr>
        <w:autoSpaceDE w:val="0"/>
        <w:autoSpaceDN w:val="0"/>
        <w:spacing w:line="300" w:lineRule="auto"/>
        <w:textAlignment w:val="bottom"/>
        <w:rPr>
          <w:rFonts w:hint="eastAsia"/>
          <w:color w:val="auto"/>
          <w:highlight w:val="none"/>
        </w:rPr>
      </w:pPr>
      <w:r>
        <w:rPr>
          <w:rFonts w:hint="eastAsia" w:ascii="宋体" w:hAnsi="宋体"/>
          <w:color w:val="auto"/>
          <w:sz w:val="24"/>
          <w:highlight w:val="none"/>
        </w:rPr>
        <w:t>注：</w:t>
      </w:r>
      <w:r>
        <w:rPr>
          <w:rFonts w:hint="eastAsia"/>
          <w:color w:val="auto"/>
          <w:highlight w:val="none"/>
        </w:rPr>
        <w:t>具体信誉要求由招标人在满足国家相关法律法规前提下，根据招标项目具体特点和实际情况确定，但不得与“</w:t>
      </w:r>
      <w:r>
        <w:rPr>
          <w:rFonts w:hint="eastAsia"/>
          <w:color w:val="auto"/>
          <w:highlight w:val="none"/>
          <w:lang w:val="en-US" w:eastAsia="zh-CN"/>
        </w:rPr>
        <w:t>投</w:t>
      </w:r>
      <w:r>
        <w:rPr>
          <w:rFonts w:hint="eastAsia"/>
          <w:color w:val="auto"/>
          <w:highlight w:val="none"/>
        </w:rPr>
        <w:t>标人须知”第 1.4.4 项规定的内容重复。</w:t>
      </w:r>
    </w:p>
    <w:p w14:paraId="513FB1BE">
      <w:pPr>
        <w:autoSpaceDE w:val="0"/>
        <w:autoSpaceDN w:val="0"/>
        <w:spacing w:line="300" w:lineRule="auto"/>
        <w:ind w:firstLine="480" w:firstLineChars="200"/>
        <w:textAlignment w:val="bottom"/>
        <w:rPr>
          <w:rFonts w:ascii="宋体" w:hAnsi="宋体"/>
          <w:b/>
          <w:bCs/>
          <w:color w:val="auto"/>
          <w:sz w:val="24"/>
          <w:highlight w:val="none"/>
        </w:rPr>
      </w:pPr>
      <w:r>
        <w:rPr>
          <w:rFonts w:hint="eastAsia" w:ascii="宋体" w:hAnsi="宋体"/>
          <w:snapToGrid w:val="0"/>
          <w:color w:val="auto"/>
          <w:kern w:val="0"/>
          <w:sz w:val="24"/>
          <w:highlight w:val="none"/>
        </w:rPr>
        <w:t>在福建省交通运输厅最新发布的信用考核定级为AA、A级且在有效期限内的单位，资格审查阶段，当其他条件满足时，其履约信誉可免于审查，直接通过资格审查。</w:t>
      </w:r>
    </w:p>
    <w:p w14:paraId="1D4ADD5D">
      <w:pPr>
        <w:pStyle w:val="5"/>
        <w:jc w:val="center"/>
        <w:rPr>
          <w:rFonts w:ascii="宋体" w:hAnsi="宋体"/>
          <w:b w:val="0"/>
          <w:bCs w:val="0"/>
          <w:color w:val="auto"/>
          <w:sz w:val="24"/>
          <w:highlight w:val="none"/>
        </w:rPr>
      </w:pPr>
      <w:bookmarkStart w:id="32" w:name="_Toc445392823"/>
    </w:p>
    <w:p w14:paraId="6C9D5856">
      <w:pPr>
        <w:pStyle w:val="5"/>
        <w:jc w:val="center"/>
        <w:rPr>
          <w:rFonts w:ascii="宋体" w:hAnsi="宋体"/>
          <w:color w:val="auto"/>
          <w:highlight w:val="none"/>
        </w:rPr>
      </w:pPr>
      <w:bookmarkStart w:id="33" w:name="_Toc488650775"/>
      <w:r>
        <w:rPr>
          <w:rFonts w:hint="eastAsia" w:ascii="宋体" w:hAnsi="宋体"/>
          <w:color w:val="auto"/>
          <w:highlight w:val="none"/>
        </w:rPr>
        <w:t>附件4 资格审查条件(主要人员资格要求)</w:t>
      </w:r>
      <w:bookmarkEnd w:id="33"/>
    </w:p>
    <w:p w14:paraId="4C3C206F">
      <w:pPr>
        <w:rPr>
          <w:color w:val="auto"/>
          <w:highlight w:val="none"/>
        </w:rPr>
      </w:pPr>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82"/>
        <w:gridCol w:w="992"/>
        <w:gridCol w:w="6081"/>
        <w:gridCol w:w="15"/>
      </w:tblGrid>
      <w:tr w14:paraId="70E683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jc w:val="center"/>
        </w:trPr>
        <w:tc>
          <w:tcPr>
            <w:tcW w:w="8755" w:type="dxa"/>
            <w:gridSpan w:val="3"/>
            <w:vAlign w:val="center"/>
          </w:tcPr>
          <w:p w14:paraId="276F2700">
            <w:pPr>
              <w:jc w:val="center"/>
              <w:rPr>
                <w:rFonts w:ascii="宋体" w:hAnsi="宋体"/>
                <w:color w:val="auto"/>
                <w:highlight w:val="none"/>
              </w:rPr>
            </w:pPr>
            <w:r>
              <w:rPr>
                <w:rFonts w:hint="eastAsia" w:ascii="宋体" w:hAnsi="宋体"/>
                <w:b/>
                <w:color w:val="auto"/>
                <w:sz w:val="24"/>
                <w:highlight w:val="none"/>
              </w:rPr>
              <w:t>主要人员资格要求</w:t>
            </w:r>
          </w:p>
        </w:tc>
      </w:tr>
      <w:tr w14:paraId="5B7D5F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2" w:type="dxa"/>
            <w:vAlign w:val="center"/>
          </w:tcPr>
          <w:p w14:paraId="433525B6">
            <w:pPr>
              <w:jc w:val="center"/>
              <w:rPr>
                <w:rFonts w:ascii="宋体" w:hAnsi="宋体"/>
                <w:color w:val="auto"/>
                <w:szCs w:val="21"/>
                <w:highlight w:val="none"/>
              </w:rPr>
            </w:pPr>
            <w:bookmarkStart w:id="34" w:name="_Toc445392826"/>
            <w:bookmarkStart w:id="35" w:name="_Toc382997652"/>
            <w:bookmarkStart w:id="36" w:name="_Toc26701"/>
            <w:r>
              <w:rPr>
                <w:rFonts w:hint="eastAsia" w:ascii="宋体" w:hAnsi="宋体"/>
                <w:color w:val="auto"/>
                <w:szCs w:val="21"/>
                <w:highlight w:val="none"/>
              </w:rPr>
              <w:t>人员</w:t>
            </w:r>
          </w:p>
        </w:tc>
        <w:tc>
          <w:tcPr>
            <w:tcW w:w="992" w:type="dxa"/>
            <w:vAlign w:val="center"/>
          </w:tcPr>
          <w:p w14:paraId="0F4F4F40">
            <w:pPr>
              <w:ind w:left="53" w:leftChars="25"/>
              <w:jc w:val="center"/>
              <w:rPr>
                <w:rFonts w:ascii="宋体" w:hAnsi="宋体"/>
                <w:color w:val="auto"/>
                <w:szCs w:val="21"/>
                <w:highlight w:val="none"/>
              </w:rPr>
            </w:pPr>
            <w:r>
              <w:rPr>
                <w:rFonts w:hint="eastAsia" w:ascii="宋体" w:hAnsi="宋体"/>
                <w:color w:val="auto"/>
                <w:szCs w:val="21"/>
                <w:highlight w:val="none"/>
              </w:rPr>
              <w:t>数量</w:t>
            </w:r>
          </w:p>
        </w:tc>
        <w:tc>
          <w:tcPr>
            <w:tcW w:w="6096" w:type="dxa"/>
            <w:gridSpan w:val="2"/>
            <w:vAlign w:val="center"/>
          </w:tcPr>
          <w:p w14:paraId="4F1ADE1D">
            <w:pPr>
              <w:jc w:val="center"/>
              <w:rPr>
                <w:rFonts w:ascii="宋体" w:hAnsi="宋体"/>
                <w:color w:val="auto"/>
                <w:szCs w:val="21"/>
                <w:highlight w:val="none"/>
              </w:rPr>
            </w:pPr>
            <w:r>
              <w:rPr>
                <w:rFonts w:hint="eastAsia" w:ascii="宋体" w:hAnsi="宋体"/>
                <w:color w:val="auto"/>
                <w:szCs w:val="21"/>
                <w:highlight w:val="none"/>
              </w:rPr>
              <w:t>主要人员最低要求</w:t>
            </w:r>
          </w:p>
        </w:tc>
      </w:tr>
      <w:tr w14:paraId="6072DB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2" w:type="dxa"/>
            <w:vAlign w:val="center"/>
          </w:tcPr>
          <w:p w14:paraId="228817AB">
            <w:pPr>
              <w:spacing w:line="440" w:lineRule="exact"/>
              <w:jc w:val="center"/>
              <w:rPr>
                <w:rFonts w:ascii="宋体" w:hAnsi="宋体"/>
                <w:color w:val="auto"/>
                <w:szCs w:val="21"/>
                <w:highlight w:val="none"/>
              </w:rPr>
            </w:pPr>
            <w:r>
              <w:rPr>
                <w:rFonts w:hint="eastAsia" w:ascii="宋体" w:hAnsi="宋体"/>
                <w:color w:val="auto"/>
                <w:szCs w:val="21"/>
                <w:highlight w:val="none"/>
              </w:rPr>
              <w:t>总监理工程师</w:t>
            </w:r>
          </w:p>
        </w:tc>
        <w:tc>
          <w:tcPr>
            <w:tcW w:w="992" w:type="dxa"/>
            <w:vAlign w:val="center"/>
          </w:tcPr>
          <w:p w14:paraId="2048086C">
            <w:pPr>
              <w:spacing w:line="440" w:lineRule="exact"/>
              <w:jc w:val="center"/>
              <w:rPr>
                <w:rFonts w:ascii="宋体" w:hAnsi="宋体"/>
                <w:color w:val="auto"/>
                <w:szCs w:val="21"/>
                <w:highlight w:val="none"/>
              </w:rPr>
            </w:pPr>
            <w:r>
              <w:rPr>
                <w:rFonts w:hint="eastAsia" w:ascii="宋体" w:hAnsi="宋体"/>
                <w:color w:val="auto"/>
                <w:szCs w:val="21"/>
                <w:highlight w:val="none"/>
              </w:rPr>
              <w:t>1</w:t>
            </w:r>
          </w:p>
        </w:tc>
        <w:tc>
          <w:tcPr>
            <w:tcW w:w="6096" w:type="dxa"/>
            <w:gridSpan w:val="2"/>
            <w:vAlign w:val="center"/>
          </w:tcPr>
          <w:p w14:paraId="7C40E91F">
            <w:pPr>
              <w:spacing w:line="400" w:lineRule="exact"/>
              <w:rPr>
                <w:rFonts w:ascii="宋体" w:hAnsi="宋体"/>
                <w:b/>
                <w:color w:val="auto"/>
                <w:szCs w:val="21"/>
                <w:highlight w:val="none"/>
              </w:rPr>
            </w:pPr>
            <w:r>
              <w:rPr>
                <w:rFonts w:hint="eastAsia" w:ascii="宋体" w:hAnsi="宋体"/>
                <w:color w:val="auto"/>
                <w:highlight w:val="none"/>
              </w:rPr>
              <w:t>具有</w:t>
            </w:r>
            <w:r>
              <w:rPr>
                <w:rFonts w:hint="eastAsia" w:ascii="宋体" w:hAnsi="宋体"/>
                <w:color w:val="auto"/>
                <w:highlight w:val="none"/>
                <w:u w:val="single"/>
              </w:rPr>
              <w:t xml:space="preserve">                    </w:t>
            </w:r>
            <w:r>
              <w:rPr>
                <w:rFonts w:hint="eastAsia" w:ascii="宋体" w:hAnsi="宋体"/>
                <w:color w:val="auto"/>
                <w:highlight w:val="none"/>
              </w:rPr>
              <w:t>；岗位登记工作单位为其投标单位（以全国水运建设市场信用信息管理系统岗位登记截图为准）。</w:t>
            </w:r>
          </w:p>
        </w:tc>
      </w:tr>
      <w:tr w14:paraId="6E7114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2" w:type="dxa"/>
            <w:vAlign w:val="center"/>
          </w:tcPr>
          <w:p w14:paraId="16E4C2E3">
            <w:pPr>
              <w:snapToGrid w:val="0"/>
              <w:spacing w:line="320" w:lineRule="exact"/>
              <w:jc w:val="center"/>
              <w:rPr>
                <w:rFonts w:ascii="宋体" w:hAnsi="宋体"/>
                <w:color w:val="auto"/>
                <w:szCs w:val="21"/>
                <w:highlight w:val="none"/>
              </w:rPr>
            </w:pPr>
            <w:r>
              <w:rPr>
                <w:rFonts w:hint="eastAsia" w:ascii="宋体" w:hAnsi="宋体"/>
                <w:color w:val="auto"/>
                <w:szCs w:val="21"/>
                <w:highlight w:val="none"/>
              </w:rPr>
              <w:t xml:space="preserve">试验室主任 </w:t>
            </w:r>
          </w:p>
        </w:tc>
        <w:tc>
          <w:tcPr>
            <w:tcW w:w="992" w:type="dxa"/>
            <w:vAlign w:val="center"/>
          </w:tcPr>
          <w:p w14:paraId="44580400">
            <w:pPr>
              <w:pStyle w:val="37"/>
              <w:spacing w:line="320" w:lineRule="exact"/>
              <w:jc w:val="center"/>
              <w:rPr>
                <w:color w:val="auto"/>
                <w:sz w:val="21"/>
                <w:szCs w:val="21"/>
                <w:highlight w:val="none"/>
              </w:rPr>
            </w:pPr>
            <w:r>
              <w:rPr>
                <w:rFonts w:hint="eastAsia"/>
                <w:color w:val="auto"/>
                <w:sz w:val="21"/>
                <w:szCs w:val="21"/>
                <w:highlight w:val="none"/>
              </w:rPr>
              <w:t>1</w:t>
            </w:r>
          </w:p>
        </w:tc>
        <w:tc>
          <w:tcPr>
            <w:tcW w:w="6096" w:type="dxa"/>
            <w:gridSpan w:val="2"/>
            <w:vAlign w:val="center"/>
          </w:tcPr>
          <w:p w14:paraId="6BCF6714">
            <w:pPr>
              <w:pStyle w:val="37"/>
              <w:spacing w:line="320" w:lineRule="exact"/>
              <w:rPr>
                <w:color w:val="auto"/>
                <w:szCs w:val="21"/>
                <w:highlight w:val="none"/>
              </w:rPr>
            </w:pPr>
          </w:p>
        </w:tc>
      </w:tr>
    </w:tbl>
    <w:p w14:paraId="6D75F1E6">
      <w:pPr>
        <w:rPr>
          <w:color w:val="auto"/>
          <w:highlight w:val="none"/>
        </w:rPr>
      </w:pPr>
    </w:p>
    <w:p w14:paraId="1866B8E3">
      <w:pPr>
        <w:rPr>
          <w:color w:val="auto"/>
          <w:highlight w:val="none"/>
        </w:rPr>
      </w:pPr>
    </w:p>
    <w:bookmarkEnd w:id="34"/>
    <w:bookmarkEnd w:id="35"/>
    <w:bookmarkEnd w:id="36"/>
    <w:p w14:paraId="4B9789A8">
      <w:pPr>
        <w:spacing w:line="360" w:lineRule="auto"/>
        <w:ind w:firstLine="440" w:firstLineChars="200"/>
        <w:rPr>
          <w:rFonts w:ascii="宋体" w:hAnsi="宋体"/>
          <w:color w:val="auto"/>
          <w:sz w:val="22"/>
          <w:szCs w:val="22"/>
          <w:highlight w:val="none"/>
        </w:rPr>
      </w:pPr>
    </w:p>
    <w:p w14:paraId="2C02A230">
      <w:pPr>
        <w:pStyle w:val="5"/>
        <w:spacing w:before="0" w:after="0" w:line="240" w:lineRule="auto"/>
        <w:jc w:val="center"/>
        <w:rPr>
          <w:rFonts w:ascii="宋体" w:hAnsi="宋体"/>
          <w:color w:val="auto"/>
          <w:highlight w:val="none"/>
        </w:rPr>
      </w:pPr>
    </w:p>
    <w:p w14:paraId="1B3F37B1">
      <w:pPr>
        <w:pStyle w:val="5"/>
        <w:spacing w:before="0" w:after="0" w:line="240" w:lineRule="auto"/>
        <w:jc w:val="center"/>
        <w:rPr>
          <w:rFonts w:ascii="宋体" w:hAnsi="宋体"/>
          <w:color w:val="auto"/>
          <w:highlight w:val="none"/>
        </w:rPr>
      </w:pPr>
      <w:bookmarkStart w:id="37" w:name="_Toc488650776"/>
    </w:p>
    <w:p w14:paraId="3CC80FB0">
      <w:pPr>
        <w:pStyle w:val="5"/>
        <w:spacing w:before="0" w:after="0" w:line="240" w:lineRule="auto"/>
        <w:jc w:val="center"/>
        <w:rPr>
          <w:rFonts w:ascii="宋体" w:hAnsi="宋体"/>
          <w:color w:val="auto"/>
          <w:highlight w:val="none"/>
        </w:rPr>
      </w:pPr>
      <w:r>
        <w:rPr>
          <w:rFonts w:hint="eastAsia" w:ascii="宋体" w:hAnsi="宋体"/>
          <w:color w:val="auto"/>
          <w:highlight w:val="none"/>
        </w:rPr>
        <w:t>附件5 资格审查条件(财务要求)</w:t>
      </w:r>
      <w:bookmarkEnd w:id="32"/>
      <w:bookmarkEnd w:id="37"/>
    </w:p>
    <w:p w14:paraId="7E54573C">
      <w:pPr>
        <w:rPr>
          <w:color w:val="auto"/>
          <w:highlight w:val="none"/>
        </w:rPr>
      </w:pPr>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14:paraId="3385A5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55" w:type="dxa"/>
            <w:vAlign w:val="center"/>
          </w:tcPr>
          <w:p w14:paraId="6D6555C5">
            <w:pPr>
              <w:jc w:val="center"/>
              <w:rPr>
                <w:rFonts w:ascii="宋体" w:hAnsi="宋体"/>
                <w:color w:val="auto"/>
                <w:highlight w:val="none"/>
              </w:rPr>
            </w:pPr>
            <w:r>
              <w:rPr>
                <w:rFonts w:hint="eastAsia" w:ascii="宋体" w:hAnsi="宋体"/>
                <w:b/>
                <w:color w:val="auto"/>
                <w:sz w:val="24"/>
                <w:highlight w:val="none"/>
              </w:rPr>
              <w:t>财务要求</w:t>
            </w:r>
          </w:p>
        </w:tc>
      </w:tr>
      <w:tr w14:paraId="26FE27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755" w:type="dxa"/>
          </w:tcPr>
          <w:p w14:paraId="7251D734">
            <w:pPr>
              <w:spacing w:line="440" w:lineRule="exact"/>
              <w:jc w:val="center"/>
              <w:rPr>
                <w:rFonts w:ascii="宋体" w:hAnsi="宋体"/>
                <w:color w:val="auto"/>
                <w:szCs w:val="21"/>
                <w:highlight w:val="none"/>
              </w:rPr>
            </w:pPr>
            <w:r>
              <w:rPr>
                <w:rFonts w:hint="eastAsia" w:ascii="宋体" w:hAnsi="宋体"/>
                <w:color w:val="auto"/>
                <w:szCs w:val="21"/>
                <w:highlight w:val="none"/>
              </w:rPr>
              <w:t>不需要</w:t>
            </w:r>
          </w:p>
          <w:p w14:paraId="2D662DC8">
            <w:pPr>
              <w:spacing w:line="440" w:lineRule="exact"/>
              <w:rPr>
                <w:rFonts w:ascii="宋体" w:hAnsi="宋体"/>
                <w:color w:val="auto"/>
                <w:highlight w:val="none"/>
              </w:rPr>
            </w:pPr>
          </w:p>
        </w:tc>
      </w:tr>
    </w:tbl>
    <w:p w14:paraId="61E10392">
      <w:pPr>
        <w:autoSpaceDE w:val="0"/>
        <w:autoSpaceDN w:val="0"/>
        <w:spacing w:line="300" w:lineRule="auto"/>
        <w:textAlignment w:val="bottom"/>
        <w:rPr>
          <w:rFonts w:ascii="宋体" w:hAnsi="宋体"/>
          <w:b/>
          <w:bCs/>
          <w:color w:val="auto"/>
          <w:sz w:val="24"/>
          <w:highlight w:val="none"/>
        </w:rPr>
      </w:pPr>
    </w:p>
    <w:p w14:paraId="28810C6D">
      <w:pPr>
        <w:rPr>
          <w:rFonts w:ascii="宋体" w:hAnsi="宋体"/>
          <w:color w:val="auto"/>
          <w:highlight w:val="none"/>
        </w:rPr>
      </w:pPr>
      <w:bookmarkStart w:id="38" w:name="_Toc445392827"/>
      <w:r>
        <w:rPr>
          <w:rFonts w:hint="eastAsia" w:ascii="宋体" w:hAnsi="宋体"/>
          <w:color w:val="auto"/>
          <w:highlight w:val="none"/>
        </w:rPr>
        <w:br w:type="page"/>
      </w:r>
    </w:p>
    <w:p w14:paraId="5D3F79C8">
      <w:pPr>
        <w:rPr>
          <w:color w:val="auto"/>
          <w:highlight w:val="none"/>
        </w:rPr>
      </w:pPr>
    </w:p>
    <w:p w14:paraId="2E15D7C4">
      <w:pPr>
        <w:pStyle w:val="5"/>
        <w:spacing w:before="0" w:after="0" w:line="240" w:lineRule="auto"/>
        <w:jc w:val="center"/>
        <w:rPr>
          <w:rFonts w:ascii="宋体" w:hAnsi="宋体"/>
          <w:color w:val="auto"/>
          <w:highlight w:val="none"/>
        </w:rPr>
      </w:pPr>
      <w:bookmarkStart w:id="39" w:name="_Toc488650777"/>
      <w:r>
        <w:rPr>
          <w:rFonts w:hint="eastAsia" w:ascii="宋体" w:hAnsi="宋体"/>
          <w:color w:val="auto"/>
          <w:highlight w:val="none"/>
        </w:rPr>
        <w:t>附件6 资格审查条件（其他要求）</w:t>
      </w:r>
      <w:bookmarkEnd w:id="38"/>
      <w:bookmarkEnd w:id="39"/>
    </w:p>
    <w:p w14:paraId="77E49F1C">
      <w:pPr>
        <w:rPr>
          <w:color w:val="auto"/>
          <w:highlight w:val="none"/>
        </w:rPr>
      </w:pPr>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66"/>
      </w:tblGrid>
      <w:tr w14:paraId="2B8F2A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66" w:type="dxa"/>
            <w:vAlign w:val="center"/>
          </w:tcPr>
          <w:p w14:paraId="6E4F471E">
            <w:pPr>
              <w:jc w:val="center"/>
              <w:rPr>
                <w:rFonts w:ascii="宋体" w:hAnsi="宋体"/>
                <w:color w:val="auto"/>
                <w:highlight w:val="none"/>
              </w:rPr>
            </w:pPr>
            <w:r>
              <w:rPr>
                <w:rFonts w:hint="eastAsia" w:ascii="宋体" w:hAnsi="宋体"/>
                <w:b/>
                <w:color w:val="auto"/>
                <w:sz w:val="24"/>
                <w:highlight w:val="none"/>
              </w:rPr>
              <w:t>其他要求</w:t>
            </w:r>
          </w:p>
        </w:tc>
      </w:tr>
      <w:tr w14:paraId="71E0DB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9166" w:type="dxa"/>
          </w:tcPr>
          <w:p w14:paraId="352E3BF0">
            <w:pPr>
              <w:widowControl/>
              <w:numPr>
                <w:ilvl w:val="0"/>
                <w:numId w:val="4"/>
              </w:numPr>
              <w:tabs>
                <w:tab w:val="left" w:pos="510"/>
                <w:tab w:val="left" w:pos="900"/>
                <w:tab w:val="left" w:pos="1100"/>
                <w:tab w:val="left" w:pos="3807"/>
              </w:tabs>
              <w:spacing w:line="360" w:lineRule="auto"/>
              <w:jc w:val="left"/>
              <w:rPr>
                <w:rFonts w:ascii="宋体" w:hAnsi="宋体"/>
                <w:color w:val="auto"/>
                <w:szCs w:val="21"/>
                <w:highlight w:val="none"/>
              </w:rPr>
            </w:pPr>
            <w:r>
              <w:rPr>
                <w:rFonts w:hint="eastAsia" w:ascii="宋体" w:hAnsi="宋体"/>
                <w:color w:val="auto"/>
                <w:szCs w:val="21"/>
                <w:highlight w:val="none"/>
              </w:rPr>
              <w:t>单位负责人为同一人或者存在控股、管理关系的不同单位，不得参加同一标段投标或者未划分标段的同一招标项目投标；与招标人存在利害关系可能影响招标公正性的法人、其他组织或者个人，不得参加投标。违反本条规定的，其相关投标均无效。</w:t>
            </w:r>
          </w:p>
        </w:tc>
      </w:tr>
    </w:tbl>
    <w:p w14:paraId="0EC4B93B">
      <w:pPr>
        <w:rPr>
          <w:color w:val="auto"/>
          <w:sz w:val="24"/>
          <w:highlight w:val="none"/>
        </w:rPr>
      </w:pPr>
    </w:p>
    <w:p w14:paraId="666D3711">
      <w:pPr>
        <w:pStyle w:val="5"/>
        <w:jc w:val="center"/>
        <w:rPr>
          <w:color w:val="auto"/>
          <w:highlight w:val="none"/>
        </w:rPr>
      </w:pPr>
      <w:bookmarkStart w:id="40" w:name="_Toc488492820"/>
      <w:bookmarkStart w:id="41" w:name="_Toc488650778"/>
      <w:r>
        <w:rPr>
          <w:rFonts w:hint="eastAsia"/>
          <w:color w:val="auto"/>
          <w:highlight w:val="none"/>
        </w:rPr>
        <w:t>附件7 其他主要人员最低要求</w:t>
      </w:r>
      <w:bookmarkEnd w:id="40"/>
      <w:bookmarkEnd w:id="41"/>
    </w:p>
    <w:p w14:paraId="4D91B4E6">
      <w:pPr>
        <w:spacing w:before="120" w:beforeLines="50" w:after="120" w:afterLines="50" w:line="280" w:lineRule="exact"/>
        <w:jc w:val="center"/>
        <w:rPr>
          <w:b/>
          <w:color w:val="auto"/>
          <w:szCs w:val="21"/>
          <w:highlight w:val="none"/>
          <w:u w:val="single"/>
        </w:rPr>
      </w:pPr>
      <w:r>
        <w:rPr>
          <w:rFonts w:hint="eastAsia" w:ascii="宋体" w:hAnsi="宋体"/>
          <w:b/>
          <w:color w:val="auto"/>
          <w:szCs w:val="21"/>
          <w:highlight w:val="none"/>
          <w:u w:val="single"/>
        </w:rPr>
        <w:t>（本附件投标人投标时不须提交）</w:t>
      </w:r>
    </w:p>
    <w:tbl>
      <w:tblPr>
        <w:tblStyle w:val="44"/>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73"/>
        <w:gridCol w:w="2401"/>
        <w:gridCol w:w="4419"/>
      </w:tblGrid>
      <w:tr w14:paraId="0C1454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73" w:type="dxa"/>
          </w:tcPr>
          <w:p w14:paraId="0F2C1472">
            <w:pPr>
              <w:spacing w:line="440" w:lineRule="exact"/>
              <w:jc w:val="center"/>
              <w:rPr>
                <w:b/>
                <w:color w:val="auto"/>
                <w:szCs w:val="21"/>
                <w:highlight w:val="none"/>
              </w:rPr>
            </w:pPr>
            <w:r>
              <w:rPr>
                <w:rFonts w:hint="eastAsia"/>
                <w:b/>
                <w:color w:val="auto"/>
                <w:szCs w:val="21"/>
                <w:highlight w:val="none"/>
              </w:rPr>
              <w:t>人员</w:t>
            </w:r>
          </w:p>
        </w:tc>
        <w:tc>
          <w:tcPr>
            <w:tcW w:w="2401" w:type="dxa"/>
          </w:tcPr>
          <w:p w14:paraId="3097CAA9">
            <w:pPr>
              <w:spacing w:line="440" w:lineRule="exact"/>
              <w:jc w:val="center"/>
              <w:rPr>
                <w:b/>
                <w:color w:val="auto"/>
                <w:szCs w:val="21"/>
                <w:highlight w:val="none"/>
              </w:rPr>
            </w:pPr>
            <w:r>
              <w:rPr>
                <w:rFonts w:hint="eastAsia"/>
                <w:b/>
                <w:color w:val="auto"/>
                <w:szCs w:val="21"/>
                <w:highlight w:val="none"/>
              </w:rPr>
              <w:t>数量</w:t>
            </w:r>
          </w:p>
        </w:tc>
        <w:tc>
          <w:tcPr>
            <w:tcW w:w="4419" w:type="dxa"/>
          </w:tcPr>
          <w:p w14:paraId="43B0E2E6">
            <w:pPr>
              <w:spacing w:line="440" w:lineRule="exact"/>
              <w:jc w:val="center"/>
              <w:rPr>
                <w:b/>
                <w:color w:val="auto"/>
                <w:szCs w:val="21"/>
                <w:highlight w:val="none"/>
              </w:rPr>
            </w:pPr>
            <w:r>
              <w:rPr>
                <w:rFonts w:hint="eastAsia"/>
                <w:b/>
                <w:color w:val="auto"/>
                <w:szCs w:val="21"/>
                <w:highlight w:val="none"/>
              </w:rPr>
              <w:t>资格要求</w:t>
            </w:r>
          </w:p>
        </w:tc>
      </w:tr>
      <w:tr w14:paraId="6764B6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73" w:type="dxa"/>
          </w:tcPr>
          <w:p w14:paraId="4D7757FC">
            <w:pPr>
              <w:spacing w:line="440" w:lineRule="exact"/>
              <w:rPr>
                <w:color w:val="auto"/>
                <w:sz w:val="18"/>
                <w:szCs w:val="18"/>
                <w:highlight w:val="none"/>
              </w:rPr>
            </w:pPr>
          </w:p>
        </w:tc>
        <w:tc>
          <w:tcPr>
            <w:tcW w:w="2401" w:type="dxa"/>
          </w:tcPr>
          <w:p w14:paraId="200AD47C">
            <w:pPr>
              <w:spacing w:line="440" w:lineRule="exact"/>
              <w:rPr>
                <w:color w:val="auto"/>
                <w:sz w:val="18"/>
                <w:szCs w:val="18"/>
                <w:highlight w:val="none"/>
              </w:rPr>
            </w:pPr>
          </w:p>
        </w:tc>
        <w:tc>
          <w:tcPr>
            <w:tcW w:w="4419" w:type="dxa"/>
          </w:tcPr>
          <w:p w14:paraId="05A4CD8D">
            <w:pPr>
              <w:spacing w:line="440" w:lineRule="exact"/>
              <w:rPr>
                <w:color w:val="auto"/>
                <w:sz w:val="18"/>
                <w:szCs w:val="18"/>
                <w:highlight w:val="none"/>
              </w:rPr>
            </w:pPr>
          </w:p>
        </w:tc>
      </w:tr>
      <w:tr w14:paraId="0BD07B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73" w:type="dxa"/>
          </w:tcPr>
          <w:p w14:paraId="3E6C818D">
            <w:pPr>
              <w:spacing w:line="440" w:lineRule="exact"/>
              <w:rPr>
                <w:color w:val="auto"/>
                <w:sz w:val="18"/>
                <w:szCs w:val="18"/>
                <w:highlight w:val="none"/>
              </w:rPr>
            </w:pPr>
          </w:p>
        </w:tc>
        <w:tc>
          <w:tcPr>
            <w:tcW w:w="2401" w:type="dxa"/>
          </w:tcPr>
          <w:p w14:paraId="20FC4C05">
            <w:pPr>
              <w:spacing w:line="440" w:lineRule="exact"/>
              <w:rPr>
                <w:color w:val="auto"/>
                <w:sz w:val="18"/>
                <w:szCs w:val="18"/>
                <w:highlight w:val="none"/>
              </w:rPr>
            </w:pPr>
          </w:p>
        </w:tc>
        <w:tc>
          <w:tcPr>
            <w:tcW w:w="4419" w:type="dxa"/>
          </w:tcPr>
          <w:p w14:paraId="332B3485">
            <w:pPr>
              <w:spacing w:line="440" w:lineRule="exact"/>
              <w:rPr>
                <w:color w:val="auto"/>
                <w:sz w:val="18"/>
                <w:szCs w:val="18"/>
                <w:highlight w:val="none"/>
              </w:rPr>
            </w:pPr>
          </w:p>
        </w:tc>
      </w:tr>
      <w:tr w14:paraId="1B7FAA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73" w:type="dxa"/>
          </w:tcPr>
          <w:p w14:paraId="463D5ADF">
            <w:pPr>
              <w:spacing w:line="440" w:lineRule="exact"/>
              <w:rPr>
                <w:color w:val="auto"/>
                <w:sz w:val="18"/>
                <w:szCs w:val="18"/>
                <w:highlight w:val="none"/>
              </w:rPr>
            </w:pPr>
          </w:p>
        </w:tc>
        <w:tc>
          <w:tcPr>
            <w:tcW w:w="2401" w:type="dxa"/>
          </w:tcPr>
          <w:p w14:paraId="59FE79E9">
            <w:pPr>
              <w:spacing w:line="440" w:lineRule="exact"/>
              <w:rPr>
                <w:color w:val="auto"/>
                <w:sz w:val="18"/>
                <w:szCs w:val="18"/>
                <w:highlight w:val="none"/>
              </w:rPr>
            </w:pPr>
          </w:p>
        </w:tc>
        <w:tc>
          <w:tcPr>
            <w:tcW w:w="4419" w:type="dxa"/>
          </w:tcPr>
          <w:p w14:paraId="14409D18">
            <w:pPr>
              <w:spacing w:line="440" w:lineRule="exact"/>
              <w:rPr>
                <w:color w:val="auto"/>
                <w:sz w:val="18"/>
                <w:szCs w:val="18"/>
                <w:highlight w:val="none"/>
              </w:rPr>
            </w:pPr>
          </w:p>
        </w:tc>
      </w:tr>
      <w:tr w14:paraId="174B80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73" w:type="dxa"/>
          </w:tcPr>
          <w:p w14:paraId="7243317F">
            <w:pPr>
              <w:spacing w:line="440" w:lineRule="exact"/>
              <w:rPr>
                <w:color w:val="auto"/>
                <w:sz w:val="18"/>
                <w:szCs w:val="18"/>
                <w:highlight w:val="none"/>
              </w:rPr>
            </w:pPr>
          </w:p>
        </w:tc>
        <w:tc>
          <w:tcPr>
            <w:tcW w:w="2401" w:type="dxa"/>
          </w:tcPr>
          <w:p w14:paraId="7F619508">
            <w:pPr>
              <w:spacing w:line="440" w:lineRule="exact"/>
              <w:rPr>
                <w:color w:val="auto"/>
                <w:sz w:val="18"/>
                <w:szCs w:val="18"/>
                <w:highlight w:val="none"/>
              </w:rPr>
            </w:pPr>
          </w:p>
        </w:tc>
        <w:tc>
          <w:tcPr>
            <w:tcW w:w="4419" w:type="dxa"/>
          </w:tcPr>
          <w:p w14:paraId="296AC099">
            <w:pPr>
              <w:spacing w:line="440" w:lineRule="exact"/>
              <w:rPr>
                <w:color w:val="auto"/>
                <w:sz w:val="18"/>
                <w:szCs w:val="18"/>
                <w:highlight w:val="none"/>
              </w:rPr>
            </w:pPr>
          </w:p>
        </w:tc>
      </w:tr>
      <w:tr w14:paraId="6AB9D9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73" w:type="dxa"/>
          </w:tcPr>
          <w:p w14:paraId="1EED903F">
            <w:pPr>
              <w:spacing w:line="440" w:lineRule="exact"/>
              <w:rPr>
                <w:color w:val="auto"/>
                <w:sz w:val="18"/>
                <w:szCs w:val="18"/>
                <w:highlight w:val="none"/>
              </w:rPr>
            </w:pPr>
          </w:p>
        </w:tc>
        <w:tc>
          <w:tcPr>
            <w:tcW w:w="2401" w:type="dxa"/>
          </w:tcPr>
          <w:p w14:paraId="49A98B83">
            <w:pPr>
              <w:spacing w:line="440" w:lineRule="exact"/>
              <w:rPr>
                <w:color w:val="auto"/>
                <w:sz w:val="18"/>
                <w:szCs w:val="18"/>
                <w:highlight w:val="none"/>
              </w:rPr>
            </w:pPr>
          </w:p>
        </w:tc>
        <w:tc>
          <w:tcPr>
            <w:tcW w:w="4419" w:type="dxa"/>
          </w:tcPr>
          <w:p w14:paraId="4BF5DE0E">
            <w:pPr>
              <w:spacing w:line="440" w:lineRule="exact"/>
              <w:rPr>
                <w:color w:val="auto"/>
                <w:sz w:val="18"/>
                <w:szCs w:val="18"/>
                <w:highlight w:val="none"/>
              </w:rPr>
            </w:pPr>
          </w:p>
        </w:tc>
      </w:tr>
      <w:tr w14:paraId="60F604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73" w:type="dxa"/>
          </w:tcPr>
          <w:p w14:paraId="5D5FDBB7">
            <w:pPr>
              <w:spacing w:line="440" w:lineRule="exact"/>
              <w:rPr>
                <w:color w:val="auto"/>
                <w:sz w:val="18"/>
                <w:szCs w:val="18"/>
                <w:highlight w:val="none"/>
              </w:rPr>
            </w:pPr>
          </w:p>
        </w:tc>
        <w:tc>
          <w:tcPr>
            <w:tcW w:w="2401" w:type="dxa"/>
          </w:tcPr>
          <w:p w14:paraId="4254F9BE">
            <w:pPr>
              <w:spacing w:line="440" w:lineRule="exact"/>
              <w:rPr>
                <w:color w:val="auto"/>
                <w:sz w:val="18"/>
                <w:szCs w:val="18"/>
                <w:highlight w:val="none"/>
              </w:rPr>
            </w:pPr>
          </w:p>
        </w:tc>
        <w:tc>
          <w:tcPr>
            <w:tcW w:w="4419" w:type="dxa"/>
          </w:tcPr>
          <w:p w14:paraId="573875CC">
            <w:pPr>
              <w:spacing w:line="440" w:lineRule="exact"/>
              <w:rPr>
                <w:color w:val="auto"/>
                <w:sz w:val="18"/>
                <w:szCs w:val="18"/>
                <w:highlight w:val="none"/>
              </w:rPr>
            </w:pPr>
          </w:p>
        </w:tc>
      </w:tr>
      <w:tr w14:paraId="41BBA8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73" w:type="dxa"/>
          </w:tcPr>
          <w:p w14:paraId="21633926">
            <w:pPr>
              <w:spacing w:line="440" w:lineRule="exact"/>
              <w:rPr>
                <w:color w:val="auto"/>
                <w:sz w:val="18"/>
                <w:szCs w:val="18"/>
                <w:highlight w:val="none"/>
              </w:rPr>
            </w:pPr>
          </w:p>
        </w:tc>
        <w:tc>
          <w:tcPr>
            <w:tcW w:w="2401" w:type="dxa"/>
          </w:tcPr>
          <w:p w14:paraId="763E0730">
            <w:pPr>
              <w:spacing w:line="440" w:lineRule="exact"/>
              <w:rPr>
                <w:color w:val="auto"/>
                <w:sz w:val="18"/>
                <w:szCs w:val="18"/>
                <w:highlight w:val="none"/>
              </w:rPr>
            </w:pPr>
          </w:p>
        </w:tc>
        <w:tc>
          <w:tcPr>
            <w:tcW w:w="4419" w:type="dxa"/>
          </w:tcPr>
          <w:p w14:paraId="36803529">
            <w:pPr>
              <w:spacing w:line="440" w:lineRule="exact"/>
              <w:rPr>
                <w:color w:val="auto"/>
                <w:sz w:val="18"/>
                <w:szCs w:val="18"/>
                <w:highlight w:val="none"/>
              </w:rPr>
            </w:pPr>
          </w:p>
        </w:tc>
      </w:tr>
      <w:tr w14:paraId="334219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73" w:type="dxa"/>
          </w:tcPr>
          <w:p w14:paraId="54C6FBF2">
            <w:pPr>
              <w:spacing w:line="440" w:lineRule="exact"/>
              <w:rPr>
                <w:color w:val="auto"/>
                <w:sz w:val="18"/>
                <w:szCs w:val="18"/>
                <w:highlight w:val="none"/>
              </w:rPr>
            </w:pPr>
          </w:p>
        </w:tc>
        <w:tc>
          <w:tcPr>
            <w:tcW w:w="2401" w:type="dxa"/>
          </w:tcPr>
          <w:p w14:paraId="4D8586DE">
            <w:pPr>
              <w:spacing w:line="440" w:lineRule="exact"/>
              <w:rPr>
                <w:color w:val="auto"/>
                <w:sz w:val="18"/>
                <w:szCs w:val="18"/>
                <w:highlight w:val="none"/>
              </w:rPr>
            </w:pPr>
          </w:p>
        </w:tc>
        <w:tc>
          <w:tcPr>
            <w:tcW w:w="4419" w:type="dxa"/>
          </w:tcPr>
          <w:p w14:paraId="2B8D1D04">
            <w:pPr>
              <w:spacing w:line="440" w:lineRule="exact"/>
              <w:rPr>
                <w:color w:val="auto"/>
                <w:sz w:val="18"/>
                <w:szCs w:val="18"/>
                <w:highlight w:val="none"/>
              </w:rPr>
            </w:pPr>
          </w:p>
        </w:tc>
      </w:tr>
      <w:tr w14:paraId="3D7FDD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73" w:type="dxa"/>
          </w:tcPr>
          <w:p w14:paraId="738BDF32">
            <w:pPr>
              <w:spacing w:line="440" w:lineRule="exact"/>
              <w:rPr>
                <w:color w:val="auto"/>
                <w:sz w:val="18"/>
                <w:szCs w:val="18"/>
                <w:highlight w:val="none"/>
              </w:rPr>
            </w:pPr>
          </w:p>
        </w:tc>
        <w:tc>
          <w:tcPr>
            <w:tcW w:w="2401" w:type="dxa"/>
          </w:tcPr>
          <w:p w14:paraId="1E22B0FF">
            <w:pPr>
              <w:spacing w:line="440" w:lineRule="exact"/>
              <w:rPr>
                <w:color w:val="auto"/>
                <w:sz w:val="18"/>
                <w:szCs w:val="18"/>
                <w:highlight w:val="none"/>
              </w:rPr>
            </w:pPr>
          </w:p>
        </w:tc>
        <w:tc>
          <w:tcPr>
            <w:tcW w:w="4419" w:type="dxa"/>
          </w:tcPr>
          <w:p w14:paraId="219E1FD2">
            <w:pPr>
              <w:spacing w:line="440" w:lineRule="exact"/>
              <w:rPr>
                <w:color w:val="auto"/>
                <w:sz w:val="18"/>
                <w:szCs w:val="18"/>
                <w:highlight w:val="none"/>
              </w:rPr>
            </w:pPr>
          </w:p>
        </w:tc>
      </w:tr>
    </w:tbl>
    <w:p w14:paraId="29807E54">
      <w:pPr>
        <w:spacing w:line="360" w:lineRule="auto"/>
        <w:ind w:firstLine="420"/>
        <w:rPr>
          <w:color w:val="auto"/>
          <w:szCs w:val="21"/>
          <w:highlight w:val="none"/>
        </w:rPr>
      </w:pPr>
      <w:r>
        <w:rPr>
          <w:rFonts w:hint="eastAsia"/>
          <w:color w:val="auto"/>
          <w:szCs w:val="21"/>
          <w:highlight w:val="none"/>
        </w:rPr>
        <w:t>注：</w:t>
      </w:r>
      <w:r>
        <w:rPr>
          <w:color w:val="auto"/>
          <w:szCs w:val="21"/>
          <w:highlight w:val="none"/>
        </w:rPr>
        <w:t>1</w:t>
      </w:r>
      <w:r>
        <w:rPr>
          <w:rFonts w:hint="eastAsia"/>
          <w:color w:val="auto"/>
          <w:szCs w:val="21"/>
          <w:highlight w:val="none"/>
        </w:rPr>
        <w:t>、其他主要人员指：港口专业专监、航道专业专监、</w:t>
      </w:r>
      <w:r>
        <w:rPr>
          <w:rFonts w:hint="eastAsia" w:ascii="宋体" w:hAnsi="宋体"/>
          <w:color w:val="auto"/>
          <w:highlight w:val="none"/>
          <w:lang w:val="en-GB"/>
        </w:rPr>
        <w:t>安全监理工程师、环境监理管理员</w:t>
      </w:r>
      <w:r>
        <w:rPr>
          <w:rFonts w:hint="eastAsia"/>
          <w:color w:val="auto"/>
          <w:szCs w:val="21"/>
          <w:highlight w:val="none"/>
        </w:rPr>
        <w:t>、监理员等。本表不作为资格审查条件，投标人无需提供上述人员名单和详细资料，也无需在投标文件中提交本表格；但投标人必须承诺中标后应按本表最低要求的数量和资格投入人员。</w:t>
      </w:r>
    </w:p>
    <w:p w14:paraId="6CFFEFCE">
      <w:pPr>
        <w:spacing w:line="360" w:lineRule="auto"/>
        <w:ind w:firstLine="420" w:firstLineChars="200"/>
        <w:rPr>
          <w:color w:val="auto"/>
          <w:szCs w:val="21"/>
          <w:highlight w:val="none"/>
        </w:rPr>
      </w:pPr>
      <w:r>
        <w:rPr>
          <w:rFonts w:hint="eastAsia" w:ascii="宋体" w:hAnsi="宋体"/>
          <w:color w:val="auto"/>
          <w:szCs w:val="21"/>
          <w:highlight w:val="none"/>
        </w:rPr>
        <w:t>2、</w:t>
      </w:r>
      <w:r>
        <w:rPr>
          <w:rFonts w:hint="eastAsia"/>
          <w:color w:val="auto"/>
          <w:szCs w:val="21"/>
          <w:highlight w:val="none"/>
        </w:rPr>
        <w:t>招标人将在合同签订前要求中标人按照本表的最低要求填报派驻本标段的其他主要管理人员和技术人员，在经招标人审批后作为派驻本标段的项目管理机构主要人员。若确需更换，应重新报招标人审批。</w:t>
      </w:r>
    </w:p>
    <w:p w14:paraId="491A54D6">
      <w:pPr>
        <w:spacing w:line="360" w:lineRule="auto"/>
        <w:ind w:firstLine="420" w:firstLineChars="200"/>
        <w:rPr>
          <w:color w:val="auto"/>
          <w:szCs w:val="21"/>
          <w:highlight w:val="none"/>
        </w:rPr>
      </w:pPr>
    </w:p>
    <w:p w14:paraId="7CBBE90D">
      <w:pPr>
        <w:rPr>
          <w:color w:val="auto"/>
          <w:sz w:val="24"/>
          <w:highlight w:val="none"/>
        </w:rPr>
      </w:pPr>
    </w:p>
    <w:p w14:paraId="1C47780D">
      <w:pPr>
        <w:pStyle w:val="4"/>
        <w:pageBreakBefore/>
        <w:rPr>
          <w:color w:val="auto"/>
          <w:highlight w:val="none"/>
        </w:rPr>
      </w:pPr>
      <w:bookmarkStart w:id="42" w:name="_Toc341805098"/>
      <w:bookmarkStart w:id="43" w:name="_Toc341015473"/>
      <w:bookmarkStart w:id="44" w:name="_Toc330384396"/>
      <w:bookmarkStart w:id="45" w:name="_Toc336172079"/>
      <w:bookmarkStart w:id="46" w:name="_Toc487291460"/>
      <w:bookmarkStart w:id="47" w:name="_Toc488650779"/>
      <w:r>
        <w:rPr>
          <w:rFonts w:hint="eastAsia"/>
          <w:color w:val="auto"/>
          <w:highlight w:val="none"/>
        </w:rPr>
        <w:t>投标人须知</w:t>
      </w:r>
      <w:bookmarkEnd w:id="42"/>
      <w:bookmarkEnd w:id="43"/>
      <w:bookmarkEnd w:id="44"/>
      <w:bookmarkEnd w:id="45"/>
      <w:bookmarkEnd w:id="46"/>
      <w:bookmarkEnd w:id="47"/>
    </w:p>
    <w:p w14:paraId="755DDA93">
      <w:pPr>
        <w:pStyle w:val="5"/>
        <w:adjustRightInd w:val="0"/>
        <w:snapToGrid w:val="0"/>
        <w:spacing w:before="0" w:beforeLines="0" w:after="0" w:line="360" w:lineRule="auto"/>
        <w:ind w:firstLine="562" w:firstLineChars="200"/>
        <w:rPr>
          <w:color w:val="auto"/>
          <w:highlight w:val="none"/>
        </w:rPr>
      </w:pPr>
      <w:bookmarkStart w:id="48" w:name="_Toc307991149"/>
      <w:bookmarkStart w:id="49" w:name="_Toc488650780"/>
      <w:bookmarkStart w:id="50" w:name="_Toc487291461"/>
      <w:bookmarkStart w:id="51" w:name="_Toc286759032"/>
      <w:bookmarkStart w:id="52" w:name="_Toc144974497"/>
      <w:bookmarkStart w:id="53" w:name="_Toc341805099"/>
      <w:bookmarkStart w:id="54" w:name="_Toc330384397"/>
      <w:bookmarkStart w:id="55" w:name="_Toc283558693"/>
      <w:bookmarkStart w:id="56" w:name="_Toc152045529"/>
      <w:bookmarkStart w:id="57" w:name="_Toc152042305"/>
      <w:bookmarkStart w:id="58" w:name="_Toc283559190"/>
      <w:r>
        <w:rPr>
          <w:rFonts w:hint="eastAsia"/>
          <w:color w:val="auto"/>
          <w:highlight w:val="none"/>
        </w:rPr>
        <w:t>1．总则</w:t>
      </w:r>
      <w:bookmarkEnd w:id="48"/>
      <w:bookmarkEnd w:id="49"/>
      <w:bookmarkEnd w:id="50"/>
      <w:bookmarkEnd w:id="51"/>
      <w:bookmarkEnd w:id="52"/>
      <w:bookmarkEnd w:id="53"/>
      <w:bookmarkEnd w:id="54"/>
      <w:bookmarkEnd w:id="55"/>
      <w:bookmarkEnd w:id="56"/>
      <w:bookmarkEnd w:id="57"/>
      <w:bookmarkEnd w:id="58"/>
    </w:p>
    <w:p w14:paraId="43403E20">
      <w:pPr>
        <w:pStyle w:val="5"/>
        <w:adjustRightInd w:val="0"/>
        <w:snapToGrid w:val="0"/>
        <w:spacing w:before="0" w:beforeLines="0" w:after="0" w:line="360" w:lineRule="auto"/>
        <w:ind w:firstLine="482" w:firstLineChars="200"/>
        <w:rPr>
          <w:rFonts w:ascii="黑体" w:hAnsi="宋体"/>
          <w:b w:val="0"/>
          <w:color w:val="auto"/>
          <w:sz w:val="24"/>
          <w:szCs w:val="24"/>
          <w:highlight w:val="none"/>
        </w:rPr>
      </w:pPr>
      <w:bookmarkStart w:id="59" w:name="_Toc488650781"/>
      <w:bookmarkStart w:id="60" w:name="_Toc356567781"/>
      <w:bookmarkStart w:id="61" w:name="_Toc341805100"/>
      <w:bookmarkStart w:id="62" w:name="_Toc152045530"/>
      <w:bookmarkStart w:id="63" w:name="_Toc487653351"/>
      <w:bookmarkStart w:id="64" w:name="_Toc144974498"/>
      <w:bookmarkStart w:id="65" w:name="_Toc487291462"/>
      <w:bookmarkStart w:id="66" w:name="_Toc152042306"/>
      <w:bookmarkStart w:id="67" w:name="_Toc487619433"/>
      <w:r>
        <w:rPr>
          <w:rFonts w:hint="eastAsia" w:ascii="黑体" w:hAnsi="宋体"/>
          <w:color w:val="auto"/>
          <w:sz w:val="24"/>
          <w:szCs w:val="24"/>
          <w:highlight w:val="none"/>
        </w:rPr>
        <w:t>1.1</w:t>
      </w:r>
      <w:r>
        <w:rPr>
          <w:rFonts w:hint="eastAsia" w:ascii="黑体" w:hAnsi="宋体"/>
          <w:b w:val="0"/>
          <w:color w:val="auto"/>
          <w:sz w:val="24"/>
          <w:szCs w:val="24"/>
          <w:highlight w:val="none"/>
        </w:rPr>
        <w:t xml:space="preserve">  项目概况</w:t>
      </w:r>
      <w:bookmarkEnd w:id="59"/>
      <w:bookmarkEnd w:id="60"/>
      <w:bookmarkEnd w:id="61"/>
      <w:bookmarkEnd w:id="62"/>
      <w:bookmarkEnd w:id="63"/>
      <w:bookmarkEnd w:id="64"/>
      <w:bookmarkEnd w:id="65"/>
      <w:bookmarkEnd w:id="66"/>
      <w:bookmarkEnd w:id="67"/>
    </w:p>
    <w:p w14:paraId="18FED674">
      <w:pPr>
        <w:adjustRightInd w:val="0"/>
        <w:snapToGrid w:val="0"/>
        <w:spacing w:beforeLines="0" w:line="360" w:lineRule="auto"/>
        <w:ind w:firstLine="480" w:firstLineChars="200"/>
        <w:rPr>
          <w:color w:val="auto"/>
          <w:sz w:val="24"/>
          <w:highlight w:val="none"/>
        </w:rPr>
      </w:pPr>
      <w:r>
        <w:rPr>
          <w:rFonts w:hint="eastAsia"/>
          <w:color w:val="auto"/>
          <w:sz w:val="24"/>
          <w:highlight w:val="none"/>
        </w:rPr>
        <w:t>1.1.1  本招标项目已具备招标条件，现对本项目施工监理进行招标，</w:t>
      </w:r>
    </w:p>
    <w:p w14:paraId="575961DE">
      <w:pPr>
        <w:adjustRightInd w:val="0"/>
        <w:snapToGrid w:val="0"/>
        <w:spacing w:beforeLines="0" w:line="360" w:lineRule="auto"/>
        <w:ind w:firstLine="480" w:firstLineChars="200"/>
        <w:rPr>
          <w:rFonts w:ascii="宋体" w:hAnsi="宋体"/>
          <w:color w:val="auto"/>
          <w:sz w:val="24"/>
          <w:highlight w:val="none"/>
          <w:u w:val="single"/>
        </w:rPr>
      </w:pPr>
      <w:r>
        <w:rPr>
          <w:rFonts w:hint="eastAsia"/>
          <w:color w:val="auto"/>
          <w:sz w:val="24"/>
          <w:highlight w:val="none"/>
        </w:rPr>
        <w:t>1.1.2  本招标项目招标人：</w:t>
      </w:r>
      <w:r>
        <w:rPr>
          <w:rFonts w:hint="eastAsia" w:ascii="宋体" w:hAnsi="宋体"/>
          <w:color w:val="auto"/>
          <w:sz w:val="24"/>
          <w:highlight w:val="none"/>
          <w:u w:val="single"/>
        </w:rPr>
        <w:t>见投标人须知前附表。</w:t>
      </w:r>
    </w:p>
    <w:p w14:paraId="7E2A4231">
      <w:pPr>
        <w:adjustRightInd w:val="0"/>
        <w:snapToGrid w:val="0"/>
        <w:spacing w:beforeLines="0" w:line="360" w:lineRule="auto"/>
        <w:ind w:firstLine="480" w:firstLineChars="200"/>
        <w:rPr>
          <w:rFonts w:ascii="宋体" w:hAnsi="宋体"/>
          <w:color w:val="auto"/>
          <w:sz w:val="24"/>
          <w:highlight w:val="none"/>
          <w:u w:val="single"/>
        </w:rPr>
      </w:pPr>
      <w:r>
        <w:rPr>
          <w:rFonts w:hint="eastAsia"/>
          <w:color w:val="auto"/>
          <w:sz w:val="24"/>
          <w:highlight w:val="none"/>
        </w:rPr>
        <w:t>1.1.3  本监理标段招标代理机构：</w:t>
      </w:r>
      <w:r>
        <w:rPr>
          <w:rFonts w:hint="eastAsia" w:ascii="宋体" w:hAnsi="宋体"/>
          <w:color w:val="auto"/>
          <w:sz w:val="24"/>
          <w:highlight w:val="none"/>
          <w:u w:val="single"/>
        </w:rPr>
        <w:t>见投标人须知前附表。</w:t>
      </w:r>
    </w:p>
    <w:p w14:paraId="359DF52F">
      <w:pPr>
        <w:adjustRightInd w:val="0"/>
        <w:snapToGrid w:val="0"/>
        <w:spacing w:beforeLines="0" w:line="360" w:lineRule="auto"/>
        <w:ind w:firstLine="480" w:firstLineChars="200"/>
        <w:rPr>
          <w:rFonts w:ascii="宋体" w:hAnsi="宋体"/>
          <w:color w:val="auto"/>
          <w:sz w:val="24"/>
          <w:highlight w:val="none"/>
          <w:u w:val="single"/>
        </w:rPr>
      </w:pPr>
      <w:r>
        <w:rPr>
          <w:rFonts w:hint="eastAsia"/>
          <w:color w:val="auto"/>
          <w:sz w:val="24"/>
          <w:highlight w:val="none"/>
        </w:rPr>
        <w:t>1.1.4  本招标项目名称：</w:t>
      </w:r>
      <w:r>
        <w:rPr>
          <w:rFonts w:hint="eastAsia" w:ascii="宋体" w:hAnsi="宋体"/>
          <w:color w:val="auto"/>
          <w:sz w:val="24"/>
          <w:highlight w:val="none"/>
          <w:u w:val="single"/>
        </w:rPr>
        <w:t>见投标人须知前附表。</w:t>
      </w:r>
    </w:p>
    <w:p w14:paraId="6CFC123E">
      <w:pPr>
        <w:adjustRightInd w:val="0"/>
        <w:snapToGrid w:val="0"/>
        <w:spacing w:beforeLines="0" w:line="360" w:lineRule="auto"/>
        <w:ind w:firstLine="480" w:firstLineChars="200"/>
        <w:rPr>
          <w:rFonts w:ascii="宋体" w:hAnsi="宋体"/>
          <w:color w:val="auto"/>
          <w:sz w:val="24"/>
          <w:highlight w:val="none"/>
          <w:u w:val="single"/>
        </w:rPr>
      </w:pPr>
      <w:r>
        <w:rPr>
          <w:rFonts w:hint="eastAsia"/>
          <w:color w:val="auto"/>
          <w:sz w:val="24"/>
          <w:highlight w:val="none"/>
        </w:rPr>
        <w:t>1.1.5  本监理标段建设地点：</w:t>
      </w:r>
      <w:r>
        <w:rPr>
          <w:rFonts w:hint="eastAsia" w:ascii="宋体" w:hAnsi="宋体"/>
          <w:color w:val="auto"/>
          <w:sz w:val="24"/>
          <w:highlight w:val="none"/>
          <w:u w:val="single"/>
        </w:rPr>
        <w:t>见投标人须知前附表。</w:t>
      </w:r>
    </w:p>
    <w:p w14:paraId="054BA5E9">
      <w:pPr>
        <w:adjustRightInd w:val="0"/>
        <w:snapToGrid w:val="0"/>
        <w:spacing w:beforeLines="0" w:line="360" w:lineRule="auto"/>
        <w:ind w:firstLine="480" w:firstLineChars="200"/>
        <w:rPr>
          <w:rFonts w:ascii="宋体" w:hAnsi="宋体"/>
          <w:color w:val="auto"/>
          <w:sz w:val="24"/>
          <w:highlight w:val="none"/>
          <w:u w:val="single"/>
        </w:rPr>
      </w:pPr>
      <w:r>
        <w:rPr>
          <w:rFonts w:hint="eastAsia"/>
          <w:color w:val="auto"/>
          <w:sz w:val="24"/>
          <w:highlight w:val="none"/>
        </w:rPr>
        <w:t>1.1.6  本监理标段规模：</w:t>
      </w:r>
      <w:r>
        <w:rPr>
          <w:rFonts w:hint="eastAsia" w:ascii="宋体" w:hAnsi="宋体"/>
          <w:color w:val="auto"/>
          <w:sz w:val="24"/>
          <w:highlight w:val="none"/>
          <w:u w:val="single"/>
        </w:rPr>
        <w:t>见投标人须知前附表。</w:t>
      </w:r>
      <w:bookmarkStart w:id="68" w:name="_Toc152042307"/>
      <w:bookmarkStart w:id="69" w:name="_Toc152045531"/>
      <w:bookmarkStart w:id="70" w:name="_Toc144974499"/>
      <w:bookmarkStart w:id="71" w:name="_Toc356567782"/>
      <w:bookmarkStart w:id="72" w:name="_Toc341805101"/>
    </w:p>
    <w:p w14:paraId="45C4BDC8">
      <w:pPr>
        <w:adjustRightInd w:val="0"/>
        <w:snapToGrid w:val="0"/>
        <w:spacing w:beforeLines="0" w:line="360" w:lineRule="auto"/>
        <w:ind w:firstLine="480" w:firstLineChars="200"/>
        <w:rPr>
          <w:rFonts w:ascii="黑体" w:hAnsi="黑体" w:eastAsia="黑体" w:cs="黑体"/>
          <w:color w:val="auto"/>
          <w:sz w:val="24"/>
          <w:highlight w:val="none"/>
        </w:rPr>
      </w:pPr>
      <w:r>
        <w:rPr>
          <w:rFonts w:hint="eastAsia" w:ascii="黑体" w:hAnsi="黑体" w:eastAsia="黑体" w:cs="黑体"/>
          <w:color w:val="auto"/>
          <w:sz w:val="24"/>
          <w:highlight w:val="none"/>
        </w:rPr>
        <w:t>1.2  资金来源</w:t>
      </w:r>
      <w:bookmarkEnd w:id="68"/>
      <w:bookmarkEnd w:id="69"/>
      <w:bookmarkEnd w:id="70"/>
      <w:r>
        <w:rPr>
          <w:rFonts w:hint="eastAsia" w:ascii="黑体" w:hAnsi="黑体" w:eastAsia="黑体" w:cs="黑体"/>
          <w:color w:val="auto"/>
          <w:sz w:val="24"/>
          <w:highlight w:val="none"/>
        </w:rPr>
        <w:t>和落实情况</w:t>
      </w:r>
      <w:bookmarkEnd w:id="71"/>
      <w:bookmarkEnd w:id="72"/>
    </w:p>
    <w:p w14:paraId="18D41168">
      <w:pPr>
        <w:adjustRightInd w:val="0"/>
        <w:snapToGrid w:val="0"/>
        <w:spacing w:beforeLines="0" w:line="360" w:lineRule="auto"/>
        <w:ind w:firstLine="480" w:firstLineChars="200"/>
        <w:rPr>
          <w:rFonts w:ascii="宋体" w:hAnsi="宋体"/>
          <w:color w:val="auto"/>
          <w:sz w:val="24"/>
          <w:highlight w:val="none"/>
          <w:u w:val="single"/>
        </w:rPr>
      </w:pPr>
      <w:r>
        <w:rPr>
          <w:rFonts w:hint="eastAsia"/>
          <w:color w:val="auto"/>
          <w:sz w:val="24"/>
          <w:highlight w:val="none"/>
        </w:rPr>
        <w:t>1.2.1  本招标项目的资金来源：</w:t>
      </w:r>
      <w:r>
        <w:rPr>
          <w:rFonts w:hint="eastAsia" w:ascii="宋体" w:hAnsi="宋体"/>
          <w:color w:val="auto"/>
          <w:sz w:val="24"/>
          <w:highlight w:val="none"/>
          <w:u w:val="single"/>
        </w:rPr>
        <w:t>见投标人须知前附表。</w:t>
      </w:r>
    </w:p>
    <w:p w14:paraId="2F9FA61E">
      <w:pPr>
        <w:adjustRightInd w:val="0"/>
        <w:snapToGrid w:val="0"/>
        <w:spacing w:beforeLines="0" w:line="360" w:lineRule="auto"/>
        <w:ind w:firstLine="480" w:firstLineChars="200"/>
        <w:rPr>
          <w:rFonts w:ascii="宋体" w:hAnsi="宋体"/>
          <w:color w:val="auto"/>
          <w:sz w:val="24"/>
          <w:highlight w:val="none"/>
          <w:u w:val="single"/>
        </w:rPr>
      </w:pPr>
      <w:r>
        <w:rPr>
          <w:rFonts w:hint="eastAsia"/>
          <w:color w:val="auto"/>
          <w:sz w:val="24"/>
          <w:highlight w:val="none"/>
        </w:rPr>
        <w:t>1.2.2  本招标项目的资金落实情况：</w:t>
      </w:r>
      <w:r>
        <w:rPr>
          <w:rFonts w:hint="eastAsia" w:ascii="宋体" w:hAnsi="宋体"/>
          <w:color w:val="auto"/>
          <w:sz w:val="24"/>
          <w:highlight w:val="none"/>
          <w:u w:val="single"/>
        </w:rPr>
        <w:t>见投标人须知前附表。</w:t>
      </w:r>
      <w:bookmarkStart w:id="73" w:name="_Toc144974500"/>
      <w:bookmarkStart w:id="74" w:name="_Toc152042308"/>
      <w:bookmarkStart w:id="75" w:name="_Toc152045532"/>
      <w:bookmarkStart w:id="76" w:name="_Toc341805102"/>
      <w:bookmarkStart w:id="77" w:name="_Toc356567783"/>
    </w:p>
    <w:p w14:paraId="1E27C307">
      <w:pPr>
        <w:adjustRightInd w:val="0"/>
        <w:snapToGrid w:val="0"/>
        <w:spacing w:beforeLines="0" w:line="360" w:lineRule="auto"/>
        <w:ind w:firstLine="480" w:firstLineChars="200"/>
        <w:rPr>
          <w:rFonts w:ascii="黑体" w:hAnsi="黑体" w:eastAsia="黑体" w:cs="黑体"/>
          <w:color w:val="auto"/>
          <w:sz w:val="24"/>
          <w:highlight w:val="none"/>
        </w:rPr>
      </w:pPr>
      <w:r>
        <w:rPr>
          <w:rFonts w:hint="eastAsia" w:ascii="黑体" w:hAnsi="黑体" w:eastAsia="黑体" w:cs="黑体"/>
          <w:color w:val="auto"/>
          <w:sz w:val="24"/>
          <w:highlight w:val="none"/>
        </w:rPr>
        <w:t xml:space="preserve">1.3 </w:t>
      </w:r>
      <w:bookmarkEnd w:id="73"/>
      <w:bookmarkEnd w:id="74"/>
      <w:bookmarkEnd w:id="75"/>
      <w:r>
        <w:rPr>
          <w:rFonts w:hint="eastAsia" w:ascii="黑体" w:hAnsi="黑体" w:eastAsia="黑体" w:cs="黑体"/>
          <w:color w:val="auto"/>
          <w:sz w:val="24"/>
          <w:highlight w:val="none"/>
        </w:rPr>
        <w:t xml:space="preserve"> 招标范围、监理服务阶段、监理工作范围、施工工期和监理服务期</w:t>
      </w:r>
      <w:bookmarkEnd w:id="76"/>
      <w:bookmarkEnd w:id="77"/>
    </w:p>
    <w:p w14:paraId="734B725D">
      <w:pPr>
        <w:adjustRightInd w:val="0"/>
        <w:snapToGrid w:val="0"/>
        <w:spacing w:beforeLines="0" w:line="360" w:lineRule="auto"/>
        <w:ind w:firstLine="480" w:firstLineChars="200"/>
        <w:rPr>
          <w:rFonts w:ascii="宋体" w:hAnsi="宋体"/>
          <w:color w:val="auto"/>
          <w:sz w:val="24"/>
          <w:highlight w:val="none"/>
          <w:u w:val="single"/>
        </w:rPr>
      </w:pPr>
      <w:r>
        <w:rPr>
          <w:rFonts w:hint="eastAsia"/>
          <w:color w:val="auto"/>
          <w:sz w:val="24"/>
          <w:highlight w:val="none"/>
        </w:rPr>
        <w:t>1.3.1  本次招标范围：</w:t>
      </w:r>
      <w:r>
        <w:rPr>
          <w:rFonts w:hint="eastAsia" w:ascii="宋体" w:hAnsi="宋体"/>
          <w:color w:val="auto"/>
          <w:sz w:val="24"/>
          <w:highlight w:val="none"/>
          <w:u w:val="single"/>
        </w:rPr>
        <w:t>见投标人须知前附表。</w:t>
      </w:r>
    </w:p>
    <w:p w14:paraId="4EA86A30">
      <w:pPr>
        <w:adjustRightInd w:val="0"/>
        <w:snapToGrid w:val="0"/>
        <w:spacing w:beforeLines="0" w:line="360" w:lineRule="auto"/>
        <w:ind w:firstLine="480" w:firstLineChars="200"/>
        <w:rPr>
          <w:rFonts w:ascii="宋体" w:hAnsi="宋体"/>
          <w:color w:val="auto"/>
          <w:sz w:val="24"/>
          <w:highlight w:val="none"/>
          <w:u w:val="single"/>
        </w:rPr>
      </w:pPr>
      <w:r>
        <w:rPr>
          <w:rFonts w:hint="eastAsia"/>
          <w:color w:val="auto"/>
          <w:sz w:val="24"/>
          <w:highlight w:val="none"/>
        </w:rPr>
        <w:t>1.3.2  监理服务阶段：</w:t>
      </w:r>
      <w:r>
        <w:rPr>
          <w:rFonts w:hint="eastAsia" w:ascii="宋体" w:hAnsi="宋体"/>
          <w:color w:val="auto"/>
          <w:sz w:val="24"/>
          <w:highlight w:val="none"/>
          <w:u w:val="single"/>
        </w:rPr>
        <w:t>见投标人须知前附表。</w:t>
      </w:r>
    </w:p>
    <w:p w14:paraId="2C66F9C7">
      <w:pPr>
        <w:adjustRightInd w:val="0"/>
        <w:snapToGrid w:val="0"/>
        <w:spacing w:beforeLines="0" w:line="360" w:lineRule="auto"/>
        <w:ind w:firstLine="480" w:firstLineChars="200"/>
        <w:rPr>
          <w:rFonts w:ascii="宋体" w:hAnsi="宋体"/>
          <w:color w:val="auto"/>
          <w:sz w:val="24"/>
          <w:highlight w:val="none"/>
          <w:u w:val="single"/>
        </w:rPr>
      </w:pPr>
      <w:r>
        <w:rPr>
          <w:rFonts w:hint="eastAsia"/>
          <w:color w:val="auto"/>
          <w:sz w:val="24"/>
          <w:highlight w:val="none"/>
        </w:rPr>
        <w:t>1.3.3  监理工作范围：</w:t>
      </w:r>
      <w:r>
        <w:rPr>
          <w:rFonts w:hint="eastAsia" w:ascii="宋体" w:hAnsi="宋体"/>
          <w:color w:val="auto"/>
          <w:sz w:val="24"/>
          <w:highlight w:val="none"/>
          <w:u w:val="single"/>
        </w:rPr>
        <w:t>见投标人须知前附表。</w:t>
      </w:r>
    </w:p>
    <w:p w14:paraId="18F2CCA5">
      <w:pPr>
        <w:adjustRightInd w:val="0"/>
        <w:snapToGrid w:val="0"/>
        <w:spacing w:beforeLines="0" w:line="360" w:lineRule="auto"/>
        <w:ind w:firstLine="480" w:firstLineChars="200"/>
        <w:rPr>
          <w:rFonts w:ascii="宋体" w:hAnsi="宋体"/>
          <w:color w:val="auto"/>
          <w:sz w:val="24"/>
          <w:highlight w:val="none"/>
          <w:u w:val="single"/>
        </w:rPr>
      </w:pPr>
      <w:r>
        <w:rPr>
          <w:rFonts w:hint="eastAsia"/>
          <w:color w:val="auto"/>
          <w:sz w:val="24"/>
          <w:highlight w:val="none"/>
        </w:rPr>
        <w:t>1.3.4  施工工期和监理服务期：</w:t>
      </w:r>
      <w:r>
        <w:rPr>
          <w:rFonts w:hint="eastAsia" w:ascii="宋体" w:hAnsi="宋体"/>
          <w:color w:val="auto"/>
          <w:sz w:val="24"/>
          <w:highlight w:val="none"/>
          <w:u w:val="single"/>
        </w:rPr>
        <w:t>见投标人须知前附表。</w:t>
      </w:r>
      <w:bookmarkStart w:id="78" w:name="_Toc341805104"/>
      <w:bookmarkStart w:id="79" w:name="_Toc487291463"/>
      <w:bookmarkStart w:id="80" w:name="_Toc144974502"/>
      <w:bookmarkStart w:id="81" w:name="_Toc356567784"/>
      <w:bookmarkStart w:id="82" w:name="_Toc152042310"/>
      <w:bookmarkStart w:id="83" w:name="_Toc488650782"/>
      <w:bookmarkStart w:id="84" w:name="_Toc152045534"/>
      <w:bookmarkStart w:id="85" w:name="_Toc487653352"/>
      <w:bookmarkStart w:id="86" w:name="_Toc487619434"/>
    </w:p>
    <w:p w14:paraId="740C5AEC">
      <w:pPr>
        <w:adjustRightInd w:val="0"/>
        <w:snapToGrid w:val="0"/>
        <w:spacing w:beforeLines="0" w:line="360" w:lineRule="auto"/>
        <w:ind w:firstLine="480" w:firstLineChars="200"/>
        <w:rPr>
          <w:rFonts w:ascii="黑体" w:hAnsi="黑体" w:eastAsia="黑体" w:cs="黑体"/>
          <w:color w:val="auto"/>
          <w:sz w:val="24"/>
          <w:highlight w:val="none"/>
        </w:rPr>
      </w:pPr>
      <w:r>
        <w:rPr>
          <w:rFonts w:hint="eastAsia" w:ascii="黑体" w:hAnsi="黑体" w:eastAsia="黑体" w:cs="黑体"/>
          <w:color w:val="auto"/>
          <w:sz w:val="24"/>
          <w:highlight w:val="none"/>
        </w:rPr>
        <w:t>1.4  投标人资格要求</w:t>
      </w:r>
      <w:bookmarkEnd w:id="78"/>
      <w:bookmarkEnd w:id="79"/>
      <w:bookmarkEnd w:id="80"/>
      <w:bookmarkEnd w:id="81"/>
      <w:bookmarkEnd w:id="82"/>
      <w:bookmarkEnd w:id="83"/>
      <w:bookmarkEnd w:id="84"/>
      <w:bookmarkEnd w:id="85"/>
      <w:bookmarkEnd w:id="86"/>
    </w:p>
    <w:p w14:paraId="4494E4F2">
      <w:pPr>
        <w:adjustRightInd w:val="0"/>
        <w:snapToGrid w:val="0"/>
        <w:spacing w:beforeLines="0" w:line="360" w:lineRule="auto"/>
        <w:ind w:firstLine="480" w:firstLineChars="200"/>
        <w:rPr>
          <w:color w:val="auto"/>
          <w:sz w:val="24"/>
          <w:highlight w:val="none"/>
        </w:rPr>
      </w:pPr>
      <w:r>
        <w:rPr>
          <w:rFonts w:hint="eastAsia"/>
          <w:color w:val="auto"/>
          <w:sz w:val="24"/>
          <w:highlight w:val="none"/>
        </w:rPr>
        <w:t>1.4.1  投标人应具备承担本标段施工监理的资质、能力和信誉。</w:t>
      </w:r>
    </w:p>
    <w:p w14:paraId="10F23B84">
      <w:pPr>
        <w:adjustRightInd w:val="0"/>
        <w:snapToGrid w:val="0"/>
        <w:spacing w:beforeLines="0" w:line="360" w:lineRule="auto"/>
        <w:ind w:firstLine="480" w:firstLineChars="200"/>
        <w:rPr>
          <w:rFonts w:ascii="宋体" w:hAnsi="宋体"/>
          <w:color w:val="auto"/>
          <w:sz w:val="24"/>
          <w:highlight w:val="none"/>
          <w:u w:val="single"/>
        </w:rPr>
      </w:pPr>
      <w:r>
        <w:rPr>
          <w:rFonts w:hint="eastAsia"/>
          <w:color w:val="auto"/>
          <w:sz w:val="24"/>
          <w:highlight w:val="none"/>
        </w:rPr>
        <w:t>（1）资质条件：</w:t>
      </w:r>
      <w:r>
        <w:rPr>
          <w:rFonts w:hint="eastAsia" w:ascii="宋体" w:hAnsi="宋体"/>
          <w:color w:val="auto"/>
          <w:sz w:val="24"/>
          <w:highlight w:val="none"/>
          <w:u w:val="single"/>
        </w:rPr>
        <w:t>见投标人须知前附表。</w:t>
      </w:r>
    </w:p>
    <w:p w14:paraId="7C95B621">
      <w:pPr>
        <w:adjustRightInd w:val="0"/>
        <w:snapToGrid w:val="0"/>
        <w:spacing w:beforeLines="0" w:line="360" w:lineRule="auto"/>
        <w:ind w:firstLine="480" w:firstLineChars="200"/>
        <w:rPr>
          <w:color w:val="auto"/>
          <w:sz w:val="24"/>
          <w:highlight w:val="none"/>
          <w:u w:val="single"/>
        </w:rPr>
      </w:pPr>
      <w:r>
        <w:rPr>
          <w:rFonts w:hint="eastAsia"/>
          <w:color w:val="auto"/>
          <w:sz w:val="24"/>
          <w:highlight w:val="none"/>
        </w:rPr>
        <w:t>（2）业绩要求：</w:t>
      </w:r>
      <w:r>
        <w:rPr>
          <w:rFonts w:hint="eastAsia" w:ascii="宋体" w:hAnsi="宋体"/>
          <w:color w:val="auto"/>
          <w:sz w:val="24"/>
          <w:highlight w:val="none"/>
          <w:u w:val="single"/>
        </w:rPr>
        <w:t>见投标人须知前附表。</w:t>
      </w:r>
    </w:p>
    <w:p w14:paraId="0F45AE40">
      <w:pPr>
        <w:adjustRightInd w:val="0"/>
        <w:snapToGrid w:val="0"/>
        <w:spacing w:beforeLines="0" w:line="360" w:lineRule="auto"/>
        <w:ind w:firstLine="480" w:firstLineChars="200"/>
        <w:rPr>
          <w:color w:val="auto"/>
          <w:sz w:val="24"/>
          <w:highlight w:val="none"/>
          <w:u w:val="single"/>
        </w:rPr>
      </w:pPr>
      <w:r>
        <w:rPr>
          <w:rFonts w:hint="eastAsia"/>
          <w:color w:val="auto"/>
          <w:sz w:val="24"/>
          <w:highlight w:val="none"/>
        </w:rPr>
        <w:t>（3）信誉要求：</w:t>
      </w:r>
      <w:r>
        <w:rPr>
          <w:rFonts w:hint="eastAsia" w:ascii="宋体" w:hAnsi="宋体"/>
          <w:color w:val="auto"/>
          <w:sz w:val="24"/>
          <w:highlight w:val="none"/>
          <w:u w:val="single"/>
        </w:rPr>
        <w:t>见投标人须知前附表。</w:t>
      </w:r>
    </w:p>
    <w:p w14:paraId="1357E007">
      <w:pPr>
        <w:adjustRightInd w:val="0"/>
        <w:snapToGrid w:val="0"/>
        <w:spacing w:beforeLines="0" w:line="360" w:lineRule="auto"/>
        <w:ind w:firstLine="480" w:firstLineChars="200"/>
        <w:rPr>
          <w:color w:val="auto"/>
          <w:sz w:val="24"/>
          <w:highlight w:val="none"/>
          <w:u w:val="single"/>
        </w:rPr>
      </w:pPr>
      <w:r>
        <w:rPr>
          <w:rFonts w:hint="eastAsia"/>
          <w:color w:val="auto"/>
          <w:sz w:val="24"/>
          <w:highlight w:val="none"/>
        </w:rPr>
        <w:t>（4）主要人员资格要求：</w:t>
      </w:r>
      <w:r>
        <w:rPr>
          <w:rFonts w:hint="eastAsia" w:ascii="宋体" w:hAnsi="宋体"/>
          <w:color w:val="auto"/>
          <w:sz w:val="24"/>
          <w:highlight w:val="none"/>
          <w:u w:val="single"/>
        </w:rPr>
        <w:t>见投标人须知前附表。</w:t>
      </w:r>
    </w:p>
    <w:p w14:paraId="4F95DE3B">
      <w:pPr>
        <w:adjustRightInd w:val="0"/>
        <w:snapToGrid w:val="0"/>
        <w:spacing w:beforeLines="0" w:line="360" w:lineRule="auto"/>
        <w:ind w:firstLine="480" w:firstLineChars="200"/>
        <w:rPr>
          <w:color w:val="auto"/>
          <w:sz w:val="24"/>
          <w:highlight w:val="none"/>
          <w:u w:val="single"/>
        </w:rPr>
      </w:pPr>
      <w:r>
        <w:rPr>
          <w:rFonts w:hint="eastAsia"/>
          <w:color w:val="auto"/>
          <w:sz w:val="24"/>
          <w:highlight w:val="none"/>
        </w:rPr>
        <w:t>（5）财务要求：</w:t>
      </w:r>
      <w:r>
        <w:rPr>
          <w:rFonts w:hint="eastAsia" w:ascii="宋体" w:hAnsi="宋体"/>
          <w:color w:val="auto"/>
          <w:sz w:val="24"/>
          <w:highlight w:val="none"/>
          <w:u w:val="single"/>
        </w:rPr>
        <w:t>见投标人须知前附表。</w:t>
      </w:r>
    </w:p>
    <w:p w14:paraId="3311F23E">
      <w:pPr>
        <w:adjustRightInd w:val="0"/>
        <w:snapToGrid w:val="0"/>
        <w:spacing w:beforeLines="0" w:line="360" w:lineRule="auto"/>
        <w:ind w:firstLine="480" w:firstLineChars="200"/>
        <w:rPr>
          <w:color w:val="auto"/>
          <w:sz w:val="24"/>
          <w:highlight w:val="none"/>
          <w:u w:val="single"/>
        </w:rPr>
      </w:pPr>
      <w:r>
        <w:rPr>
          <w:rFonts w:hint="eastAsia"/>
          <w:color w:val="auto"/>
          <w:sz w:val="24"/>
          <w:highlight w:val="none"/>
        </w:rPr>
        <w:t>（6）其他要求：</w:t>
      </w:r>
      <w:r>
        <w:rPr>
          <w:rFonts w:hint="eastAsia" w:ascii="宋体" w:hAnsi="宋体"/>
          <w:color w:val="auto"/>
          <w:sz w:val="24"/>
          <w:highlight w:val="none"/>
          <w:u w:val="single"/>
        </w:rPr>
        <w:t>见投标人须知前附表。</w:t>
      </w:r>
    </w:p>
    <w:p w14:paraId="4BF6DAEA">
      <w:pPr>
        <w:adjustRightInd w:val="0"/>
        <w:snapToGrid w:val="0"/>
        <w:spacing w:beforeLines="0" w:line="360" w:lineRule="auto"/>
        <w:ind w:firstLine="480" w:firstLineChars="200"/>
        <w:rPr>
          <w:color w:val="auto"/>
          <w:sz w:val="24"/>
          <w:highlight w:val="none"/>
        </w:rPr>
      </w:pPr>
      <w:r>
        <w:rPr>
          <w:rFonts w:hint="eastAsia"/>
          <w:color w:val="auto"/>
          <w:sz w:val="24"/>
          <w:highlight w:val="none"/>
        </w:rPr>
        <w:t>1.4.2  投标人须知前附表规定接受联合体投标的，除应符合本章第1.4.1款和投标人须知前附表的规定外，还应遵守以下原则：</w:t>
      </w:r>
    </w:p>
    <w:p w14:paraId="104CA2AE">
      <w:pPr>
        <w:adjustRightInd w:val="0"/>
        <w:snapToGrid w:val="0"/>
        <w:spacing w:beforeLines="0" w:line="360" w:lineRule="auto"/>
        <w:ind w:firstLine="480" w:firstLineChars="200"/>
        <w:rPr>
          <w:color w:val="auto"/>
          <w:sz w:val="24"/>
          <w:highlight w:val="none"/>
        </w:rPr>
      </w:pPr>
      <w:bookmarkStart w:id="87" w:name="OLE_LINK4"/>
      <w:bookmarkStart w:id="88" w:name="OLE_LINK3"/>
      <w:r>
        <w:rPr>
          <w:rFonts w:hint="eastAsia"/>
          <w:color w:val="auto"/>
          <w:sz w:val="24"/>
          <w:highlight w:val="none"/>
        </w:rPr>
        <w:t>（1）</w:t>
      </w:r>
      <w:bookmarkEnd w:id="87"/>
      <w:bookmarkEnd w:id="88"/>
      <w:r>
        <w:rPr>
          <w:rFonts w:hint="eastAsia"/>
          <w:color w:val="auto"/>
          <w:sz w:val="24"/>
          <w:highlight w:val="none"/>
        </w:rPr>
        <w:t xml:space="preserve">联合体各方应按招标文件提供的格式签订联合体协议书，明确联合体牵头人和各方权利义务； </w:t>
      </w:r>
    </w:p>
    <w:p w14:paraId="4CF2BBCE">
      <w:pPr>
        <w:adjustRightInd w:val="0"/>
        <w:snapToGrid w:val="0"/>
        <w:spacing w:beforeLines="0" w:line="360" w:lineRule="auto"/>
        <w:ind w:firstLine="480" w:firstLineChars="200"/>
        <w:rPr>
          <w:color w:val="auto"/>
          <w:sz w:val="24"/>
          <w:highlight w:val="none"/>
        </w:rPr>
      </w:pPr>
      <w:r>
        <w:rPr>
          <w:rFonts w:hint="eastAsia"/>
          <w:color w:val="auto"/>
          <w:sz w:val="24"/>
          <w:highlight w:val="none"/>
        </w:rPr>
        <w:t>（2）</w:t>
      </w:r>
      <w:r>
        <w:rPr>
          <w:color w:val="auto"/>
          <w:sz w:val="24"/>
          <w:highlight w:val="none"/>
        </w:rPr>
        <w:t>拟</w:t>
      </w:r>
      <w:r>
        <w:rPr>
          <w:rFonts w:hint="eastAsia"/>
          <w:color w:val="auto"/>
          <w:sz w:val="24"/>
          <w:highlight w:val="none"/>
        </w:rPr>
        <w:t>派驻现场</w:t>
      </w:r>
      <w:r>
        <w:rPr>
          <w:color w:val="auto"/>
          <w:sz w:val="24"/>
          <w:highlight w:val="none"/>
        </w:rPr>
        <w:t>监理机构</w:t>
      </w:r>
      <w:r>
        <w:rPr>
          <w:rFonts w:hint="eastAsia"/>
          <w:color w:val="auto"/>
          <w:sz w:val="24"/>
          <w:highlight w:val="none"/>
        </w:rPr>
        <w:t>的总监理工程师</w:t>
      </w:r>
      <w:r>
        <w:rPr>
          <w:color w:val="auto"/>
          <w:sz w:val="24"/>
          <w:highlight w:val="none"/>
        </w:rPr>
        <w:t>应为</w:t>
      </w:r>
      <w:r>
        <w:rPr>
          <w:rFonts w:hint="eastAsia"/>
          <w:color w:val="auto"/>
          <w:sz w:val="24"/>
          <w:highlight w:val="none"/>
        </w:rPr>
        <w:t>联合体牵头人</w:t>
      </w:r>
      <w:r>
        <w:rPr>
          <w:color w:val="auto"/>
          <w:sz w:val="24"/>
          <w:highlight w:val="none"/>
        </w:rPr>
        <w:t>单位人员</w:t>
      </w:r>
      <w:r>
        <w:rPr>
          <w:rFonts w:hint="eastAsia"/>
          <w:color w:val="auto"/>
          <w:sz w:val="24"/>
          <w:highlight w:val="none"/>
        </w:rPr>
        <w:t>，且登记工作单位为本单位</w:t>
      </w:r>
      <w:r>
        <w:rPr>
          <w:color w:val="auto"/>
          <w:sz w:val="24"/>
          <w:highlight w:val="none"/>
        </w:rPr>
        <w:t>；</w:t>
      </w:r>
    </w:p>
    <w:p w14:paraId="73C976E1">
      <w:pPr>
        <w:adjustRightInd w:val="0"/>
        <w:snapToGrid w:val="0"/>
        <w:spacing w:beforeLines="0" w:line="360" w:lineRule="auto"/>
        <w:ind w:firstLine="480" w:firstLineChars="200"/>
        <w:rPr>
          <w:color w:val="auto"/>
          <w:sz w:val="24"/>
          <w:highlight w:val="none"/>
        </w:rPr>
      </w:pPr>
      <w:r>
        <w:rPr>
          <w:rFonts w:hint="eastAsia"/>
          <w:color w:val="auto"/>
          <w:sz w:val="24"/>
          <w:highlight w:val="none"/>
        </w:rPr>
        <w:t xml:space="preserve">（3）联合体成员可以由投标人须知前附表规定数量的监理企业组成，联合体各方均应当具备承担招标项目的相应能力和本章第1.4.1款规定的相应要求，由同一专业的单位组成的联合体，按照资质等级较低的单位确定资质等级； </w:t>
      </w:r>
    </w:p>
    <w:p w14:paraId="5D2FCDC7">
      <w:pPr>
        <w:adjustRightInd w:val="0"/>
        <w:snapToGrid w:val="0"/>
        <w:spacing w:beforeLines="0" w:line="360" w:lineRule="auto"/>
        <w:ind w:firstLine="480" w:firstLineChars="200"/>
        <w:rPr>
          <w:color w:val="auto"/>
          <w:sz w:val="24"/>
          <w:highlight w:val="none"/>
        </w:rPr>
      </w:pPr>
      <w:r>
        <w:rPr>
          <w:rFonts w:hint="eastAsia"/>
          <w:color w:val="auto"/>
          <w:sz w:val="24"/>
          <w:highlight w:val="none"/>
        </w:rPr>
        <w:t>（4）</w:t>
      </w:r>
      <w:r>
        <w:rPr>
          <w:color w:val="auto"/>
          <w:sz w:val="24"/>
          <w:highlight w:val="none"/>
        </w:rPr>
        <w:t>联合体各方</w:t>
      </w:r>
      <w:r>
        <w:rPr>
          <w:rFonts w:hint="eastAsia"/>
          <w:color w:val="auto"/>
          <w:sz w:val="24"/>
          <w:highlight w:val="none"/>
        </w:rPr>
        <w:t>不得再以自己</w:t>
      </w:r>
      <w:r>
        <w:rPr>
          <w:color w:val="auto"/>
          <w:sz w:val="24"/>
          <w:highlight w:val="none"/>
        </w:rPr>
        <w:t>名义单独或参加其他联合体</w:t>
      </w:r>
      <w:r>
        <w:rPr>
          <w:rFonts w:hint="eastAsia"/>
          <w:color w:val="auto"/>
          <w:sz w:val="24"/>
          <w:highlight w:val="none"/>
        </w:rPr>
        <w:t>在同一标段中</w:t>
      </w:r>
      <w:r>
        <w:rPr>
          <w:color w:val="auto"/>
          <w:sz w:val="24"/>
          <w:highlight w:val="none"/>
        </w:rPr>
        <w:t>投标</w:t>
      </w:r>
      <w:r>
        <w:rPr>
          <w:rFonts w:hint="eastAsia"/>
          <w:color w:val="auto"/>
          <w:sz w:val="24"/>
          <w:highlight w:val="none"/>
        </w:rPr>
        <w:t>；</w:t>
      </w:r>
    </w:p>
    <w:p w14:paraId="3C4EC569">
      <w:pPr>
        <w:adjustRightInd w:val="0"/>
        <w:snapToGrid w:val="0"/>
        <w:spacing w:beforeLines="0" w:line="360" w:lineRule="auto"/>
        <w:ind w:firstLine="480" w:firstLineChars="200"/>
        <w:rPr>
          <w:color w:val="auto"/>
          <w:sz w:val="24"/>
          <w:highlight w:val="none"/>
        </w:rPr>
      </w:pPr>
      <w:r>
        <w:rPr>
          <w:color w:val="auto"/>
          <w:sz w:val="24"/>
          <w:highlight w:val="none"/>
        </w:rPr>
        <w:t>（5）联合体各方必须分别提供能证明其监理资质、法人资格等加盖</w:t>
      </w:r>
      <w:r>
        <w:rPr>
          <w:rFonts w:hint="eastAsia"/>
          <w:color w:val="auto"/>
          <w:sz w:val="24"/>
          <w:highlight w:val="none"/>
        </w:rPr>
        <w:t>投标人</w:t>
      </w:r>
      <w:r>
        <w:rPr>
          <w:color w:val="auto"/>
          <w:sz w:val="24"/>
          <w:highlight w:val="none"/>
        </w:rPr>
        <w:t>公章</w:t>
      </w:r>
      <w:r>
        <w:rPr>
          <w:rFonts w:hint="eastAsia"/>
          <w:color w:val="auto"/>
          <w:sz w:val="24"/>
          <w:highlight w:val="none"/>
        </w:rPr>
        <w:t>的</w:t>
      </w:r>
      <w:r>
        <w:rPr>
          <w:color w:val="auto"/>
          <w:sz w:val="24"/>
          <w:highlight w:val="none"/>
        </w:rPr>
        <w:t>文件</w:t>
      </w:r>
      <w:r>
        <w:rPr>
          <w:rFonts w:hint="eastAsia"/>
          <w:color w:val="auto"/>
          <w:sz w:val="24"/>
          <w:highlight w:val="none"/>
        </w:rPr>
        <w:t>或</w:t>
      </w:r>
      <w:r>
        <w:rPr>
          <w:color w:val="auto"/>
          <w:sz w:val="24"/>
          <w:highlight w:val="none"/>
        </w:rPr>
        <w:t>资料</w:t>
      </w:r>
      <w:r>
        <w:rPr>
          <w:rFonts w:hint="eastAsia"/>
          <w:color w:val="auto"/>
          <w:sz w:val="24"/>
          <w:highlight w:val="none"/>
        </w:rPr>
        <w:t>扫描件</w:t>
      </w:r>
      <w:r>
        <w:rPr>
          <w:color w:val="auto"/>
          <w:sz w:val="24"/>
          <w:highlight w:val="none"/>
        </w:rPr>
        <w:t>。</w:t>
      </w:r>
    </w:p>
    <w:p w14:paraId="781E26E1">
      <w:pPr>
        <w:adjustRightInd w:val="0"/>
        <w:snapToGrid w:val="0"/>
        <w:spacing w:beforeLines="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1.4.3投标人不得存在下列情形之一：</w:t>
      </w:r>
    </w:p>
    <w:p w14:paraId="0392DD4D">
      <w:pPr>
        <w:numPr>
          <w:ilvl w:val="0"/>
          <w:numId w:val="5"/>
        </w:numPr>
        <w:adjustRightInd w:val="0"/>
        <w:snapToGrid w:val="0"/>
        <w:spacing w:beforeLines="0" w:line="360" w:lineRule="auto"/>
        <w:ind w:left="113" w:leftChars="54" w:right="113" w:firstLine="360" w:firstLineChars="150"/>
        <w:rPr>
          <w:rFonts w:ascii="宋体" w:hAnsi="宋体" w:cs="宋体"/>
          <w:color w:val="auto"/>
          <w:sz w:val="24"/>
          <w:highlight w:val="none"/>
        </w:rPr>
      </w:pPr>
      <w:r>
        <w:rPr>
          <w:rFonts w:hint="eastAsia" w:ascii="宋体" w:hAnsi="宋体" w:cs="宋体"/>
          <w:color w:val="auto"/>
          <w:sz w:val="24"/>
          <w:highlight w:val="none"/>
        </w:rPr>
        <w:t>与招标人存在利害关系可能影响招标公正性的法人、其他组织或者个人；</w:t>
      </w:r>
    </w:p>
    <w:p w14:paraId="76AC17BD">
      <w:pPr>
        <w:numPr>
          <w:ilvl w:val="0"/>
          <w:numId w:val="5"/>
        </w:numPr>
        <w:adjustRightInd w:val="0"/>
        <w:snapToGrid w:val="0"/>
        <w:spacing w:beforeLines="0" w:line="360" w:lineRule="auto"/>
        <w:ind w:left="113" w:leftChars="54" w:right="113" w:firstLine="360" w:firstLineChars="150"/>
        <w:rPr>
          <w:rFonts w:ascii="宋体" w:hAnsi="宋体" w:cs="宋体"/>
          <w:color w:val="auto"/>
          <w:sz w:val="24"/>
          <w:highlight w:val="none"/>
        </w:rPr>
      </w:pPr>
      <w:r>
        <w:rPr>
          <w:rFonts w:hint="eastAsia" w:ascii="宋体" w:hAnsi="宋体" w:cs="宋体"/>
          <w:color w:val="auto"/>
          <w:sz w:val="24"/>
          <w:highlight w:val="none"/>
        </w:rPr>
        <w:t>单位负责人为同一人或者存在控股、管理关系的不同单位，参加同一标段投标或者未划分标段的同一招标项目投标；</w:t>
      </w:r>
    </w:p>
    <w:p w14:paraId="619C7B0B">
      <w:pPr>
        <w:numPr>
          <w:ilvl w:val="0"/>
          <w:numId w:val="5"/>
        </w:numPr>
        <w:adjustRightInd w:val="0"/>
        <w:snapToGrid w:val="0"/>
        <w:spacing w:beforeLines="0" w:line="360" w:lineRule="auto"/>
        <w:ind w:left="113" w:leftChars="54" w:right="113" w:firstLine="360" w:firstLineChars="150"/>
        <w:rPr>
          <w:rFonts w:ascii="宋体" w:hAnsi="宋体" w:cs="宋体"/>
          <w:color w:val="auto"/>
          <w:sz w:val="24"/>
          <w:highlight w:val="none"/>
        </w:rPr>
      </w:pPr>
      <w:r>
        <w:rPr>
          <w:rFonts w:hint="eastAsia" w:ascii="宋体" w:hAnsi="宋体" w:cs="宋体"/>
          <w:color w:val="auto"/>
          <w:sz w:val="24"/>
          <w:highlight w:val="none"/>
        </w:rPr>
        <w:t>与本标段的施工承包人、代建人或招标代理机构有隶属关系；</w:t>
      </w:r>
    </w:p>
    <w:p w14:paraId="7F954C16">
      <w:pPr>
        <w:numPr>
          <w:ilvl w:val="0"/>
          <w:numId w:val="5"/>
        </w:numPr>
        <w:adjustRightInd w:val="0"/>
        <w:snapToGrid w:val="0"/>
        <w:spacing w:beforeLines="0" w:line="360" w:lineRule="auto"/>
        <w:ind w:left="113" w:leftChars="54" w:right="113" w:firstLine="360" w:firstLineChars="150"/>
        <w:rPr>
          <w:rFonts w:ascii="宋体" w:hAnsi="宋体" w:cs="宋体"/>
          <w:color w:val="auto"/>
          <w:sz w:val="24"/>
          <w:highlight w:val="none"/>
        </w:rPr>
      </w:pPr>
      <w:r>
        <w:rPr>
          <w:rFonts w:hint="eastAsia" w:ascii="宋体" w:hAnsi="宋体" w:cs="宋体"/>
          <w:color w:val="auto"/>
          <w:sz w:val="24"/>
          <w:highlight w:val="none"/>
        </w:rPr>
        <w:t>与本标段的施工承包人、代建人或招标代理机构同为一个法定代表人；</w:t>
      </w:r>
    </w:p>
    <w:p w14:paraId="63219D80">
      <w:pPr>
        <w:numPr>
          <w:ilvl w:val="0"/>
          <w:numId w:val="5"/>
        </w:numPr>
        <w:adjustRightInd w:val="0"/>
        <w:snapToGrid w:val="0"/>
        <w:spacing w:beforeLines="0" w:line="360" w:lineRule="auto"/>
        <w:ind w:left="113" w:leftChars="54" w:right="113" w:firstLine="360" w:firstLineChars="150"/>
        <w:rPr>
          <w:rFonts w:ascii="宋体" w:hAnsi="宋体" w:cs="宋体"/>
          <w:color w:val="auto"/>
          <w:sz w:val="24"/>
          <w:highlight w:val="none"/>
        </w:rPr>
      </w:pPr>
      <w:r>
        <w:rPr>
          <w:rFonts w:hint="eastAsia" w:ascii="宋体" w:hAnsi="宋体" w:cs="宋体"/>
          <w:color w:val="auto"/>
          <w:sz w:val="24"/>
          <w:highlight w:val="none"/>
        </w:rPr>
        <w:t>与本标段的施工承包人、代建人或招标代理机构相互控股或参股；</w:t>
      </w:r>
    </w:p>
    <w:p w14:paraId="4857956B">
      <w:pPr>
        <w:numPr>
          <w:ilvl w:val="0"/>
          <w:numId w:val="5"/>
        </w:numPr>
        <w:adjustRightInd w:val="0"/>
        <w:snapToGrid w:val="0"/>
        <w:spacing w:beforeLines="0" w:line="360" w:lineRule="auto"/>
        <w:ind w:left="113" w:leftChars="54" w:right="113" w:firstLine="360" w:firstLineChars="150"/>
        <w:rPr>
          <w:rFonts w:ascii="宋体" w:hAnsi="宋体" w:cs="宋体"/>
          <w:color w:val="auto"/>
          <w:sz w:val="24"/>
          <w:highlight w:val="none"/>
        </w:rPr>
      </w:pPr>
      <w:r>
        <w:rPr>
          <w:rFonts w:hint="eastAsia" w:ascii="宋体" w:hAnsi="宋体" w:cs="宋体"/>
          <w:color w:val="auto"/>
          <w:sz w:val="24"/>
          <w:highlight w:val="none"/>
        </w:rPr>
        <w:t>与本标段的施工承包人、代建人或招标代理机构相互任职或工作；</w:t>
      </w:r>
    </w:p>
    <w:p w14:paraId="25E131D1">
      <w:pPr>
        <w:numPr>
          <w:ilvl w:val="0"/>
          <w:numId w:val="5"/>
        </w:numPr>
        <w:adjustRightInd w:val="0"/>
        <w:snapToGrid w:val="0"/>
        <w:spacing w:beforeLines="0" w:line="360" w:lineRule="auto"/>
        <w:ind w:left="113" w:leftChars="54" w:right="113" w:firstLine="360" w:firstLineChars="150"/>
        <w:rPr>
          <w:rFonts w:ascii="宋体" w:hAnsi="宋体" w:cs="宋体"/>
          <w:color w:val="auto"/>
          <w:sz w:val="24"/>
          <w:highlight w:val="none"/>
        </w:rPr>
      </w:pPr>
      <w:r>
        <w:rPr>
          <w:rFonts w:hint="eastAsia" w:ascii="宋体" w:hAnsi="宋体" w:cs="宋体"/>
          <w:color w:val="auto"/>
          <w:sz w:val="24"/>
          <w:highlight w:val="none"/>
        </w:rPr>
        <w:t>在最近三年内有弄虚作假骗取中标、围标串标行为或严重违约等的。</w:t>
      </w:r>
    </w:p>
    <w:p w14:paraId="0613B4EF">
      <w:pPr>
        <w:numPr>
          <w:ilvl w:val="0"/>
          <w:numId w:val="5"/>
        </w:numPr>
        <w:adjustRightInd w:val="0"/>
        <w:snapToGrid w:val="0"/>
        <w:spacing w:beforeLines="0" w:line="360" w:lineRule="auto"/>
        <w:ind w:left="113" w:leftChars="54" w:right="113" w:firstLine="360" w:firstLineChars="150"/>
        <w:rPr>
          <w:rFonts w:ascii="宋体" w:hAnsi="宋体" w:cs="宋体"/>
          <w:color w:val="auto"/>
          <w:sz w:val="24"/>
          <w:highlight w:val="none"/>
        </w:rPr>
      </w:pPr>
      <w:r>
        <w:rPr>
          <w:rFonts w:hint="eastAsia" w:ascii="宋体" w:hAnsi="宋体" w:cs="宋体"/>
          <w:color w:val="auto"/>
          <w:sz w:val="24"/>
          <w:highlight w:val="none"/>
        </w:rPr>
        <w:t>法律法规或投标人须知前附表规定的其他情形。</w:t>
      </w:r>
    </w:p>
    <w:p w14:paraId="6F424490">
      <w:pPr>
        <w:wordWrap w:val="0"/>
        <w:adjustRightInd w:val="0"/>
        <w:snapToGrid w:val="0"/>
        <w:spacing w:beforeLines="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1.4.4  投标人（包括联合体各成员）不得存在下列不良状况或不良信用记录：</w:t>
      </w:r>
    </w:p>
    <w:p w14:paraId="497EA9C8">
      <w:pPr>
        <w:wordWrap w:val="0"/>
        <w:adjustRightInd w:val="0"/>
        <w:snapToGrid w:val="0"/>
        <w:spacing w:beforeLines="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（1）被交通运输部或福建省交通运输厅取消招标项目所在地的投标资格且处于有效期内；</w:t>
      </w:r>
    </w:p>
    <w:p w14:paraId="229610C3">
      <w:pPr>
        <w:wordWrap w:val="0"/>
        <w:adjustRightInd w:val="0"/>
        <w:snapToGrid w:val="0"/>
        <w:spacing w:beforeLines="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（2）被责令停业，暂扣或吊销执照，或吊销资质证书；</w:t>
      </w:r>
    </w:p>
    <w:p w14:paraId="7577D034">
      <w:pPr>
        <w:wordWrap w:val="0"/>
        <w:adjustRightInd w:val="0"/>
        <w:snapToGrid w:val="0"/>
        <w:spacing w:beforeLines="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（3）进入清算程序，或被宣告破产，或其他丧失履约能力的情形；</w:t>
      </w:r>
    </w:p>
    <w:p w14:paraId="52B953E7">
      <w:pPr>
        <w:wordWrap w:val="0"/>
        <w:adjustRightInd w:val="0"/>
        <w:snapToGrid w:val="0"/>
        <w:spacing w:beforeLines="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（4）在国家企业信用信息公示系统（http://www.gsxt.gov.cn/）中被列入严重违法失信企业名单；</w:t>
      </w:r>
    </w:p>
    <w:p w14:paraId="73791A6F">
      <w:pPr>
        <w:wordWrap w:val="0"/>
        <w:adjustRightInd w:val="0"/>
        <w:snapToGrid w:val="0"/>
        <w:spacing w:beforeLines="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（5）在“信用中国”网站（http://www.creditchina.gov.cn/）或“中国执行信息公开网”网站（http://zxgk.court.gov.cn/shixin/）中被列入失信被执行人名单；</w:t>
      </w:r>
    </w:p>
    <w:p w14:paraId="397DE6DC">
      <w:pPr>
        <w:wordWrap w:val="0"/>
        <w:adjustRightInd w:val="0"/>
        <w:snapToGrid w:val="0"/>
        <w:spacing w:beforeLines="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（6）投标人或其法定代表人、拟委任的总监理工程师在近三年内有行贿犯罪行为的</w:t>
      </w:r>
      <w:r>
        <w:rPr>
          <w:rFonts w:ascii="宋体" w:hAnsi="宋体" w:cs="宋体"/>
          <w:snapToGrid w:val="0"/>
          <w:color w:val="auto"/>
          <w:kern w:val="0"/>
          <w:sz w:val="24"/>
          <w:highlight w:val="none"/>
        </w:rPr>
        <w:t>（行为犯罪行为的认定以投标人提交的“无</w:t>
      </w:r>
      <w:r>
        <w:rPr>
          <w:rFonts w:hint="eastAsia" w:ascii="宋体" w:hAnsi="宋体" w:cs="宋体"/>
          <w:snapToGrid w:val="0"/>
          <w:color w:val="auto"/>
          <w:kern w:val="0"/>
          <w:sz w:val="24"/>
          <w:highlight w:val="none"/>
          <w:lang w:val="en-US" w:eastAsia="zh-CN"/>
        </w:rPr>
        <w:t>行</w:t>
      </w:r>
      <w:r>
        <w:rPr>
          <w:rFonts w:ascii="宋体" w:hAnsi="宋体" w:cs="宋体"/>
          <w:snapToGrid w:val="0"/>
          <w:color w:val="auto"/>
          <w:kern w:val="0"/>
          <w:sz w:val="24"/>
          <w:highlight w:val="none"/>
        </w:rPr>
        <w:t>贿犯罪记录承诺书”为准）</w:t>
      </w:r>
      <w:r>
        <w:rPr>
          <w:rFonts w:hint="eastAsia" w:ascii="宋体" w:hAnsi="宋体" w:cs="宋体"/>
          <w:color w:val="auto"/>
          <w:sz w:val="24"/>
          <w:highlight w:val="none"/>
        </w:rPr>
        <w:t>；</w:t>
      </w:r>
    </w:p>
    <w:p w14:paraId="01E3A6EC">
      <w:pPr>
        <w:adjustRightInd w:val="0"/>
        <w:snapToGrid w:val="0"/>
        <w:spacing w:beforeLines="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（7）法律法规或投标人须知前附表规定的其他情形。</w:t>
      </w:r>
    </w:p>
    <w:p w14:paraId="07F4EB88">
      <w:pPr>
        <w:pStyle w:val="5"/>
        <w:adjustRightInd w:val="0"/>
        <w:snapToGrid w:val="0"/>
        <w:spacing w:before="0" w:beforeLines="0" w:after="0" w:line="360" w:lineRule="auto"/>
        <w:ind w:firstLine="482" w:firstLineChars="200"/>
        <w:rPr>
          <w:rFonts w:ascii="黑体" w:hAnsi="宋体"/>
          <w:b w:val="0"/>
          <w:color w:val="auto"/>
          <w:sz w:val="24"/>
          <w:szCs w:val="24"/>
          <w:highlight w:val="none"/>
        </w:rPr>
      </w:pPr>
      <w:bookmarkStart w:id="89" w:name="_Toc152042311"/>
      <w:bookmarkStart w:id="90" w:name="_Toc152045535"/>
      <w:bookmarkStart w:id="91" w:name="_Toc144974503"/>
      <w:bookmarkStart w:id="92" w:name="_Toc488650783"/>
      <w:bookmarkStart w:id="93" w:name="_Toc487619435"/>
      <w:bookmarkStart w:id="94" w:name="_Toc487653353"/>
      <w:bookmarkStart w:id="95" w:name="_Toc487291464"/>
      <w:bookmarkStart w:id="96" w:name="_Toc341805105"/>
      <w:bookmarkStart w:id="97" w:name="_Toc356567785"/>
      <w:r>
        <w:rPr>
          <w:rFonts w:hint="eastAsia" w:ascii="黑体" w:hAnsi="宋体"/>
          <w:color w:val="auto"/>
          <w:sz w:val="24"/>
          <w:szCs w:val="24"/>
          <w:highlight w:val="none"/>
        </w:rPr>
        <w:t>1.5</w:t>
      </w:r>
      <w:r>
        <w:rPr>
          <w:rFonts w:hint="eastAsia" w:ascii="黑体" w:hAnsi="宋体"/>
          <w:b w:val="0"/>
          <w:color w:val="auto"/>
          <w:sz w:val="24"/>
          <w:szCs w:val="24"/>
          <w:highlight w:val="none"/>
        </w:rPr>
        <w:t xml:space="preserve">  费用</w:t>
      </w:r>
      <w:bookmarkEnd w:id="89"/>
      <w:bookmarkEnd w:id="90"/>
      <w:bookmarkEnd w:id="91"/>
      <w:r>
        <w:rPr>
          <w:rFonts w:hint="eastAsia" w:ascii="黑体" w:hAnsi="宋体"/>
          <w:b w:val="0"/>
          <w:color w:val="auto"/>
          <w:sz w:val="24"/>
          <w:szCs w:val="24"/>
          <w:highlight w:val="none"/>
        </w:rPr>
        <w:t>承担</w:t>
      </w:r>
      <w:bookmarkEnd w:id="92"/>
      <w:bookmarkEnd w:id="93"/>
      <w:bookmarkEnd w:id="94"/>
      <w:bookmarkEnd w:id="95"/>
      <w:bookmarkEnd w:id="96"/>
      <w:bookmarkEnd w:id="97"/>
    </w:p>
    <w:p w14:paraId="6F9665AD">
      <w:pPr>
        <w:adjustRightInd w:val="0"/>
        <w:snapToGrid w:val="0"/>
        <w:spacing w:beforeLines="0" w:line="360" w:lineRule="auto"/>
        <w:ind w:firstLine="480" w:firstLineChars="200"/>
        <w:rPr>
          <w:color w:val="auto"/>
          <w:sz w:val="24"/>
          <w:highlight w:val="none"/>
        </w:rPr>
      </w:pPr>
      <w:r>
        <w:rPr>
          <w:color w:val="auto"/>
          <w:sz w:val="24"/>
          <w:highlight w:val="none"/>
        </w:rPr>
        <w:t>投标人</w:t>
      </w:r>
      <w:r>
        <w:rPr>
          <w:rFonts w:hint="eastAsia"/>
          <w:color w:val="auto"/>
          <w:sz w:val="24"/>
          <w:highlight w:val="none"/>
        </w:rPr>
        <w:t>准备和参加投标活动发生的</w:t>
      </w:r>
      <w:r>
        <w:rPr>
          <w:color w:val="auto"/>
          <w:sz w:val="24"/>
          <w:highlight w:val="none"/>
        </w:rPr>
        <w:t>费用</w:t>
      </w:r>
      <w:r>
        <w:rPr>
          <w:rFonts w:hint="eastAsia"/>
          <w:color w:val="auto"/>
          <w:sz w:val="24"/>
          <w:highlight w:val="none"/>
        </w:rPr>
        <w:t>自理。</w:t>
      </w:r>
    </w:p>
    <w:p w14:paraId="3CA958ED">
      <w:pPr>
        <w:pStyle w:val="5"/>
        <w:adjustRightInd w:val="0"/>
        <w:snapToGrid w:val="0"/>
        <w:spacing w:before="0" w:beforeLines="0" w:after="0" w:line="360" w:lineRule="auto"/>
        <w:ind w:firstLine="482" w:firstLineChars="200"/>
        <w:rPr>
          <w:rFonts w:ascii="黑体" w:hAnsi="宋体"/>
          <w:b w:val="0"/>
          <w:color w:val="auto"/>
          <w:sz w:val="24"/>
          <w:szCs w:val="24"/>
          <w:highlight w:val="none"/>
        </w:rPr>
      </w:pPr>
      <w:bookmarkStart w:id="98" w:name="_Toc341805106"/>
      <w:bookmarkStart w:id="99" w:name="_Toc144974504"/>
      <w:bookmarkStart w:id="100" w:name="_Toc152045536"/>
      <w:bookmarkStart w:id="101" w:name="_Toc487291465"/>
      <w:bookmarkStart w:id="102" w:name="_Toc152042312"/>
      <w:bookmarkStart w:id="103" w:name="_Toc487653354"/>
      <w:bookmarkStart w:id="104" w:name="_Toc356567786"/>
      <w:bookmarkStart w:id="105" w:name="_Toc487619436"/>
      <w:bookmarkStart w:id="106" w:name="_Toc488650784"/>
      <w:r>
        <w:rPr>
          <w:rFonts w:hint="eastAsia" w:ascii="黑体" w:hAnsi="宋体"/>
          <w:color w:val="auto"/>
          <w:sz w:val="24"/>
          <w:szCs w:val="24"/>
          <w:highlight w:val="none"/>
        </w:rPr>
        <w:t xml:space="preserve">1.6 </w:t>
      </w:r>
      <w:r>
        <w:rPr>
          <w:rFonts w:hint="eastAsia" w:ascii="黑体" w:hAnsi="宋体"/>
          <w:b w:val="0"/>
          <w:color w:val="auto"/>
          <w:sz w:val="24"/>
          <w:szCs w:val="24"/>
          <w:highlight w:val="none"/>
        </w:rPr>
        <w:t xml:space="preserve"> 保密</w:t>
      </w:r>
      <w:bookmarkEnd w:id="98"/>
      <w:bookmarkEnd w:id="99"/>
      <w:bookmarkEnd w:id="100"/>
      <w:bookmarkEnd w:id="101"/>
      <w:bookmarkEnd w:id="102"/>
      <w:bookmarkEnd w:id="103"/>
      <w:bookmarkEnd w:id="104"/>
      <w:bookmarkEnd w:id="105"/>
      <w:bookmarkEnd w:id="106"/>
    </w:p>
    <w:p w14:paraId="186E0B51">
      <w:pPr>
        <w:adjustRightInd w:val="0"/>
        <w:snapToGrid w:val="0"/>
        <w:spacing w:beforeLines="0" w:line="360" w:lineRule="auto"/>
        <w:ind w:firstLine="480" w:firstLineChars="200"/>
        <w:rPr>
          <w:color w:val="auto"/>
          <w:sz w:val="24"/>
          <w:highlight w:val="none"/>
        </w:rPr>
      </w:pPr>
      <w:r>
        <w:rPr>
          <w:rFonts w:hint="eastAsia"/>
          <w:color w:val="auto"/>
          <w:sz w:val="24"/>
          <w:highlight w:val="none"/>
        </w:rPr>
        <w:t xml:space="preserve">参与招标投标活动的各方应对招标文件和投标文件中的商业和技术等内容保密，违者应对由此造成的后果承担法律责任。 </w:t>
      </w:r>
    </w:p>
    <w:p w14:paraId="71350BC1">
      <w:pPr>
        <w:pStyle w:val="5"/>
        <w:adjustRightInd w:val="0"/>
        <w:snapToGrid w:val="0"/>
        <w:spacing w:before="0" w:beforeLines="0" w:after="0" w:line="360" w:lineRule="auto"/>
        <w:ind w:firstLine="482" w:firstLineChars="200"/>
        <w:rPr>
          <w:rFonts w:ascii="黑体" w:hAnsi="宋体"/>
          <w:b w:val="0"/>
          <w:color w:val="auto"/>
          <w:sz w:val="24"/>
          <w:szCs w:val="24"/>
          <w:highlight w:val="none"/>
        </w:rPr>
      </w:pPr>
      <w:bookmarkStart w:id="107" w:name="_Toc487653355"/>
      <w:bookmarkStart w:id="108" w:name="_Toc487619437"/>
      <w:bookmarkStart w:id="109" w:name="_Toc488650785"/>
      <w:bookmarkStart w:id="110" w:name="_Toc487291466"/>
      <w:bookmarkStart w:id="111" w:name="_Toc356567787"/>
      <w:bookmarkStart w:id="112" w:name="_Toc341805107"/>
      <w:r>
        <w:rPr>
          <w:rFonts w:hint="eastAsia" w:ascii="黑体" w:hAnsi="宋体"/>
          <w:color w:val="auto"/>
          <w:sz w:val="24"/>
          <w:szCs w:val="24"/>
          <w:highlight w:val="none"/>
        </w:rPr>
        <w:t xml:space="preserve">1.7 </w:t>
      </w:r>
      <w:r>
        <w:rPr>
          <w:rFonts w:hint="eastAsia" w:ascii="黑体" w:hAnsi="宋体"/>
          <w:b w:val="0"/>
          <w:color w:val="auto"/>
          <w:sz w:val="24"/>
          <w:szCs w:val="24"/>
          <w:highlight w:val="none"/>
        </w:rPr>
        <w:t xml:space="preserve"> 语言文字</w:t>
      </w:r>
      <w:bookmarkEnd w:id="107"/>
      <w:bookmarkEnd w:id="108"/>
      <w:bookmarkEnd w:id="109"/>
      <w:bookmarkEnd w:id="110"/>
      <w:bookmarkEnd w:id="111"/>
      <w:bookmarkEnd w:id="112"/>
    </w:p>
    <w:p w14:paraId="3E0463BB">
      <w:pPr>
        <w:adjustRightInd w:val="0"/>
        <w:snapToGrid w:val="0"/>
        <w:spacing w:beforeLines="0" w:line="360" w:lineRule="auto"/>
        <w:ind w:firstLine="480" w:firstLineChars="200"/>
        <w:rPr>
          <w:color w:val="auto"/>
          <w:sz w:val="24"/>
          <w:highlight w:val="none"/>
        </w:rPr>
      </w:pPr>
      <w:r>
        <w:rPr>
          <w:rFonts w:hint="eastAsia"/>
          <w:color w:val="auto"/>
          <w:sz w:val="24"/>
          <w:highlight w:val="none"/>
        </w:rPr>
        <w:t>除专用术语外，与招标投标有关的语言均使用中文。必要时专用术语应附有中文注释。</w:t>
      </w:r>
    </w:p>
    <w:p w14:paraId="466A3447">
      <w:pPr>
        <w:pStyle w:val="5"/>
        <w:adjustRightInd w:val="0"/>
        <w:snapToGrid w:val="0"/>
        <w:spacing w:before="0" w:beforeLines="0" w:after="0" w:line="360" w:lineRule="auto"/>
        <w:ind w:firstLine="482" w:firstLineChars="200"/>
        <w:rPr>
          <w:rFonts w:ascii="黑体" w:hAnsi="宋体"/>
          <w:b w:val="0"/>
          <w:color w:val="auto"/>
          <w:sz w:val="24"/>
          <w:szCs w:val="24"/>
          <w:highlight w:val="none"/>
        </w:rPr>
      </w:pPr>
      <w:bookmarkStart w:id="113" w:name="_Toc487619438"/>
      <w:bookmarkStart w:id="114" w:name="_Toc356567788"/>
      <w:bookmarkStart w:id="115" w:name="_Toc341805108"/>
      <w:bookmarkStart w:id="116" w:name="_Toc487653356"/>
      <w:bookmarkStart w:id="117" w:name="_Toc488650786"/>
      <w:bookmarkStart w:id="118" w:name="_Toc487291467"/>
      <w:r>
        <w:rPr>
          <w:rFonts w:hint="eastAsia" w:ascii="黑体" w:hAnsi="宋体"/>
          <w:color w:val="auto"/>
          <w:sz w:val="24"/>
          <w:szCs w:val="24"/>
          <w:highlight w:val="none"/>
        </w:rPr>
        <w:t>1.8</w:t>
      </w:r>
      <w:r>
        <w:rPr>
          <w:rFonts w:hint="eastAsia" w:ascii="黑体" w:hAnsi="宋体"/>
          <w:b w:val="0"/>
          <w:color w:val="auto"/>
          <w:sz w:val="24"/>
          <w:szCs w:val="24"/>
          <w:highlight w:val="none"/>
        </w:rPr>
        <w:t xml:space="preserve">  计量单位</w:t>
      </w:r>
      <w:bookmarkEnd w:id="113"/>
      <w:bookmarkEnd w:id="114"/>
      <w:bookmarkEnd w:id="115"/>
      <w:bookmarkEnd w:id="116"/>
      <w:bookmarkEnd w:id="117"/>
      <w:bookmarkEnd w:id="118"/>
    </w:p>
    <w:p w14:paraId="1AD72F1A">
      <w:pPr>
        <w:adjustRightInd w:val="0"/>
        <w:snapToGrid w:val="0"/>
        <w:spacing w:beforeLines="0" w:line="360" w:lineRule="auto"/>
        <w:ind w:firstLine="480" w:firstLineChars="200"/>
        <w:rPr>
          <w:color w:val="auto"/>
          <w:sz w:val="24"/>
          <w:highlight w:val="none"/>
        </w:rPr>
      </w:pPr>
      <w:r>
        <w:rPr>
          <w:rFonts w:hint="eastAsia"/>
          <w:color w:val="auto"/>
          <w:sz w:val="24"/>
          <w:highlight w:val="none"/>
        </w:rPr>
        <w:t>所有计量均采用中华人民共和国法定计量单位。</w:t>
      </w:r>
    </w:p>
    <w:p w14:paraId="2E6886FB">
      <w:pPr>
        <w:pStyle w:val="5"/>
        <w:adjustRightInd w:val="0"/>
        <w:snapToGrid w:val="0"/>
        <w:spacing w:before="0" w:beforeLines="0" w:after="0" w:line="360" w:lineRule="auto"/>
        <w:ind w:firstLine="482" w:firstLineChars="200"/>
        <w:rPr>
          <w:rFonts w:ascii="宋体" w:hAnsi="宋体"/>
          <w:color w:val="auto"/>
          <w:szCs w:val="28"/>
          <w:highlight w:val="none"/>
        </w:rPr>
      </w:pPr>
      <w:bookmarkStart w:id="119" w:name="_Toc487653178"/>
      <w:bookmarkStart w:id="120" w:name="_Toc486685897"/>
      <w:bookmarkStart w:id="121" w:name="_Toc419729354"/>
      <w:bookmarkStart w:id="122" w:name="_Toc383006467"/>
      <w:bookmarkStart w:id="123" w:name="_Toc30532"/>
      <w:bookmarkStart w:id="124" w:name="_Toc382997663"/>
      <w:bookmarkStart w:id="125" w:name="_Toc382997941"/>
      <w:bookmarkStart w:id="126" w:name="_Toc419825005"/>
      <w:bookmarkStart w:id="127" w:name="_Toc488483472"/>
      <w:bookmarkStart w:id="128" w:name="_Toc463799009"/>
      <w:bookmarkStart w:id="129" w:name="_Toc488492831"/>
      <w:bookmarkStart w:id="130" w:name="_Toc26045"/>
      <w:bookmarkStart w:id="131" w:name="_Toc419724287"/>
      <w:bookmarkStart w:id="132" w:name="_Toc234382599"/>
      <w:bookmarkStart w:id="133" w:name="_Toc419825354"/>
      <w:bookmarkStart w:id="134" w:name="_Toc383012994"/>
      <w:bookmarkStart w:id="135" w:name="_Toc488650787"/>
      <w:bookmarkStart w:id="136" w:name="_Toc383512688"/>
      <w:bookmarkStart w:id="137" w:name="_Toc488483600"/>
      <w:r>
        <w:rPr>
          <w:rFonts w:ascii="宋体" w:hAnsi="宋体"/>
          <w:color w:val="auto"/>
          <w:sz w:val="24"/>
          <w:szCs w:val="24"/>
          <w:highlight w:val="none"/>
        </w:rPr>
        <w:t>1.9</w:t>
      </w:r>
      <w:r>
        <w:rPr>
          <w:rFonts w:ascii="宋体" w:hAnsi="宋体"/>
          <w:color w:val="auto"/>
          <w:szCs w:val="28"/>
          <w:highlight w:val="none"/>
        </w:rPr>
        <w:t xml:space="preserve"> </w:t>
      </w:r>
      <w:r>
        <w:rPr>
          <w:rFonts w:ascii="黑体" w:hAnsi="宋体"/>
          <w:b w:val="0"/>
          <w:color w:val="auto"/>
          <w:sz w:val="24"/>
          <w:szCs w:val="24"/>
          <w:highlight w:val="none"/>
        </w:rPr>
        <w:t>踏勘现场</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538E8849">
      <w:pPr>
        <w:adjustRightInd w:val="0"/>
        <w:snapToGrid w:val="0"/>
        <w:spacing w:beforeLines="0" w:line="360" w:lineRule="auto"/>
        <w:ind w:firstLine="480" w:firstLineChars="200"/>
        <w:rPr>
          <w:color w:val="auto"/>
          <w:sz w:val="24"/>
          <w:highlight w:val="none"/>
        </w:rPr>
      </w:pPr>
      <w:r>
        <w:rPr>
          <w:rFonts w:hint="eastAsia"/>
          <w:color w:val="auto"/>
          <w:sz w:val="24"/>
          <w:highlight w:val="none"/>
        </w:rPr>
        <w:t>投标人自行踏勘现场，并自行负责在踏勘现场中所发生的人员伤亡和财产损失。</w:t>
      </w:r>
    </w:p>
    <w:p w14:paraId="01E0E9E1">
      <w:pPr>
        <w:pStyle w:val="5"/>
        <w:adjustRightInd w:val="0"/>
        <w:snapToGrid w:val="0"/>
        <w:spacing w:before="0" w:beforeLines="0" w:after="0" w:line="360" w:lineRule="auto"/>
        <w:ind w:firstLine="482" w:firstLineChars="200"/>
        <w:rPr>
          <w:rFonts w:ascii="宋体" w:hAnsi="宋体"/>
          <w:color w:val="auto"/>
          <w:szCs w:val="28"/>
          <w:highlight w:val="none"/>
        </w:rPr>
      </w:pPr>
      <w:bookmarkStart w:id="138" w:name="_Toc382997664"/>
      <w:bookmarkStart w:id="139" w:name="_Toc486685898"/>
      <w:bookmarkStart w:id="140" w:name="_Toc383006468"/>
      <w:bookmarkStart w:id="141" w:name="_Toc463799010"/>
      <w:bookmarkStart w:id="142" w:name="_Toc419724288"/>
      <w:bookmarkStart w:id="143" w:name="_Toc488483473"/>
      <w:bookmarkStart w:id="144" w:name="_Toc488650788"/>
      <w:bookmarkStart w:id="145" w:name="_Toc383012995"/>
      <w:bookmarkStart w:id="146" w:name="_Toc1684"/>
      <w:bookmarkStart w:id="147" w:name="_Toc382997942"/>
      <w:bookmarkStart w:id="148" w:name="_Toc234382600"/>
      <w:bookmarkStart w:id="149" w:name="_Toc419729355"/>
      <w:bookmarkStart w:id="150" w:name="_Toc487653179"/>
      <w:bookmarkStart w:id="151" w:name="_Toc419825006"/>
      <w:bookmarkStart w:id="152" w:name="_Toc419825355"/>
      <w:bookmarkStart w:id="153" w:name="_Toc28277"/>
      <w:bookmarkStart w:id="154" w:name="_Toc488483601"/>
      <w:bookmarkStart w:id="155" w:name="_Toc488492832"/>
      <w:bookmarkStart w:id="156" w:name="_Toc383512689"/>
      <w:r>
        <w:rPr>
          <w:rFonts w:ascii="宋体" w:hAnsi="宋体"/>
          <w:color w:val="auto"/>
          <w:sz w:val="24"/>
          <w:szCs w:val="24"/>
          <w:highlight w:val="none"/>
        </w:rPr>
        <w:t xml:space="preserve">1.10 </w:t>
      </w:r>
      <w:r>
        <w:rPr>
          <w:rFonts w:ascii="黑体" w:hAnsi="宋体"/>
          <w:b w:val="0"/>
          <w:color w:val="auto"/>
          <w:sz w:val="24"/>
          <w:szCs w:val="24"/>
          <w:highlight w:val="none"/>
        </w:rPr>
        <w:t>投标预备会</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6F8D1312">
      <w:pPr>
        <w:adjustRightInd w:val="0"/>
        <w:snapToGrid w:val="0"/>
        <w:spacing w:beforeLines="0" w:line="360" w:lineRule="auto"/>
        <w:ind w:firstLine="480" w:firstLineChars="200"/>
        <w:rPr>
          <w:color w:val="auto"/>
          <w:sz w:val="24"/>
          <w:highlight w:val="none"/>
        </w:rPr>
      </w:pPr>
      <w:r>
        <w:rPr>
          <w:rFonts w:hint="eastAsia"/>
          <w:color w:val="auto"/>
          <w:sz w:val="24"/>
          <w:highlight w:val="none"/>
        </w:rPr>
        <w:t>投标人不组织召开投标预备会。</w:t>
      </w:r>
    </w:p>
    <w:p w14:paraId="6717548A">
      <w:pPr>
        <w:pStyle w:val="5"/>
        <w:adjustRightInd w:val="0"/>
        <w:snapToGrid w:val="0"/>
        <w:spacing w:before="0" w:beforeLines="0" w:after="0" w:line="360" w:lineRule="auto"/>
        <w:ind w:firstLine="482" w:firstLineChars="200"/>
        <w:rPr>
          <w:rFonts w:ascii="黑体" w:hAnsi="宋体"/>
          <w:b w:val="0"/>
          <w:color w:val="auto"/>
          <w:sz w:val="24"/>
          <w:szCs w:val="24"/>
          <w:highlight w:val="none"/>
        </w:rPr>
      </w:pPr>
      <w:bookmarkStart w:id="157" w:name="_Toc488650789"/>
      <w:bookmarkStart w:id="158" w:name="_Toc341805111"/>
      <w:bookmarkStart w:id="159" w:name="_Toc487653357"/>
      <w:bookmarkStart w:id="160" w:name="_Toc487291468"/>
      <w:bookmarkStart w:id="161" w:name="_Toc487619439"/>
      <w:bookmarkStart w:id="162" w:name="_Toc356567791"/>
      <w:bookmarkStart w:id="163" w:name="_Toc283559191"/>
      <w:bookmarkStart w:id="164" w:name="_Toc283558694"/>
      <w:bookmarkStart w:id="165" w:name="_Toc152042318"/>
      <w:bookmarkStart w:id="166" w:name="_Toc144974510"/>
      <w:bookmarkStart w:id="167" w:name="_Toc152045542"/>
      <w:r>
        <w:rPr>
          <w:rFonts w:hint="eastAsia" w:ascii="黑体" w:hAnsi="宋体"/>
          <w:color w:val="auto"/>
          <w:sz w:val="24"/>
          <w:szCs w:val="24"/>
          <w:highlight w:val="none"/>
        </w:rPr>
        <w:t>1.11</w:t>
      </w:r>
      <w:r>
        <w:rPr>
          <w:rFonts w:hint="eastAsia" w:ascii="黑体" w:hAnsi="宋体"/>
          <w:b w:val="0"/>
          <w:color w:val="auto"/>
          <w:sz w:val="24"/>
          <w:szCs w:val="24"/>
          <w:highlight w:val="none"/>
        </w:rPr>
        <w:t xml:space="preserve">  分包</w:t>
      </w:r>
      <w:bookmarkEnd w:id="157"/>
      <w:bookmarkEnd w:id="158"/>
      <w:bookmarkEnd w:id="159"/>
      <w:bookmarkEnd w:id="160"/>
      <w:bookmarkEnd w:id="161"/>
      <w:bookmarkEnd w:id="162"/>
    </w:p>
    <w:p w14:paraId="51257242">
      <w:pPr>
        <w:adjustRightInd w:val="0"/>
        <w:snapToGrid w:val="0"/>
        <w:spacing w:beforeLines="0" w:line="360" w:lineRule="auto"/>
        <w:ind w:firstLine="480" w:firstLineChars="200"/>
        <w:rPr>
          <w:color w:val="auto"/>
          <w:sz w:val="24"/>
          <w:highlight w:val="none"/>
        </w:rPr>
      </w:pPr>
      <w:r>
        <w:rPr>
          <w:rFonts w:hint="eastAsia"/>
          <w:color w:val="auto"/>
          <w:sz w:val="24"/>
          <w:highlight w:val="none"/>
        </w:rPr>
        <w:t>见投标人须知前附表</w:t>
      </w:r>
      <w:r>
        <w:rPr>
          <w:color w:val="auto"/>
          <w:sz w:val="24"/>
          <w:highlight w:val="none"/>
        </w:rPr>
        <w:t>。</w:t>
      </w:r>
      <w:r>
        <w:rPr>
          <w:rFonts w:hint="eastAsia"/>
          <w:color w:val="auto"/>
          <w:sz w:val="24"/>
          <w:highlight w:val="none"/>
        </w:rPr>
        <w:t>允许分包的项目，中标人不得向他人转让中标项目，接受分包的人不得再次分包。中标人应当就分包项目向招标人负责，接受分包的人就分包项目承担连带责任。</w:t>
      </w:r>
    </w:p>
    <w:p w14:paraId="5B1AD600">
      <w:pPr>
        <w:pStyle w:val="5"/>
        <w:adjustRightInd w:val="0"/>
        <w:snapToGrid w:val="0"/>
        <w:spacing w:before="0" w:beforeLines="0" w:after="0" w:line="360" w:lineRule="auto"/>
        <w:ind w:firstLine="482" w:firstLineChars="200"/>
        <w:rPr>
          <w:rFonts w:ascii="黑体" w:hAnsi="宋体"/>
          <w:b w:val="0"/>
          <w:color w:val="auto"/>
          <w:sz w:val="24"/>
          <w:szCs w:val="24"/>
          <w:highlight w:val="none"/>
        </w:rPr>
      </w:pPr>
      <w:bookmarkStart w:id="168" w:name="_Toc487653358"/>
      <w:bookmarkStart w:id="169" w:name="_Toc341805112"/>
      <w:bookmarkStart w:id="170" w:name="_Toc488650790"/>
      <w:bookmarkStart w:id="171" w:name="_Toc487619440"/>
      <w:bookmarkStart w:id="172" w:name="_Toc356567792"/>
      <w:bookmarkStart w:id="173" w:name="_Toc487291469"/>
      <w:r>
        <w:rPr>
          <w:rFonts w:hint="eastAsia" w:ascii="黑体" w:hAnsi="宋体"/>
          <w:color w:val="auto"/>
          <w:sz w:val="24"/>
          <w:szCs w:val="24"/>
          <w:highlight w:val="none"/>
        </w:rPr>
        <w:t xml:space="preserve">1.12 </w:t>
      </w:r>
      <w:r>
        <w:rPr>
          <w:rFonts w:hint="eastAsia" w:ascii="黑体" w:hAnsi="宋体"/>
          <w:b w:val="0"/>
          <w:color w:val="auto"/>
          <w:sz w:val="24"/>
          <w:szCs w:val="24"/>
          <w:highlight w:val="none"/>
        </w:rPr>
        <w:t xml:space="preserve"> 偏差</w:t>
      </w:r>
      <w:bookmarkEnd w:id="168"/>
      <w:bookmarkEnd w:id="169"/>
      <w:bookmarkEnd w:id="170"/>
      <w:bookmarkEnd w:id="171"/>
      <w:bookmarkEnd w:id="172"/>
      <w:bookmarkEnd w:id="173"/>
    </w:p>
    <w:p w14:paraId="15BE1D05">
      <w:pPr>
        <w:adjustRightInd w:val="0"/>
        <w:snapToGrid w:val="0"/>
        <w:spacing w:beforeLines="0" w:line="360" w:lineRule="auto"/>
        <w:ind w:right="113" w:firstLine="360" w:firstLineChars="150"/>
        <w:rPr>
          <w:rFonts w:ascii="宋体" w:hAnsi="宋体" w:cs="宋体"/>
          <w:color w:val="auto"/>
          <w:sz w:val="24"/>
          <w:highlight w:val="none"/>
        </w:rPr>
      </w:pPr>
      <w:r>
        <w:rPr>
          <w:rFonts w:hint="eastAsia" w:ascii="宋体" w:hAnsi="宋体" w:cs="宋体"/>
          <w:color w:val="auto"/>
          <w:sz w:val="24"/>
          <w:highlight w:val="none"/>
        </w:rPr>
        <w:t>资格审查文件存在下列情形之一，按重大偏差处理，存在的其他问题和不明确之处，按细微偏差处理，应通过澄清的方式进行核实：</w:t>
      </w:r>
    </w:p>
    <w:p w14:paraId="17168034">
      <w:pPr>
        <w:numPr>
          <w:ilvl w:val="0"/>
          <w:numId w:val="6"/>
        </w:numPr>
        <w:adjustRightInd w:val="0"/>
        <w:snapToGrid w:val="0"/>
        <w:spacing w:beforeLines="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投标文件未按招标文件要求盖章并由法定代表人或其书面授权的代理人签字的；</w:t>
      </w:r>
    </w:p>
    <w:p w14:paraId="773623A6">
      <w:pPr>
        <w:numPr>
          <w:ilvl w:val="0"/>
          <w:numId w:val="6"/>
        </w:numPr>
        <w:adjustRightInd w:val="0"/>
        <w:snapToGrid w:val="0"/>
        <w:spacing w:beforeLines="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投标联合体没有提交共同投标的联合体协议；</w:t>
      </w:r>
    </w:p>
    <w:p w14:paraId="0F0CA27D">
      <w:pPr>
        <w:numPr>
          <w:ilvl w:val="0"/>
          <w:numId w:val="6"/>
        </w:numPr>
        <w:adjustRightInd w:val="0"/>
        <w:snapToGrid w:val="0"/>
        <w:spacing w:beforeLines="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未按招标文件要求提交保证金的；</w:t>
      </w:r>
    </w:p>
    <w:p w14:paraId="561A81A3">
      <w:pPr>
        <w:numPr>
          <w:ilvl w:val="0"/>
          <w:numId w:val="6"/>
        </w:numPr>
        <w:adjustRightInd w:val="0"/>
        <w:snapToGrid w:val="0"/>
        <w:spacing w:beforeLines="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投标函未按照招标文件规定的格式填写，内容不全或者关键字迹模糊无法辨认的；</w:t>
      </w:r>
    </w:p>
    <w:p w14:paraId="7744280B">
      <w:pPr>
        <w:numPr>
          <w:ilvl w:val="0"/>
          <w:numId w:val="6"/>
        </w:numPr>
        <w:adjustRightInd w:val="0"/>
        <w:snapToGrid w:val="0"/>
        <w:spacing w:beforeLines="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投标人不符合国家或者招标文件规定的资格条件的；</w:t>
      </w:r>
    </w:p>
    <w:p w14:paraId="032C9EDC">
      <w:pPr>
        <w:numPr>
          <w:ilvl w:val="0"/>
          <w:numId w:val="6"/>
        </w:numPr>
        <w:adjustRightInd w:val="0"/>
        <w:snapToGrid w:val="0"/>
        <w:spacing w:beforeLines="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投标人名称或者组织结构与资格预审时不一致且未提供有效证明的；</w:t>
      </w:r>
    </w:p>
    <w:p w14:paraId="08C541C4">
      <w:pPr>
        <w:adjustRightInd w:val="0"/>
        <w:snapToGrid w:val="0"/>
        <w:spacing w:beforeLines="0" w:line="360" w:lineRule="auto"/>
        <w:ind w:left="113" w:leftChars="54" w:right="113" w:firstLine="360" w:firstLineChars="150"/>
        <w:rPr>
          <w:rFonts w:ascii="宋体" w:hAnsi="宋体" w:cs="宋体"/>
          <w:color w:val="auto"/>
          <w:sz w:val="24"/>
          <w:highlight w:val="none"/>
        </w:rPr>
      </w:pPr>
      <w:r>
        <w:rPr>
          <w:rFonts w:hint="eastAsia" w:ascii="宋体" w:hAnsi="宋体" w:cs="宋体"/>
          <w:color w:val="auto"/>
          <w:sz w:val="24"/>
          <w:highlight w:val="none"/>
        </w:rPr>
        <w:t>（7）投标报价明显低于成本或者高于招标文件设定的最高投标限价的；</w:t>
      </w:r>
    </w:p>
    <w:p w14:paraId="761C6823">
      <w:pPr>
        <w:adjustRightInd w:val="0"/>
        <w:snapToGrid w:val="0"/>
        <w:spacing w:beforeLines="0" w:line="360" w:lineRule="auto"/>
        <w:ind w:left="113" w:leftChars="54" w:right="113" w:firstLine="360" w:firstLineChars="150"/>
        <w:rPr>
          <w:rFonts w:ascii="宋体" w:hAnsi="宋体" w:cs="宋体"/>
          <w:color w:val="auto"/>
          <w:sz w:val="24"/>
          <w:highlight w:val="none"/>
        </w:rPr>
      </w:pPr>
      <w:r>
        <w:rPr>
          <w:rFonts w:hint="eastAsia" w:ascii="宋体" w:hAnsi="宋体" w:cs="宋体"/>
          <w:color w:val="auto"/>
          <w:sz w:val="24"/>
          <w:highlight w:val="none"/>
        </w:rPr>
        <w:t>（8）同一投标人提交两个以上不同的投标文件或投标报价，且未申明哪一个为最终报价的，但招标文件要求提交备选投标的除外</w:t>
      </w:r>
    </w:p>
    <w:p w14:paraId="7370E263">
      <w:pPr>
        <w:adjustRightInd w:val="0"/>
        <w:snapToGrid w:val="0"/>
        <w:spacing w:beforeLines="0" w:line="360" w:lineRule="auto"/>
        <w:ind w:left="113" w:leftChars="54" w:right="113" w:firstLine="360" w:firstLineChars="150"/>
        <w:rPr>
          <w:rFonts w:ascii="宋体" w:hAnsi="宋体" w:cs="宋体"/>
          <w:color w:val="auto"/>
          <w:sz w:val="24"/>
          <w:highlight w:val="none"/>
        </w:rPr>
      </w:pPr>
      <w:r>
        <w:rPr>
          <w:rFonts w:hint="eastAsia" w:ascii="宋体" w:hAnsi="宋体" w:cs="宋体"/>
          <w:color w:val="auto"/>
          <w:sz w:val="24"/>
          <w:highlight w:val="none"/>
        </w:rPr>
        <w:t>（9）投标人有串通投标、以他人名义或者其他弄虚作假、行贿等违法行为的；</w:t>
      </w:r>
    </w:p>
    <w:p w14:paraId="3E529738">
      <w:pPr>
        <w:adjustRightInd w:val="0"/>
        <w:snapToGrid w:val="0"/>
        <w:spacing w:beforeLines="0" w:line="360" w:lineRule="auto"/>
        <w:ind w:left="113" w:leftChars="54" w:right="113" w:firstLine="360" w:firstLineChars="150"/>
        <w:rPr>
          <w:rFonts w:ascii="宋体" w:hAnsi="宋体" w:cs="宋体"/>
          <w:color w:val="auto"/>
          <w:sz w:val="24"/>
          <w:highlight w:val="none"/>
        </w:rPr>
      </w:pPr>
      <w:r>
        <w:rPr>
          <w:rFonts w:hint="eastAsia" w:ascii="宋体" w:hAnsi="宋体" w:cs="宋体"/>
          <w:color w:val="auto"/>
          <w:sz w:val="24"/>
          <w:highlight w:val="none"/>
        </w:rPr>
        <w:t>（10）无正当理由不按评标委员会的要求对投标文件进行澄清或者说明的；</w:t>
      </w:r>
    </w:p>
    <w:p w14:paraId="495E08E5">
      <w:pPr>
        <w:adjustRightInd w:val="0"/>
        <w:snapToGrid w:val="0"/>
        <w:spacing w:beforeLines="0" w:line="360" w:lineRule="auto"/>
        <w:ind w:left="113" w:leftChars="54" w:right="113" w:firstLine="360" w:firstLineChars="150"/>
        <w:rPr>
          <w:rFonts w:ascii="宋体" w:hAnsi="宋体" w:cs="宋体"/>
          <w:color w:val="auto"/>
          <w:sz w:val="24"/>
          <w:highlight w:val="none"/>
        </w:rPr>
      </w:pPr>
      <w:r>
        <w:rPr>
          <w:rFonts w:hint="eastAsia" w:ascii="宋体" w:hAnsi="宋体" w:cs="宋体"/>
          <w:color w:val="auto"/>
          <w:sz w:val="24"/>
          <w:highlight w:val="none"/>
        </w:rPr>
        <w:t>（11）投标文件没有对招标文件的实质性要求和条件作出响应；</w:t>
      </w:r>
    </w:p>
    <w:p w14:paraId="145C2084">
      <w:pPr>
        <w:adjustRightInd w:val="0"/>
        <w:snapToGrid w:val="0"/>
        <w:spacing w:beforeLines="0" w:line="360" w:lineRule="auto"/>
        <w:ind w:left="113" w:leftChars="54" w:right="113" w:firstLine="360" w:firstLineChars="150"/>
        <w:rPr>
          <w:rFonts w:ascii="宋体" w:hAnsi="宋体" w:cs="宋体"/>
          <w:color w:val="auto"/>
          <w:sz w:val="24"/>
          <w:highlight w:val="none"/>
        </w:rPr>
      </w:pPr>
      <w:r>
        <w:rPr>
          <w:rFonts w:hint="eastAsia" w:ascii="宋体" w:hAnsi="宋体" w:cs="宋体"/>
          <w:color w:val="auto"/>
          <w:sz w:val="24"/>
          <w:highlight w:val="none"/>
        </w:rPr>
        <w:t>（12）投标人存在下列情形之一：</w:t>
      </w:r>
    </w:p>
    <w:p w14:paraId="01ECD569">
      <w:pPr>
        <w:adjustRightInd w:val="0"/>
        <w:snapToGrid w:val="0"/>
        <w:spacing w:beforeLines="0" w:line="360" w:lineRule="auto"/>
        <w:ind w:left="113" w:leftChars="54" w:right="113" w:firstLine="360" w:firstLineChars="150"/>
        <w:rPr>
          <w:rFonts w:ascii="宋体" w:hAnsi="宋体" w:cs="宋体"/>
          <w:color w:val="auto"/>
          <w:sz w:val="24"/>
          <w:highlight w:val="none"/>
        </w:rPr>
      </w:pPr>
      <w:r>
        <w:rPr>
          <w:rFonts w:hint="eastAsia" w:ascii="宋体" w:hAnsi="宋体" w:cs="宋体"/>
          <w:color w:val="auto"/>
          <w:sz w:val="24"/>
          <w:highlight w:val="none"/>
        </w:rPr>
        <w:t xml:space="preserve">a.为招标人不具有独立法人资格的附属机构（单位）； </w:t>
      </w:r>
    </w:p>
    <w:p w14:paraId="1E96B16E">
      <w:pPr>
        <w:adjustRightInd w:val="0"/>
        <w:snapToGrid w:val="0"/>
        <w:spacing w:beforeLines="0" w:line="360" w:lineRule="auto"/>
        <w:ind w:left="113" w:leftChars="54" w:firstLine="360" w:firstLineChars="150"/>
        <w:rPr>
          <w:rFonts w:ascii="宋体" w:hAnsi="宋体" w:cs="宋体"/>
          <w:color w:val="auto"/>
          <w:sz w:val="24"/>
          <w:highlight w:val="none"/>
        </w:rPr>
      </w:pPr>
      <w:r>
        <w:rPr>
          <w:rFonts w:hint="eastAsia" w:ascii="宋体" w:hAnsi="宋体" w:cs="宋体"/>
          <w:color w:val="auto"/>
          <w:sz w:val="24"/>
          <w:highlight w:val="none"/>
        </w:rPr>
        <w:t>b为本标段的施工单位；</w:t>
      </w:r>
    </w:p>
    <w:p w14:paraId="6A304688">
      <w:pPr>
        <w:adjustRightInd w:val="0"/>
        <w:snapToGrid w:val="0"/>
        <w:spacing w:beforeLines="0" w:line="360" w:lineRule="auto"/>
        <w:ind w:left="113" w:leftChars="54" w:firstLine="360" w:firstLineChars="150"/>
        <w:rPr>
          <w:rFonts w:ascii="宋体" w:hAnsi="宋体" w:cs="宋体"/>
          <w:color w:val="auto"/>
          <w:sz w:val="24"/>
          <w:highlight w:val="none"/>
        </w:rPr>
      </w:pPr>
      <w:r>
        <w:rPr>
          <w:rFonts w:hint="eastAsia" w:ascii="宋体" w:hAnsi="宋体" w:cs="宋体"/>
          <w:color w:val="auto"/>
          <w:sz w:val="24"/>
          <w:highlight w:val="none"/>
        </w:rPr>
        <w:t>d.为本标段提供招标代理服务的；</w:t>
      </w:r>
    </w:p>
    <w:p w14:paraId="585E5D48">
      <w:pPr>
        <w:adjustRightInd w:val="0"/>
        <w:snapToGrid w:val="0"/>
        <w:spacing w:beforeLines="0" w:line="360" w:lineRule="auto"/>
        <w:ind w:left="113" w:leftChars="54" w:firstLine="360" w:firstLineChars="150"/>
        <w:rPr>
          <w:rFonts w:ascii="宋体" w:hAnsi="宋体" w:cs="宋体"/>
          <w:color w:val="auto"/>
          <w:sz w:val="24"/>
          <w:highlight w:val="none"/>
        </w:rPr>
      </w:pPr>
      <w:r>
        <w:rPr>
          <w:rFonts w:hint="eastAsia" w:ascii="宋体" w:hAnsi="宋体" w:cs="宋体"/>
          <w:color w:val="auto"/>
          <w:sz w:val="24"/>
          <w:highlight w:val="none"/>
        </w:rPr>
        <w:t>c.与本标段的施工单位、代建人或招标代理机构同为一个法定代表人的；</w:t>
      </w:r>
    </w:p>
    <w:p w14:paraId="16AEF4DC">
      <w:pPr>
        <w:adjustRightInd w:val="0"/>
        <w:snapToGrid w:val="0"/>
        <w:spacing w:beforeLines="0" w:line="360" w:lineRule="auto"/>
        <w:ind w:left="113" w:leftChars="54" w:firstLine="360" w:firstLineChars="150"/>
        <w:rPr>
          <w:rFonts w:ascii="宋体" w:hAnsi="宋体" w:cs="宋体"/>
          <w:color w:val="auto"/>
          <w:sz w:val="24"/>
          <w:highlight w:val="none"/>
        </w:rPr>
      </w:pPr>
      <w:r>
        <w:rPr>
          <w:rFonts w:hint="eastAsia" w:ascii="宋体" w:hAnsi="宋体" w:cs="宋体"/>
          <w:color w:val="auto"/>
          <w:sz w:val="24"/>
          <w:highlight w:val="none"/>
        </w:rPr>
        <w:t>d.与本标段的施工单位、代建人或招标代理机构相互控股或参股的；</w:t>
      </w:r>
    </w:p>
    <w:p w14:paraId="6AAA8387">
      <w:pPr>
        <w:adjustRightInd w:val="0"/>
        <w:snapToGrid w:val="0"/>
        <w:spacing w:beforeLines="0" w:line="360" w:lineRule="auto"/>
        <w:ind w:left="113" w:leftChars="54" w:firstLine="360" w:firstLineChars="150"/>
        <w:rPr>
          <w:rFonts w:ascii="宋体" w:hAnsi="宋体" w:cs="宋体"/>
          <w:color w:val="auto"/>
          <w:sz w:val="24"/>
          <w:highlight w:val="none"/>
        </w:rPr>
      </w:pPr>
      <w:r>
        <w:rPr>
          <w:rFonts w:hint="eastAsia" w:ascii="宋体" w:hAnsi="宋体" w:cs="宋体"/>
          <w:color w:val="auto"/>
          <w:sz w:val="24"/>
          <w:highlight w:val="none"/>
        </w:rPr>
        <w:t>e.与本标段的施工单位、代建人或招标代理机构相互任职或工作的；</w:t>
      </w:r>
    </w:p>
    <w:p w14:paraId="0D01A614">
      <w:pPr>
        <w:adjustRightInd w:val="0"/>
        <w:snapToGrid w:val="0"/>
        <w:spacing w:beforeLines="0" w:line="360" w:lineRule="auto"/>
        <w:ind w:left="113" w:leftChars="54" w:firstLine="360" w:firstLineChars="150"/>
        <w:rPr>
          <w:rFonts w:ascii="宋体" w:hAnsi="宋体" w:cs="宋体"/>
          <w:color w:val="auto"/>
          <w:sz w:val="24"/>
          <w:highlight w:val="none"/>
        </w:rPr>
      </w:pPr>
      <w:r>
        <w:rPr>
          <w:rFonts w:hint="eastAsia" w:ascii="宋体" w:hAnsi="宋体" w:cs="宋体"/>
          <w:color w:val="auto"/>
          <w:sz w:val="24"/>
          <w:highlight w:val="none"/>
        </w:rPr>
        <w:t>f被责令停业，暂扣或者吊销许可证、暂扣</w:t>
      </w:r>
      <w:r>
        <w:rPr>
          <w:rFonts w:hint="eastAsia" w:ascii="宋体" w:hAnsi="宋体" w:cs="宋体"/>
          <w:color w:val="auto"/>
          <w:sz w:val="24"/>
          <w:highlight w:val="none"/>
          <w:lang w:val="en-US" w:eastAsia="zh-CN"/>
        </w:rPr>
        <w:t>或</w:t>
      </w:r>
      <w:r>
        <w:rPr>
          <w:rFonts w:hint="eastAsia" w:ascii="宋体" w:hAnsi="宋体" w:cs="宋体"/>
          <w:color w:val="auto"/>
          <w:sz w:val="24"/>
          <w:highlight w:val="none"/>
        </w:rPr>
        <w:t xml:space="preserve">吊销执照的； </w:t>
      </w:r>
    </w:p>
    <w:p w14:paraId="6F2703D8">
      <w:pPr>
        <w:adjustRightInd w:val="0"/>
        <w:snapToGrid w:val="0"/>
        <w:spacing w:beforeLines="0" w:line="360" w:lineRule="auto"/>
        <w:ind w:left="113" w:leftChars="54" w:firstLine="360" w:firstLineChars="150"/>
        <w:rPr>
          <w:rFonts w:ascii="宋体" w:hAnsi="宋体" w:cs="宋体"/>
          <w:color w:val="auto"/>
          <w:sz w:val="24"/>
          <w:highlight w:val="none"/>
        </w:rPr>
      </w:pPr>
      <w:r>
        <w:rPr>
          <w:rFonts w:hint="eastAsia" w:ascii="宋体" w:hAnsi="宋体" w:cs="宋体"/>
          <w:color w:val="auto"/>
          <w:sz w:val="24"/>
          <w:highlight w:val="none"/>
        </w:rPr>
        <w:t xml:space="preserve">g.被暂停或取消投标资格的； </w:t>
      </w:r>
    </w:p>
    <w:p w14:paraId="2655433F">
      <w:pPr>
        <w:adjustRightInd w:val="0"/>
        <w:snapToGrid w:val="0"/>
        <w:spacing w:beforeLines="0" w:line="360" w:lineRule="auto"/>
        <w:ind w:left="113" w:leftChars="54" w:firstLine="360" w:firstLineChars="150"/>
        <w:rPr>
          <w:rFonts w:ascii="宋体" w:hAnsi="宋体" w:cs="宋体"/>
          <w:color w:val="auto"/>
          <w:sz w:val="24"/>
          <w:highlight w:val="none"/>
        </w:rPr>
      </w:pPr>
      <w:r>
        <w:rPr>
          <w:rFonts w:hint="eastAsia" w:ascii="宋体" w:hAnsi="宋体" w:cs="宋体"/>
          <w:color w:val="auto"/>
          <w:sz w:val="24"/>
          <w:highlight w:val="none"/>
        </w:rPr>
        <w:t>h.财产被接管或冻结，进入清算程序，或宣告破产，或其他丧失履约能力的；</w:t>
      </w:r>
    </w:p>
    <w:p w14:paraId="02D16939">
      <w:pPr>
        <w:adjustRightInd w:val="0"/>
        <w:snapToGrid w:val="0"/>
        <w:spacing w:beforeLines="0" w:line="360" w:lineRule="auto"/>
        <w:ind w:left="113" w:leftChars="54" w:firstLine="360" w:firstLineChars="150"/>
        <w:rPr>
          <w:rFonts w:ascii="宋体" w:hAnsi="宋体" w:cs="宋体"/>
          <w:color w:val="auto"/>
          <w:sz w:val="24"/>
          <w:highlight w:val="none"/>
        </w:rPr>
      </w:pPr>
      <w:r>
        <w:rPr>
          <w:rFonts w:hint="eastAsia" w:ascii="宋体" w:hAnsi="宋体" w:cs="宋体"/>
          <w:color w:val="auto"/>
          <w:sz w:val="24"/>
          <w:highlight w:val="none"/>
        </w:rPr>
        <w:t>i.涉及诉讼、仲裁的案件，经评标委员会认定会对承担本项目造成重大影响；</w:t>
      </w:r>
    </w:p>
    <w:p w14:paraId="0EE498F6">
      <w:pPr>
        <w:adjustRightInd w:val="0"/>
        <w:snapToGrid w:val="0"/>
        <w:spacing w:beforeLines="0" w:line="360" w:lineRule="auto"/>
        <w:ind w:left="113" w:leftChars="54" w:firstLine="360" w:firstLineChars="150"/>
        <w:rPr>
          <w:rFonts w:ascii="宋体" w:hAnsi="宋体" w:cs="宋体"/>
          <w:color w:val="auto"/>
          <w:sz w:val="24"/>
          <w:highlight w:val="none"/>
        </w:rPr>
      </w:pPr>
      <w:r>
        <w:rPr>
          <w:rFonts w:hint="eastAsia" w:ascii="宋体" w:hAnsi="宋体" w:cs="宋体"/>
          <w:color w:val="auto"/>
          <w:sz w:val="24"/>
          <w:highlight w:val="none"/>
        </w:rPr>
        <w:t>j.被交通运输部或福建省交通运输厅取消项目所在地的投标资格或禁止进入该区域水运建设市场且处于有效期内；</w:t>
      </w:r>
    </w:p>
    <w:p w14:paraId="615273CA">
      <w:pPr>
        <w:adjustRightInd w:val="0"/>
        <w:snapToGrid w:val="0"/>
        <w:spacing w:beforeLines="0" w:line="360" w:lineRule="auto"/>
        <w:ind w:left="113" w:leftChars="54" w:right="113" w:firstLine="360" w:firstLineChars="150"/>
        <w:rPr>
          <w:rFonts w:ascii="宋体" w:hAnsi="宋体"/>
          <w:color w:val="auto"/>
          <w:sz w:val="24"/>
          <w:highlight w:val="none"/>
        </w:rPr>
      </w:pPr>
      <w:r>
        <w:rPr>
          <w:rFonts w:hint="eastAsia" w:ascii="宋体" w:hAnsi="宋体" w:cs="宋体"/>
          <w:color w:val="auto"/>
          <w:sz w:val="24"/>
          <w:highlight w:val="none"/>
        </w:rPr>
        <w:t>k．单位负责人为同一人或者存在控股、管理关系的不同单位，不得参加同一标段投标或者未划分标段的同一招标项目投标；与招标人存在利害关系可能影响招标公正性的法人、其他组织或者个人，不得参加投标；违反本条规定的，其相关投标均无效。</w:t>
      </w:r>
    </w:p>
    <w:p w14:paraId="72A18134">
      <w:pPr>
        <w:pStyle w:val="5"/>
        <w:adjustRightInd w:val="0"/>
        <w:snapToGrid w:val="0"/>
        <w:spacing w:before="0" w:beforeLines="0" w:after="0" w:line="360" w:lineRule="auto"/>
        <w:ind w:firstLine="562" w:firstLineChars="200"/>
        <w:rPr>
          <w:color w:val="auto"/>
          <w:highlight w:val="none"/>
        </w:rPr>
      </w:pPr>
      <w:bookmarkStart w:id="174" w:name="_Toc286759033"/>
      <w:bookmarkStart w:id="175" w:name="_Toc487291470"/>
      <w:bookmarkStart w:id="176" w:name="_Toc341805113"/>
      <w:bookmarkStart w:id="177" w:name="_Toc330384398"/>
      <w:bookmarkStart w:id="178" w:name="_Toc488650791"/>
      <w:bookmarkStart w:id="179" w:name="_Toc307991150"/>
      <w:r>
        <w:rPr>
          <w:rFonts w:hint="eastAsia"/>
          <w:color w:val="auto"/>
          <w:highlight w:val="none"/>
        </w:rPr>
        <w:t>2</w:t>
      </w:r>
      <w:r>
        <w:rPr>
          <w:color w:val="auto"/>
          <w:highlight w:val="none"/>
        </w:rPr>
        <w:t>．</w:t>
      </w:r>
      <w:r>
        <w:rPr>
          <w:rFonts w:hint="eastAsia"/>
          <w:color w:val="auto"/>
          <w:highlight w:val="none"/>
        </w:rPr>
        <w:t>招标文件</w:t>
      </w:r>
      <w:bookmarkEnd w:id="163"/>
      <w:bookmarkEnd w:id="164"/>
      <w:bookmarkEnd w:id="165"/>
      <w:bookmarkEnd w:id="166"/>
      <w:bookmarkEnd w:id="167"/>
      <w:bookmarkEnd w:id="174"/>
      <w:bookmarkEnd w:id="175"/>
      <w:bookmarkEnd w:id="176"/>
      <w:bookmarkEnd w:id="177"/>
      <w:bookmarkEnd w:id="178"/>
      <w:bookmarkEnd w:id="179"/>
    </w:p>
    <w:p w14:paraId="45B600B3">
      <w:pPr>
        <w:pStyle w:val="5"/>
        <w:adjustRightInd w:val="0"/>
        <w:snapToGrid w:val="0"/>
        <w:spacing w:before="0" w:beforeLines="0" w:after="0" w:line="360" w:lineRule="auto"/>
        <w:ind w:firstLine="482" w:firstLineChars="200"/>
        <w:rPr>
          <w:rFonts w:ascii="黑体" w:hAnsi="宋体"/>
          <w:b w:val="0"/>
          <w:color w:val="auto"/>
          <w:sz w:val="24"/>
          <w:szCs w:val="24"/>
          <w:highlight w:val="none"/>
        </w:rPr>
      </w:pPr>
      <w:bookmarkStart w:id="180" w:name="_Toc152042319"/>
      <w:bookmarkStart w:id="181" w:name="_Toc144974511"/>
      <w:bookmarkStart w:id="182" w:name="_Toc152045543"/>
      <w:bookmarkStart w:id="183" w:name="_Toc487619442"/>
      <w:bookmarkStart w:id="184" w:name="_Toc487653360"/>
      <w:bookmarkStart w:id="185" w:name="_Toc488650792"/>
      <w:bookmarkStart w:id="186" w:name="_Toc356567794"/>
      <w:bookmarkStart w:id="187" w:name="_Toc487291471"/>
      <w:bookmarkStart w:id="188" w:name="_Toc341805114"/>
      <w:r>
        <w:rPr>
          <w:rFonts w:hint="eastAsia" w:ascii="黑体" w:hAnsi="宋体"/>
          <w:color w:val="auto"/>
          <w:sz w:val="24"/>
          <w:szCs w:val="24"/>
          <w:highlight w:val="none"/>
        </w:rPr>
        <w:t>2.1</w:t>
      </w:r>
      <w:r>
        <w:rPr>
          <w:rFonts w:hint="eastAsia" w:ascii="黑体" w:hAnsi="宋体"/>
          <w:b w:val="0"/>
          <w:color w:val="auto"/>
          <w:sz w:val="24"/>
          <w:szCs w:val="24"/>
          <w:highlight w:val="none"/>
        </w:rPr>
        <w:t xml:space="preserve">  招标文件的</w:t>
      </w:r>
      <w:bookmarkEnd w:id="180"/>
      <w:bookmarkEnd w:id="181"/>
      <w:bookmarkEnd w:id="182"/>
      <w:r>
        <w:rPr>
          <w:rFonts w:hint="eastAsia" w:ascii="黑体" w:hAnsi="宋体"/>
          <w:b w:val="0"/>
          <w:color w:val="auto"/>
          <w:sz w:val="24"/>
          <w:szCs w:val="24"/>
          <w:highlight w:val="none"/>
        </w:rPr>
        <w:t>组成</w:t>
      </w:r>
      <w:bookmarkEnd w:id="183"/>
      <w:bookmarkEnd w:id="184"/>
      <w:bookmarkEnd w:id="185"/>
      <w:bookmarkEnd w:id="186"/>
      <w:bookmarkEnd w:id="187"/>
      <w:bookmarkEnd w:id="188"/>
    </w:p>
    <w:p w14:paraId="3DB6F1E8">
      <w:pPr>
        <w:adjustRightInd w:val="0"/>
        <w:snapToGrid w:val="0"/>
        <w:spacing w:beforeLines="0" w:line="360" w:lineRule="auto"/>
        <w:ind w:firstLine="480" w:firstLineChars="200"/>
        <w:rPr>
          <w:color w:val="auto"/>
          <w:sz w:val="24"/>
          <w:highlight w:val="none"/>
        </w:rPr>
      </w:pPr>
      <w:r>
        <w:rPr>
          <w:rFonts w:hint="eastAsia"/>
          <w:color w:val="auto"/>
          <w:sz w:val="24"/>
          <w:highlight w:val="none"/>
        </w:rPr>
        <w:t>（1）招标公告；</w:t>
      </w:r>
    </w:p>
    <w:p w14:paraId="78AF11FB">
      <w:pPr>
        <w:adjustRightInd w:val="0"/>
        <w:snapToGrid w:val="0"/>
        <w:spacing w:beforeLines="0" w:line="360" w:lineRule="auto"/>
        <w:ind w:firstLine="480" w:firstLineChars="200"/>
        <w:rPr>
          <w:color w:val="auto"/>
          <w:sz w:val="24"/>
          <w:highlight w:val="none"/>
        </w:rPr>
      </w:pPr>
      <w:r>
        <w:rPr>
          <w:rFonts w:hint="eastAsia"/>
          <w:color w:val="auto"/>
          <w:sz w:val="24"/>
          <w:highlight w:val="none"/>
        </w:rPr>
        <w:t>（2）投标人须知；</w:t>
      </w:r>
    </w:p>
    <w:p w14:paraId="656C6061">
      <w:pPr>
        <w:adjustRightInd w:val="0"/>
        <w:snapToGrid w:val="0"/>
        <w:spacing w:beforeLines="0" w:line="360" w:lineRule="auto"/>
        <w:ind w:firstLine="480" w:firstLineChars="200"/>
        <w:rPr>
          <w:color w:val="auto"/>
          <w:sz w:val="24"/>
          <w:highlight w:val="none"/>
        </w:rPr>
      </w:pPr>
      <w:r>
        <w:rPr>
          <w:rFonts w:hint="eastAsia"/>
          <w:color w:val="auto"/>
          <w:sz w:val="24"/>
          <w:highlight w:val="none"/>
        </w:rPr>
        <w:t>（3）评标办法；</w:t>
      </w:r>
    </w:p>
    <w:p w14:paraId="43D9323A">
      <w:pPr>
        <w:adjustRightInd w:val="0"/>
        <w:snapToGrid w:val="0"/>
        <w:spacing w:beforeLines="0" w:line="360" w:lineRule="auto"/>
        <w:ind w:firstLine="480" w:firstLineChars="200"/>
        <w:rPr>
          <w:color w:val="auto"/>
          <w:sz w:val="24"/>
          <w:highlight w:val="none"/>
        </w:rPr>
      </w:pPr>
      <w:r>
        <w:rPr>
          <w:rFonts w:hint="eastAsia"/>
          <w:color w:val="auto"/>
          <w:sz w:val="24"/>
          <w:highlight w:val="none"/>
        </w:rPr>
        <w:t>（4）定标方案；</w:t>
      </w:r>
    </w:p>
    <w:p w14:paraId="2B366285">
      <w:pPr>
        <w:adjustRightInd w:val="0"/>
        <w:snapToGrid w:val="0"/>
        <w:spacing w:beforeLines="0" w:line="360" w:lineRule="auto"/>
        <w:ind w:firstLine="480" w:firstLineChars="200"/>
        <w:rPr>
          <w:color w:val="auto"/>
          <w:sz w:val="24"/>
          <w:highlight w:val="none"/>
        </w:rPr>
      </w:pPr>
      <w:r>
        <w:rPr>
          <w:rFonts w:hint="eastAsia"/>
          <w:color w:val="auto"/>
          <w:sz w:val="24"/>
          <w:highlight w:val="none"/>
        </w:rPr>
        <w:t>（5）监理合同条款及格式；</w:t>
      </w:r>
    </w:p>
    <w:p w14:paraId="589CAA6F">
      <w:pPr>
        <w:adjustRightInd w:val="0"/>
        <w:snapToGrid w:val="0"/>
        <w:spacing w:beforeLines="0" w:line="360" w:lineRule="auto"/>
        <w:ind w:firstLine="480" w:firstLineChars="200"/>
        <w:rPr>
          <w:color w:val="auto"/>
          <w:sz w:val="24"/>
          <w:highlight w:val="none"/>
        </w:rPr>
      </w:pPr>
      <w:r>
        <w:rPr>
          <w:rFonts w:hint="eastAsia"/>
          <w:color w:val="auto"/>
          <w:sz w:val="24"/>
          <w:highlight w:val="none"/>
        </w:rPr>
        <w:t>（6）监理服务费报价；</w:t>
      </w:r>
    </w:p>
    <w:p w14:paraId="533CE66C">
      <w:pPr>
        <w:adjustRightInd w:val="0"/>
        <w:snapToGrid w:val="0"/>
        <w:spacing w:beforeLines="0" w:line="360" w:lineRule="auto"/>
        <w:ind w:firstLine="480" w:firstLineChars="200"/>
        <w:rPr>
          <w:color w:val="auto"/>
          <w:sz w:val="24"/>
          <w:highlight w:val="none"/>
        </w:rPr>
      </w:pPr>
      <w:r>
        <w:rPr>
          <w:rFonts w:hint="eastAsia"/>
          <w:color w:val="auto"/>
          <w:sz w:val="24"/>
          <w:highlight w:val="none"/>
        </w:rPr>
        <w:t>（7）图纸和资料；</w:t>
      </w:r>
    </w:p>
    <w:p w14:paraId="334C2DA3">
      <w:pPr>
        <w:adjustRightInd w:val="0"/>
        <w:snapToGrid w:val="0"/>
        <w:spacing w:beforeLines="0" w:line="360" w:lineRule="auto"/>
        <w:ind w:firstLine="480" w:firstLineChars="200"/>
        <w:rPr>
          <w:color w:val="auto"/>
          <w:sz w:val="24"/>
          <w:highlight w:val="none"/>
        </w:rPr>
      </w:pPr>
      <w:r>
        <w:rPr>
          <w:rFonts w:hint="eastAsia"/>
          <w:color w:val="auto"/>
          <w:sz w:val="24"/>
          <w:highlight w:val="none"/>
        </w:rPr>
        <w:t>（8）技术标准；</w:t>
      </w:r>
    </w:p>
    <w:p w14:paraId="22EA1A3D">
      <w:pPr>
        <w:adjustRightInd w:val="0"/>
        <w:snapToGrid w:val="0"/>
        <w:spacing w:beforeLines="0" w:line="360" w:lineRule="auto"/>
        <w:ind w:firstLine="480" w:firstLineChars="200"/>
        <w:rPr>
          <w:color w:val="auto"/>
          <w:sz w:val="24"/>
          <w:highlight w:val="none"/>
        </w:rPr>
      </w:pPr>
      <w:r>
        <w:rPr>
          <w:rFonts w:hint="eastAsia"/>
          <w:color w:val="auto"/>
          <w:sz w:val="24"/>
          <w:highlight w:val="none"/>
        </w:rPr>
        <w:t>（9）投标文件格式；</w:t>
      </w:r>
    </w:p>
    <w:p w14:paraId="6DDF876A">
      <w:pPr>
        <w:adjustRightInd w:val="0"/>
        <w:snapToGrid w:val="0"/>
        <w:spacing w:beforeLines="0" w:line="360" w:lineRule="auto"/>
        <w:ind w:firstLine="480" w:firstLineChars="200"/>
        <w:rPr>
          <w:color w:val="auto"/>
          <w:sz w:val="24"/>
          <w:highlight w:val="none"/>
        </w:rPr>
      </w:pPr>
      <w:r>
        <w:rPr>
          <w:rFonts w:hint="eastAsia"/>
          <w:color w:val="auto"/>
          <w:sz w:val="24"/>
          <w:highlight w:val="none"/>
        </w:rPr>
        <w:t>（10）根据本章第1.10条、第2.2条和第2.3条对招标文件所作的澄清、修改，构成招标文件的组成部分。</w:t>
      </w:r>
    </w:p>
    <w:p w14:paraId="46DF8759">
      <w:pPr>
        <w:pStyle w:val="5"/>
        <w:adjustRightInd w:val="0"/>
        <w:snapToGrid w:val="0"/>
        <w:spacing w:before="0" w:beforeLines="0" w:after="0" w:line="360" w:lineRule="auto"/>
        <w:ind w:firstLine="482" w:firstLineChars="200"/>
        <w:rPr>
          <w:rFonts w:ascii="黑体" w:hAnsi="宋体"/>
          <w:b w:val="0"/>
          <w:color w:val="auto"/>
          <w:sz w:val="24"/>
          <w:szCs w:val="24"/>
          <w:highlight w:val="none"/>
        </w:rPr>
      </w:pPr>
      <w:bookmarkStart w:id="189" w:name="_Toc488650793"/>
      <w:bookmarkStart w:id="190" w:name="_Toc356567795"/>
      <w:bookmarkStart w:id="191" w:name="_Toc341805115"/>
      <w:bookmarkStart w:id="192" w:name="_Toc487653361"/>
      <w:bookmarkStart w:id="193" w:name="_Toc487619443"/>
      <w:bookmarkStart w:id="194" w:name="_Toc487291472"/>
      <w:r>
        <w:rPr>
          <w:rFonts w:hint="eastAsia" w:ascii="黑体" w:hAnsi="宋体"/>
          <w:color w:val="auto"/>
          <w:sz w:val="24"/>
          <w:szCs w:val="24"/>
          <w:highlight w:val="none"/>
        </w:rPr>
        <w:t>2.2</w:t>
      </w:r>
      <w:r>
        <w:rPr>
          <w:rFonts w:hint="eastAsia" w:ascii="黑体" w:hAnsi="宋体"/>
          <w:b w:val="0"/>
          <w:color w:val="auto"/>
          <w:sz w:val="24"/>
          <w:szCs w:val="24"/>
          <w:highlight w:val="none"/>
        </w:rPr>
        <w:t xml:space="preserve">  招标文件的澄清</w:t>
      </w:r>
      <w:bookmarkEnd w:id="189"/>
      <w:bookmarkEnd w:id="190"/>
      <w:bookmarkEnd w:id="191"/>
      <w:bookmarkEnd w:id="192"/>
      <w:bookmarkEnd w:id="193"/>
      <w:bookmarkEnd w:id="194"/>
    </w:p>
    <w:p w14:paraId="3EFE3A6B">
      <w:pPr>
        <w:adjustRightInd w:val="0"/>
        <w:snapToGrid w:val="0"/>
        <w:spacing w:beforeLines="0" w:line="360" w:lineRule="auto"/>
        <w:ind w:firstLine="480" w:firstLineChars="200"/>
        <w:rPr>
          <w:rFonts w:ascii="宋体" w:hAnsi="宋体"/>
          <w:color w:val="auto"/>
          <w:sz w:val="24"/>
          <w:highlight w:val="none"/>
        </w:rPr>
      </w:pPr>
      <w:bookmarkStart w:id="195" w:name="_Toc356567796"/>
      <w:bookmarkStart w:id="196" w:name="_Toc341805116"/>
      <w:r>
        <w:rPr>
          <w:rFonts w:ascii="宋体" w:hAnsi="宋体"/>
          <w:color w:val="auto"/>
          <w:sz w:val="24"/>
          <w:highlight w:val="none"/>
        </w:rPr>
        <w:t>2.2.1  投标人应仔细阅读和检查招标文件的全部内容。如发现缺页</w:t>
      </w:r>
      <w:r>
        <w:rPr>
          <w:rFonts w:hint="eastAsia" w:ascii="宋体" w:hAnsi="宋体"/>
          <w:color w:val="auto"/>
          <w:sz w:val="24"/>
          <w:highlight w:val="none"/>
        </w:rPr>
        <w:t>或</w:t>
      </w:r>
      <w:r>
        <w:rPr>
          <w:rFonts w:ascii="宋体" w:hAnsi="宋体"/>
          <w:color w:val="auto"/>
          <w:sz w:val="24"/>
          <w:highlight w:val="none"/>
        </w:rPr>
        <w:t>附件不全,应及时向招标人提出,以便补齐。</w:t>
      </w:r>
      <w:r>
        <w:rPr>
          <w:rFonts w:hint="eastAsia" w:ascii="宋体" w:hAnsi="宋体"/>
          <w:color w:val="auto"/>
          <w:sz w:val="24"/>
          <w:highlight w:val="none"/>
        </w:rPr>
        <w:t>如有疑问，应在</w:t>
      </w:r>
      <w:r>
        <w:rPr>
          <w:rFonts w:hint="eastAsia" w:ascii="宋体" w:hAnsi="宋体"/>
          <w:color w:val="auto"/>
          <w:sz w:val="24"/>
          <w:highlight w:val="none"/>
          <w:u w:val="single"/>
        </w:rPr>
        <w:t>投标人须知前附表规定的时间</w:t>
      </w:r>
      <w:r>
        <w:rPr>
          <w:rFonts w:hint="eastAsia" w:ascii="宋体" w:hAnsi="宋体"/>
          <w:color w:val="auto"/>
          <w:sz w:val="24"/>
          <w:highlight w:val="none"/>
        </w:rPr>
        <w:t>通过发布招标公告的媒介或电子交易平台提供的通道提出澄清申请，要求招标人对招标文件予以澄清。投标人未在招标文件规定的提出异议的时间内提出异议的，事后不能就招标文件的问题提出质疑或投诉。</w:t>
      </w:r>
    </w:p>
    <w:p w14:paraId="48020E9F">
      <w:pPr>
        <w:adjustRightInd w:val="0"/>
        <w:snapToGrid w:val="0"/>
        <w:spacing w:beforeLines="0" w:line="360" w:lineRule="auto"/>
        <w:ind w:firstLine="480" w:firstLineChars="200"/>
        <w:rPr>
          <w:rFonts w:ascii="宋体" w:hAnsi="宋体"/>
          <w:color w:val="auto"/>
          <w:sz w:val="24"/>
          <w:highlight w:val="none"/>
        </w:rPr>
      </w:pPr>
      <w:r>
        <w:rPr>
          <w:rFonts w:ascii="宋体" w:hAnsi="宋体"/>
          <w:color w:val="auto"/>
          <w:sz w:val="24"/>
          <w:highlight w:val="none"/>
        </w:rPr>
        <w:t>2.2.2  招标文件的澄清将在投标人须知前附表规定的投标截止时间15天前在发布招标公告的媒介及电子交易平台上发布，但不指名澄清问题的来源。如果澄清发出的时间距投标截止时间不足15天，相应延长投标截止时间。</w:t>
      </w:r>
    </w:p>
    <w:p w14:paraId="05D126D5">
      <w:pPr>
        <w:adjustRightInd w:val="0"/>
        <w:snapToGrid w:val="0"/>
        <w:spacing w:beforeLines="0" w:line="360" w:lineRule="auto"/>
        <w:ind w:firstLine="480" w:firstLineChars="200"/>
        <w:rPr>
          <w:rFonts w:ascii="宋体" w:hAnsi="宋体"/>
          <w:color w:val="auto"/>
          <w:sz w:val="24"/>
          <w:highlight w:val="none"/>
        </w:rPr>
      </w:pPr>
      <w:r>
        <w:rPr>
          <w:rFonts w:ascii="宋体" w:hAnsi="宋体"/>
          <w:color w:val="auto"/>
          <w:sz w:val="24"/>
          <w:highlight w:val="none"/>
        </w:rPr>
        <w:t>2.2.3  投标人应经常关注发布招标公告的媒介及电子交易平台所公布的有关澄清资料，否则因投标人未及时关注导致的后果由投标人自行负责。</w:t>
      </w:r>
    </w:p>
    <w:p w14:paraId="1E271E14">
      <w:pPr>
        <w:pStyle w:val="5"/>
        <w:adjustRightInd w:val="0"/>
        <w:snapToGrid w:val="0"/>
        <w:spacing w:before="0" w:beforeLines="0" w:after="0" w:line="360" w:lineRule="auto"/>
        <w:ind w:firstLine="480" w:firstLineChars="200"/>
        <w:rPr>
          <w:rFonts w:ascii="黑体" w:hAnsi="宋体"/>
          <w:b w:val="0"/>
          <w:bCs w:val="0"/>
          <w:color w:val="auto"/>
          <w:sz w:val="24"/>
          <w:szCs w:val="24"/>
          <w:highlight w:val="none"/>
        </w:rPr>
      </w:pPr>
      <w:bookmarkStart w:id="197" w:name="_Toc487653362"/>
      <w:bookmarkStart w:id="198" w:name="_Toc487291473"/>
      <w:bookmarkStart w:id="199" w:name="_Toc488650794"/>
      <w:bookmarkStart w:id="200" w:name="_Toc487619444"/>
      <w:r>
        <w:rPr>
          <w:rFonts w:hint="eastAsia" w:ascii="黑体" w:hAnsi="宋体"/>
          <w:b w:val="0"/>
          <w:bCs w:val="0"/>
          <w:color w:val="auto"/>
          <w:sz w:val="24"/>
          <w:szCs w:val="24"/>
          <w:highlight w:val="none"/>
        </w:rPr>
        <w:t>2.3  招标文件的修改</w:t>
      </w:r>
      <w:bookmarkEnd w:id="195"/>
      <w:bookmarkEnd w:id="196"/>
      <w:bookmarkEnd w:id="197"/>
      <w:bookmarkEnd w:id="198"/>
      <w:bookmarkEnd w:id="199"/>
      <w:bookmarkEnd w:id="200"/>
    </w:p>
    <w:p w14:paraId="07F3708D">
      <w:pPr>
        <w:adjustRightInd w:val="0"/>
        <w:snapToGrid w:val="0"/>
        <w:spacing w:beforeLines="0" w:line="360" w:lineRule="auto"/>
        <w:ind w:firstLine="482" w:firstLineChars="200"/>
        <w:rPr>
          <w:rFonts w:ascii="宋体" w:hAnsi="宋体"/>
          <w:color w:val="auto"/>
          <w:sz w:val="24"/>
          <w:highlight w:val="none"/>
        </w:rPr>
      </w:pPr>
      <w:r>
        <w:rPr>
          <w:rFonts w:ascii="宋体" w:hAnsi="宋体"/>
          <w:b/>
          <w:bCs/>
          <w:color w:val="auto"/>
          <w:sz w:val="24"/>
          <w:highlight w:val="none"/>
        </w:rPr>
        <w:t>2.3.1</w:t>
      </w:r>
      <w:r>
        <w:rPr>
          <w:rFonts w:ascii="宋体" w:hAnsi="宋体"/>
          <w:color w:val="auto"/>
          <w:sz w:val="24"/>
          <w:highlight w:val="none"/>
        </w:rPr>
        <w:t xml:space="preserve">  在投标截止时间15日前，招标人</w:t>
      </w:r>
      <w:r>
        <w:rPr>
          <w:rFonts w:hint="eastAsia" w:ascii="宋体" w:hAnsi="宋体"/>
          <w:color w:val="auto"/>
          <w:sz w:val="24"/>
          <w:highlight w:val="none"/>
        </w:rPr>
        <w:t>在发布本项目招标公告</w:t>
      </w:r>
      <w:r>
        <w:rPr>
          <w:rFonts w:ascii="宋体" w:hAnsi="宋体"/>
          <w:color w:val="auto"/>
          <w:sz w:val="24"/>
          <w:highlight w:val="none"/>
        </w:rPr>
        <w:t>的媒介及电子交易平台上发布</w:t>
      </w:r>
      <w:r>
        <w:rPr>
          <w:rFonts w:hint="eastAsia" w:ascii="宋体" w:hAnsi="宋体"/>
          <w:color w:val="auto"/>
          <w:sz w:val="24"/>
          <w:highlight w:val="none"/>
        </w:rPr>
        <w:t>修改通知</w:t>
      </w:r>
      <w:r>
        <w:rPr>
          <w:rFonts w:ascii="宋体" w:hAnsi="宋体"/>
          <w:color w:val="auto"/>
          <w:sz w:val="24"/>
          <w:highlight w:val="none"/>
        </w:rPr>
        <w:t>。如果修改招标文件的时间距投标截止时间不足15日，修改的内容可能影响投标文件编制的，相应延长投标截止时间。</w:t>
      </w:r>
    </w:p>
    <w:p w14:paraId="4EBFCA6A">
      <w:pPr>
        <w:adjustRightInd w:val="0"/>
        <w:snapToGrid w:val="0"/>
        <w:spacing w:beforeLines="0" w:line="360" w:lineRule="auto"/>
        <w:ind w:firstLine="482" w:firstLineChars="200"/>
        <w:rPr>
          <w:rFonts w:ascii="宋体" w:hAnsi="宋体"/>
          <w:color w:val="auto"/>
          <w:sz w:val="24"/>
          <w:highlight w:val="none"/>
        </w:rPr>
      </w:pPr>
      <w:r>
        <w:rPr>
          <w:rFonts w:ascii="宋体" w:hAnsi="宋体"/>
          <w:b/>
          <w:bCs/>
          <w:color w:val="auto"/>
          <w:sz w:val="24"/>
          <w:highlight w:val="none"/>
        </w:rPr>
        <w:t>2.3.2</w:t>
      </w:r>
      <w:r>
        <w:rPr>
          <w:rFonts w:hint="eastAsia" w:ascii="宋体" w:hAnsi="宋体"/>
          <w:color w:val="auto"/>
          <w:sz w:val="24"/>
          <w:highlight w:val="none"/>
        </w:rPr>
        <w:t>投标人应经常关注发布招标公告的媒介及电子交易平台所公布的有关修改、补充资料，否则因投标人未及时关注导致的后果由投标人自行负责。</w:t>
      </w:r>
    </w:p>
    <w:p w14:paraId="7851C618">
      <w:pPr>
        <w:pStyle w:val="5"/>
        <w:adjustRightInd w:val="0"/>
        <w:snapToGrid w:val="0"/>
        <w:spacing w:before="0" w:beforeLines="0" w:after="0" w:line="360" w:lineRule="auto"/>
        <w:ind w:firstLine="562" w:firstLineChars="200"/>
        <w:rPr>
          <w:color w:val="auto"/>
          <w:highlight w:val="none"/>
        </w:rPr>
      </w:pPr>
      <w:bookmarkStart w:id="201" w:name="_Toc152042322"/>
      <w:bookmarkStart w:id="202" w:name="_Toc283559192"/>
      <w:bookmarkStart w:id="203" w:name="_Toc286759034"/>
      <w:bookmarkStart w:id="204" w:name="_Toc152045546"/>
      <w:bookmarkStart w:id="205" w:name="_Toc330384399"/>
      <w:bookmarkStart w:id="206" w:name="_Toc487291474"/>
      <w:bookmarkStart w:id="207" w:name="_Toc307991151"/>
      <w:bookmarkStart w:id="208" w:name="_Toc283558695"/>
      <w:bookmarkStart w:id="209" w:name="_Toc341805117"/>
      <w:bookmarkStart w:id="210" w:name="_Toc488650795"/>
      <w:bookmarkStart w:id="211" w:name="_Toc144974514"/>
      <w:r>
        <w:rPr>
          <w:rFonts w:hint="eastAsia"/>
          <w:color w:val="auto"/>
          <w:highlight w:val="none"/>
        </w:rPr>
        <w:t>3</w:t>
      </w:r>
      <w:r>
        <w:rPr>
          <w:color w:val="auto"/>
          <w:highlight w:val="none"/>
        </w:rPr>
        <w:t>．</w:t>
      </w:r>
      <w:r>
        <w:rPr>
          <w:rFonts w:hint="eastAsia"/>
          <w:color w:val="auto"/>
          <w:highlight w:val="none"/>
        </w:rPr>
        <w:t>投标文件</w:t>
      </w:r>
      <w:bookmarkEnd w:id="201"/>
      <w:bookmarkEnd w:id="202"/>
      <w:bookmarkEnd w:id="203"/>
      <w:bookmarkEnd w:id="204"/>
      <w:bookmarkEnd w:id="205"/>
      <w:bookmarkEnd w:id="206"/>
      <w:bookmarkEnd w:id="207"/>
      <w:bookmarkEnd w:id="208"/>
      <w:bookmarkEnd w:id="209"/>
      <w:bookmarkEnd w:id="210"/>
      <w:bookmarkEnd w:id="211"/>
    </w:p>
    <w:p w14:paraId="6EDE80C8">
      <w:pPr>
        <w:pStyle w:val="5"/>
        <w:adjustRightInd w:val="0"/>
        <w:snapToGrid w:val="0"/>
        <w:spacing w:before="0" w:beforeLines="0" w:after="0" w:line="360" w:lineRule="auto"/>
        <w:ind w:firstLine="482" w:firstLineChars="200"/>
        <w:rPr>
          <w:rFonts w:ascii="黑体" w:hAnsi="宋体"/>
          <w:b w:val="0"/>
          <w:color w:val="auto"/>
          <w:sz w:val="24"/>
          <w:szCs w:val="24"/>
          <w:highlight w:val="none"/>
        </w:rPr>
      </w:pPr>
      <w:bookmarkStart w:id="212" w:name="_Toc341805118"/>
      <w:bookmarkStart w:id="213" w:name="_Toc144974515"/>
      <w:bookmarkStart w:id="214" w:name="_Toc487619446"/>
      <w:bookmarkStart w:id="215" w:name="_Toc152042323"/>
      <w:bookmarkStart w:id="216" w:name="_Toc356567798"/>
      <w:bookmarkStart w:id="217" w:name="_Toc152045547"/>
      <w:bookmarkStart w:id="218" w:name="_Toc487291475"/>
      <w:bookmarkStart w:id="219" w:name="_Toc488650796"/>
      <w:bookmarkStart w:id="220" w:name="_Toc487653364"/>
      <w:r>
        <w:rPr>
          <w:rFonts w:hint="eastAsia" w:ascii="黑体" w:hAnsi="宋体"/>
          <w:color w:val="auto"/>
          <w:sz w:val="24"/>
          <w:szCs w:val="24"/>
          <w:highlight w:val="none"/>
        </w:rPr>
        <w:t xml:space="preserve">3.1 </w:t>
      </w:r>
      <w:r>
        <w:rPr>
          <w:rFonts w:hint="eastAsia" w:ascii="黑体" w:hAnsi="宋体"/>
          <w:b w:val="0"/>
          <w:color w:val="auto"/>
          <w:sz w:val="24"/>
          <w:szCs w:val="24"/>
          <w:highlight w:val="none"/>
        </w:rPr>
        <w:t xml:space="preserve"> 投标文件的组成</w:t>
      </w:r>
      <w:bookmarkEnd w:id="212"/>
      <w:bookmarkEnd w:id="213"/>
      <w:bookmarkEnd w:id="214"/>
      <w:bookmarkEnd w:id="215"/>
      <w:bookmarkEnd w:id="216"/>
      <w:bookmarkEnd w:id="217"/>
      <w:bookmarkEnd w:id="218"/>
      <w:bookmarkEnd w:id="219"/>
      <w:bookmarkEnd w:id="220"/>
    </w:p>
    <w:p w14:paraId="1C2E29D1">
      <w:pPr>
        <w:adjustRightInd w:val="0"/>
        <w:snapToGrid w:val="0"/>
        <w:spacing w:beforeLines="0" w:line="360" w:lineRule="auto"/>
        <w:ind w:firstLine="480" w:firstLineChars="200"/>
        <w:rPr>
          <w:color w:val="auto"/>
          <w:sz w:val="24"/>
          <w:highlight w:val="none"/>
        </w:rPr>
      </w:pPr>
      <w:r>
        <w:rPr>
          <w:rFonts w:hint="eastAsia"/>
          <w:color w:val="auto"/>
          <w:sz w:val="24"/>
          <w:highlight w:val="none"/>
        </w:rPr>
        <w:t>3.1.1 投标文件应包括下列内容：</w:t>
      </w:r>
    </w:p>
    <w:p w14:paraId="6E33D355">
      <w:pPr>
        <w:adjustRightInd w:val="0"/>
        <w:snapToGrid w:val="0"/>
        <w:spacing w:beforeLines="0" w:line="360" w:lineRule="auto"/>
        <w:ind w:firstLine="480" w:firstLineChars="200"/>
        <w:rPr>
          <w:rFonts w:ascii="宋体" w:hAnsi="宋体"/>
          <w:color w:val="auto"/>
          <w:sz w:val="24"/>
          <w:highlight w:val="none"/>
        </w:rPr>
      </w:pPr>
      <w:r>
        <w:rPr>
          <w:rFonts w:ascii="宋体" w:hAnsi="宋体"/>
          <w:color w:val="auto"/>
          <w:sz w:val="24"/>
          <w:highlight w:val="none"/>
        </w:rPr>
        <w:t>(1)投标函及投标函附录；</w:t>
      </w:r>
    </w:p>
    <w:p w14:paraId="0DD82BDE">
      <w:pPr>
        <w:adjustRightInd w:val="0"/>
        <w:snapToGrid w:val="0"/>
        <w:spacing w:beforeLines="0" w:line="360" w:lineRule="auto"/>
        <w:ind w:firstLine="480" w:firstLineChars="200"/>
        <w:rPr>
          <w:rFonts w:ascii="宋体" w:hAnsi="宋体"/>
          <w:color w:val="auto"/>
          <w:sz w:val="24"/>
          <w:highlight w:val="none"/>
        </w:rPr>
      </w:pPr>
      <w:r>
        <w:rPr>
          <w:rFonts w:ascii="宋体" w:hAnsi="宋体"/>
          <w:color w:val="auto"/>
          <w:sz w:val="24"/>
          <w:highlight w:val="none"/>
        </w:rPr>
        <w:t>(2)法定代表人身份证明；</w:t>
      </w:r>
    </w:p>
    <w:p w14:paraId="26C7FC53">
      <w:pPr>
        <w:adjustRightInd w:val="0"/>
        <w:snapToGrid w:val="0"/>
        <w:spacing w:beforeLines="0" w:line="360" w:lineRule="auto"/>
        <w:ind w:firstLine="480" w:firstLineChars="200"/>
        <w:rPr>
          <w:rFonts w:ascii="宋体" w:hAnsi="宋体"/>
          <w:color w:val="auto"/>
          <w:sz w:val="24"/>
          <w:highlight w:val="none"/>
        </w:rPr>
      </w:pPr>
      <w:r>
        <w:rPr>
          <w:rFonts w:ascii="宋体" w:hAnsi="宋体"/>
          <w:color w:val="auto"/>
          <w:sz w:val="24"/>
          <w:highlight w:val="none"/>
        </w:rPr>
        <w:t>(3)授权委托书（若有授权）；</w:t>
      </w:r>
    </w:p>
    <w:p w14:paraId="1B871621">
      <w:pPr>
        <w:adjustRightInd w:val="0"/>
        <w:snapToGrid w:val="0"/>
        <w:spacing w:beforeLines="0" w:line="360" w:lineRule="auto"/>
        <w:ind w:firstLine="480" w:firstLineChars="200"/>
        <w:rPr>
          <w:rFonts w:ascii="宋体" w:hAnsi="宋体"/>
          <w:color w:val="auto"/>
          <w:sz w:val="24"/>
          <w:highlight w:val="none"/>
        </w:rPr>
      </w:pPr>
      <w:r>
        <w:rPr>
          <w:rFonts w:ascii="宋体" w:hAnsi="宋体"/>
          <w:color w:val="auto"/>
          <w:sz w:val="24"/>
          <w:highlight w:val="none"/>
        </w:rPr>
        <w:t>(4)联合体协议书（若有）</w:t>
      </w:r>
    </w:p>
    <w:p w14:paraId="422D15A3">
      <w:pPr>
        <w:adjustRightInd w:val="0"/>
        <w:snapToGrid w:val="0"/>
        <w:spacing w:beforeLines="0" w:line="360" w:lineRule="auto"/>
        <w:ind w:firstLine="480" w:firstLineChars="200"/>
        <w:rPr>
          <w:rFonts w:ascii="宋体" w:hAnsi="宋体"/>
          <w:color w:val="auto"/>
          <w:sz w:val="24"/>
          <w:highlight w:val="none"/>
        </w:rPr>
      </w:pPr>
      <w:r>
        <w:rPr>
          <w:rFonts w:ascii="宋体" w:hAnsi="宋体"/>
          <w:color w:val="auto"/>
          <w:sz w:val="24"/>
          <w:highlight w:val="none"/>
        </w:rPr>
        <w:t>(5)投标保证金；</w:t>
      </w:r>
    </w:p>
    <w:p w14:paraId="5D192926">
      <w:pPr>
        <w:adjustRightInd w:val="0"/>
        <w:snapToGrid w:val="0"/>
        <w:spacing w:beforeLines="0" w:line="360" w:lineRule="auto"/>
        <w:ind w:firstLine="480" w:firstLineChars="200"/>
        <w:rPr>
          <w:rFonts w:ascii="宋体" w:hAnsi="宋体"/>
          <w:color w:val="auto"/>
          <w:sz w:val="24"/>
          <w:highlight w:val="none"/>
        </w:rPr>
      </w:pPr>
      <w:r>
        <w:rPr>
          <w:rFonts w:ascii="宋体" w:hAnsi="宋体"/>
          <w:color w:val="auto"/>
          <w:sz w:val="24"/>
          <w:highlight w:val="none"/>
        </w:rPr>
        <w:t>(6)监理服务费投标报价表；</w:t>
      </w:r>
    </w:p>
    <w:p w14:paraId="27F01C76">
      <w:pPr>
        <w:adjustRightInd w:val="0"/>
        <w:snapToGrid w:val="0"/>
        <w:spacing w:beforeLines="0" w:line="360" w:lineRule="auto"/>
        <w:ind w:firstLine="480" w:firstLineChars="200"/>
        <w:rPr>
          <w:rFonts w:ascii="宋体" w:hAnsi="宋体"/>
          <w:color w:val="auto"/>
          <w:sz w:val="24"/>
          <w:highlight w:val="none"/>
        </w:rPr>
      </w:pPr>
      <w:r>
        <w:rPr>
          <w:rFonts w:ascii="宋体" w:hAnsi="宋体"/>
          <w:color w:val="auto"/>
          <w:sz w:val="24"/>
          <w:highlight w:val="none"/>
        </w:rPr>
        <w:t>(7)监理机构；</w:t>
      </w:r>
    </w:p>
    <w:p w14:paraId="02D397B0">
      <w:pPr>
        <w:adjustRightInd w:val="0"/>
        <w:snapToGrid w:val="0"/>
        <w:spacing w:beforeLines="0" w:line="360" w:lineRule="auto"/>
        <w:ind w:firstLine="480" w:firstLineChars="200"/>
        <w:rPr>
          <w:rFonts w:ascii="宋体" w:hAnsi="宋体"/>
          <w:color w:val="auto"/>
          <w:sz w:val="24"/>
          <w:highlight w:val="none"/>
        </w:rPr>
      </w:pPr>
      <w:r>
        <w:rPr>
          <w:rFonts w:ascii="宋体" w:hAnsi="宋体"/>
          <w:color w:val="auto"/>
          <w:sz w:val="24"/>
          <w:highlight w:val="none"/>
        </w:rPr>
        <w:t>(</w:t>
      </w:r>
      <w:r>
        <w:rPr>
          <w:rFonts w:hint="eastAsia" w:ascii="宋体" w:hAnsi="宋体"/>
          <w:color w:val="auto"/>
          <w:sz w:val="24"/>
          <w:highlight w:val="none"/>
        </w:rPr>
        <w:t>8</w:t>
      </w:r>
      <w:r>
        <w:rPr>
          <w:rFonts w:ascii="宋体" w:hAnsi="宋体"/>
          <w:color w:val="auto"/>
          <w:sz w:val="24"/>
          <w:highlight w:val="none"/>
        </w:rPr>
        <w:t>)资格审查资料；</w:t>
      </w:r>
    </w:p>
    <w:p w14:paraId="6C6D1DF1">
      <w:pPr>
        <w:adjustRightInd w:val="0"/>
        <w:snapToGrid w:val="0"/>
        <w:spacing w:beforeLines="0" w:line="360" w:lineRule="auto"/>
        <w:ind w:firstLine="480" w:firstLineChars="200"/>
        <w:rPr>
          <w:color w:val="auto"/>
          <w:sz w:val="24"/>
          <w:highlight w:val="none"/>
        </w:rPr>
      </w:pPr>
      <w:r>
        <w:rPr>
          <w:rFonts w:ascii="宋体" w:hAnsi="宋体"/>
          <w:color w:val="auto"/>
          <w:sz w:val="24"/>
          <w:highlight w:val="none"/>
        </w:rPr>
        <w:t>(</w:t>
      </w:r>
      <w:r>
        <w:rPr>
          <w:rFonts w:hint="eastAsia" w:ascii="宋体" w:hAnsi="宋体"/>
          <w:color w:val="auto"/>
          <w:sz w:val="24"/>
          <w:highlight w:val="none"/>
        </w:rPr>
        <w:t>9</w:t>
      </w:r>
      <w:r>
        <w:rPr>
          <w:rFonts w:ascii="宋体" w:hAnsi="宋体"/>
          <w:color w:val="auto"/>
          <w:sz w:val="24"/>
          <w:highlight w:val="none"/>
        </w:rPr>
        <w:t>)</w:t>
      </w:r>
      <w:r>
        <w:rPr>
          <w:rFonts w:hint="eastAsia"/>
          <w:color w:val="auto"/>
          <w:sz w:val="24"/>
          <w:highlight w:val="none"/>
        </w:rPr>
        <w:t xml:space="preserve"> 定标要素情况表</w:t>
      </w:r>
    </w:p>
    <w:p w14:paraId="1F8D5DD4">
      <w:pPr>
        <w:adjustRightInd w:val="0"/>
        <w:snapToGrid w:val="0"/>
        <w:spacing w:beforeLines="0" w:line="360" w:lineRule="auto"/>
        <w:ind w:firstLine="480" w:firstLineChars="200"/>
        <w:rPr>
          <w:rFonts w:ascii="宋体" w:hAnsi="宋体"/>
          <w:color w:val="auto"/>
          <w:sz w:val="24"/>
          <w:highlight w:val="none"/>
        </w:rPr>
      </w:pPr>
      <w:r>
        <w:rPr>
          <w:rFonts w:hint="eastAsia" w:ascii="宋体" w:hAnsi="宋体"/>
          <w:color w:val="auto"/>
          <w:sz w:val="24"/>
          <w:highlight w:val="none"/>
        </w:rPr>
        <w:t>（10）</w:t>
      </w:r>
      <w:r>
        <w:rPr>
          <w:rFonts w:ascii="宋体" w:hAnsi="宋体"/>
          <w:color w:val="auto"/>
          <w:sz w:val="24"/>
          <w:highlight w:val="none"/>
        </w:rPr>
        <w:t>其他材料。</w:t>
      </w:r>
    </w:p>
    <w:p w14:paraId="360CF38D">
      <w:pPr>
        <w:adjustRightInd w:val="0"/>
        <w:snapToGrid w:val="0"/>
        <w:spacing w:beforeLines="0" w:line="360" w:lineRule="auto"/>
        <w:ind w:firstLine="480" w:firstLineChars="200"/>
        <w:rPr>
          <w:rFonts w:ascii="宋体" w:hAnsi="宋体"/>
          <w:color w:val="auto"/>
          <w:sz w:val="24"/>
          <w:highlight w:val="none"/>
        </w:rPr>
      </w:pPr>
      <w:r>
        <w:rPr>
          <w:rFonts w:hint="eastAsia"/>
          <w:color w:val="auto"/>
          <w:sz w:val="24"/>
          <w:highlight w:val="none"/>
        </w:rPr>
        <w:t>3.1.2</w:t>
      </w:r>
      <w:r>
        <w:rPr>
          <w:rFonts w:hint="eastAsia" w:ascii="宋体" w:hAnsi="宋体"/>
          <w:color w:val="auto"/>
          <w:sz w:val="24"/>
          <w:highlight w:val="none"/>
        </w:rPr>
        <w:t>投标人代表为法定代表人本人的，投标文件不包括本章第</w:t>
      </w:r>
      <w:r>
        <w:rPr>
          <w:rFonts w:ascii="宋体" w:hAnsi="宋体"/>
          <w:color w:val="auto"/>
          <w:sz w:val="24"/>
          <w:highlight w:val="none"/>
        </w:rPr>
        <w:t>3.1.1 (3）目所指的授权委托书；投标人须知前附表规定不接受联合体投标的，或投标人没有组成联合体的，投标文件不包括本章第3.1.1 (4）目所指的联合体协议书。</w:t>
      </w:r>
    </w:p>
    <w:p w14:paraId="0AE02011">
      <w:pPr>
        <w:adjustRightInd w:val="0"/>
        <w:snapToGrid w:val="0"/>
        <w:spacing w:beforeLines="0" w:line="360" w:lineRule="auto"/>
        <w:ind w:firstLine="480" w:firstLineChars="200"/>
        <w:rPr>
          <w:color w:val="auto"/>
          <w:highlight w:val="none"/>
        </w:rPr>
      </w:pPr>
      <w:r>
        <w:rPr>
          <w:rFonts w:hint="eastAsia" w:ascii="宋体" w:hAnsi="宋体" w:eastAsia="宋体" w:cs="Times New Roman"/>
          <w:color w:val="auto"/>
          <w:sz w:val="24"/>
          <w:highlight w:val="none"/>
        </w:rPr>
        <w:t>3.1.3投标人须知前附表未要求提交投标保证金的，投标文件不包括本章第3.1.1（</w:t>
      </w:r>
      <w:r>
        <w:rPr>
          <w:rFonts w:hint="eastAsia" w:ascii="宋体" w:hAnsi="宋体" w:eastAsia="宋体" w:cs="Times New Roman"/>
          <w:color w:val="auto"/>
          <w:sz w:val="24"/>
          <w:highlight w:val="none"/>
          <w:lang w:eastAsia="zh-CN"/>
        </w:rPr>
        <w:t>5</w:t>
      </w:r>
      <w:r>
        <w:rPr>
          <w:rFonts w:hint="eastAsia" w:ascii="宋体" w:hAnsi="宋体" w:eastAsia="宋体" w:cs="Times New Roman"/>
          <w:color w:val="auto"/>
          <w:sz w:val="24"/>
          <w:highlight w:val="none"/>
        </w:rPr>
        <w:t>）目所指的投标保证金。</w:t>
      </w:r>
    </w:p>
    <w:p w14:paraId="7E946E12">
      <w:pPr>
        <w:pStyle w:val="5"/>
        <w:adjustRightInd w:val="0"/>
        <w:snapToGrid w:val="0"/>
        <w:spacing w:before="0" w:beforeLines="0" w:after="0" w:line="360" w:lineRule="auto"/>
        <w:ind w:firstLine="482" w:firstLineChars="200"/>
        <w:rPr>
          <w:rFonts w:ascii="黑体" w:hAnsi="宋体"/>
          <w:b w:val="0"/>
          <w:color w:val="auto"/>
          <w:sz w:val="24"/>
          <w:szCs w:val="24"/>
          <w:highlight w:val="none"/>
        </w:rPr>
      </w:pPr>
      <w:bookmarkStart w:id="221" w:name="_Toc341805119"/>
      <w:bookmarkStart w:id="222" w:name="_Toc152045548"/>
      <w:bookmarkStart w:id="223" w:name="_Toc144974516"/>
      <w:bookmarkStart w:id="224" w:name="_Toc487619447"/>
      <w:bookmarkStart w:id="225" w:name="_Toc488650797"/>
      <w:bookmarkStart w:id="226" w:name="_Toc487291476"/>
      <w:bookmarkStart w:id="227" w:name="_Toc152042324"/>
      <w:bookmarkStart w:id="228" w:name="_Toc356567799"/>
      <w:bookmarkStart w:id="229" w:name="_Toc487653365"/>
      <w:r>
        <w:rPr>
          <w:rFonts w:hint="eastAsia" w:ascii="黑体" w:hAnsi="宋体"/>
          <w:color w:val="auto"/>
          <w:sz w:val="24"/>
          <w:szCs w:val="24"/>
          <w:highlight w:val="none"/>
        </w:rPr>
        <w:t xml:space="preserve">3.2 </w:t>
      </w:r>
      <w:r>
        <w:rPr>
          <w:rFonts w:hint="eastAsia" w:ascii="黑体" w:hAnsi="宋体"/>
          <w:b w:val="0"/>
          <w:color w:val="auto"/>
          <w:sz w:val="24"/>
          <w:szCs w:val="24"/>
          <w:highlight w:val="none"/>
        </w:rPr>
        <w:t xml:space="preserve"> 投标报价</w:t>
      </w:r>
      <w:bookmarkEnd w:id="221"/>
      <w:bookmarkEnd w:id="222"/>
      <w:bookmarkEnd w:id="223"/>
      <w:bookmarkEnd w:id="224"/>
      <w:bookmarkEnd w:id="225"/>
      <w:bookmarkEnd w:id="226"/>
      <w:bookmarkEnd w:id="227"/>
      <w:bookmarkEnd w:id="228"/>
      <w:bookmarkEnd w:id="229"/>
    </w:p>
    <w:p w14:paraId="5FDBC6B9">
      <w:pPr>
        <w:adjustRightInd w:val="0"/>
        <w:snapToGrid w:val="0"/>
        <w:spacing w:beforeLines="0" w:line="360" w:lineRule="auto"/>
        <w:ind w:firstLine="480" w:firstLineChars="200"/>
        <w:rPr>
          <w:color w:val="auto"/>
          <w:sz w:val="24"/>
          <w:highlight w:val="none"/>
        </w:rPr>
      </w:pPr>
      <w:r>
        <w:rPr>
          <w:rFonts w:hint="eastAsia"/>
          <w:color w:val="auto"/>
          <w:sz w:val="24"/>
          <w:highlight w:val="none"/>
        </w:rPr>
        <w:t>3.2</w:t>
      </w:r>
      <w:r>
        <w:rPr>
          <w:color w:val="auto"/>
          <w:sz w:val="24"/>
          <w:highlight w:val="none"/>
        </w:rPr>
        <w:t xml:space="preserve">.1 </w:t>
      </w:r>
      <w:r>
        <w:rPr>
          <w:rFonts w:hint="eastAsia"/>
          <w:color w:val="auto"/>
          <w:sz w:val="24"/>
          <w:highlight w:val="none"/>
        </w:rPr>
        <w:t xml:space="preserve"> </w:t>
      </w:r>
      <w:r>
        <w:rPr>
          <w:color w:val="auto"/>
          <w:sz w:val="24"/>
          <w:highlight w:val="none"/>
        </w:rPr>
        <w:t>投标报价是投标人按照招标文件的要求完成</w:t>
      </w:r>
      <w:r>
        <w:rPr>
          <w:rFonts w:hint="eastAsia"/>
          <w:color w:val="auto"/>
          <w:sz w:val="24"/>
          <w:highlight w:val="none"/>
        </w:rPr>
        <w:t>投标人须知前附表规定监理服务阶段</w:t>
      </w:r>
      <w:r>
        <w:rPr>
          <w:color w:val="auto"/>
          <w:sz w:val="24"/>
          <w:highlight w:val="none"/>
        </w:rPr>
        <w:t>监理工作所需的费用。</w:t>
      </w:r>
    </w:p>
    <w:p w14:paraId="6D9AA737">
      <w:pPr>
        <w:adjustRightInd w:val="0"/>
        <w:snapToGrid w:val="0"/>
        <w:spacing w:beforeLines="0" w:line="360" w:lineRule="auto"/>
        <w:ind w:firstLine="480" w:firstLineChars="200"/>
        <w:rPr>
          <w:color w:val="auto"/>
          <w:sz w:val="24"/>
          <w:highlight w:val="none"/>
        </w:rPr>
      </w:pPr>
      <w:r>
        <w:rPr>
          <w:rFonts w:hint="eastAsia"/>
          <w:color w:val="auto"/>
          <w:sz w:val="24"/>
          <w:highlight w:val="none"/>
        </w:rPr>
        <w:t>3.2.2   投标人应按投标人须知前附表规定的监理服务费报价方式进行报价，如采用投标控制价上限的报价方式，投标人在投标书中的报价应在投标控制价上限范围内。</w:t>
      </w:r>
    </w:p>
    <w:p w14:paraId="63E40E13">
      <w:pPr>
        <w:adjustRightInd w:val="0"/>
        <w:snapToGrid w:val="0"/>
        <w:spacing w:beforeLines="0" w:line="360" w:lineRule="auto"/>
        <w:ind w:firstLine="480" w:firstLineChars="200"/>
        <w:rPr>
          <w:color w:val="auto"/>
          <w:sz w:val="24"/>
          <w:highlight w:val="none"/>
        </w:rPr>
      </w:pPr>
      <w:r>
        <w:rPr>
          <w:rFonts w:hint="eastAsia"/>
          <w:color w:val="auto"/>
          <w:sz w:val="24"/>
          <w:highlight w:val="none"/>
        </w:rPr>
        <w:t>3.2</w:t>
      </w:r>
      <w:r>
        <w:rPr>
          <w:color w:val="auto"/>
          <w:sz w:val="24"/>
          <w:highlight w:val="none"/>
        </w:rPr>
        <w:t>.</w:t>
      </w:r>
      <w:r>
        <w:rPr>
          <w:rFonts w:hint="eastAsia"/>
          <w:color w:val="auto"/>
          <w:sz w:val="24"/>
          <w:highlight w:val="none"/>
        </w:rPr>
        <w:t>3</w:t>
      </w:r>
      <w:r>
        <w:rPr>
          <w:color w:val="auto"/>
          <w:sz w:val="24"/>
          <w:highlight w:val="none"/>
        </w:rPr>
        <w:t xml:space="preserve"> </w:t>
      </w:r>
      <w:r>
        <w:rPr>
          <w:rFonts w:hint="eastAsia"/>
          <w:color w:val="auto"/>
          <w:sz w:val="24"/>
          <w:highlight w:val="none"/>
        </w:rPr>
        <w:t xml:space="preserve"> </w:t>
      </w:r>
      <w:r>
        <w:rPr>
          <w:color w:val="auto"/>
          <w:sz w:val="24"/>
          <w:highlight w:val="none"/>
        </w:rPr>
        <w:t>投标人</w:t>
      </w:r>
      <w:r>
        <w:rPr>
          <w:rFonts w:hint="eastAsia"/>
          <w:color w:val="auto"/>
          <w:sz w:val="24"/>
          <w:highlight w:val="none"/>
        </w:rPr>
        <w:t>应</w:t>
      </w:r>
      <w:r>
        <w:rPr>
          <w:color w:val="auto"/>
          <w:sz w:val="24"/>
          <w:highlight w:val="none"/>
        </w:rPr>
        <w:t>按照招标文件规定的格式和内容计算投标</w:t>
      </w:r>
      <w:r>
        <w:rPr>
          <w:rFonts w:hint="eastAsia"/>
          <w:color w:val="auto"/>
          <w:sz w:val="24"/>
          <w:highlight w:val="none"/>
        </w:rPr>
        <w:t>报</w:t>
      </w:r>
      <w:r>
        <w:rPr>
          <w:color w:val="auto"/>
          <w:sz w:val="24"/>
          <w:highlight w:val="none"/>
        </w:rPr>
        <w:t>价。</w:t>
      </w:r>
    </w:p>
    <w:p w14:paraId="4CDE20E5">
      <w:pPr>
        <w:pStyle w:val="5"/>
        <w:adjustRightInd w:val="0"/>
        <w:snapToGrid w:val="0"/>
        <w:spacing w:before="0" w:beforeLines="0" w:after="0" w:line="360" w:lineRule="auto"/>
        <w:ind w:firstLine="482" w:firstLineChars="200"/>
        <w:rPr>
          <w:rFonts w:ascii="黑体" w:hAnsi="宋体"/>
          <w:b w:val="0"/>
          <w:color w:val="auto"/>
          <w:sz w:val="24"/>
          <w:szCs w:val="24"/>
          <w:highlight w:val="none"/>
        </w:rPr>
      </w:pPr>
      <w:bookmarkStart w:id="230" w:name="_Toc144974517"/>
      <w:bookmarkStart w:id="231" w:name="_Toc152045549"/>
      <w:bookmarkStart w:id="232" w:name="_Toc487619448"/>
      <w:bookmarkStart w:id="233" w:name="_Toc152042325"/>
      <w:bookmarkStart w:id="234" w:name="_Toc356567800"/>
      <w:bookmarkStart w:id="235" w:name="_Toc488650798"/>
      <w:bookmarkStart w:id="236" w:name="_Toc487653366"/>
      <w:bookmarkStart w:id="237" w:name="_Toc341805120"/>
      <w:bookmarkStart w:id="238" w:name="_Toc487291477"/>
      <w:r>
        <w:rPr>
          <w:rFonts w:hint="eastAsia" w:ascii="黑体" w:hAnsi="宋体"/>
          <w:color w:val="auto"/>
          <w:sz w:val="24"/>
          <w:szCs w:val="24"/>
          <w:highlight w:val="none"/>
        </w:rPr>
        <w:t>3.3</w:t>
      </w:r>
      <w:r>
        <w:rPr>
          <w:rFonts w:hint="eastAsia" w:ascii="黑体" w:hAnsi="宋体"/>
          <w:b w:val="0"/>
          <w:color w:val="auto"/>
          <w:sz w:val="24"/>
          <w:szCs w:val="24"/>
          <w:highlight w:val="none"/>
        </w:rPr>
        <w:t xml:space="preserve">  投标有效期</w:t>
      </w:r>
      <w:bookmarkEnd w:id="230"/>
      <w:bookmarkEnd w:id="231"/>
      <w:bookmarkEnd w:id="232"/>
      <w:bookmarkEnd w:id="233"/>
      <w:bookmarkEnd w:id="234"/>
      <w:bookmarkEnd w:id="235"/>
      <w:bookmarkEnd w:id="236"/>
      <w:bookmarkEnd w:id="237"/>
      <w:bookmarkEnd w:id="238"/>
    </w:p>
    <w:p w14:paraId="47ADF2DA">
      <w:pPr>
        <w:adjustRightInd w:val="0"/>
        <w:snapToGrid w:val="0"/>
        <w:spacing w:beforeLines="0" w:line="360" w:lineRule="auto"/>
        <w:ind w:firstLine="480" w:firstLineChars="200"/>
        <w:rPr>
          <w:color w:val="auto"/>
          <w:sz w:val="24"/>
          <w:highlight w:val="none"/>
        </w:rPr>
      </w:pPr>
      <w:r>
        <w:rPr>
          <w:rFonts w:hint="eastAsia"/>
          <w:color w:val="auto"/>
          <w:sz w:val="24"/>
          <w:highlight w:val="none"/>
        </w:rPr>
        <w:t>3.3.1  在投标人须知前附表规定的投标有效期内，投标人不得要求撤销或修改其投标文件。</w:t>
      </w:r>
    </w:p>
    <w:p w14:paraId="7B9F4DD3">
      <w:pPr>
        <w:adjustRightInd w:val="0"/>
        <w:snapToGrid w:val="0"/>
        <w:spacing w:beforeLines="0" w:line="360" w:lineRule="auto"/>
        <w:ind w:firstLine="480" w:firstLineChars="200"/>
        <w:rPr>
          <w:color w:val="auto"/>
          <w:sz w:val="24"/>
          <w:highlight w:val="none"/>
        </w:rPr>
      </w:pPr>
      <w:r>
        <w:rPr>
          <w:rFonts w:hint="eastAsia"/>
          <w:color w:val="auto"/>
          <w:sz w:val="24"/>
          <w:highlight w:val="none"/>
        </w:rPr>
        <w:t>3.3.2  出现特殊情况需要延长投标有效期的，招标人以书面形式通知所有投标人延长投标有效期，</w:t>
      </w:r>
      <w:r>
        <w:rPr>
          <w:rFonts w:hint="eastAsia" w:ascii="宋体" w:hAnsi="宋体"/>
          <w:color w:val="auto"/>
          <w:sz w:val="24"/>
          <w:highlight w:val="none"/>
        </w:rPr>
        <w:t>但延长后投标有限期共计不超过</w:t>
      </w:r>
      <w:r>
        <w:rPr>
          <w:rFonts w:ascii="宋体" w:hAnsi="宋体"/>
          <w:color w:val="auto"/>
          <w:sz w:val="24"/>
          <w:highlight w:val="none"/>
        </w:rPr>
        <w:t>120</w:t>
      </w:r>
      <w:r>
        <w:rPr>
          <w:rFonts w:hint="eastAsia" w:ascii="宋体" w:hAnsi="宋体"/>
          <w:color w:val="auto"/>
          <w:sz w:val="24"/>
          <w:highlight w:val="none"/>
        </w:rPr>
        <w:t>天</w:t>
      </w:r>
      <w:r>
        <w:rPr>
          <w:rFonts w:hint="eastAsia"/>
          <w:color w:val="auto"/>
          <w:sz w:val="24"/>
          <w:highlight w:val="none"/>
        </w:rPr>
        <w:t>。投标人同意延长的，应相应延长其投标保证金的有效期，</w:t>
      </w:r>
      <w:r>
        <w:rPr>
          <w:snapToGrid w:val="0"/>
          <w:color w:val="auto"/>
          <w:kern w:val="0"/>
          <w:sz w:val="24"/>
          <w:highlight w:val="none"/>
        </w:rPr>
        <w:t>但不得要求或被允许修改其投标文件；投标人拒绝延长的，其投标失效，</w:t>
      </w:r>
      <w:r>
        <w:rPr>
          <w:rFonts w:hint="eastAsia"/>
          <w:snapToGrid w:val="0"/>
          <w:color w:val="auto"/>
          <w:kern w:val="0"/>
          <w:sz w:val="24"/>
          <w:highlight w:val="none"/>
        </w:rPr>
        <w:t>投标人有权撤销其投标文件，并</w:t>
      </w:r>
      <w:r>
        <w:rPr>
          <w:snapToGrid w:val="0"/>
          <w:color w:val="auto"/>
          <w:kern w:val="0"/>
          <w:sz w:val="24"/>
          <w:highlight w:val="none"/>
        </w:rPr>
        <w:t>收回投标保证金</w:t>
      </w:r>
      <w:r>
        <w:rPr>
          <w:rFonts w:hint="default"/>
          <w:snapToGrid w:val="0"/>
          <w:color w:val="auto"/>
          <w:kern w:val="0"/>
          <w:sz w:val="24"/>
          <w:szCs w:val="24"/>
          <w:highlight w:val="none"/>
        </w:rPr>
        <w:t>以及投标保证金的银行同期活期存款利息</w:t>
      </w:r>
      <w:r>
        <w:rPr>
          <w:snapToGrid w:val="0"/>
          <w:color w:val="auto"/>
          <w:kern w:val="0"/>
          <w:sz w:val="24"/>
          <w:highlight w:val="none"/>
        </w:rPr>
        <w:t>。</w:t>
      </w:r>
    </w:p>
    <w:p w14:paraId="694801C4">
      <w:pPr>
        <w:pStyle w:val="5"/>
        <w:adjustRightInd w:val="0"/>
        <w:snapToGrid w:val="0"/>
        <w:spacing w:before="0" w:beforeLines="0" w:after="0" w:line="360" w:lineRule="auto"/>
        <w:ind w:firstLine="482" w:firstLineChars="200"/>
        <w:rPr>
          <w:rFonts w:ascii="黑体" w:hAnsi="宋体"/>
          <w:b w:val="0"/>
          <w:color w:val="auto"/>
          <w:sz w:val="24"/>
          <w:szCs w:val="24"/>
          <w:highlight w:val="none"/>
        </w:rPr>
      </w:pPr>
      <w:bookmarkStart w:id="239" w:name="_Toc488650799"/>
      <w:bookmarkStart w:id="240" w:name="_Toc341805121"/>
      <w:bookmarkStart w:id="241" w:name="_Toc152042326"/>
      <w:bookmarkStart w:id="242" w:name="_Toc356567801"/>
      <w:bookmarkStart w:id="243" w:name="_Toc144974518"/>
      <w:bookmarkStart w:id="244" w:name="_Toc487291478"/>
      <w:bookmarkStart w:id="245" w:name="_Toc487619449"/>
      <w:bookmarkStart w:id="246" w:name="_Toc487653367"/>
      <w:bookmarkStart w:id="247" w:name="_Toc152045550"/>
      <w:r>
        <w:rPr>
          <w:rFonts w:hint="eastAsia" w:ascii="黑体" w:hAnsi="宋体"/>
          <w:color w:val="auto"/>
          <w:sz w:val="24"/>
          <w:szCs w:val="24"/>
          <w:highlight w:val="none"/>
        </w:rPr>
        <w:t>3.4</w:t>
      </w:r>
      <w:r>
        <w:rPr>
          <w:rFonts w:hint="eastAsia" w:ascii="黑体" w:hAnsi="宋体"/>
          <w:b w:val="0"/>
          <w:color w:val="auto"/>
          <w:sz w:val="24"/>
          <w:szCs w:val="24"/>
          <w:highlight w:val="none"/>
        </w:rPr>
        <w:t xml:space="preserve">  投标保证金</w:t>
      </w:r>
      <w:bookmarkEnd w:id="239"/>
      <w:bookmarkEnd w:id="240"/>
      <w:bookmarkEnd w:id="241"/>
      <w:bookmarkEnd w:id="242"/>
      <w:bookmarkEnd w:id="243"/>
      <w:bookmarkEnd w:id="244"/>
      <w:bookmarkEnd w:id="245"/>
      <w:bookmarkEnd w:id="246"/>
      <w:bookmarkEnd w:id="247"/>
    </w:p>
    <w:p w14:paraId="06C8E654">
      <w:pPr>
        <w:adjustRightInd w:val="0"/>
        <w:snapToGrid w:val="0"/>
        <w:spacing w:beforeLines="0" w:line="360" w:lineRule="auto"/>
        <w:ind w:firstLine="480" w:firstLineChars="200"/>
        <w:rPr>
          <w:color w:val="auto"/>
          <w:sz w:val="24"/>
          <w:highlight w:val="none"/>
        </w:rPr>
      </w:pPr>
      <w:r>
        <w:rPr>
          <w:rFonts w:hint="eastAsia"/>
          <w:color w:val="auto"/>
          <w:sz w:val="24"/>
          <w:highlight w:val="none"/>
        </w:rPr>
        <w:t>3.4.1投标人在递交投标文件的同时，应按投标人须知前附表规定的金额、担保形式和第九章“投标文件格式”规定的投标保证金格式递交投标保证金，并作为其投标文件的组成部分。联合体投标的，其投标保证金由牵头人递交，并应符合投标人须知前附表的规定。</w:t>
      </w:r>
    </w:p>
    <w:p w14:paraId="4F050941">
      <w:pPr>
        <w:adjustRightInd w:val="0"/>
        <w:snapToGrid w:val="0"/>
        <w:spacing w:beforeLines="0" w:line="360" w:lineRule="auto"/>
        <w:ind w:firstLine="480" w:firstLineChars="200"/>
        <w:rPr>
          <w:color w:val="auto"/>
          <w:sz w:val="24"/>
          <w:highlight w:val="none"/>
        </w:rPr>
      </w:pPr>
      <w:r>
        <w:rPr>
          <w:rFonts w:hint="eastAsia"/>
          <w:color w:val="auto"/>
          <w:sz w:val="24"/>
          <w:highlight w:val="none"/>
        </w:rPr>
        <w:t>3.4.2 投标人不按本章第 3.4.1 项要求提交投标保证金的，其投标文件作废标处理。</w:t>
      </w:r>
    </w:p>
    <w:p w14:paraId="54E75CCE">
      <w:pPr>
        <w:adjustRightInd w:val="0"/>
        <w:snapToGrid w:val="0"/>
        <w:spacing w:beforeLines="0" w:line="360" w:lineRule="auto"/>
        <w:ind w:firstLine="480" w:firstLineChars="200"/>
        <w:rPr>
          <w:color w:val="auto"/>
          <w:sz w:val="24"/>
          <w:highlight w:val="none"/>
        </w:rPr>
      </w:pPr>
      <w:r>
        <w:rPr>
          <w:color w:val="auto"/>
          <w:sz w:val="24"/>
          <w:highlight w:val="none"/>
        </w:rPr>
        <w:t>3.4.</w:t>
      </w:r>
      <w:r>
        <w:rPr>
          <w:rFonts w:hint="eastAsia"/>
          <w:color w:val="auto"/>
          <w:sz w:val="24"/>
          <w:highlight w:val="none"/>
        </w:rPr>
        <w:t>3</w:t>
      </w:r>
      <w:r>
        <w:rPr>
          <w:color w:val="auto"/>
          <w:sz w:val="24"/>
          <w:highlight w:val="none"/>
        </w:rPr>
        <w:t xml:space="preserve"> </w:t>
      </w:r>
      <w:r>
        <w:rPr>
          <w:rFonts w:hint="eastAsia"/>
          <w:color w:val="auto"/>
          <w:sz w:val="24"/>
          <w:highlight w:val="none"/>
        </w:rPr>
        <w:t>招标人最迟将在中标通知书发出后5日内向中标候选人以外的其他投标人退还投标保证金，与中标人签订合同后5日内向中标人和其他中标候选人退还投标保证金。投标保证金以现金或支票形式递交的，招标人应同时退还投标保证金的银行同期活期存款利息，且退还至投标人的基本账户。利息计算原则见投标人须知前附表。</w:t>
      </w:r>
    </w:p>
    <w:p w14:paraId="5ABE5663">
      <w:pPr>
        <w:adjustRightInd w:val="0"/>
        <w:snapToGrid w:val="0"/>
        <w:spacing w:beforeLines="0" w:line="360" w:lineRule="auto"/>
        <w:ind w:firstLine="480" w:firstLineChars="200"/>
        <w:rPr>
          <w:color w:val="auto"/>
          <w:sz w:val="24"/>
          <w:highlight w:val="none"/>
        </w:rPr>
      </w:pPr>
      <w:r>
        <w:rPr>
          <w:rFonts w:hint="eastAsia"/>
          <w:color w:val="auto"/>
          <w:sz w:val="24"/>
          <w:highlight w:val="none"/>
        </w:rPr>
        <w:t xml:space="preserve">3.4.4 </w:t>
      </w:r>
      <w:r>
        <w:rPr>
          <w:color w:val="auto"/>
          <w:sz w:val="24"/>
          <w:highlight w:val="none"/>
        </w:rPr>
        <w:t>有下列情形之一的</w:t>
      </w:r>
      <w:r>
        <w:rPr>
          <w:rFonts w:hint="eastAsia"/>
          <w:color w:val="auto"/>
          <w:sz w:val="24"/>
          <w:highlight w:val="none"/>
        </w:rPr>
        <w:t>,</w:t>
      </w:r>
      <w:r>
        <w:rPr>
          <w:color w:val="auto"/>
          <w:sz w:val="24"/>
          <w:highlight w:val="none"/>
        </w:rPr>
        <w:t>投标保证金将不予退还：</w:t>
      </w:r>
    </w:p>
    <w:p w14:paraId="5913AADA">
      <w:pPr>
        <w:adjustRightInd w:val="0"/>
        <w:snapToGrid w:val="0"/>
        <w:spacing w:beforeLines="0" w:line="360" w:lineRule="auto"/>
        <w:ind w:firstLine="480" w:firstLineChars="200"/>
        <w:rPr>
          <w:rFonts w:hint="eastAsia" w:ascii="Calibri" w:hAnsi="Calibri"/>
          <w:color w:val="auto"/>
          <w:sz w:val="24"/>
          <w:szCs w:val="24"/>
          <w:highlight w:val="none"/>
        </w:rPr>
      </w:pPr>
      <w:r>
        <w:rPr>
          <w:rFonts w:hint="eastAsia" w:ascii="Calibri" w:hAnsi="Calibri"/>
          <w:color w:val="auto"/>
          <w:sz w:val="24"/>
          <w:szCs w:val="24"/>
          <w:highlight w:val="none"/>
          <w:shd w:val="clear"/>
        </w:rPr>
        <w:t>（</w:t>
      </w:r>
      <w:r>
        <w:rPr>
          <w:rFonts w:hint="eastAsia"/>
          <w:color w:val="auto"/>
          <w:sz w:val="24"/>
          <w:szCs w:val="24"/>
          <w:highlight w:val="none"/>
          <w:shd w:val="clear"/>
          <w:lang w:val="en-US" w:eastAsia="zh-CN"/>
        </w:rPr>
        <w:t>1</w:t>
      </w:r>
      <w:r>
        <w:rPr>
          <w:rFonts w:hint="eastAsia" w:ascii="Calibri" w:hAnsi="Calibri"/>
          <w:color w:val="auto"/>
          <w:sz w:val="24"/>
          <w:szCs w:val="24"/>
          <w:highlight w:val="none"/>
          <w:shd w:val="clear"/>
        </w:rPr>
        <w:t>）</w:t>
      </w:r>
      <w:r>
        <w:rPr>
          <w:rFonts w:hint="eastAsia" w:ascii="Calibri" w:hAnsi="Calibri"/>
          <w:color w:val="auto"/>
          <w:sz w:val="24"/>
          <w:szCs w:val="24"/>
          <w:highlight w:val="none"/>
        </w:rPr>
        <w:t>投标人在规定的投标有效期内撤销或修改其投标文件；</w:t>
      </w:r>
    </w:p>
    <w:p w14:paraId="5D37DAA5">
      <w:pPr>
        <w:adjustRightInd w:val="0"/>
        <w:snapToGrid w:val="0"/>
        <w:spacing w:beforeLines="0" w:line="360" w:lineRule="auto"/>
        <w:ind w:firstLine="480" w:firstLineChars="200"/>
        <w:rPr>
          <w:rFonts w:hint="eastAsia" w:ascii="Calibri" w:hAnsi="Calibri"/>
          <w:color w:val="auto"/>
          <w:sz w:val="24"/>
          <w:szCs w:val="24"/>
          <w:highlight w:val="none"/>
        </w:rPr>
      </w:pPr>
      <w:r>
        <w:rPr>
          <w:rFonts w:hint="eastAsia" w:ascii="Calibri" w:hAnsi="Calibri"/>
          <w:color w:val="auto"/>
          <w:sz w:val="24"/>
          <w:szCs w:val="24"/>
          <w:highlight w:val="none"/>
          <w:shd w:val="clear"/>
        </w:rPr>
        <w:t>（</w:t>
      </w:r>
      <w:r>
        <w:rPr>
          <w:rFonts w:hint="eastAsia"/>
          <w:color w:val="auto"/>
          <w:sz w:val="24"/>
          <w:szCs w:val="24"/>
          <w:highlight w:val="none"/>
          <w:shd w:val="clear"/>
          <w:lang w:val="en-US" w:eastAsia="zh-CN"/>
        </w:rPr>
        <w:t>2</w:t>
      </w:r>
      <w:r>
        <w:rPr>
          <w:rFonts w:hint="eastAsia" w:ascii="Calibri" w:hAnsi="Calibri"/>
          <w:color w:val="auto"/>
          <w:sz w:val="24"/>
          <w:szCs w:val="24"/>
          <w:highlight w:val="none"/>
          <w:shd w:val="clear"/>
        </w:rPr>
        <w:t>）</w:t>
      </w:r>
      <w:r>
        <w:rPr>
          <w:rFonts w:hint="eastAsia" w:ascii="Calibri" w:hAnsi="Calibri"/>
          <w:color w:val="auto"/>
          <w:sz w:val="24"/>
          <w:szCs w:val="24"/>
          <w:highlight w:val="none"/>
        </w:rPr>
        <w:t xml:space="preserve"> 中标人在收到中标通知书后，无正当理由不与招标人订立合同，在签订合同时向招标人提出附加条件，或不按照招标文件要求提交履约保证金；</w:t>
      </w:r>
    </w:p>
    <w:p w14:paraId="6332D78C">
      <w:pPr>
        <w:adjustRightInd w:val="0"/>
        <w:snapToGrid w:val="0"/>
        <w:spacing w:beforeLines="0" w:line="360" w:lineRule="auto"/>
        <w:ind w:firstLine="480" w:firstLineChars="200"/>
        <w:rPr>
          <w:color w:val="auto"/>
          <w:sz w:val="24"/>
          <w:highlight w:val="none"/>
        </w:rPr>
      </w:pPr>
      <w:r>
        <w:rPr>
          <w:rFonts w:hint="eastAsia" w:ascii="Calibri" w:hAnsi="Calibri"/>
          <w:color w:val="auto"/>
          <w:sz w:val="24"/>
          <w:szCs w:val="24"/>
          <w:highlight w:val="none"/>
          <w:shd w:val="clear"/>
        </w:rPr>
        <w:t>（3）发生投标人须知前附表规定的其他可以不予退还投标保证金的情形。</w:t>
      </w:r>
    </w:p>
    <w:p w14:paraId="049CA357">
      <w:pPr>
        <w:pStyle w:val="5"/>
        <w:adjustRightInd w:val="0"/>
        <w:snapToGrid w:val="0"/>
        <w:spacing w:before="0" w:beforeLines="0" w:after="0" w:line="360" w:lineRule="auto"/>
        <w:ind w:firstLine="482" w:firstLineChars="200"/>
        <w:rPr>
          <w:rFonts w:ascii="黑体"/>
          <w:b w:val="0"/>
          <w:color w:val="auto"/>
          <w:kern w:val="0"/>
          <w:sz w:val="24"/>
          <w:szCs w:val="24"/>
          <w:highlight w:val="none"/>
        </w:rPr>
      </w:pPr>
      <w:bookmarkStart w:id="248" w:name="_Toc356567802"/>
      <w:bookmarkStart w:id="249" w:name="_Toc341805122"/>
      <w:bookmarkStart w:id="250" w:name="_Toc152045551"/>
      <w:bookmarkStart w:id="251" w:name="_Toc152042327"/>
      <w:bookmarkStart w:id="252" w:name="_Toc144974519"/>
      <w:bookmarkStart w:id="253" w:name="_Toc488650800"/>
      <w:bookmarkStart w:id="254" w:name="_Toc487291479"/>
      <w:bookmarkStart w:id="255" w:name="_Toc487653368"/>
      <w:bookmarkStart w:id="256" w:name="_Toc487619450"/>
      <w:r>
        <w:rPr>
          <w:rFonts w:hint="eastAsia" w:ascii="黑体" w:hAnsi="宋体"/>
          <w:color w:val="auto"/>
          <w:sz w:val="24"/>
          <w:highlight w:val="none"/>
        </w:rPr>
        <w:t>3.5</w:t>
      </w:r>
      <w:bookmarkEnd w:id="248"/>
      <w:r>
        <w:rPr>
          <w:rFonts w:hint="eastAsia" w:ascii="黑体" w:hAnsi="宋体"/>
          <w:color w:val="auto"/>
          <w:sz w:val="24"/>
          <w:highlight w:val="none"/>
        </w:rPr>
        <w:t xml:space="preserve"> </w:t>
      </w:r>
      <w:r>
        <w:rPr>
          <w:rFonts w:hint="eastAsia" w:ascii="黑体" w:hAnsi="宋体"/>
          <w:b w:val="0"/>
          <w:color w:val="auto"/>
          <w:sz w:val="24"/>
          <w:highlight w:val="none"/>
        </w:rPr>
        <w:t xml:space="preserve"> </w:t>
      </w:r>
      <w:bookmarkEnd w:id="249"/>
      <w:bookmarkEnd w:id="250"/>
      <w:bookmarkEnd w:id="251"/>
      <w:bookmarkEnd w:id="252"/>
      <w:bookmarkStart w:id="257" w:name="_Toc341805123"/>
      <w:bookmarkStart w:id="258" w:name="_Toc356567803"/>
      <w:r>
        <w:rPr>
          <w:rFonts w:hint="eastAsia" w:ascii="黑体" w:hAnsi="宋体"/>
          <w:b w:val="0"/>
          <w:color w:val="auto"/>
          <w:sz w:val="24"/>
          <w:szCs w:val="24"/>
          <w:highlight w:val="none"/>
        </w:rPr>
        <w:t>资格审查资料</w:t>
      </w:r>
      <w:bookmarkEnd w:id="253"/>
      <w:bookmarkEnd w:id="254"/>
      <w:bookmarkEnd w:id="255"/>
      <w:bookmarkEnd w:id="256"/>
      <w:bookmarkEnd w:id="257"/>
      <w:bookmarkEnd w:id="258"/>
    </w:p>
    <w:p w14:paraId="2B22E48A">
      <w:pPr>
        <w:adjustRightInd w:val="0"/>
        <w:snapToGrid w:val="0"/>
        <w:spacing w:beforeLines="0" w:line="360" w:lineRule="auto"/>
        <w:ind w:firstLine="480" w:firstLineChars="200"/>
        <w:rPr>
          <w:color w:val="auto"/>
          <w:sz w:val="24"/>
          <w:highlight w:val="none"/>
        </w:rPr>
      </w:pPr>
      <w:r>
        <w:rPr>
          <w:rFonts w:hint="eastAsia"/>
          <w:color w:val="auto"/>
          <w:sz w:val="24"/>
          <w:highlight w:val="none"/>
        </w:rPr>
        <w:t>3.5.1  “投标人基本情况表”应附投标人公司简介、企业法人营业执照副本及其年检合格证的证明材料、监理资质证书副本等相关资料的复印件并加盖公章。</w:t>
      </w:r>
    </w:p>
    <w:p w14:paraId="0671664C">
      <w:pPr>
        <w:adjustRightInd w:val="0"/>
        <w:snapToGrid w:val="0"/>
        <w:spacing w:beforeLines="0" w:line="360" w:lineRule="auto"/>
        <w:ind w:firstLine="480" w:firstLineChars="200"/>
        <w:rPr>
          <w:color w:val="auto"/>
          <w:sz w:val="24"/>
          <w:highlight w:val="none"/>
        </w:rPr>
      </w:pPr>
      <w:r>
        <w:rPr>
          <w:rFonts w:hint="eastAsia"/>
          <w:color w:val="auto"/>
          <w:sz w:val="24"/>
          <w:highlight w:val="none"/>
        </w:rPr>
        <w:t>3.5.2  “投标人近年财务状况表”无需提交。</w:t>
      </w:r>
    </w:p>
    <w:p w14:paraId="3EFDFCAF">
      <w:pPr>
        <w:adjustRightInd w:val="0"/>
        <w:snapToGrid w:val="0"/>
        <w:spacing w:beforeLines="0" w:line="360" w:lineRule="auto"/>
        <w:ind w:firstLine="480" w:firstLineChars="200"/>
        <w:rPr>
          <w:color w:val="auto"/>
          <w:sz w:val="24"/>
          <w:highlight w:val="none"/>
        </w:rPr>
      </w:pPr>
      <w:r>
        <w:rPr>
          <w:rFonts w:hint="eastAsia"/>
          <w:color w:val="auto"/>
          <w:sz w:val="24"/>
          <w:highlight w:val="none"/>
        </w:rPr>
        <w:t>3.5.3  “投标人近年已完工的工程一览表”应附在交通运输部“全国水运建设市场信用信息管理系统”（https://wtis.mot.gov.cn/credit/index.html）中查询到的企业“业绩信息”相关项目网页截图扫描件，或附在“福建省交通公路水运建设与运输市场信用信息管理系统（信用交通·福建）”（http://220.160.53.3:30050/gzwz/）中查询到的网页截图（并注明查询路径）；并提供①合同文件扫描件，②交(竣)工验收证书或交工验收表或竣工验收现场核查报告</w:t>
      </w:r>
      <w:r>
        <w:rPr>
          <w:rFonts w:hint="eastAsia"/>
          <w:color w:val="auto"/>
          <w:sz w:val="24"/>
          <w:highlight w:val="none"/>
          <w:lang w:val="en-US" w:eastAsia="zh-CN"/>
        </w:rPr>
        <w:t>扫描件，③工程交工</w:t>
      </w:r>
      <w:r>
        <w:rPr>
          <w:rFonts w:hint="eastAsia" w:ascii="Calibri" w:hAnsi="Calibri" w:cs="Times New Roman"/>
          <w:bCs w:val="0"/>
          <w:color w:val="auto"/>
          <w:sz w:val="24"/>
          <w:szCs w:val="24"/>
          <w:highlight w:val="none"/>
          <w:lang w:val="en-US" w:eastAsia="zh-CN"/>
        </w:rPr>
        <w:t>质量核验意见</w:t>
      </w:r>
      <w:r>
        <w:rPr>
          <w:rFonts w:hint="eastAsia" w:cs="Times New Roman"/>
          <w:bCs w:val="0"/>
          <w:color w:val="auto"/>
          <w:sz w:val="24"/>
          <w:szCs w:val="24"/>
          <w:highlight w:val="none"/>
          <w:lang w:val="en-US" w:eastAsia="zh-CN"/>
        </w:rPr>
        <w:t>或工程</w:t>
      </w:r>
      <w:r>
        <w:rPr>
          <w:rFonts w:hint="eastAsia"/>
          <w:color w:val="auto"/>
          <w:sz w:val="24"/>
          <w:highlight w:val="none"/>
        </w:rPr>
        <w:t>质量鉴定</w:t>
      </w:r>
      <w:r>
        <w:rPr>
          <w:rFonts w:hint="eastAsia"/>
          <w:color w:val="auto"/>
          <w:sz w:val="24"/>
          <w:highlight w:val="none"/>
          <w:lang w:val="en-US" w:eastAsia="zh-CN"/>
        </w:rPr>
        <w:t>报告</w:t>
      </w:r>
      <w:r>
        <w:rPr>
          <w:rFonts w:hint="eastAsia"/>
          <w:color w:val="auto"/>
          <w:sz w:val="24"/>
          <w:highlight w:val="none"/>
        </w:rPr>
        <w:t>扫描件。航道工程还需提供单独立项的</w:t>
      </w:r>
      <w:r>
        <w:rPr>
          <w:rFonts w:hint="eastAsia"/>
          <w:color w:val="auto"/>
          <w:sz w:val="24"/>
          <w:highlight w:val="none"/>
          <w:lang w:val="en-US" w:eastAsia="zh-CN"/>
        </w:rPr>
        <w:t>工可</w:t>
      </w:r>
      <w:r>
        <w:rPr>
          <w:rFonts w:hint="eastAsia"/>
          <w:color w:val="auto"/>
          <w:sz w:val="24"/>
          <w:highlight w:val="none"/>
        </w:rPr>
        <w:t>批复文件扫描件。具体年份要求见投标人须知前附表。每张表格只填写一个项目，并标明序号。</w:t>
      </w:r>
    </w:p>
    <w:p w14:paraId="486DA919">
      <w:pPr>
        <w:adjustRightInd w:val="0"/>
        <w:snapToGrid w:val="0"/>
        <w:spacing w:beforeLines="0" w:line="360" w:lineRule="auto"/>
        <w:ind w:firstLine="480" w:firstLineChars="200"/>
        <w:rPr>
          <w:rFonts w:hint="eastAsia"/>
          <w:color w:val="auto"/>
          <w:sz w:val="24"/>
          <w:highlight w:val="none"/>
        </w:rPr>
      </w:pPr>
      <w:r>
        <w:rPr>
          <w:rFonts w:hint="eastAsia"/>
          <w:color w:val="auto"/>
          <w:sz w:val="24"/>
          <w:highlight w:val="none"/>
        </w:rPr>
        <w:t>3.5.4  “投标人近年发生的诉讼及仲裁情况一览表”应说明相关情况，并附法院或仲裁机构作出的判决、裁决等有关法律文书扫描件，具体年份要求见投标人须知前附表。</w:t>
      </w:r>
    </w:p>
    <w:p w14:paraId="33CE7BD1">
      <w:pPr>
        <w:adjustRightInd w:val="0"/>
        <w:snapToGrid w:val="0"/>
        <w:spacing w:beforeLines="0" w:line="360" w:lineRule="auto"/>
        <w:ind w:firstLine="480" w:firstLineChars="200"/>
        <w:rPr>
          <w:rFonts w:hint="eastAsia" w:eastAsia="宋体" w:cs="Times New Roman"/>
          <w:color w:val="auto"/>
          <w:sz w:val="24"/>
          <w:highlight w:val="none"/>
        </w:rPr>
      </w:pPr>
      <w:r>
        <w:rPr>
          <w:rFonts w:hint="eastAsia" w:ascii="Calibri" w:hAnsi="Calibri" w:eastAsia="宋体" w:cs="Times New Roman"/>
          <w:color w:val="auto"/>
          <w:sz w:val="24"/>
          <w:szCs w:val="24"/>
          <w:highlight w:val="none"/>
        </w:rPr>
        <w:t xml:space="preserve">3.5.5 </w:t>
      </w:r>
      <w:r>
        <w:rPr>
          <w:rFonts w:hint="eastAsia" w:ascii="Calibri" w:hAnsi="Calibri" w:eastAsia="宋体" w:cs="Times New Roman"/>
          <w:color w:val="auto"/>
          <w:sz w:val="24"/>
          <w:szCs w:val="24"/>
          <w:highlight w:val="none"/>
          <w:shd w:val="clear"/>
        </w:rPr>
        <w:t>“投标人的信誉情况</w:t>
      </w:r>
      <w:r>
        <w:rPr>
          <w:rFonts w:hint="eastAsia" w:ascii="Calibri" w:hAnsi="Calibri" w:eastAsia="宋体" w:cs="Times New Roman"/>
          <w:color w:val="auto"/>
          <w:sz w:val="24"/>
          <w:szCs w:val="24"/>
          <w:highlight w:val="none"/>
          <w:shd w:val="clear"/>
          <w:lang w:val="en-US" w:eastAsia="zh-CN"/>
        </w:rPr>
        <w:t>表</w:t>
      </w:r>
      <w:r>
        <w:rPr>
          <w:rFonts w:hint="eastAsia" w:ascii="Calibri" w:hAnsi="Calibri" w:eastAsia="宋体" w:cs="Times New Roman"/>
          <w:color w:val="auto"/>
          <w:sz w:val="24"/>
          <w:szCs w:val="24"/>
          <w:highlight w:val="none"/>
          <w:shd w:val="clear"/>
        </w:rPr>
        <w:t>”</w:t>
      </w:r>
      <w:r>
        <w:rPr>
          <w:rFonts w:hint="eastAsia" w:ascii="Calibri" w:hAnsi="Calibri" w:eastAsia="宋体" w:cs="Times New Roman"/>
          <w:color w:val="auto"/>
          <w:sz w:val="24"/>
          <w:szCs w:val="24"/>
          <w:highlight w:val="none"/>
          <w:shd w:val="clear"/>
          <w:lang w:val="en-US" w:eastAsia="zh-CN"/>
        </w:rPr>
        <w:t>应附投标人在</w:t>
      </w:r>
      <w:r>
        <w:rPr>
          <w:rFonts w:hint="eastAsia" w:ascii="Calibri" w:hAnsi="Calibri" w:eastAsia="宋体" w:cs="Times New Roman"/>
          <w:color w:val="auto"/>
          <w:sz w:val="24"/>
          <w:szCs w:val="24"/>
          <w:highlight w:val="none"/>
        </w:rPr>
        <w:t>国家企业信用信息公示系统（http://www.gsxt.gov.cn/）中</w:t>
      </w:r>
      <w:r>
        <w:rPr>
          <w:rFonts w:hint="eastAsia" w:ascii="Calibri" w:hAnsi="Calibri" w:eastAsia="宋体" w:cs="Times New Roman"/>
          <w:color w:val="auto"/>
          <w:sz w:val="24"/>
          <w:szCs w:val="24"/>
          <w:highlight w:val="none"/>
          <w:lang w:val="en-US" w:eastAsia="zh-CN"/>
        </w:rPr>
        <w:t>未</w:t>
      </w:r>
      <w:r>
        <w:rPr>
          <w:rFonts w:hint="eastAsia" w:ascii="Calibri" w:hAnsi="Calibri" w:eastAsia="宋体" w:cs="Times New Roman"/>
          <w:color w:val="auto"/>
          <w:sz w:val="24"/>
          <w:szCs w:val="24"/>
          <w:highlight w:val="none"/>
        </w:rPr>
        <w:t>被列入严重违法失信企业名单</w:t>
      </w:r>
      <w:r>
        <w:rPr>
          <w:rFonts w:hint="eastAsia" w:ascii="Calibri" w:hAnsi="Calibri" w:eastAsia="宋体" w:cs="Times New Roman"/>
          <w:color w:val="auto"/>
          <w:sz w:val="24"/>
          <w:szCs w:val="24"/>
          <w:highlight w:val="none"/>
          <w:lang w:val="en-US" w:eastAsia="zh-CN"/>
        </w:rPr>
        <w:t>的网页截图、</w:t>
      </w:r>
      <w:r>
        <w:rPr>
          <w:rFonts w:hint="eastAsia" w:ascii="Calibri" w:hAnsi="Calibri" w:eastAsia="宋体" w:cs="Times New Roman"/>
          <w:color w:val="auto"/>
          <w:sz w:val="24"/>
          <w:szCs w:val="24"/>
          <w:highlight w:val="none"/>
        </w:rPr>
        <w:t>在“信用中国”网站（http://www.creditchina.gov.cn/）</w:t>
      </w:r>
      <w:r>
        <w:rPr>
          <w:rFonts w:hint="eastAsia" w:ascii="Calibri" w:hAnsi="Calibri" w:eastAsia="宋体" w:cs="Times New Roman"/>
          <w:color w:val="auto"/>
          <w:sz w:val="24"/>
          <w:szCs w:val="24"/>
          <w:highlight w:val="none"/>
          <w:lang w:val="en-US" w:eastAsia="zh-CN"/>
        </w:rPr>
        <w:t>或</w:t>
      </w:r>
      <w:r>
        <w:rPr>
          <w:rFonts w:hint="eastAsia" w:ascii="Calibri" w:hAnsi="Calibri" w:eastAsia="宋体" w:cs="Times New Roman"/>
          <w:color w:val="auto"/>
          <w:sz w:val="24"/>
          <w:szCs w:val="24"/>
          <w:highlight w:val="none"/>
        </w:rPr>
        <w:t>“中国执行信息公开网”网站（http://zxgk.court.gov.cn/shixin/）中</w:t>
      </w:r>
      <w:r>
        <w:rPr>
          <w:rFonts w:hint="eastAsia" w:ascii="Calibri" w:hAnsi="Calibri" w:eastAsia="宋体" w:cs="Times New Roman"/>
          <w:color w:val="auto"/>
          <w:sz w:val="24"/>
          <w:szCs w:val="24"/>
          <w:highlight w:val="none"/>
          <w:lang w:val="en-US" w:eastAsia="zh-CN"/>
        </w:rPr>
        <w:t>未</w:t>
      </w:r>
      <w:r>
        <w:rPr>
          <w:rFonts w:hint="eastAsia" w:ascii="Calibri" w:hAnsi="Calibri" w:eastAsia="宋体" w:cs="Times New Roman"/>
          <w:color w:val="auto"/>
          <w:sz w:val="24"/>
          <w:szCs w:val="24"/>
          <w:highlight w:val="none"/>
        </w:rPr>
        <w:t>被列入失信被执行人名单</w:t>
      </w:r>
      <w:r>
        <w:rPr>
          <w:rFonts w:hint="eastAsia" w:ascii="Calibri" w:hAnsi="Calibri" w:eastAsia="宋体" w:cs="Times New Roman"/>
          <w:color w:val="auto"/>
          <w:sz w:val="24"/>
          <w:szCs w:val="24"/>
          <w:highlight w:val="none"/>
          <w:lang w:val="en-US" w:eastAsia="zh-CN"/>
        </w:rPr>
        <w:t>的网页截图，以及投标人提交的</w:t>
      </w:r>
      <w:r>
        <w:rPr>
          <w:rFonts w:hint="eastAsia" w:ascii="Calibri" w:hAnsi="Calibri" w:eastAsia="宋体" w:cs="Times New Roman"/>
          <w:color w:val="auto"/>
          <w:sz w:val="24"/>
          <w:szCs w:val="24"/>
          <w:highlight w:val="none"/>
        </w:rPr>
        <w:t>“无</w:t>
      </w:r>
      <w:r>
        <w:rPr>
          <w:rFonts w:hint="eastAsia" w:cs="Times New Roman"/>
          <w:color w:val="auto"/>
          <w:sz w:val="24"/>
          <w:szCs w:val="24"/>
          <w:highlight w:val="none"/>
          <w:lang w:val="en-US" w:eastAsia="zh-CN"/>
        </w:rPr>
        <w:t>行</w:t>
      </w:r>
      <w:r>
        <w:rPr>
          <w:rFonts w:hint="eastAsia" w:ascii="Calibri" w:hAnsi="Calibri" w:eastAsia="宋体" w:cs="Times New Roman"/>
          <w:color w:val="auto"/>
          <w:sz w:val="24"/>
          <w:szCs w:val="24"/>
          <w:highlight w:val="none"/>
        </w:rPr>
        <w:t>贿犯罪记录承诺书”</w:t>
      </w:r>
      <w:r>
        <w:rPr>
          <w:rFonts w:hint="eastAsia" w:ascii="Calibri" w:hAnsi="Calibri" w:eastAsia="宋体" w:cs="Times New Roman"/>
          <w:color w:val="auto"/>
          <w:sz w:val="24"/>
          <w:szCs w:val="24"/>
          <w:highlight w:val="none"/>
          <w:lang w:eastAsia="zh-CN"/>
        </w:rPr>
        <w:t>。</w:t>
      </w:r>
    </w:p>
    <w:p w14:paraId="2E33B92F">
      <w:pPr>
        <w:adjustRightInd w:val="0"/>
        <w:snapToGrid w:val="0"/>
        <w:spacing w:beforeLines="0" w:line="360" w:lineRule="auto"/>
        <w:ind w:firstLine="480" w:firstLineChars="200"/>
        <w:rPr>
          <w:color w:val="auto"/>
          <w:sz w:val="24"/>
          <w:highlight w:val="none"/>
        </w:rPr>
      </w:pPr>
      <w:r>
        <w:rPr>
          <w:rFonts w:hint="eastAsia"/>
          <w:color w:val="auto"/>
          <w:sz w:val="24"/>
          <w:highlight w:val="none"/>
        </w:rPr>
        <w:t>3.5.</w:t>
      </w:r>
      <w:r>
        <w:rPr>
          <w:rFonts w:hint="eastAsia"/>
          <w:color w:val="auto"/>
          <w:sz w:val="24"/>
          <w:highlight w:val="none"/>
          <w:lang w:val="en-US" w:eastAsia="zh-CN"/>
        </w:rPr>
        <w:t>6</w:t>
      </w:r>
      <w:r>
        <w:rPr>
          <w:rFonts w:hint="eastAsia"/>
          <w:color w:val="auto"/>
          <w:sz w:val="24"/>
          <w:highlight w:val="none"/>
        </w:rPr>
        <w:t xml:space="preserve">  投标人须知前附表规定接受联合体投标的，本章第3.5.1款至第3.5.</w:t>
      </w:r>
      <w:r>
        <w:rPr>
          <w:rFonts w:hint="eastAsia"/>
          <w:color w:val="auto"/>
          <w:sz w:val="24"/>
          <w:highlight w:val="none"/>
          <w:lang w:val="en-US" w:eastAsia="zh-CN"/>
        </w:rPr>
        <w:t>5</w:t>
      </w:r>
      <w:r>
        <w:rPr>
          <w:rFonts w:hint="eastAsia"/>
          <w:color w:val="auto"/>
          <w:sz w:val="24"/>
          <w:highlight w:val="none"/>
        </w:rPr>
        <w:t>款规定的表格和资料应包括联合体各方相关情况。</w:t>
      </w:r>
    </w:p>
    <w:p w14:paraId="0433986A">
      <w:pPr>
        <w:pStyle w:val="5"/>
        <w:adjustRightInd w:val="0"/>
        <w:snapToGrid w:val="0"/>
        <w:spacing w:before="0" w:beforeLines="0" w:after="0" w:line="360" w:lineRule="auto"/>
        <w:ind w:firstLine="482" w:firstLineChars="200"/>
        <w:rPr>
          <w:rFonts w:ascii="黑体" w:hAnsi="宋体"/>
          <w:b w:val="0"/>
          <w:color w:val="auto"/>
          <w:sz w:val="24"/>
          <w:szCs w:val="24"/>
          <w:highlight w:val="none"/>
        </w:rPr>
      </w:pPr>
      <w:bookmarkStart w:id="259" w:name="_Toc487619451"/>
      <w:bookmarkStart w:id="260" w:name="_Toc356567804"/>
      <w:bookmarkStart w:id="261" w:name="_Toc341805124"/>
      <w:bookmarkStart w:id="262" w:name="_Toc144974522"/>
      <w:bookmarkStart w:id="263" w:name="_Toc152042330"/>
      <w:bookmarkStart w:id="264" w:name="_Toc487291480"/>
      <w:bookmarkStart w:id="265" w:name="_Toc487653369"/>
      <w:bookmarkStart w:id="266" w:name="_Toc488650801"/>
      <w:bookmarkStart w:id="267" w:name="_Toc152045554"/>
      <w:r>
        <w:rPr>
          <w:rFonts w:hint="eastAsia" w:ascii="黑体" w:hAnsi="宋体"/>
          <w:color w:val="auto"/>
          <w:sz w:val="24"/>
          <w:szCs w:val="24"/>
          <w:highlight w:val="none"/>
        </w:rPr>
        <w:t xml:space="preserve">3.6 </w:t>
      </w:r>
      <w:r>
        <w:rPr>
          <w:rFonts w:hint="eastAsia" w:ascii="黑体" w:hAnsi="宋体"/>
          <w:b w:val="0"/>
          <w:color w:val="auto"/>
          <w:sz w:val="24"/>
          <w:szCs w:val="24"/>
          <w:highlight w:val="none"/>
        </w:rPr>
        <w:t xml:space="preserve"> 投标文件的编制</w:t>
      </w:r>
      <w:bookmarkEnd w:id="259"/>
      <w:bookmarkEnd w:id="260"/>
      <w:bookmarkEnd w:id="261"/>
      <w:bookmarkEnd w:id="262"/>
      <w:bookmarkEnd w:id="263"/>
      <w:bookmarkEnd w:id="264"/>
      <w:bookmarkEnd w:id="265"/>
      <w:bookmarkEnd w:id="266"/>
      <w:bookmarkEnd w:id="267"/>
    </w:p>
    <w:p w14:paraId="391C4CBB">
      <w:pPr>
        <w:adjustRightInd w:val="0"/>
        <w:snapToGrid w:val="0"/>
        <w:spacing w:beforeLines="0" w:line="360" w:lineRule="auto"/>
        <w:ind w:firstLine="480" w:firstLineChars="200"/>
        <w:rPr>
          <w:color w:val="auto"/>
          <w:sz w:val="24"/>
          <w:highlight w:val="none"/>
        </w:rPr>
      </w:pPr>
      <w:r>
        <w:rPr>
          <w:rFonts w:hint="eastAsia"/>
          <w:color w:val="auto"/>
          <w:sz w:val="24"/>
          <w:highlight w:val="none"/>
        </w:rPr>
        <w:t xml:space="preserve">3.6.1  </w:t>
      </w:r>
      <w:r>
        <w:rPr>
          <w:rFonts w:hint="eastAsia" w:ascii="宋体" w:hAnsi="宋体"/>
          <w:color w:val="auto"/>
          <w:sz w:val="24"/>
          <w:highlight w:val="none"/>
        </w:rPr>
        <w:t>投标文件应使用电子交易平台提供的投标文件制作软件，</w:t>
      </w:r>
      <w:r>
        <w:rPr>
          <w:rFonts w:hint="eastAsia"/>
          <w:color w:val="auto"/>
          <w:sz w:val="24"/>
          <w:highlight w:val="none"/>
        </w:rPr>
        <w:t>应按第九章“投标文件格式”进行编制，如有必要，可以增加附页，作为投标文件的组成部分。</w:t>
      </w:r>
    </w:p>
    <w:p w14:paraId="5B2084AF">
      <w:pPr>
        <w:adjustRightInd w:val="0"/>
        <w:snapToGrid w:val="0"/>
        <w:spacing w:beforeLines="0" w:line="360" w:lineRule="auto"/>
        <w:ind w:firstLine="480" w:firstLineChars="200"/>
        <w:rPr>
          <w:color w:val="auto"/>
          <w:sz w:val="24"/>
          <w:highlight w:val="none"/>
        </w:rPr>
      </w:pPr>
      <w:r>
        <w:rPr>
          <w:rFonts w:hint="eastAsia"/>
          <w:color w:val="auto"/>
          <w:sz w:val="24"/>
          <w:highlight w:val="none"/>
        </w:rPr>
        <w:t>3.6.2  投标文件应当对招标文件有关监理服务期、投标有效期、适用的技术标准、监理服务阶段、监理工作范围、招标范围等实质性内容作出响应。</w:t>
      </w:r>
    </w:p>
    <w:p w14:paraId="38B4A95E">
      <w:pPr>
        <w:adjustRightInd w:val="0"/>
        <w:snapToGrid w:val="0"/>
        <w:spacing w:beforeLines="0" w:line="360" w:lineRule="auto"/>
        <w:ind w:firstLine="480" w:firstLineChars="200"/>
        <w:rPr>
          <w:rFonts w:ascii="宋体" w:hAnsi="宋体"/>
          <w:color w:val="auto"/>
          <w:sz w:val="24"/>
          <w:highlight w:val="none"/>
        </w:rPr>
      </w:pPr>
      <w:bookmarkStart w:id="268" w:name="_Toc487291481"/>
      <w:bookmarkStart w:id="269" w:name="_Toc487619452"/>
      <w:bookmarkStart w:id="270" w:name="_Toc487653370"/>
      <w:r>
        <w:rPr>
          <w:rFonts w:hint="eastAsia" w:ascii="宋体" w:hAnsi="宋体"/>
          <w:color w:val="auto"/>
          <w:sz w:val="24"/>
          <w:highlight w:val="none"/>
        </w:rPr>
        <w:t>电子交易平台为投标人提供在线或离线编辑和制作投标文件的功能，主要包括文件的导入、文件内容编辑、工程量清单报价（如有要求）导入、版式文件转换、电子签章、文件生成、校验以及加密等功能。具体的电子投标文件制作软件的使用说明详见该电子交易平台上的相关说明或电话咨询电子交易平台。</w:t>
      </w:r>
    </w:p>
    <w:bookmarkEnd w:id="268"/>
    <w:bookmarkEnd w:id="269"/>
    <w:bookmarkEnd w:id="270"/>
    <w:p w14:paraId="7D6CE33E">
      <w:pPr>
        <w:pStyle w:val="5"/>
        <w:adjustRightInd w:val="0"/>
        <w:snapToGrid w:val="0"/>
        <w:spacing w:before="0" w:beforeLines="0" w:after="0" w:line="360" w:lineRule="auto"/>
        <w:ind w:firstLine="482" w:firstLineChars="200"/>
        <w:rPr>
          <w:color w:val="auto"/>
          <w:sz w:val="24"/>
          <w:szCs w:val="24"/>
          <w:highlight w:val="none"/>
        </w:rPr>
      </w:pPr>
      <w:bookmarkStart w:id="271" w:name="_Toc488650802"/>
      <w:bookmarkStart w:id="272" w:name="_Toc341805125"/>
      <w:bookmarkStart w:id="273" w:name="_Toc283559193"/>
      <w:bookmarkStart w:id="274" w:name="_Toc152042331"/>
      <w:bookmarkStart w:id="275" w:name="_Toc307991152"/>
      <w:bookmarkStart w:id="276" w:name="_Toc330384400"/>
      <w:bookmarkStart w:id="277" w:name="_Toc487291482"/>
      <w:bookmarkStart w:id="278" w:name="_Toc283558696"/>
      <w:bookmarkStart w:id="279" w:name="_Toc152045555"/>
      <w:bookmarkStart w:id="280" w:name="_Toc286759035"/>
      <w:bookmarkStart w:id="281" w:name="_Toc144974523"/>
      <w:r>
        <w:rPr>
          <w:color w:val="auto"/>
          <w:sz w:val="24"/>
          <w:szCs w:val="24"/>
          <w:highlight w:val="none"/>
        </w:rPr>
        <w:t>4</w:t>
      </w:r>
      <w:r>
        <w:rPr>
          <w:rFonts w:hint="eastAsia"/>
          <w:color w:val="auto"/>
          <w:sz w:val="24"/>
          <w:szCs w:val="24"/>
          <w:highlight w:val="none"/>
        </w:rPr>
        <w:t>．投标</w:t>
      </w:r>
      <w:bookmarkEnd w:id="271"/>
      <w:bookmarkEnd w:id="272"/>
      <w:bookmarkEnd w:id="273"/>
      <w:bookmarkEnd w:id="274"/>
      <w:bookmarkEnd w:id="275"/>
      <w:bookmarkEnd w:id="276"/>
      <w:bookmarkEnd w:id="277"/>
      <w:bookmarkEnd w:id="278"/>
      <w:bookmarkEnd w:id="279"/>
      <w:bookmarkEnd w:id="280"/>
      <w:bookmarkEnd w:id="281"/>
    </w:p>
    <w:p w14:paraId="20DCE27C">
      <w:pPr>
        <w:pStyle w:val="5"/>
        <w:adjustRightInd w:val="0"/>
        <w:snapToGrid w:val="0"/>
        <w:spacing w:before="0" w:beforeLines="0" w:after="0" w:line="360" w:lineRule="auto"/>
        <w:ind w:firstLine="482" w:firstLineChars="200"/>
        <w:rPr>
          <w:rFonts w:ascii="黑体" w:hAnsi="宋体"/>
          <w:b w:val="0"/>
          <w:color w:val="auto"/>
          <w:sz w:val="24"/>
          <w:szCs w:val="24"/>
          <w:highlight w:val="none"/>
        </w:rPr>
      </w:pPr>
      <w:bookmarkStart w:id="282" w:name="_Toc487619454"/>
      <w:bookmarkStart w:id="283" w:name="_Toc152045557"/>
      <w:bookmarkStart w:id="284" w:name="_Toc341805127"/>
      <w:bookmarkStart w:id="285" w:name="_Toc487291483"/>
      <w:bookmarkStart w:id="286" w:name="_Toc144974525"/>
      <w:bookmarkStart w:id="287" w:name="_Toc356567807"/>
      <w:bookmarkStart w:id="288" w:name="_Toc488650803"/>
      <w:bookmarkStart w:id="289" w:name="_Toc152042333"/>
      <w:bookmarkStart w:id="290" w:name="_Toc487653372"/>
      <w:r>
        <w:rPr>
          <w:rFonts w:hint="eastAsia" w:ascii="黑体" w:hAnsi="宋体"/>
          <w:color w:val="auto"/>
          <w:sz w:val="24"/>
          <w:szCs w:val="24"/>
          <w:highlight w:val="none"/>
        </w:rPr>
        <w:t>4.1</w:t>
      </w:r>
      <w:r>
        <w:rPr>
          <w:rFonts w:hint="eastAsia" w:ascii="黑体" w:hAnsi="宋体"/>
          <w:b w:val="0"/>
          <w:color w:val="auto"/>
          <w:sz w:val="24"/>
          <w:szCs w:val="24"/>
          <w:highlight w:val="none"/>
        </w:rPr>
        <w:t xml:space="preserve">  投标文件的递交</w:t>
      </w:r>
      <w:bookmarkEnd w:id="282"/>
      <w:bookmarkEnd w:id="283"/>
      <w:bookmarkEnd w:id="284"/>
      <w:bookmarkEnd w:id="285"/>
      <w:bookmarkEnd w:id="286"/>
      <w:bookmarkEnd w:id="287"/>
      <w:bookmarkEnd w:id="288"/>
      <w:bookmarkEnd w:id="289"/>
      <w:bookmarkEnd w:id="290"/>
    </w:p>
    <w:p w14:paraId="568CB110">
      <w:pPr>
        <w:keepNext/>
        <w:keepLines/>
        <w:adjustRightInd w:val="0"/>
        <w:snapToGrid w:val="0"/>
        <w:spacing w:beforeLines="0" w:line="360" w:lineRule="auto"/>
        <w:ind w:firstLine="482" w:firstLineChars="200"/>
        <w:jc w:val="left"/>
        <w:outlineLvl w:val="2"/>
        <w:rPr>
          <w:rFonts w:ascii="黑体" w:hAnsi="宋体" w:eastAsia="黑体"/>
          <w:bCs/>
          <w:color w:val="auto"/>
          <w:sz w:val="24"/>
          <w:highlight w:val="none"/>
        </w:rPr>
      </w:pPr>
      <w:bookmarkStart w:id="291" w:name="_Toc80046864"/>
      <w:bookmarkStart w:id="292" w:name="_Toc488650804"/>
      <w:r>
        <w:rPr>
          <w:rFonts w:hint="eastAsia" w:ascii="黑体" w:hAnsi="宋体" w:eastAsia="黑体"/>
          <w:b/>
          <w:bCs/>
          <w:color w:val="auto"/>
          <w:sz w:val="24"/>
          <w:highlight w:val="none"/>
        </w:rPr>
        <w:t>4.1</w:t>
      </w:r>
      <w:r>
        <w:rPr>
          <w:rFonts w:hint="eastAsia" w:ascii="黑体" w:hAnsi="宋体" w:eastAsia="黑体"/>
          <w:bCs/>
          <w:color w:val="auto"/>
          <w:sz w:val="24"/>
          <w:highlight w:val="none"/>
        </w:rPr>
        <w:t xml:space="preserve">  投标文件的加密与递交</w:t>
      </w:r>
      <w:bookmarkEnd w:id="291"/>
    </w:p>
    <w:p w14:paraId="15F222F7">
      <w:pPr>
        <w:keepNext/>
        <w:keepLines/>
        <w:adjustRightInd w:val="0"/>
        <w:snapToGrid w:val="0"/>
        <w:spacing w:beforeLines="0" w:line="360" w:lineRule="auto"/>
        <w:ind w:firstLine="480" w:firstLineChars="200"/>
        <w:jc w:val="left"/>
        <w:outlineLvl w:val="2"/>
        <w:rPr>
          <w:rFonts w:ascii="宋体" w:hAnsi="宋体"/>
          <w:bCs/>
          <w:color w:val="auto"/>
          <w:sz w:val="24"/>
          <w:szCs w:val="32"/>
          <w:highlight w:val="none"/>
        </w:rPr>
      </w:pPr>
      <w:bookmarkStart w:id="293" w:name="_Toc2068972084"/>
      <w:r>
        <w:rPr>
          <w:rFonts w:hint="eastAsia" w:ascii="宋体" w:hAnsi="宋体"/>
          <w:bCs/>
          <w:color w:val="auto"/>
          <w:sz w:val="24"/>
          <w:szCs w:val="32"/>
          <w:highlight w:val="none"/>
        </w:rPr>
        <w:t>4.1.1投标人应</w:t>
      </w:r>
      <w:bookmarkEnd w:id="293"/>
      <w:bookmarkStart w:id="294" w:name="_Toc477779885"/>
      <w:r>
        <w:rPr>
          <w:rFonts w:hint="eastAsia" w:ascii="宋体" w:hAnsi="宋体"/>
          <w:bCs/>
          <w:color w:val="auto"/>
          <w:sz w:val="24"/>
          <w:szCs w:val="32"/>
          <w:highlight w:val="none"/>
        </w:rPr>
        <w:t>根据招标文件及交易平台的要求对投标文件进行电子签章并加密。投标人未按规定加密的投标文件，电子交易平台拒收并提示。</w:t>
      </w:r>
    </w:p>
    <w:p w14:paraId="1717BA82">
      <w:pPr>
        <w:keepNext/>
        <w:keepLines/>
        <w:adjustRightInd w:val="0"/>
        <w:snapToGrid w:val="0"/>
        <w:spacing w:beforeLines="0" w:line="360" w:lineRule="auto"/>
        <w:ind w:firstLine="480" w:firstLineChars="200"/>
        <w:jc w:val="left"/>
        <w:outlineLvl w:val="2"/>
        <w:rPr>
          <w:rFonts w:ascii="宋体" w:hAnsi="宋体"/>
          <w:bCs/>
          <w:color w:val="auto"/>
          <w:sz w:val="24"/>
          <w:szCs w:val="32"/>
          <w:highlight w:val="none"/>
        </w:rPr>
      </w:pPr>
      <w:r>
        <w:rPr>
          <w:rFonts w:hint="eastAsia" w:ascii="宋体" w:hAnsi="宋体"/>
          <w:bCs/>
          <w:color w:val="auto"/>
          <w:sz w:val="24"/>
          <w:szCs w:val="32"/>
          <w:highlight w:val="none"/>
        </w:rPr>
        <w:t>4.1.2投标人应在投标截止时间前通过电子交易平台在线递交投标文件。电子招标平台收到投标人送达的投标文件，应当即时向投标人发出确认投标成功。具体的电子投标文件递交操作流程及步骤详见该电子交易平台上的相关说明或电话咨询电子交易平台</w:t>
      </w:r>
      <w:bookmarkEnd w:id="294"/>
      <w:bookmarkStart w:id="295" w:name="_Toc820561375"/>
      <w:r>
        <w:rPr>
          <w:rFonts w:hint="eastAsia" w:ascii="宋体" w:hAnsi="宋体"/>
          <w:bCs/>
          <w:color w:val="auto"/>
          <w:sz w:val="24"/>
          <w:szCs w:val="32"/>
          <w:highlight w:val="none"/>
        </w:rPr>
        <w:t>。</w:t>
      </w:r>
    </w:p>
    <w:p w14:paraId="5CA8CEF9">
      <w:pPr>
        <w:pStyle w:val="5"/>
        <w:adjustRightInd w:val="0"/>
        <w:snapToGrid w:val="0"/>
        <w:spacing w:before="0" w:beforeLines="0" w:after="0" w:line="360" w:lineRule="auto"/>
        <w:ind w:firstLine="480" w:firstLineChars="200"/>
        <w:rPr>
          <w:rFonts w:ascii="宋体" w:hAnsi="宋体" w:eastAsia="宋体"/>
          <w:b w:val="0"/>
          <w:color w:val="auto"/>
          <w:sz w:val="24"/>
          <w:highlight w:val="none"/>
        </w:rPr>
      </w:pPr>
      <w:r>
        <w:rPr>
          <w:rFonts w:hint="eastAsia" w:ascii="宋体" w:hAnsi="宋体" w:eastAsia="宋体"/>
          <w:b w:val="0"/>
          <w:color w:val="auto"/>
          <w:sz w:val="24"/>
          <w:highlight w:val="none"/>
        </w:rPr>
        <w:t>4.1.3除投标人须知前附表另有规定外，投标人所递交的投标文件不予退还。</w:t>
      </w:r>
      <w:bookmarkEnd w:id="292"/>
      <w:bookmarkEnd w:id="295"/>
      <w:bookmarkStart w:id="296" w:name="_Toc487291484"/>
      <w:bookmarkStart w:id="297" w:name="_Toc152042334"/>
      <w:bookmarkStart w:id="298" w:name="_Toc356567808"/>
      <w:bookmarkStart w:id="299" w:name="_Toc341805128"/>
      <w:bookmarkStart w:id="300" w:name="_Toc487653373"/>
      <w:bookmarkStart w:id="301" w:name="_Toc487619455"/>
      <w:bookmarkStart w:id="302" w:name="_Toc144974526"/>
      <w:bookmarkStart w:id="303" w:name="_Toc152045558"/>
    </w:p>
    <w:p w14:paraId="4E7F5EC4">
      <w:pPr>
        <w:pStyle w:val="5"/>
        <w:adjustRightInd w:val="0"/>
        <w:snapToGrid w:val="0"/>
        <w:spacing w:before="0" w:beforeLines="0" w:after="0" w:line="360" w:lineRule="auto"/>
        <w:ind w:firstLine="482" w:firstLineChars="200"/>
        <w:rPr>
          <w:rFonts w:ascii="黑体" w:hAnsi="宋体"/>
          <w:b w:val="0"/>
          <w:color w:val="auto"/>
          <w:sz w:val="24"/>
          <w:szCs w:val="24"/>
          <w:highlight w:val="none"/>
        </w:rPr>
      </w:pPr>
      <w:bookmarkStart w:id="304" w:name="_Toc488650805"/>
      <w:r>
        <w:rPr>
          <w:rFonts w:hint="eastAsia" w:ascii="黑体" w:hAnsi="宋体"/>
          <w:color w:val="auto"/>
          <w:sz w:val="24"/>
          <w:szCs w:val="24"/>
          <w:highlight w:val="none"/>
        </w:rPr>
        <w:t xml:space="preserve">4.2 </w:t>
      </w:r>
      <w:r>
        <w:rPr>
          <w:rFonts w:hint="eastAsia" w:ascii="黑体" w:hAnsi="宋体"/>
          <w:b w:val="0"/>
          <w:color w:val="auto"/>
          <w:sz w:val="24"/>
          <w:szCs w:val="24"/>
          <w:highlight w:val="none"/>
        </w:rPr>
        <w:t xml:space="preserve"> 投标文件的修改与撤回</w:t>
      </w:r>
      <w:bookmarkEnd w:id="296"/>
      <w:bookmarkEnd w:id="297"/>
      <w:bookmarkEnd w:id="298"/>
      <w:bookmarkEnd w:id="299"/>
      <w:bookmarkEnd w:id="300"/>
      <w:bookmarkEnd w:id="301"/>
      <w:bookmarkEnd w:id="302"/>
      <w:bookmarkEnd w:id="303"/>
      <w:bookmarkEnd w:id="304"/>
    </w:p>
    <w:p w14:paraId="6CF7BB17">
      <w:pPr>
        <w:adjustRightInd w:val="0"/>
        <w:snapToGrid w:val="0"/>
        <w:spacing w:beforeLines="0" w:line="360" w:lineRule="auto"/>
        <w:ind w:firstLine="480" w:firstLineChars="200"/>
        <w:rPr>
          <w:rFonts w:ascii="宋体" w:hAnsi="宋体"/>
          <w:color w:val="auto"/>
          <w:sz w:val="24"/>
          <w:highlight w:val="none"/>
        </w:rPr>
      </w:pPr>
      <w:r>
        <w:rPr>
          <w:rFonts w:hint="eastAsia" w:ascii="宋体" w:hAnsi="宋体"/>
          <w:color w:val="auto"/>
          <w:sz w:val="24"/>
          <w:highlight w:val="none"/>
        </w:rPr>
        <w:t>在本章第</w:t>
      </w:r>
      <w:r>
        <w:rPr>
          <w:rFonts w:ascii="宋体" w:hAnsi="宋体"/>
          <w:color w:val="auto"/>
          <w:sz w:val="24"/>
          <w:highlight w:val="none"/>
        </w:rPr>
        <w:t xml:space="preserve">2.2.2 </w:t>
      </w:r>
      <w:r>
        <w:rPr>
          <w:rFonts w:hint="eastAsia" w:ascii="宋体" w:hAnsi="宋体"/>
          <w:color w:val="auto"/>
          <w:sz w:val="24"/>
          <w:highlight w:val="none"/>
        </w:rPr>
        <w:t>项规定的投标截止时间前，投标人可以</w:t>
      </w:r>
      <w:r>
        <w:rPr>
          <w:rFonts w:hint="eastAsia"/>
          <w:color w:val="auto"/>
          <w:sz w:val="24"/>
          <w:highlight w:val="none"/>
        </w:rPr>
        <w:t>使用本单位</w:t>
      </w:r>
      <w:r>
        <w:rPr>
          <w:color w:val="auto"/>
          <w:sz w:val="24"/>
          <w:highlight w:val="none"/>
        </w:rPr>
        <w:t>CA</w:t>
      </w:r>
      <w:r>
        <w:rPr>
          <w:rFonts w:hint="eastAsia"/>
          <w:color w:val="auto"/>
          <w:sz w:val="24"/>
          <w:highlight w:val="none"/>
        </w:rPr>
        <w:t>数字证书</w:t>
      </w:r>
      <w:r>
        <w:rPr>
          <w:rFonts w:hint="eastAsia" w:ascii="宋体" w:hAnsi="宋体"/>
          <w:color w:val="auto"/>
          <w:sz w:val="24"/>
          <w:highlight w:val="none"/>
        </w:rPr>
        <w:t>修改或撤回已递交的投标文件。</w:t>
      </w:r>
      <w:r>
        <w:rPr>
          <w:rFonts w:hint="eastAsia" w:ascii="方正大标宋简体" w:hAnsi="方正大标宋简体"/>
          <w:bCs/>
          <w:color w:val="auto"/>
          <w:sz w:val="24"/>
          <w:highlight w:val="none"/>
        </w:rPr>
        <w:t>除投标人补充、修改或者撤回投标文件外，任何单位和个人不得解密、提取投标文件。</w:t>
      </w:r>
    </w:p>
    <w:p w14:paraId="297F2BA0">
      <w:pPr>
        <w:pStyle w:val="5"/>
        <w:adjustRightInd w:val="0"/>
        <w:snapToGrid w:val="0"/>
        <w:spacing w:before="0" w:beforeLines="0" w:after="0" w:line="360" w:lineRule="auto"/>
        <w:ind w:firstLine="482" w:firstLineChars="200"/>
        <w:rPr>
          <w:rFonts w:ascii="黑体" w:hAnsi="宋体"/>
          <w:b w:val="0"/>
          <w:color w:val="auto"/>
          <w:sz w:val="24"/>
          <w:szCs w:val="24"/>
          <w:highlight w:val="none"/>
        </w:rPr>
      </w:pPr>
      <w:bookmarkStart w:id="305" w:name="_Toc488650806"/>
      <w:r>
        <w:rPr>
          <w:rFonts w:hint="eastAsia" w:ascii="黑体" w:hAnsi="宋体"/>
          <w:color w:val="auto"/>
          <w:sz w:val="24"/>
          <w:szCs w:val="24"/>
          <w:highlight w:val="none"/>
        </w:rPr>
        <w:t xml:space="preserve">4.3 </w:t>
      </w:r>
      <w:r>
        <w:rPr>
          <w:rFonts w:hint="eastAsia" w:ascii="黑体" w:hAnsi="宋体"/>
          <w:b w:val="0"/>
          <w:color w:val="auto"/>
          <w:sz w:val="24"/>
          <w:szCs w:val="24"/>
          <w:highlight w:val="none"/>
        </w:rPr>
        <w:t xml:space="preserve"> 投标文件的加密</w:t>
      </w:r>
      <w:bookmarkEnd w:id="305"/>
    </w:p>
    <w:p w14:paraId="6E6937BE">
      <w:pPr>
        <w:adjustRightInd w:val="0"/>
        <w:snapToGrid w:val="0"/>
        <w:spacing w:beforeLines="0" w:line="360" w:lineRule="auto"/>
        <w:ind w:firstLine="480" w:firstLineChars="200"/>
        <w:rPr>
          <w:rFonts w:ascii="宋体" w:hAnsi="宋体"/>
          <w:color w:val="auto"/>
          <w:sz w:val="24"/>
          <w:highlight w:val="none"/>
        </w:rPr>
      </w:pPr>
      <w:r>
        <w:rPr>
          <w:rFonts w:ascii="宋体" w:hAnsi="宋体"/>
          <w:color w:val="auto"/>
          <w:sz w:val="24"/>
          <w:highlight w:val="none"/>
        </w:rPr>
        <w:t>投标人应根据招标文件及交易平台的要求对投标文件进行电子签章并加密。投标人未按规定加密的投标文件，电子交易平台拒收并提示。</w:t>
      </w:r>
    </w:p>
    <w:p w14:paraId="18B32897">
      <w:pPr>
        <w:pStyle w:val="5"/>
        <w:adjustRightInd w:val="0"/>
        <w:snapToGrid w:val="0"/>
        <w:spacing w:before="0" w:beforeLines="0" w:after="0" w:line="360" w:lineRule="auto"/>
        <w:ind w:firstLine="482" w:firstLineChars="200"/>
        <w:rPr>
          <w:color w:val="auto"/>
          <w:sz w:val="24"/>
          <w:szCs w:val="24"/>
          <w:highlight w:val="none"/>
        </w:rPr>
      </w:pPr>
      <w:bookmarkStart w:id="306" w:name="_Toc283559194"/>
      <w:bookmarkStart w:id="307" w:name="_Toc152045559"/>
      <w:bookmarkStart w:id="308" w:name="_Toc488650807"/>
      <w:bookmarkStart w:id="309" w:name="_Toc307991153"/>
      <w:bookmarkStart w:id="310" w:name="_Toc283558697"/>
      <w:bookmarkStart w:id="311" w:name="_Toc152042335"/>
      <w:bookmarkStart w:id="312" w:name="_Toc341805129"/>
      <w:bookmarkStart w:id="313" w:name="_Toc286759036"/>
      <w:bookmarkStart w:id="314" w:name="_Toc330384401"/>
      <w:bookmarkStart w:id="315" w:name="_Toc144974527"/>
      <w:bookmarkStart w:id="316" w:name="_Toc487291485"/>
      <w:r>
        <w:rPr>
          <w:color w:val="auto"/>
          <w:sz w:val="24"/>
          <w:szCs w:val="24"/>
          <w:highlight w:val="none"/>
        </w:rPr>
        <w:t>5</w:t>
      </w:r>
      <w:r>
        <w:rPr>
          <w:rFonts w:hint="eastAsia"/>
          <w:color w:val="auto"/>
          <w:sz w:val="24"/>
          <w:szCs w:val="24"/>
          <w:highlight w:val="none"/>
        </w:rPr>
        <w:t>．开标</w:t>
      </w:r>
      <w:bookmarkEnd w:id="306"/>
      <w:bookmarkEnd w:id="307"/>
      <w:bookmarkEnd w:id="308"/>
      <w:bookmarkEnd w:id="309"/>
      <w:bookmarkEnd w:id="310"/>
      <w:bookmarkEnd w:id="311"/>
      <w:bookmarkEnd w:id="312"/>
      <w:bookmarkEnd w:id="313"/>
      <w:bookmarkEnd w:id="314"/>
      <w:bookmarkEnd w:id="315"/>
      <w:bookmarkEnd w:id="316"/>
    </w:p>
    <w:p w14:paraId="557CFE8B">
      <w:pPr>
        <w:pStyle w:val="5"/>
        <w:adjustRightInd w:val="0"/>
        <w:snapToGrid w:val="0"/>
        <w:spacing w:before="0" w:beforeLines="0" w:after="0" w:line="360" w:lineRule="auto"/>
        <w:ind w:firstLine="482" w:firstLineChars="200"/>
        <w:rPr>
          <w:rFonts w:ascii="黑体" w:hAnsi="宋体"/>
          <w:b w:val="0"/>
          <w:color w:val="auto"/>
          <w:sz w:val="24"/>
          <w:szCs w:val="24"/>
          <w:highlight w:val="none"/>
        </w:rPr>
      </w:pPr>
      <w:bookmarkStart w:id="317" w:name="_Toc144974528"/>
      <w:bookmarkStart w:id="318" w:name="_Toc152045560"/>
      <w:bookmarkStart w:id="319" w:name="_Toc152042336"/>
      <w:bookmarkStart w:id="320" w:name="_Toc356567810"/>
      <w:bookmarkStart w:id="321" w:name="_Toc341805130"/>
      <w:bookmarkStart w:id="322" w:name="_Toc488650808"/>
      <w:bookmarkStart w:id="323" w:name="_Toc487653375"/>
      <w:bookmarkStart w:id="324" w:name="_Toc487619457"/>
      <w:bookmarkStart w:id="325" w:name="_Toc487291486"/>
      <w:r>
        <w:rPr>
          <w:rFonts w:hint="eastAsia" w:ascii="黑体" w:hAnsi="宋体"/>
          <w:color w:val="auto"/>
          <w:sz w:val="24"/>
          <w:szCs w:val="24"/>
          <w:highlight w:val="none"/>
        </w:rPr>
        <w:t xml:space="preserve">5.1 </w:t>
      </w:r>
      <w:r>
        <w:rPr>
          <w:rFonts w:hint="eastAsia" w:ascii="黑体" w:hAnsi="宋体"/>
          <w:b w:val="0"/>
          <w:color w:val="auto"/>
          <w:sz w:val="24"/>
          <w:szCs w:val="24"/>
          <w:highlight w:val="none"/>
        </w:rPr>
        <w:t xml:space="preserve"> 开标</w:t>
      </w:r>
      <w:bookmarkEnd w:id="317"/>
      <w:bookmarkEnd w:id="318"/>
      <w:bookmarkEnd w:id="319"/>
      <w:r>
        <w:rPr>
          <w:rFonts w:hint="eastAsia" w:ascii="黑体" w:hAnsi="宋体"/>
          <w:b w:val="0"/>
          <w:color w:val="auto"/>
          <w:sz w:val="24"/>
          <w:szCs w:val="24"/>
          <w:highlight w:val="none"/>
        </w:rPr>
        <w:t>时间和地点</w:t>
      </w:r>
      <w:bookmarkEnd w:id="320"/>
      <w:bookmarkEnd w:id="321"/>
      <w:bookmarkEnd w:id="322"/>
      <w:bookmarkEnd w:id="323"/>
      <w:bookmarkEnd w:id="324"/>
      <w:bookmarkEnd w:id="325"/>
    </w:p>
    <w:p w14:paraId="5D2D1D9E">
      <w:pPr>
        <w:adjustRightInd w:val="0"/>
        <w:snapToGrid w:val="0"/>
        <w:spacing w:beforeLines="0" w:line="360" w:lineRule="auto"/>
        <w:ind w:firstLine="480" w:firstLineChars="200"/>
        <w:rPr>
          <w:rFonts w:ascii="宋体" w:hAnsi="宋体"/>
          <w:color w:val="auto"/>
          <w:sz w:val="24"/>
          <w:highlight w:val="none"/>
        </w:rPr>
      </w:pPr>
      <w:bookmarkStart w:id="326" w:name="_Toc144974529"/>
      <w:bookmarkStart w:id="327" w:name="_Toc152042337"/>
      <w:bookmarkStart w:id="328" w:name="_Toc152045561"/>
      <w:r>
        <w:rPr>
          <w:rFonts w:ascii="宋体" w:hAnsi="宋体"/>
          <w:color w:val="auto"/>
          <w:sz w:val="24"/>
          <w:highlight w:val="none"/>
        </w:rPr>
        <w:t>招标人按投标人须知前附表规定的时间（开标时间）在电子交易平台公开进行在线开标，所有投标人均应当准时在线参加开标。投标截止时间前，经建设单位研究确定后的定标方案应当加密后上传电子交易平台，未按照前述规定上传定标方案的，不得开标，招标人应该向招投标监督机构备案后重新确定开标时间。</w:t>
      </w:r>
      <w:bookmarkStart w:id="329" w:name="_Toc487619458"/>
      <w:bookmarkStart w:id="330" w:name="_Toc487653376"/>
      <w:bookmarkStart w:id="331" w:name="_Toc356567811"/>
      <w:bookmarkStart w:id="332" w:name="_Toc341805131"/>
      <w:bookmarkStart w:id="333" w:name="_Toc487291487"/>
      <w:bookmarkStart w:id="334" w:name="_Toc488650809"/>
    </w:p>
    <w:p w14:paraId="0CD9FB34">
      <w:pPr>
        <w:pStyle w:val="5"/>
        <w:adjustRightInd w:val="0"/>
        <w:snapToGrid w:val="0"/>
        <w:spacing w:before="0" w:beforeLines="0" w:after="0" w:line="360" w:lineRule="auto"/>
        <w:ind w:firstLine="482" w:firstLineChars="200"/>
        <w:rPr>
          <w:rFonts w:ascii="黑体" w:hAnsi="宋体"/>
          <w:b w:val="0"/>
          <w:color w:val="auto"/>
          <w:sz w:val="24"/>
          <w:szCs w:val="24"/>
          <w:highlight w:val="none"/>
        </w:rPr>
      </w:pPr>
      <w:r>
        <w:rPr>
          <w:rFonts w:hint="eastAsia" w:ascii="黑体" w:hAnsi="宋体"/>
          <w:color w:val="auto"/>
          <w:sz w:val="24"/>
          <w:szCs w:val="24"/>
          <w:highlight w:val="none"/>
        </w:rPr>
        <w:t xml:space="preserve">5.2 </w:t>
      </w:r>
      <w:r>
        <w:rPr>
          <w:rFonts w:hint="eastAsia" w:ascii="黑体" w:hAnsi="宋体"/>
          <w:b w:val="0"/>
          <w:color w:val="auto"/>
          <w:sz w:val="24"/>
          <w:szCs w:val="24"/>
          <w:highlight w:val="none"/>
        </w:rPr>
        <w:t xml:space="preserve"> 开标程序</w:t>
      </w:r>
      <w:bookmarkEnd w:id="326"/>
      <w:bookmarkEnd w:id="327"/>
      <w:bookmarkEnd w:id="328"/>
      <w:bookmarkEnd w:id="329"/>
      <w:bookmarkEnd w:id="330"/>
      <w:bookmarkEnd w:id="331"/>
      <w:bookmarkEnd w:id="332"/>
      <w:bookmarkEnd w:id="333"/>
      <w:bookmarkEnd w:id="334"/>
    </w:p>
    <w:p w14:paraId="660B9F83">
      <w:pPr>
        <w:adjustRightInd w:val="0"/>
        <w:snapToGrid w:val="0"/>
        <w:spacing w:beforeLines="0" w:line="360" w:lineRule="auto"/>
        <w:ind w:firstLine="480" w:firstLineChars="200"/>
        <w:rPr>
          <w:rFonts w:ascii="宋体" w:hAnsi="宋体"/>
          <w:color w:val="auto"/>
          <w:sz w:val="24"/>
          <w:highlight w:val="none"/>
        </w:rPr>
      </w:pPr>
      <w:r>
        <w:rPr>
          <w:rFonts w:hint="eastAsia" w:ascii="宋体" w:hAnsi="宋体"/>
          <w:color w:val="auto"/>
          <w:sz w:val="24"/>
          <w:highlight w:val="none"/>
        </w:rPr>
        <w:t>主持人按下列程序进行开标：</w:t>
      </w:r>
    </w:p>
    <w:p w14:paraId="741AE7F0">
      <w:pPr>
        <w:adjustRightInd w:val="0"/>
        <w:snapToGrid w:val="0"/>
        <w:spacing w:beforeLines="0" w:line="360" w:lineRule="auto"/>
        <w:ind w:firstLine="480" w:firstLineChars="200"/>
        <w:rPr>
          <w:rFonts w:ascii="宋体" w:hAnsi="宋体"/>
          <w:color w:val="auto"/>
          <w:sz w:val="24"/>
          <w:highlight w:val="none"/>
        </w:rPr>
      </w:pPr>
      <w:r>
        <w:rPr>
          <w:rFonts w:ascii="宋体" w:hAnsi="宋体"/>
          <w:color w:val="auto"/>
          <w:sz w:val="24"/>
          <w:highlight w:val="none"/>
        </w:rPr>
        <w:t>(l）宣布开标纪律；</w:t>
      </w:r>
    </w:p>
    <w:p w14:paraId="5E3E5858">
      <w:pPr>
        <w:adjustRightInd w:val="0"/>
        <w:snapToGrid w:val="0"/>
        <w:spacing w:beforeLines="0" w:line="360" w:lineRule="auto"/>
        <w:ind w:firstLine="480" w:firstLineChars="200"/>
        <w:rPr>
          <w:rFonts w:ascii="方正大标宋简体" w:hAnsi="方正大标宋简体"/>
          <w:color w:val="auto"/>
          <w:sz w:val="24"/>
          <w:highlight w:val="none"/>
        </w:rPr>
      </w:pPr>
      <w:r>
        <w:rPr>
          <w:rFonts w:ascii="宋体" w:hAnsi="宋体"/>
          <w:color w:val="auto"/>
          <w:sz w:val="24"/>
          <w:highlight w:val="none"/>
        </w:rPr>
        <w:t>(2）</w:t>
      </w:r>
      <w:r>
        <w:rPr>
          <w:rFonts w:hint="eastAsia" w:ascii="方正大标宋简体" w:hAnsi="方正大标宋简体"/>
          <w:color w:val="auto"/>
          <w:sz w:val="24"/>
          <w:highlight w:val="none"/>
        </w:rPr>
        <w:t>加密检查。开标时间一到，电子交易平台自动公开显示递交投标文件顺序号及对应的电子投标文件加密状态。</w:t>
      </w:r>
    </w:p>
    <w:p w14:paraId="5B7E519B">
      <w:pPr>
        <w:adjustRightInd w:val="0"/>
        <w:snapToGrid w:val="0"/>
        <w:spacing w:beforeLines="0" w:line="360" w:lineRule="auto"/>
        <w:ind w:firstLine="480" w:firstLineChars="200"/>
        <w:rPr>
          <w:rFonts w:ascii="宋体" w:hAnsi="宋体"/>
          <w:b/>
          <w:color w:val="auto"/>
          <w:sz w:val="24"/>
          <w:highlight w:val="none"/>
          <w:u w:val="single"/>
        </w:rPr>
      </w:pPr>
      <w:r>
        <w:rPr>
          <w:rFonts w:ascii="宋体" w:hAnsi="宋体"/>
          <w:color w:val="auto"/>
          <w:sz w:val="24"/>
          <w:highlight w:val="none"/>
        </w:rPr>
        <w:t>(3）</w:t>
      </w:r>
      <w:r>
        <w:rPr>
          <w:rFonts w:hint="eastAsia" w:ascii="方正大标宋简体" w:hAnsi="方正大标宋简体"/>
          <w:color w:val="auto"/>
          <w:sz w:val="24"/>
          <w:highlight w:val="none"/>
        </w:rPr>
        <w:t>电子投标文件解密，</w:t>
      </w:r>
      <w:r>
        <w:rPr>
          <w:rFonts w:hint="eastAsia" w:ascii="宋体" w:hAnsi="宋体"/>
          <w:color w:val="auto"/>
          <w:sz w:val="24"/>
          <w:highlight w:val="none"/>
        </w:rPr>
        <w:t>投标人应在线参加开标</w:t>
      </w:r>
      <w:r>
        <w:rPr>
          <w:rFonts w:hint="eastAsia" w:ascii="方正大标宋简体" w:hAnsi="方正大标宋简体"/>
          <w:color w:val="auto"/>
          <w:sz w:val="24"/>
          <w:highlight w:val="none"/>
        </w:rPr>
        <w:t>。开标时，电子交易平台自动提取所有投标文件，提示投标人在线开始解密。投标人应在开始解密时间（开标时间）起</w:t>
      </w:r>
      <w:r>
        <w:rPr>
          <w:rFonts w:ascii="方正大标宋简体" w:hAnsi="方正大标宋简体"/>
          <w:color w:val="auto"/>
          <w:sz w:val="24"/>
          <w:highlight w:val="none"/>
        </w:rPr>
        <w:t>1</w:t>
      </w:r>
      <w:r>
        <w:rPr>
          <w:rFonts w:hint="eastAsia" w:ascii="方正大标宋简体" w:hAnsi="方正大标宋简体"/>
          <w:color w:val="auto"/>
          <w:sz w:val="24"/>
          <w:highlight w:val="none"/>
        </w:rPr>
        <w:t>个小时内在线进行电子投标文件的解密操作</w:t>
      </w:r>
      <w:r>
        <w:rPr>
          <w:rFonts w:hint="eastAsia" w:ascii="宋体" w:hAnsi="宋体"/>
          <w:color w:val="auto"/>
          <w:sz w:val="24"/>
          <w:highlight w:val="none"/>
        </w:rPr>
        <w:t>，未在规定时间内解密，其投标视为无效</w:t>
      </w:r>
      <w:r>
        <w:rPr>
          <w:rFonts w:hint="eastAsia" w:ascii="方正大标宋简体" w:hAnsi="方正大标宋简体"/>
          <w:color w:val="auto"/>
          <w:sz w:val="24"/>
          <w:highlight w:val="none"/>
        </w:rPr>
        <w:t>。</w:t>
      </w:r>
    </w:p>
    <w:p w14:paraId="76422329">
      <w:pPr>
        <w:adjustRightInd w:val="0"/>
        <w:snapToGrid w:val="0"/>
        <w:spacing w:beforeLines="0" w:line="360" w:lineRule="auto"/>
        <w:ind w:firstLine="480" w:firstLineChars="200"/>
        <w:rPr>
          <w:rFonts w:ascii="宋体" w:hAnsi="宋体"/>
          <w:color w:val="auto"/>
          <w:sz w:val="24"/>
          <w:highlight w:val="none"/>
        </w:rPr>
      </w:pPr>
      <w:r>
        <w:rPr>
          <w:rFonts w:ascii="宋体" w:hAnsi="宋体"/>
          <w:color w:val="auto"/>
          <w:sz w:val="24"/>
          <w:highlight w:val="none"/>
        </w:rPr>
        <w:t>(</w:t>
      </w:r>
      <w:r>
        <w:rPr>
          <w:rFonts w:hint="eastAsia" w:ascii="宋体" w:hAnsi="宋体"/>
          <w:color w:val="auto"/>
          <w:sz w:val="24"/>
          <w:highlight w:val="none"/>
        </w:rPr>
        <w:t>4</w:t>
      </w:r>
      <w:r>
        <w:rPr>
          <w:rFonts w:ascii="宋体" w:hAnsi="宋体"/>
          <w:color w:val="auto"/>
          <w:sz w:val="24"/>
          <w:highlight w:val="none"/>
        </w:rPr>
        <w:t>）</w:t>
      </w:r>
      <w:r>
        <w:rPr>
          <w:rFonts w:hint="eastAsia" w:ascii="方正大标宋简体" w:hAnsi="方正大标宋简体"/>
          <w:color w:val="auto"/>
          <w:sz w:val="24"/>
          <w:highlight w:val="none"/>
        </w:rPr>
        <w:t>解密全部完成后或解密时间截止时，电子交易平台</w:t>
      </w:r>
      <w:r>
        <w:rPr>
          <w:rFonts w:hint="eastAsia" w:ascii="宋体" w:hAnsi="宋体"/>
          <w:color w:val="auto"/>
          <w:sz w:val="24"/>
          <w:highlight w:val="none"/>
        </w:rPr>
        <w:t>按照投标人须知前附表的规定</w:t>
      </w:r>
      <w:r>
        <w:rPr>
          <w:rFonts w:hint="eastAsia" w:ascii="方正大标宋简体" w:hAnsi="方正大标宋简体"/>
          <w:color w:val="auto"/>
          <w:sz w:val="24"/>
          <w:highlight w:val="none"/>
        </w:rPr>
        <w:t>自动确定并显示</w:t>
      </w:r>
      <w:r>
        <w:rPr>
          <w:rFonts w:hint="eastAsia" w:ascii="宋体" w:hAnsi="宋体"/>
          <w:color w:val="auto"/>
          <w:sz w:val="24"/>
          <w:highlight w:val="none"/>
        </w:rPr>
        <w:t>投标人名称、标段名称、投标报价（元）、工期、总监姓名、总监证书编号、投标保证金额等招标文件所确定的唱标内容</w:t>
      </w:r>
      <w:r>
        <w:rPr>
          <w:rFonts w:ascii="宋体" w:hAnsi="宋体"/>
          <w:color w:val="auto"/>
          <w:sz w:val="24"/>
          <w:highlight w:val="none"/>
        </w:rPr>
        <w:t>；</w:t>
      </w:r>
    </w:p>
    <w:p w14:paraId="356D7E4C">
      <w:pPr>
        <w:adjustRightInd w:val="0"/>
        <w:snapToGrid w:val="0"/>
        <w:spacing w:beforeLines="0" w:line="360" w:lineRule="auto"/>
        <w:ind w:firstLine="480" w:firstLineChars="200"/>
        <w:rPr>
          <w:rFonts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5</w:t>
      </w:r>
      <w:r>
        <w:rPr>
          <w:rFonts w:ascii="宋体" w:hAnsi="宋体"/>
          <w:color w:val="auto"/>
          <w:sz w:val="24"/>
          <w:highlight w:val="none"/>
        </w:rPr>
        <w:t>）</w:t>
      </w:r>
      <w:r>
        <w:rPr>
          <w:rFonts w:hint="eastAsia" w:ascii="宋体" w:hAnsi="宋体"/>
          <w:color w:val="auto"/>
          <w:sz w:val="24"/>
          <w:highlight w:val="none"/>
        </w:rPr>
        <w:t>入围抽取</w:t>
      </w:r>
    </w:p>
    <w:p w14:paraId="4C47EA3D">
      <w:pPr>
        <w:adjustRightInd w:val="0"/>
        <w:snapToGrid w:val="0"/>
        <w:spacing w:beforeLines="0" w:line="360" w:lineRule="auto"/>
        <w:ind w:firstLine="480" w:firstLineChars="200"/>
        <w:rPr>
          <w:rFonts w:ascii="方正大标宋简体" w:hAnsi="方正大标宋简体"/>
          <w:color w:val="auto"/>
          <w:sz w:val="24"/>
          <w:highlight w:val="none"/>
        </w:rPr>
      </w:pPr>
      <w:r>
        <w:rPr>
          <w:rFonts w:hint="eastAsia" w:ascii="方正大标宋简体" w:hAnsi="方正大标宋简体"/>
          <w:color w:val="auto"/>
          <w:sz w:val="24"/>
          <w:highlight w:val="none"/>
        </w:rPr>
        <w:t>1.当投标人数量小于等于15家的，所有投标人均为入围投标人；</w:t>
      </w:r>
    </w:p>
    <w:p w14:paraId="001BBF47">
      <w:pPr>
        <w:adjustRightInd w:val="0"/>
        <w:snapToGrid w:val="0"/>
        <w:spacing w:beforeLines="0" w:line="360" w:lineRule="auto"/>
        <w:ind w:firstLine="480" w:firstLineChars="200"/>
        <w:rPr>
          <w:rFonts w:ascii="方正大标宋简体" w:hAnsi="方正大标宋简体"/>
          <w:color w:val="auto"/>
          <w:sz w:val="24"/>
          <w:highlight w:val="none"/>
        </w:rPr>
      </w:pPr>
      <w:r>
        <w:rPr>
          <w:rFonts w:hint="eastAsia" w:ascii="方正大标宋简体" w:hAnsi="方正大标宋简体"/>
          <w:color w:val="auto"/>
          <w:sz w:val="24"/>
          <w:highlight w:val="none"/>
        </w:rPr>
        <w:t>2.当投标人数量大于15家的，应当采用以下方式确定入围的投标人：</w:t>
      </w:r>
    </w:p>
    <w:p w14:paraId="23B5F121">
      <w:pPr>
        <w:adjustRightInd w:val="0"/>
        <w:snapToGrid w:val="0"/>
        <w:spacing w:beforeLines="0" w:line="360" w:lineRule="auto"/>
        <w:ind w:firstLine="480" w:firstLineChars="200"/>
        <w:rPr>
          <w:rFonts w:ascii="方正大标宋简体" w:hAnsi="方正大标宋简体"/>
          <w:color w:val="auto"/>
          <w:sz w:val="24"/>
          <w:highlight w:val="none"/>
        </w:rPr>
      </w:pPr>
      <w:r>
        <w:rPr>
          <w:rFonts w:hint="eastAsia" w:ascii="宋体" w:hAnsi="宋体" w:cs="宋体"/>
          <w:color w:val="auto"/>
          <w:sz w:val="24"/>
          <w:highlight w:val="none"/>
          <w:shd w:val="clear" w:color="auto" w:fill="auto"/>
          <w:lang w:eastAsia="zh-CN"/>
        </w:rPr>
        <w:t>按投标人最近期的福建省交通建设市场信用考核评价等级由高到低排序，从信用等级A及以上等级的投标人中随机抽取</w:t>
      </w:r>
      <w:r>
        <w:rPr>
          <w:rFonts w:hint="eastAsia" w:ascii="宋体" w:hAnsi="宋体" w:cs="宋体"/>
          <w:color w:val="auto"/>
          <w:sz w:val="24"/>
          <w:highlight w:val="none"/>
          <w:shd w:val="clear" w:color="auto" w:fill="auto"/>
          <w:lang w:val="en-US" w:eastAsia="zh-CN"/>
        </w:rPr>
        <w:t>15</w:t>
      </w:r>
      <w:r>
        <w:rPr>
          <w:rFonts w:hint="eastAsia" w:ascii="宋体" w:hAnsi="宋体" w:cs="宋体"/>
          <w:color w:val="auto"/>
          <w:sz w:val="24"/>
          <w:highlight w:val="none"/>
          <w:shd w:val="clear" w:color="auto" w:fill="auto"/>
          <w:lang w:eastAsia="zh-CN"/>
        </w:rPr>
        <w:t>家入围，如信用等级A及以上等级的投标人不足 15 家时，信用等级A及以上等级的投标人全部入围，不足部分从信用等级B级的投标人中随机抽取，补足 15 家。</w:t>
      </w:r>
    </w:p>
    <w:p w14:paraId="671B0D56">
      <w:pPr>
        <w:adjustRightInd w:val="0"/>
        <w:snapToGrid w:val="0"/>
        <w:spacing w:beforeLines="0" w:line="360" w:lineRule="auto"/>
        <w:ind w:firstLine="480" w:firstLineChars="200"/>
        <w:rPr>
          <w:rFonts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开标结束</w:t>
      </w:r>
      <w:r>
        <w:rPr>
          <w:rFonts w:hint="eastAsia" w:ascii="宋体" w:hAnsi="宋体"/>
          <w:color w:val="auto"/>
          <w:sz w:val="24"/>
          <w:highlight w:val="none"/>
        </w:rPr>
        <w:t>，</w:t>
      </w:r>
      <w:r>
        <w:rPr>
          <w:rFonts w:hint="eastAsia" w:ascii="方正大标宋简体" w:hAnsi="方正大标宋简体"/>
          <w:color w:val="auto"/>
          <w:sz w:val="24"/>
          <w:highlight w:val="none"/>
        </w:rPr>
        <w:t>电子交易平台自动生成开标记录并向社会公众公布，但依法应当保密的除外</w:t>
      </w:r>
      <w:r>
        <w:rPr>
          <w:rFonts w:ascii="宋体" w:hAnsi="宋体"/>
          <w:color w:val="auto"/>
          <w:sz w:val="24"/>
          <w:highlight w:val="none"/>
        </w:rPr>
        <w:t>。</w:t>
      </w:r>
    </w:p>
    <w:p w14:paraId="20A41DF0">
      <w:pPr>
        <w:widowControl/>
        <w:adjustRightInd w:val="0"/>
        <w:snapToGrid w:val="0"/>
        <w:spacing w:beforeLines="0" w:line="360" w:lineRule="auto"/>
        <w:ind w:left="703"/>
        <w:jc w:val="left"/>
        <w:rPr>
          <w:rFonts w:ascii="黑体" w:hAnsi="黑体" w:eastAsia="黑体" w:cs="黑体"/>
          <w:color w:val="auto"/>
          <w:sz w:val="24"/>
          <w:highlight w:val="none"/>
        </w:rPr>
      </w:pPr>
      <w:r>
        <w:rPr>
          <w:rFonts w:hint="eastAsia" w:ascii="黑体" w:hAnsi="黑体" w:eastAsia="黑体" w:cs="黑体"/>
          <w:color w:val="auto"/>
          <w:sz w:val="24"/>
          <w:highlight w:val="none"/>
        </w:rPr>
        <w:t>5.3解密失败的补救方案</w:t>
      </w:r>
    </w:p>
    <w:p w14:paraId="532E07F1">
      <w:pPr>
        <w:widowControl/>
        <w:numPr>
          <w:ilvl w:val="1"/>
          <w:numId w:val="7"/>
        </w:numPr>
        <w:adjustRightInd w:val="0"/>
        <w:snapToGrid w:val="0"/>
        <w:spacing w:beforeLines="0" w:line="360" w:lineRule="auto"/>
        <w:ind w:left="0" w:firstLine="480" w:firstLineChars="200"/>
        <w:jc w:val="left"/>
        <w:rPr>
          <w:rFonts w:ascii="宋体" w:hAnsi="宋体"/>
          <w:color w:val="auto"/>
          <w:sz w:val="24"/>
          <w:highlight w:val="none"/>
        </w:rPr>
      </w:pPr>
      <w:r>
        <w:rPr>
          <w:rFonts w:hint="eastAsia" w:ascii="宋体" w:hAnsi="宋体"/>
          <w:color w:val="auto"/>
          <w:sz w:val="24"/>
          <w:highlight w:val="none"/>
        </w:rPr>
        <w:t>若为投标人设备故障或网络故障，则投标人自行更换设备或解决网络问题，投标文件解密失败经补救，仍不成功的，视为放弃投标</w:t>
      </w:r>
      <w:r>
        <w:rPr>
          <w:rFonts w:ascii="宋体" w:hAnsi="宋体"/>
          <w:color w:val="auto"/>
          <w:sz w:val="24"/>
          <w:highlight w:val="none"/>
        </w:rPr>
        <w:t>,开标继续进行；</w:t>
      </w:r>
    </w:p>
    <w:p w14:paraId="5E2CA32B">
      <w:pPr>
        <w:widowControl/>
        <w:numPr>
          <w:ilvl w:val="1"/>
          <w:numId w:val="7"/>
        </w:numPr>
        <w:adjustRightInd w:val="0"/>
        <w:snapToGrid w:val="0"/>
        <w:spacing w:beforeLines="0" w:line="360" w:lineRule="auto"/>
        <w:ind w:left="0" w:firstLine="480" w:firstLineChars="200"/>
        <w:jc w:val="left"/>
        <w:rPr>
          <w:rFonts w:ascii="宋体" w:hAnsi="宋体"/>
          <w:color w:val="auto"/>
          <w:sz w:val="24"/>
          <w:highlight w:val="none"/>
        </w:rPr>
      </w:pPr>
      <w:r>
        <w:rPr>
          <w:rFonts w:hint="eastAsia" w:ascii="宋体" w:hAnsi="宋体"/>
          <w:color w:val="auto"/>
          <w:sz w:val="24"/>
          <w:highlight w:val="none"/>
        </w:rPr>
        <w:t>若为招标人原因导致无法正常解密，则由招标人及时提出解决方案；</w:t>
      </w:r>
    </w:p>
    <w:p w14:paraId="7108920A">
      <w:pPr>
        <w:widowControl/>
        <w:numPr>
          <w:ilvl w:val="1"/>
          <w:numId w:val="7"/>
        </w:numPr>
        <w:adjustRightInd w:val="0"/>
        <w:snapToGrid w:val="0"/>
        <w:spacing w:beforeLines="0" w:line="360" w:lineRule="auto"/>
        <w:ind w:left="0" w:firstLine="480" w:firstLineChars="200"/>
        <w:jc w:val="left"/>
        <w:rPr>
          <w:rFonts w:ascii="宋体" w:hAnsi="宋体"/>
          <w:color w:val="auto"/>
          <w:sz w:val="24"/>
          <w:highlight w:val="none"/>
        </w:rPr>
      </w:pPr>
      <w:r>
        <w:rPr>
          <w:rFonts w:ascii="宋体" w:hAnsi="宋体"/>
          <w:color w:val="auto"/>
          <w:sz w:val="24"/>
          <w:highlight w:val="none"/>
        </w:rPr>
        <w:t>若为交易平台原因导致无法正常解密</w:t>
      </w:r>
      <w:r>
        <w:rPr>
          <w:rFonts w:hint="eastAsia" w:ascii="宋体" w:hAnsi="宋体"/>
          <w:color w:val="auto"/>
          <w:sz w:val="24"/>
          <w:highlight w:val="none"/>
        </w:rPr>
        <w:t>，</w:t>
      </w:r>
      <w:r>
        <w:rPr>
          <w:rFonts w:ascii="宋体" w:hAnsi="宋体"/>
          <w:color w:val="auto"/>
          <w:sz w:val="24"/>
          <w:highlight w:val="none"/>
        </w:rPr>
        <w:t>则由交易平台及时提出解决方案</w:t>
      </w:r>
      <w:r>
        <w:rPr>
          <w:rFonts w:hint="eastAsia" w:ascii="宋体" w:hAnsi="宋体"/>
          <w:color w:val="auto"/>
          <w:sz w:val="24"/>
          <w:highlight w:val="none"/>
        </w:rPr>
        <w:t>。</w:t>
      </w:r>
    </w:p>
    <w:p w14:paraId="085C7C4F">
      <w:pPr>
        <w:pStyle w:val="5"/>
        <w:adjustRightInd w:val="0"/>
        <w:snapToGrid w:val="0"/>
        <w:spacing w:before="0" w:beforeLines="0" w:after="0" w:line="360" w:lineRule="auto"/>
        <w:ind w:firstLine="562" w:firstLineChars="200"/>
        <w:rPr>
          <w:color w:val="auto"/>
          <w:highlight w:val="none"/>
        </w:rPr>
      </w:pPr>
      <w:bookmarkStart w:id="335" w:name="_Toc152042338"/>
      <w:bookmarkStart w:id="336" w:name="_Toc488650810"/>
      <w:bookmarkStart w:id="337" w:name="_Toc341805132"/>
      <w:bookmarkStart w:id="338" w:name="_Toc286759037"/>
      <w:bookmarkStart w:id="339" w:name="_Toc487291488"/>
      <w:bookmarkStart w:id="340" w:name="_Toc283558698"/>
      <w:bookmarkStart w:id="341" w:name="_Toc283559195"/>
      <w:bookmarkStart w:id="342" w:name="_Toc144974530"/>
      <w:bookmarkStart w:id="343" w:name="_Toc152045562"/>
      <w:bookmarkStart w:id="344" w:name="_Toc307991154"/>
      <w:bookmarkStart w:id="345" w:name="_Toc330384402"/>
      <w:r>
        <w:rPr>
          <w:rFonts w:hint="eastAsia"/>
          <w:color w:val="auto"/>
          <w:highlight w:val="none"/>
        </w:rPr>
        <w:t>6</w:t>
      </w:r>
      <w:r>
        <w:rPr>
          <w:color w:val="auto"/>
          <w:highlight w:val="none"/>
        </w:rPr>
        <w:t>．</w:t>
      </w:r>
      <w:r>
        <w:rPr>
          <w:rFonts w:hint="eastAsia"/>
          <w:color w:val="auto"/>
          <w:highlight w:val="none"/>
        </w:rPr>
        <w:t>评标</w:t>
      </w:r>
      <w:bookmarkEnd w:id="335"/>
      <w:bookmarkEnd w:id="336"/>
      <w:bookmarkEnd w:id="337"/>
      <w:bookmarkEnd w:id="338"/>
      <w:bookmarkEnd w:id="339"/>
      <w:bookmarkEnd w:id="340"/>
      <w:bookmarkEnd w:id="341"/>
      <w:bookmarkEnd w:id="342"/>
      <w:bookmarkEnd w:id="343"/>
      <w:bookmarkEnd w:id="344"/>
      <w:bookmarkEnd w:id="345"/>
    </w:p>
    <w:p w14:paraId="2740738D">
      <w:pPr>
        <w:pStyle w:val="5"/>
        <w:adjustRightInd w:val="0"/>
        <w:snapToGrid w:val="0"/>
        <w:spacing w:before="0" w:beforeLines="0" w:after="0" w:line="360" w:lineRule="auto"/>
        <w:ind w:firstLine="482" w:firstLineChars="200"/>
        <w:rPr>
          <w:rFonts w:ascii="黑体" w:hAnsi="宋体"/>
          <w:b w:val="0"/>
          <w:color w:val="auto"/>
          <w:sz w:val="24"/>
          <w:szCs w:val="24"/>
          <w:highlight w:val="none"/>
        </w:rPr>
      </w:pPr>
      <w:bookmarkStart w:id="346" w:name="_Toc144974531"/>
      <w:bookmarkStart w:id="347" w:name="_Toc152042339"/>
      <w:bookmarkStart w:id="348" w:name="_Toc152045563"/>
      <w:bookmarkStart w:id="349" w:name="_Toc488650811"/>
      <w:bookmarkStart w:id="350" w:name="_Toc487653378"/>
      <w:bookmarkStart w:id="351" w:name="_Toc487291489"/>
      <w:bookmarkStart w:id="352" w:name="_Toc487619460"/>
      <w:bookmarkStart w:id="353" w:name="_Toc356567813"/>
      <w:bookmarkStart w:id="354" w:name="_Toc341805133"/>
      <w:r>
        <w:rPr>
          <w:rFonts w:hint="eastAsia" w:ascii="黑体" w:hAnsi="宋体"/>
          <w:color w:val="auto"/>
          <w:sz w:val="24"/>
          <w:szCs w:val="24"/>
          <w:highlight w:val="none"/>
        </w:rPr>
        <w:t xml:space="preserve">6.1 </w:t>
      </w:r>
      <w:bookmarkEnd w:id="346"/>
      <w:bookmarkEnd w:id="347"/>
      <w:bookmarkEnd w:id="348"/>
      <w:r>
        <w:rPr>
          <w:rFonts w:hint="eastAsia" w:ascii="黑体" w:hAnsi="宋体"/>
          <w:b w:val="0"/>
          <w:color w:val="auto"/>
          <w:sz w:val="24"/>
          <w:szCs w:val="24"/>
          <w:highlight w:val="none"/>
        </w:rPr>
        <w:t xml:space="preserve"> 评标委员会</w:t>
      </w:r>
      <w:bookmarkEnd w:id="349"/>
      <w:bookmarkEnd w:id="350"/>
      <w:bookmarkEnd w:id="351"/>
      <w:bookmarkEnd w:id="352"/>
      <w:bookmarkEnd w:id="353"/>
      <w:bookmarkEnd w:id="354"/>
    </w:p>
    <w:p w14:paraId="68326EC8">
      <w:pPr>
        <w:adjustRightInd w:val="0"/>
        <w:snapToGrid w:val="0"/>
        <w:spacing w:beforeLines="0" w:line="360" w:lineRule="auto"/>
        <w:ind w:firstLine="480" w:firstLineChars="200"/>
        <w:rPr>
          <w:color w:val="auto"/>
          <w:sz w:val="24"/>
          <w:highlight w:val="none"/>
        </w:rPr>
      </w:pPr>
      <w:r>
        <w:rPr>
          <w:rFonts w:hint="eastAsia"/>
          <w:color w:val="auto"/>
          <w:sz w:val="24"/>
          <w:highlight w:val="none"/>
        </w:rPr>
        <w:t>6.1.1  评标由招标人依法组建的评标委员会负责。评标委员会由有关技术、经济等方面的专家组成。评标委员会成员人数以及技术、经济等方面专家的确定方式见投标人须知前附表。</w:t>
      </w:r>
    </w:p>
    <w:p w14:paraId="6BABB13D">
      <w:pPr>
        <w:adjustRightInd w:val="0"/>
        <w:snapToGrid w:val="0"/>
        <w:spacing w:beforeLines="0" w:line="360" w:lineRule="auto"/>
        <w:ind w:firstLine="480" w:firstLineChars="200"/>
        <w:rPr>
          <w:color w:val="auto"/>
          <w:sz w:val="24"/>
          <w:highlight w:val="none"/>
        </w:rPr>
      </w:pPr>
      <w:r>
        <w:rPr>
          <w:rFonts w:hint="eastAsia"/>
          <w:color w:val="auto"/>
          <w:sz w:val="24"/>
          <w:highlight w:val="none"/>
        </w:rPr>
        <w:t>6.1.2  评标委员会成员有下列情形之一的，应当回避：</w:t>
      </w:r>
    </w:p>
    <w:p w14:paraId="59DC051F">
      <w:pPr>
        <w:adjustRightInd w:val="0"/>
        <w:snapToGrid w:val="0"/>
        <w:spacing w:beforeLines="0" w:line="360" w:lineRule="auto"/>
        <w:ind w:firstLine="480" w:firstLineChars="200"/>
        <w:rPr>
          <w:color w:val="auto"/>
          <w:sz w:val="24"/>
          <w:highlight w:val="none"/>
        </w:rPr>
      </w:pPr>
      <w:r>
        <w:rPr>
          <w:rFonts w:hint="eastAsia"/>
          <w:color w:val="auto"/>
          <w:sz w:val="24"/>
          <w:highlight w:val="none"/>
        </w:rPr>
        <w:t>（1）招标人或投标人主要负责人的近亲属；</w:t>
      </w:r>
    </w:p>
    <w:p w14:paraId="292A111F">
      <w:pPr>
        <w:adjustRightInd w:val="0"/>
        <w:snapToGrid w:val="0"/>
        <w:spacing w:beforeLines="0" w:line="360" w:lineRule="auto"/>
        <w:ind w:firstLine="480" w:firstLineChars="200"/>
        <w:rPr>
          <w:color w:val="auto"/>
          <w:sz w:val="24"/>
          <w:highlight w:val="none"/>
        </w:rPr>
      </w:pPr>
      <w:r>
        <w:rPr>
          <w:rFonts w:hint="eastAsia"/>
          <w:color w:val="auto"/>
          <w:sz w:val="24"/>
          <w:highlight w:val="none"/>
        </w:rPr>
        <w:t>（2）项目主管部门或者行政监督部门的人员；</w:t>
      </w:r>
    </w:p>
    <w:p w14:paraId="44E0534D">
      <w:pPr>
        <w:adjustRightInd w:val="0"/>
        <w:snapToGrid w:val="0"/>
        <w:spacing w:beforeLines="0" w:line="360" w:lineRule="auto"/>
        <w:ind w:firstLine="480" w:firstLineChars="200"/>
        <w:rPr>
          <w:color w:val="auto"/>
          <w:sz w:val="24"/>
          <w:highlight w:val="none"/>
        </w:rPr>
      </w:pPr>
      <w:r>
        <w:rPr>
          <w:rFonts w:hint="eastAsia"/>
          <w:color w:val="auto"/>
          <w:sz w:val="24"/>
          <w:highlight w:val="none"/>
        </w:rPr>
        <w:t>（3）与投标人有经济利益关系，可能影响投标公正评审的；</w:t>
      </w:r>
    </w:p>
    <w:p w14:paraId="04787ACD">
      <w:pPr>
        <w:adjustRightInd w:val="0"/>
        <w:snapToGrid w:val="0"/>
        <w:spacing w:beforeLines="0" w:line="360" w:lineRule="auto"/>
        <w:ind w:firstLine="480" w:firstLineChars="200"/>
        <w:rPr>
          <w:color w:val="auto"/>
          <w:sz w:val="24"/>
          <w:highlight w:val="none"/>
        </w:rPr>
      </w:pPr>
      <w:r>
        <w:rPr>
          <w:rFonts w:hint="eastAsia"/>
          <w:color w:val="auto"/>
          <w:sz w:val="24"/>
          <w:highlight w:val="none"/>
        </w:rPr>
        <w:t>（4）曾因在招标、评标及其他与招标投标有关活动中从事违法行为而受过行政处罚或刑事处罚的；</w:t>
      </w:r>
    </w:p>
    <w:p w14:paraId="44834D6D">
      <w:pPr>
        <w:adjustRightInd w:val="0"/>
        <w:snapToGrid w:val="0"/>
        <w:spacing w:beforeLines="0" w:line="360" w:lineRule="auto"/>
        <w:ind w:firstLine="480" w:firstLineChars="200"/>
        <w:rPr>
          <w:color w:val="auto"/>
          <w:sz w:val="24"/>
          <w:highlight w:val="none"/>
        </w:rPr>
      </w:pPr>
      <w:r>
        <w:rPr>
          <w:rFonts w:hint="eastAsia"/>
          <w:color w:val="auto"/>
          <w:sz w:val="24"/>
          <w:highlight w:val="none"/>
        </w:rPr>
        <w:t>（5）与投标人有其他利害关系的。</w:t>
      </w:r>
    </w:p>
    <w:p w14:paraId="52DC8667">
      <w:pPr>
        <w:pStyle w:val="5"/>
        <w:adjustRightInd w:val="0"/>
        <w:snapToGrid w:val="0"/>
        <w:spacing w:before="0" w:beforeLines="0" w:after="0" w:line="360" w:lineRule="auto"/>
        <w:ind w:firstLine="482" w:firstLineChars="200"/>
        <w:rPr>
          <w:rFonts w:ascii="黑体" w:hAnsi="宋体"/>
          <w:b w:val="0"/>
          <w:color w:val="auto"/>
          <w:sz w:val="24"/>
          <w:szCs w:val="24"/>
          <w:highlight w:val="none"/>
        </w:rPr>
      </w:pPr>
      <w:bookmarkStart w:id="355" w:name="_Toc152042340"/>
      <w:bookmarkStart w:id="356" w:name="_Toc152045564"/>
      <w:bookmarkStart w:id="357" w:name="_Toc144974532"/>
      <w:bookmarkStart w:id="358" w:name="_Toc487619461"/>
      <w:bookmarkStart w:id="359" w:name="_Toc341805134"/>
      <w:bookmarkStart w:id="360" w:name="_Toc356567814"/>
      <w:bookmarkStart w:id="361" w:name="_Toc488650812"/>
      <w:bookmarkStart w:id="362" w:name="_Toc487291490"/>
      <w:bookmarkStart w:id="363" w:name="_Toc487653379"/>
      <w:r>
        <w:rPr>
          <w:rFonts w:hint="eastAsia" w:ascii="黑体" w:hAnsi="宋体"/>
          <w:color w:val="auto"/>
          <w:sz w:val="24"/>
          <w:szCs w:val="24"/>
          <w:highlight w:val="none"/>
        </w:rPr>
        <w:t xml:space="preserve">6.2 </w:t>
      </w:r>
      <w:r>
        <w:rPr>
          <w:rFonts w:hint="eastAsia" w:ascii="黑体" w:hAnsi="宋体"/>
          <w:b w:val="0"/>
          <w:color w:val="auto"/>
          <w:sz w:val="24"/>
          <w:szCs w:val="24"/>
          <w:highlight w:val="none"/>
        </w:rPr>
        <w:t xml:space="preserve"> </w:t>
      </w:r>
      <w:bookmarkEnd w:id="355"/>
      <w:bookmarkEnd w:id="356"/>
      <w:bookmarkEnd w:id="357"/>
      <w:r>
        <w:rPr>
          <w:rFonts w:hint="eastAsia" w:ascii="黑体" w:hAnsi="宋体"/>
          <w:b w:val="0"/>
          <w:color w:val="auto"/>
          <w:sz w:val="24"/>
          <w:szCs w:val="24"/>
          <w:highlight w:val="none"/>
        </w:rPr>
        <w:t>评标原则</w:t>
      </w:r>
      <w:bookmarkEnd w:id="358"/>
      <w:bookmarkEnd w:id="359"/>
      <w:bookmarkEnd w:id="360"/>
      <w:bookmarkEnd w:id="361"/>
      <w:bookmarkEnd w:id="362"/>
      <w:bookmarkEnd w:id="363"/>
      <w:r>
        <w:rPr>
          <w:rFonts w:ascii="黑体" w:hAnsi="宋体"/>
          <w:b w:val="0"/>
          <w:color w:val="auto"/>
          <w:sz w:val="24"/>
          <w:szCs w:val="24"/>
          <w:highlight w:val="none"/>
        </w:rPr>
        <w:tab/>
      </w:r>
    </w:p>
    <w:p w14:paraId="3C49EF71">
      <w:pPr>
        <w:adjustRightInd w:val="0"/>
        <w:snapToGrid w:val="0"/>
        <w:spacing w:beforeLines="0" w:line="360" w:lineRule="auto"/>
        <w:ind w:firstLine="480" w:firstLineChars="200"/>
        <w:rPr>
          <w:color w:val="auto"/>
          <w:sz w:val="24"/>
          <w:highlight w:val="none"/>
        </w:rPr>
      </w:pPr>
      <w:r>
        <w:rPr>
          <w:rFonts w:hint="eastAsia"/>
          <w:color w:val="auto"/>
          <w:sz w:val="24"/>
          <w:highlight w:val="none"/>
        </w:rPr>
        <w:t>评标活动遵循公平、公正、科学和择优的原则，按照招标文件规定的标准和方法，对投标文件进行评审和比较。</w:t>
      </w:r>
    </w:p>
    <w:p w14:paraId="07669654">
      <w:pPr>
        <w:pStyle w:val="5"/>
        <w:adjustRightInd w:val="0"/>
        <w:snapToGrid w:val="0"/>
        <w:spacing w:before="0" w:beforeLines="0" w:after="0" w:line="360" w:lineRule="auto"/>
        <w:ind w:firstLine="482" w:firstLineChars="200"/>
        <w:rPr>
          <w:rFonts w:ascii="黑体" w:hAnsi="宋体"/>
          <w:b w:val="0"/>
          <w:color w:val="auto"/>
          <w:sz w:val="24"/>
          <w:szCs w:val="24"/>
          <w:highlight w:val="none"/>
        </w:rPr>
      </w:pPr>
      <w:bookmarkStart w:id="364" w:name="_Toc152042341"/>
      <w:bookmarkStart w:id="365" w:name="_Toc487619462"/>
      <w:bookmarkStart w:id="366" w:name="_Toc152045565"/>
      <w:bookmarkStart w:id="367" w:name="_Toc144974533"/>
      <w:bookmarkStart w:id="368" w:name="_Toc487653380"/>
      <w:bookmarkStart w:id="369" w:name="_Toc356567815"/>
      <w:bookmarkStart w:id="370" w:name="_Toc341805135"/>
      <w:bookmarkStart w:id="371" w:name="_Toc488650813"/>
      <w:bookmarkStart w:id="372" w:name="_Toc487291491"/>
      <w:r>
        <w:rPr>
          <w:rFonts w:hint="eastAsia" w:ascii="黑体" w:hAnsi="宋体"/>
          <w:color w:val="auto"/>
          <w:sz w:val="24"/>
          <w:szCs w:val="24"/>
          <w:highlight w:val="none"/>
        </w:rPr>
        <w:t xml:space="preserve">6.3 </w:t>
      </w:r>
      <w:r>
        <w:rPr>
          <w:rFonts w:hint="eastAsia" w:ascii="黑体" w:hAnsi="宋体"/>
          <w:b w:val="0"/>
          <w:color w:val="auto"/>
          <w:sz w:val="24"/>
          <w:szCs w:val="24"/>
          <w:highlight w:val="none"/>
        </w:rPr>
        <w:t xml:space="preserve"> 评标</w:t>
      </w:r>
      <w:bookmarkEnd w:id="364"/>
      <w:bookmarkEnd w:id="365"/>
      <w:bookmarkEnd w:id="366"/>
      <w:bookmarkEnd w:id="367"/>
      <w:bookmarkEnd w:id="368"/>
      <w:bookmarkEnd w:id="369"/>
      <w:bookmarkEnd w:id="370"/>
      <w:bookmarkEnd w:id="371"/>
      <w:bookmarkEnd w:id="372"/>
    </w:p>
    <w:p w14:paraId="7987E422">
      <w:pPr>
        <w:adjustRightInd w:val="0"/>
        <w:snapToGrid w:val="0"/>
        <w:spacing w:beforeLines="0" w:line="360" w:lineRule="auto"/>
        <w:ind w:firstLine="480" w:firstLineChars="200"/>
        <w:rPr>
          <w:rFonts w:ascii="宋体" w:hAnsi="宋体" w:cs="宋体"/>
          <w:color w:val="auto"/>
          <w:kern w:val="1"/>
          <w:sz w:val="24"/>
          <w:highlight w:val="none"/>
        </w:rPr>
      </w:pPr>
      <w:r>
        <w:rPr>
          <w:rFonts w:hint="eastAsia"/>
          <w:color w:val="auto"/>
          <w:sz w:val="24"/>
          <w:highlight w:val="none"/>
        </w:rPr>
        <w:t>评标委员会按照第三章“评标办法”规定的方法、评审因素、标准和程序对投标文件进行评审。第三章“评标办法”没有规定的方法、评审因素、标准，不作为评标依据。</w:t>
      </w:r>
      <w:bookmarkStart w:id="373" w:name="_Toc488650814"/>
      <w:bookmarkStart w:id="374" w:name="_Toc307991155"/>
      <w:bookmarkStart w:id="375" w:name="_Toc283559196"/>
      <w:bookmarkStart w:id="376" w:name="_Toc341805136"/>
      <w:bookmarkStart w:id="377" w:name="_Toc144974534"/>
      <w:bookmarkStart w:id="378" w:name="_Toc330384403"/>
      <w:bookmarkStart w:id="379" w:name="_Toc152045566"/>
      <w:bookmarkStart w:id="380" w:name="_Toc152042342"/>
      <w:bookmarkStart w:id="381" w:name="_Toc283558699"/>
      <w:bookmarkStart w:id="382" w:name="_Toc286759038"/>
      <w:bookmarkStart w:id="383" w:name="_Toc487291492"/>
    </w:p>
    <w:p w14:paraId="72141279">
      <w:pPr>
        <w:pStyle w:val="5"/>
        <w:adjustRightInd w:val="0"/>
        <w:snapToGrid w:val="0"/>
        <w:spacing w:before="0" w:beforeLines="0" w:after="0" w:line="360" w:lineRule="auto"/>
        <w:ind w:firstLine="562" w:firstLineChars="200"/>
        <w:rPr>
          <w:color w:val="auto"/>
          <w:highlight w:val="none"/>
        </w:rPr>
      </w:pPr>
      <w:r>
        <w:rPr>
          <w:rFonts w:hint="eastAsia"/>
          <w:color w:val="auto"/>
          <w:highlight w:val="none"/>
        </w:rPr>
        <w:t>7．</w:t>
      </w:r>
      <w:r>
        <w:rPr>
          <w:rFonts w:hint="eastAsia" w:ascii="宋体" w:hAnsi="宋体"/>
          <w:color w:val="auto"/>
          <w:highlight w:val="none"/>
        </w:rPr>
        <w:t>清标、定标、中标与</w:t>
      </w:r>
      <w:r>
        <w:rPr>
          <w:rFonts w:hint="eastAsia"/>
          <w:color w:val="auto"/>
          <w:highlight w:val="none"/>
        </w:rPr>
        <w:t>与合同授予</w:t>
      </w:r>
      <w:bookmarkEnd w:id="373"/>
      <w:bookmarkEnd w:id="374"/>
      <w:bookmarkEnd w:id="375"/>
      <w:bookmarkEnd w:id="376"/>
      <w:bookmarkEnd w:id="377"/>
      <w:bookmarkEnd w:id="378"/>
      <w:bookmarkEnd w:id="379"/>
      <w:bookmarkEnd w:id="380"/>
      <w:bookmarkEnd w:id="381"/>
      <w:bookmarkEnd w:id="382"/>
      <w:bookmarkEnd w:id="383"/>
    </w:p>
    <w:p w14:paraId="21316AC2">
      <w:pPr>
        <w:pStyle w:val="5"/>
        <w:adjustRightInd w:val="0"/>
        <w:snapToGrid w:val="0"/>
        <w:spacing w:before="0" w:beforeLines="0" w:after="0" w:line="360" w:lineRule="auto"/>
        <w:ind w:firstLine="482" w:firstLineChars="200"/>
        <w:rPr>
          <w:rFonts w:hint="eastAsia" w:ascii="黑体" w:hAnsi="宋体" w:eastAsia="黑体"/>
          <w:b w:val="0"/>
          <w:color w:val="auto"/>
          <w:sz w:val="24"/>
          <w:szCs w:val="24"/>
          <w:highlight w:val="none"/>
          <w:lang w:val="en-US" w:eastAsia="zh-CN"/>
        </w:rPr>
      </w:pPr>
      <w:bookmarkStart w:id="384" w:name="_Toc487653382"/>
      <w:bookmarkStart w:id="385" w:name="_Toc356567817"/>
      <w:bookmarkStart w:id="386" w:name="_Toc487619464"/>
      <w:bookmarkStart w:id="387" w:name="_Toc144974535"/>
      <w:bookmarkStart w:id="388" w:name="_Toc152045567"/>
      <w:bookmarkStart w:id="389" w:name="_Toc487291493"/>
      <w:bookmarkStart w:id="390" w:name="_Toc152042343"/>
      <w:bookmarkStart w:id="391" w:name="_Toc488650815"/>
      <w:bookmarkStart w:id="392" w:name="_Toc341805137"/>
      <w:r>
        <w:rPr>
          <w:rFonts w:hint="eastAsia" w:ascii="黑体" w:hAnsi="宋体"/>
          <w:color w:val="auto"/>
          <w:sz w:val="24"/>
          <w:szCs w:val="24"/>
          <w:highlight w:val="none"/>
        </w:rPr>
        <w:t>7.1</w:t>
      </w:r>
      <w:r>
        <w:rPr>
          <w:rFonts w:hint="eastAsia" w:ascii="黑体" w:hAnsi="宋体"/>
          <w:b w:val="0"/>
          <w:color w:val="auto"/>
          <w:sz w:val="24"/>
          <w:szCs w:val="24"/>
          <w:highlight w:val="none"/>
        </w:rPr>
        <w:t xml:space="preserve">  清标</w:t>
      </w:r>
      <w:r>
        <w:rPr>
          <w:rFonts w:hint="eastAsia" w:ascii="黑体" w:hAnsi="宋体"/>
          <w:b w:val="0"/>
          <w:color w:val="auto"/>
          <w:sz w:val="24"/>
          <w:szCs w:val="24"/>
          <w:highlight w:val="none"/>
          <w:lang w:val="en-US" w:eastAsia="zh-CN"/>
        </w:rPr>
        <w:t>小组</w:t>
      </w:r>
    </w:p>
    <w:p w14:paraId="1C4F1E0C">
      <w:pPr>
        <w:adjustRightInd w:val="0"/>
        <w:snapToGrid w:val="0"/>
        <w:spacing w:beforeLines="0" w:line="360" w:lineRule="auto"/>
        <w:ind w:firstLine="480" w:firstLineChars="200"/>
        <w:rPr>
          <w:color w:val="auto"/>
          <w:sz w:val="24"/>
          <w:highlight w:val="none"/>
        </w:rPr>
      </w:pPr>
      <w:r>
        <w:rPr>
          <w:rFonts w:hint="eastAsia"/>
          <w:color w:val="auto"/>
          <w:sz w:val="24"/>
          <w:highlight w:val="none"/>
        </w:rPr>
        <w:t>清标小组按照第四章“定标方案”规定的规则组建并按照规定的方法、规则、标准和程序负责清标工作，整理汇总各定标候选人的定标子要素得分并编制清标报告。</w:t>
      </w:r>
    </w:p>
    <w:p w14:paraId="426950E6">
      <w:pPr>
        <w:pStyle w:val="5"/>
        <w:adjustRightInd w:val="0"/>
        <w:snapToGrid w:val="0"/>
        <w:spacing w:before="0" w:beforeLines="0" w:after="0" w:line="360" w:lineRule="auto"/>
        <w:ind w:firstLine="482" w:firstLineChars="200"/>
        <w:rPr>
          <w:rFonts w:hint="eastAsia" w:ascii="黑体" w:hAnsi="宋体" w:eastAsia="黑体"/>
          <w:b/>
          <w:color w:val="auto"/>
          <w:sz w:val="24"/>
          <w:szCs w:val="24"/>
          <w:highlight w:val="none"/>
          <w:lang w:val="en-US" w:eastAsia="zh-CN"/>
        </w:rPr>
      </w:pPr>
      <w:r>
        <w:rPr>
          <w:rFonts w:hint="eastAsia" w:ascii="黑体" w:hAnsi="宋体"/>
          <w:b/>
          <w:color w:val="auto"/>
          <w:sz w:val="24"/>
          <w:szCs w:val="24"/>
          <w:highlight w:val="none"/>
        </w:rPr>
        <w:t>7.2 定标</w:t>
      </w:r>
      <w:bookmarkEnd w:id="384"/>
      <w:bookmarkEnd w:id="385"/>
      <w:bookmarkEnd w:id="386"/>
      <w:bookmarkEnd w:id="387"/>
      <w:bookmarkEnd w:id="388"/>
      <w:bookmarkEnd w:id="389"/>
      <w:bookmarkEnd w:id="390"/>
      <w:bookmarkEnd w:id="391"/>
      <w:bookmarkEnd w:id="392"/>
      <w:r>
        <w:rPr>
          <w:rFonts w:hint="eastAsia" w:ascii="黑体" w:hAnsi="宋体"/>
          <w:b/>
          <w:color w:val="auto"/>
          <w:sz w:val="24"/>
          <w:szCs w:val="24"/>
          <w:highlight w:val="none"/>
          <w:lang w:val="en-US" w:eastAsia="zh-CN"/>
        </w:rPr>
        <w:t>委员会</w:t>
      </w:r>
    </w:p>
    <w:p w14:paraId="6C6F86E8">
      <w:pPr>
        <w:adjustRightInd w:val="0"/>
        <w:snapToGrid w:val="0"/>
        <w:spacing w:beforeLines="0" w:line="360" w:lineRule="auto"/>
        <w:ind w:firstLine="480" w:firstLineChars="200"/>
        <w:rPr>
          <w:rFonts w:hint="eastAsia" w:ascii="黑体" w:hAnsi="宋体" w:cs="Times New Roman"/>
          <w:b w:val="0"/>
          <w:color w:val="auto"/>
          <w:sz w:val="24"/>
          <w:szCs w:val="24"/>
          <w:highlight w:val="none"/>
          <w:lang w:val="en-US"/>
        </w:rPr>
      </w:pPr>
      <w:r>
        <w:rPr>
          <w:rFonts w:hint="eastAsia"/>
          <w:color w:val="auto"/>
          <w:sz w:val="24"/>
          <w:highlight w:val="none"/>
          <w:lang w:val="en-US" w:eastAsia="zh-CN"/>
        </w:rPr>
        <w:t>定标委员会按照第四章“定标方案”规定的规则组建并按照规定的方法、规则、标准和程序负责陈述答辩考核以及定标工作，编制定标报告。</w:t>
      </w:r>
    </w:p>
    <w:p w14:paraId="04306432">
      <w:pPr>
        <w:pStyle w:val="5"/>
        <w:adjustRightInd w:val="0"/>
        <w:snapToGrid w:val="0"/>
        <w:spacing w:before="0" w:beforeLines="0" w:line="360" w:lineRule="auto"/>
        <w:ind w:firstLine="482" w:firstLineChars="200"/>
        <w:rPr>
          <w:rFonts w:hint="eastAsia" w:ascii="黑体" w:hAnsi="宋体" w:cs="Times New Roman"/>
          <w:color w:val="auto"/>
          <w:sz w:val="24"/>
          <w:szCs w:val="24"/>
          <w:highlight w:val="none"/>
        </w:rPr>
      </w:pPr>
      <w:r>
        <w:rPr>
          <w:rFonts w:hint="eastAsia" w:ascii="黑体" w:hAnsi="宋体" w:cs="Times New Roman"/>
          <w:b/>
          <w:color w:val="auto"/>
          <w:sz w:val="24"/>
          <w:szCs w:val="24"/>
          <w:highlight w:val="none"/>
          <w:lang w:val="en-US" w:eastAsia="zh-CN"/>
        </w:rPr>
        <w:t>7.3</w:t>
      </w:r>
      <w:r>
        <w:rPr>
          <w:rFonts w:hint="eastAsia" w:ascii="黑体" w:hAnsi="宋体" w:cs="Times New Roman"/>
          <w:color w:val="auto"/>
          <w:sz w:val="24"/>
          <w:szCs w:val="24"/>
          <w:highlight w:val="none"/>
        </w:rPr>
        <w:t xml:space="preserve"> 定标方案</w:t>
      </w:r>
    </w:p>
    <w:p w14:paraId="096E0733">
      <w:pPr>
        <w:adjustRightInd w:val="0"/>
        <w:snapToGrid w:val="0"/>
        <w:spacing w:beforeLines="0" w:line="360" w:lineRule="auto"/>
        <w:ind w:firstLine="480" w:firstLineChars="200"/>
        <w:rPr>
          <w:color w:val="auto"/>
          <w:sz w:val="24"/>
          <w:highlight w:val="none"/>
        </w:rPr>
      </w:pPr>
      <w:r>
        <w:rPr>
          <w:rFonts w:hint="eastAsia"/>
          <w:color w:val="auto"/>
          <w:sz w:val="24"/>
          <w:highlight w:val="none"/>
        </w:rPr>
        <w:t>第四章“定标方案”使用的定标方法见投标人须知前附表。第四章“定标方案”没有规定的方法、规则、标准，不作为</w:t>
      </w:r>
      <w:r>
        <w:rPr>
          <w:rFonts w:hint="eastAsia"/>
          <w:color w:val="auto"/>
          <w:sz w:val="24"/>
          <w:highlight w:val="none"/>
          <w:lang w:val="en-US" w:eastAsia="zh-CN"/>
        </w:rPr>
        <w:t>清标或</w:t>
      </w:r>
      <w:r>
        <w:rPr>
          <w:rFonts w:hint="eastAsia"/>
          <w:color w:val="auto"/>
          <w:sz w:val="24"/>
          <w:highlight w:val="none"/>
        </w:rPr>
        <w:t>定标依据。</w:t>
      </w:r>
    </w:p>
    <w:p w14:paraId="3799C558">
      <w:pPr>
        <w:adjustRightInd w:val="0"/>
        <w:snapToGrid w:val="0"/>
        <w:spacing w:beforeLines="0" w:line="360" w:lineRule="auto"/>
        <w:ind w:firstLine="480" w:firstLineChars="200"/>
        <w:rPr>
          <w:color w:val="auto"/>
          <w:highlight w:val="none"/>
        </w:rPr>
      </w:pPr>
      <w:r>
        <w:rPr>
          <w:rFonts w:hint="eastAsia"/>
          <w:color w:val="auto"/>
          <w:sz w:val="24"/>
          <w:highlight w:val="none"/>
        </w:rPr>
        <w:t>定标方案明确要求总监理工程师答辩考核的，答辩考核工作方案具体内容详见投标人须知前附表，应参加答辩的投标人名称以及总监理工程师姓名、时间、地点由招标人另行通知。</w:t>
      </w:r>
    </w:p>
    <w:p w14:paraId="5DEC0D41">
      <w:pPr>
        <w:adjustRightInd w:val="0"/>
        <w:snapToGrid w:val="0"/>
        <w:spacing w:beforeLines="0" w:line="360" w:lineRule="auto"/>
        <w:ind w:firstLine="482" w:firstLineChars="200"/>
        <w:rPr>
          <w:b/>
          <w:bCs/>
          <w:color w:val="auto"/>
          <w:sz w:val="24"/>
          <w:highlight w:val="none"/>
        </w:rPr>
      </w:pPr>
      <w:bookmarkStart w:id="393" w:name="_Toc152045568"/>
      <w:bookmarkStart w:id="394" w:name="_Toc487291494"/>
      <w:bookmarkStart w:id="395" w:name="_Toc152042344"/>
      <w:bookmarkStart w:id="396" w:name="_Toc144974536"/>
      <w:bookmarkStart w:id="397" w:name="_Toc487619465"/>
      <w:bookmarkStart w:id="398" w:name="_Toc341805138"/>
      <w:bookmarkStart w:id="399" w:name="_Toc487653383"/>
      <w:bookmarkStart w:id="400" w:name="_Toc356567818"/>
      <w:bookmarkStart w:id="401" w:name="_Toc488650816"/>
      <w:r>
        <w:rPr>
          <w:rFonts w:hint="eastAsia"/>
          <w:b/>
          <w:bCs/>
          <w:color w:val="auto"/>
          <w:sz w:val="24"/>
          <w:highlight w:val="none"/>
          <w:lang w:val="en-US" w:eastAsia="zh-CN"/>
        </w:rPr>
        <w:t>7.4</w:t>
      </w:r>
      <w:r>
        <w:rPr>
          <w:rFonts w:hint="eastAsia"/>
          <w:b/>
          <w:bCs/>
          <w:color w:val="auto"/>
          <w:sz w:val="24"/>
          <w:highlight w:val="none"/>
        </w:rPr>
        <w:t>中标候选人公示</w:t>
      </w:r>
    </w:p>
    <w:p w14:paraId="5E17F027">
      <w:pPr>
        <w:adjustRightInd w:val="0"/>
        <w:snapToGrid w:val="0"/>
        <w:spacing w:beforeLines="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招标人自完成定标之日起3日内在投标人须知前附表规定的媒介公示中标候选人，公示期不得少于3日，中标候选人公示的格式见附件。</w:t>
      </w:r>
    </w:p>
    <w:p w14:paraId="635DDFA7">
      <w:pPr>
        <w:adjustRightInd w:val="0"/>
        <w:snapToGrid w:val="0"/>
        <w:spacing w:beforeLines="0" w:line="360" w:lineRule="auto"/>
        <w:ind w:firstLine="420" w:firstLineChars="200"/>
        <w:rPr>
          <w:color w:val="auto"/>
          <w:highlight w:val="none"/>
        </w:rPr>
      </w:pPr>
      <w:r>
        <w:rPr>
          <w:rFonts w:hint="eastAsia" w:ascii="宋体" w:hAnsi="宋体"/>
          <w:color w:val="auto"/>
          <w:szCs w:val="21"/>
          <w:highlight w:val="none"/>
        </w:rPr>
        <w:t>投标人或其他利害关系人对评标、定标结果有异议的，应在中标候选人公示期间提出。招标人在自收到异议之日起3日内作出答复；作出答复前，应暂停招标投标活动。提出异议与作出答复均应通过“电子交易平台”在“异议与答复”菜单以书面形式进行。</w:t>
      </w:r>
    </w:p>
    <w:p w14:paraId="47116AE2">
      <w:pPr>
        <w:pStyle w:val="5"/>
        <w:adjustRightInd w:val="0"/>
        <w:snapToGrid w:val="0"/>
        <w:spacing w:before="0" w:beforeLines="0" w:after="0" w:line="360" w:lineRule="auto"/>
        <w:ind w:firstLine="482" w:firstLineChars="200"/>
        <w:rPr>
          <w:rFonts w:ascii="黑体" w:hAnsi="宋体"/>
          <w:b w:val="0"/>
          <w:color w:val="auto"/>
          <w:sz w:val="24"/>
          <w:szCs w:val="24"/>
          <w:highlight w:val="none"/>
        </w:rPr>
      </w:pPr>
      <w:r>
        <w:rPr>
          <w:rFonts w:hint="eastAsia" w:ascii="黑体" w:hAnsi="宋体"/>
          <w:color w:val="auto"/>
          <w:sz w:val="24"/>
          <w:szCs w:val="24"/>
          <w:highlight w:val="none"/>
        </w:rPr>
        <w:t>7.</w:t>
      </w:r>
      <w:r>
        <w:rPr>
          <w:rFonts w:hint="eastAsia" w:ascii="黑体" w:hAnsi="宋体"/>
          <w:color w:val="auto"/>
          <w:sz w:val="24"/>
          <w:szCs w:val="24"/>
          <w:highlight w:val="none"/>
          <w:lang w:val="en-US" w:eastAsia="zh-CN"/>
        </w:rPr>
        <w:t>5</w:t>
      </w:r>
      <w:r>
        <w:rPr>
          <w:rFonts w:hint="eastAsia" w:ascii="黑体" w:hAnsi="宋体"/>
          <w:color w:val="auto"/>
          <w:sz w:val="24"/>
          <w:szCs w:val="24"/>
          <w:highlight w:val="none"/>
        </w:rPr>
        <w:t xml:space="preserve"> </w:t>
      </w:r>
      <w:r>
        <w:rPr>
          <w:rFonts w:hint="eastAsia" w:ascii="黑体" w:hAnsi="宋体"/>
          <w:b w:val="0"/>
          <w:color w:val="auto"/>
          <w:sz w:val="24"/>
          <w:szCs w:val="24"/>
          <w:highlight w:val="none"/>
        </w:rPr>
        <w:t xml:space="preserve"> 中标通知</w:t>
      </w:r>
      <w:bookmarkEnd w:id="393"/>
      <w:bookmarkEnd w:id="394"/>
      <w:bookmarkEnd w:id="395"/>
      <w:bookmarkEnd w:id="396"/>
      <w:bookmarkEnd w:id="397"/>
      <w:bookmarkEnd w:id="398"/>
      <w:bookmarkEnd w:id="399"/>
      <w:bookmarkEnd w:id="400"/>
      <w:bookmarkEnd w:id="401"/>
    </w:p>
    <w:p w14:paraId="47A174A2">
      <w:pPr>
        <w:pStyle w:val="18"/>
        <w:adjustRightInd w:val="0"/>
        <w:snapToGrid w:val="0"/>
        <w:spacing w:beforeLines="0" w:after="0" w:line="360" w:lineRule="auto"/>
        <w:ind w:firstLine="479"/>
        <w:rPr>
          <w:rFonts w:ascii="宋体" w:hAnsi="宋体" w:cs="宋体"/>
          <w:color w:val="auto"/>
          <w:sz w:val="24"/>
          <w:highlight w:val="none"/>
        </w:rPr>
      </w:pPr>
      <w:r>
        <w:rPr>
          <w:rFonts w:hint="eastAsia" w:cs="宋体"/>
          <w:color w:val="auto"/>
          <w:kern w:val="1"/>
          <w:sz w:val="21"/>
          <w:szCs w:val="21"/>
          <w:highlight w:val="none"/>
        </w:rPr>
        <w:t>中标人确定后，招标人应当向中标人发出中标通知书，并将中标结果在投标人须知前附表规定的媒介公示进行公布。</w:t>
      </w:r>
      <w:r>
        <w:rPr>
          <w:rFonts w:hint="eastAsia" w:ascii="宋体" w:hAnsi="宋体" w:cs="宋体"/>
          <w:color w:val="auto"/>
          <w:kern w:val="1"/>
          <w:highlight w:val="none"/>
        </w:rPr>
        <w:t>中标结果公示格式见投标须知附件。</w:t>
      </w:r>
      <w:bookmarkStart w:id="402" w:name="_Toc152045569"/>
      <w:bookmarkStart w:id="403" w:name="_Toc152042345"/>
      <w:bookmarkStart w:id="404" w:name="_Toc144974537"/>
      <w:bookmarkStart w:id="405" w:name="_Toc487619466"/>
      <w:bookmarkStart w:id="406" w:name="_Toc487653384"/>
      <w:bookmarkStart w:id="407" w:name="_Toc488650817"/>
      <w:bookmarkStart w:id="408" w:name="_Toc341805139"/>
      <w:bookmarkStart w:id="409" w:name="_Toc487291495"/>
      <w:bookmarkStart w:id="410" w:name="_Toc356567819"/>
    </w:p>
    <w:p w14:paraId="1DC2DAA3">
      <w:pPr>
        <w:adjustRightInd w:val="0"/>
        <w:snapToGrid w:val="0"/>
        <w:spacing w:beforeLines="0" w:line="360" w:lineRule="auto"/>
        <w:ind w:firstLine="480" w:firstLineChars="200"/>
        <w:rPr>
          <w:rFonts w:ascii="黑体" w:hAnsi="宋体"/>
          <w:b/>
          <w:color w:val="auto"/>
          <w:sz w:val="24"/>
          <w:highlight w:val="none"/>
        </w:rPr>
      </w:pPr>
      <w:r>
        <w:rPr>
          <w:rFonts w:hint="eastAsia" w:ascii="黑体" w:hAnsi="宋体"/>
          <w:color w:val="auto"/>
          <w:sz w:val="24"/>
          <w:highlight w:val="none"/>
        </w:rPr>
        <w:t>7.</w:t>
      </w:r>
      <w:r>
        <w:rPr>
          <w:rFonts w:hint="eastAsia" w:ascii="黑体" w:hAnsi="宋体"/>
          <w:color w:val="auto"/>
          <w:sz w:val="24"/>
          <w:highlight w:val="none"/>
          <w:lang w:val="en-US" w:eastAsia="zh-CN"/>
        </w:rPr>
        <w:t>6</w:t>
      </w:r>
      <w:r>
        <w:rPr>
          <w:rFonts w:hint="eastAsia" w:ascii="黑体" w:hAnsi="宋体"/>
          <w:color w:val="auto"/>
          <w:sz w:val="24"/>
          <w:highlight w:val="none"/>
        </w:rPr>
        <w:t xml:space="preserve"> </w:t>
      </w:r>
      <w:r>
        <w:rPr>
          <w:rFonts w:hint="eastAsia" w:ascii="黑体" w:hAnsi="宋体"/>
          <w:b/>
          <w:color w:val="auto"/>
          <w:sz w:val="24"/>
          <w:highlight w:val="none"/>
        </w:rPr>
        <w:t xml:space="preserve"> </w:t>
      </w:r>
      <w:bookmarkEnd w:id="402"/>
      <w:bookmarkEnd w:id="403"/>
      <w:bookmarkEnd w:id="404"/>
      <w:r>
        <w:rPr>
          <w:rFonts w:hint="eastAsia" w:ascii="黑体" w:hAnsi="宋体"/>
          <w:b/>
          <w:color w:val="auto"/>
          <w:sz w:val="24"/>
          <w:highlight w:val="none"/>
        </w:rPr>
        <w:t>履约保证金</w:t>
      </w:r>
      <w:bookmarkEnd w:id="405"/>
      <w:bookmarkEnd w:id="406"/>
      <w:bookmarkEnd w:id="407"/>
      <w:bookmarkEnd w:id="408"/>
      <w:bookmarkEnd w:id="409"/>
      <w:bookmarkEnd w:id="410"/>
    </w:p>
    <w:p w14:paraId="4810407B">
      <w:pPr>
        <w:adjustRightInd w:val="0"/>
        <w:snapToGrid w:val="0"/>
        <w:spacing w:beforeLines="0" w:line="360" w:lineRule="auto"/>
        <w:ind w:firstLine="480" w:firstLineChars="200"/>
        <w:rPr>
          <w:color w:val="auto"/>
          <w:sz w:val="24"/>
          <w:highlight w:val="none"/>
        </w:rPr>
      </w:pPr>
      <w:r>
        <w:rPr>
          <w:rFonts w:hint="eastAsia"/>
          <w:color w:val="auto"/>
          <w:sz w:val="24"/>
          <w:highlight w:val="none"/>
        </w:rPr>
        <w:t>7.</w:t>
      </w:r>
      <w:r>
        <w:rPr>
          <w:rFonts w:hint="eastAsia"/>
          <w:color w:val="auto"/>
          <w:sz w:val="24"/>
          <w:highlight w:val="none"/>
          <w:lang w:val="en-US" w:eastAsia="zh-CN"/>
        </w:rPr>
        <w:t>6</w:t>
      </w:r>
      <w:r>
        <w:rPr>
          <w:rFonts w:hint="eastAsia"/>
          <w:color w:val="auto"/>
          <w:sz w:val="24"/>
          <w:highlight w:val="none"/>
        </w:rPr>
        <w:t>.1  在签订合同前，中标人应按投标人须知前附表规定的金额、担保形式和招标文件第五章规定的格式向招标人提交履约保证金。联合体中标的，其履约保证金由牵头人提交，并应符合投标人须知前附表规定的金额、担保形式和招标文件规定的履约保证金格式要求。</w:t>
      </w:r>
    </w:p>
    <w:p w14:paraId="7A6AB70B">
      <w:pPr>
        <w:adjustRightInd w:val="0"/>
        <w:snapToGrid w:val="0"/>
        <w:spacing w:beforeLines="0" w:line="360" w:lineRule="auto"/>
        <w:ind w:firstLine="480" w:firstLineChars="200"/>
        <w:rPr>
          <w:color w:val="auto"/>
          <w:sz w:val="24"/>
          <w:highlight w:val="none"/>
        </w:rPr>
      </w:pPr>
      <w:r>
        <w:rPr>
          <w:rFonts w:hint="eastAsia"/>
          <w:color w:val="auto"/>
          <w:sz w:val="24"/>
          <w:highlight w:val="none"/>
        </w:rPr>
        <w:t>7.</w:t>
      </w:r>
      <w:r>
        <w:rPr>
          <w:rFonts w:hint="eastAsia"/>
          <w:color w:val="auto"/>
          <w:sz w:val="24"/>
          <w:highlight w:val="none"/>
          <w:lang w:val="en-US" w:eastAsia="zh-CN"/>
        </w:rPr>
        <w:t>6</w:t>
      </w:r>
      <w:r>
        <w:rPr>
          <w:rFonts w:hint="eastAsia"/>
          <w:color w:val="auto"/>
          <w:sz w:val="24"/>
          <w:highlight w:val="none"/>
        </w:rPr>
        <w:t>.2  中标人不能按本章第7.</w:t>
      </w:r>
      <w:r>
        <w:rPr>
          <w:rFonts w:hint="eastAsia"/>
          <w:color w:val="auto"/>
          <w:sz w:val="24"/>
          <w:highlight w:val="none"/>
          <w:lang w:val="en-US" w:eastAsia="zh-CN"/>
        </w:rPr>
        <w:t>6</w:t>
      </w:r>
      <w:r>
        <w:rPr>
          <w:rFonts w:hint="eastAsia"/>
          <w:color w:val="auto"/>
          <w:sz w:val="24"/>
          <w:highlight w:val="none"/>
        </w:rPr>
        <w:t>.1款要求提交履约保证金的，视为放弃中标，其投标保证金不予退还，</w:t>
      </w:r>
      <w:bookmarkStart w:id="411" w:name="OLE_LINK7"/>
      <w:r>
        <w:rPr>
          <w:rFonts w:hint="eastAsia"/>
          <w:color w:val="auto"/>
          <w:sz w:val="24"/>
          <w:highlight w:val="none"/>
        </w:rPr>
        <w:t>给招标人造成的损失超过投标保证金数额的，中标人还应当对超过部分予以赔偿</w:t>
      </w:r>
      <w:bookmarkEnd w:id="411"/>
      <w:r>
        <w:rPr>
          <w:rFonts w:hint="eastAsia"/>
          <w:color w:val="auto"/>
          <w:sz w:val="24"/>
          <w:highlight w:val="none"/>
        </w:rPr>
        <w:t>。</w:t>
      </w:r>
    </w:p>
    <w:p w14:paraId="2A0360C3">
      <w:pPr>
        <w:pStyle w:val="5"/>
        <w:adjustRightInd w:val="0"/>
        <w:snapToGrid w:val="0"/>
        <w:spacing w:before="0" w:beforeLines="0" w:after="0" w:line="360" w:lineRule="auto"/>
        <w:ind w:firstLine="482" w:firstLineChars="200"/>
        <w:rPr>
          <w:rFonts w:ascii="黑体" w:hAnsi="宋体"/>
          <w:b w:val="0"/>
          <w:color w:val="auto"/>
          <w:sz w:val="24"/>
          <w:szCs w:val="24"/>
          <w:highlight w:val="none"/>
        </w:rPr>
      </w:pPr>
      <w:bookmarkStart w:id="412" w:name="_Toc144974538"/>
      <w:bookmarkStart w:id="413" w:name="_Toc488650818"/>
      <w:bookmarkStart w:id="414" w:name="_Toc487291496"/>
      <w:bookmarkStart w:id="415" w:name="_Toc152045570"/>
      <w:bookmarkStart w:id="416" w:name="_Toc487653385"/>
      <w:bookmarkStart w:id="417" w:name="_Toc152042346"/>
      <w:bookmarkStart w:id="418" w:name="_Toc341805140"/>
      <w:bookmarkStart w:id="419" w:name="_Toc487619467"/>
      <w:bookmarkStart w:id="420" w:name="_Toc356567820"/>
      <w:r>
        <w:rPr>
          <w:rFonts w:hint="eastAsia" w:ascii="黑体" w:hAnsi="宋体"/>
          <w:color w:val="auto"/>
          <w:sz w:val="24"/>
          <w:szCs w:val="24"/>
          <w:highlight w:val="none"/>
        </w:rPr>
        <w:t>7.</w:t>
      </w:r>
      <w:r>
        <w:rPr>
          <w:rFonts w:hint="eastAsia" w:ascii="黑体" w:hAnsi="宋体"/>
          <w:color w:val="auto"/>
          <w:sz w:val="24"/>
          <w:szCs w:val="24"/>
          <w:highlight w:val="none"/>
          <w:lang w:val="en-US" w:eastAsia="zh-CN"/>
        </w:rPr>
        <w:t>7</w:t>
      </w:r>
      <w:r>
        <w:rPr>
          <w:rFonts w:hint="eastAsia" w:ascii="黑体" w:hAnsi="宋体"/>
          <w:color w:val="auto"/>
          <w:sz w:val="24"/>
          <w:szCs w:val="24"/>
          <w:highlight w:val="none"/>
        </w:rPr>
        <w:t xml:space="preserve"> </w:t>
      </w:r>
      <w:r>
        <w:rPr>
          <w:rFonts w:hint="eastAsia" w:ascii="黑体" w:hAnsi="宋体" w:eastAsia="宋体"/>
          <w:bCs w:val="0"/>
          <w:color w:val="auto"/>
          <w:sz w:val="24"/>
          <w:szCs w:val="24"/>
          <w:highlight w:val="none"/>
        </w:rPr>
        <w:t xml:space="preserve"> </w:t>
      </w:r>
      <w:r>
        <w:rPr>
          <w:rFonts w:hint="eastAsia" w:ascii="黑体" w:hAnsi="宋体"/>
          <w:color w:val="auto"/>
          <w:sz w:val="24"/>
          <w:szCs w:val="24"/>
          <w:highlight w:val="none"/>
        </w:rPr>
        <w:t>签订合同</w:t>
      </w:r>
      <w:bookmarkEnd w:id="412"/>
      <w:bookmarkEnd w:id="413"/>
      <w:bookmarkEnd w:id="414"/>
      <w:bookmarkEnd w:id="415"/>
      <w:bookmarkEnd w:id="416"/>
      <w:bookmarkEnd w:id="417"/>
      <w:bookmarkEnd w:id="418"/>
      <w:bookmarkEnd w:id="419"/>
      <w:bookmarkEnd w:id="420"/>
    </w:p>
    <w:p w14:paraId="042F2ED8">
      <w:pPr>
        <w:adjustRightInd w:val="0"/>
        <w:snapToGrid w:val="0"/>
        <w:spacing w:beforeLines="0" w:line="360" w:lineRule="auto"/>
        <w:ind w:firstLine="480" w:firstLineChars="200"/>
        <w:rPr>
          <w:color w:val="auto"/>
          <w:sz w:val="24"/>
          <w:highlight w:val="none"/>
        </w:rPr>
      </w:pPr>
      <w:r>
        <w:rPr>
          <w:rFonts w:hint="eastAsia"/>
          <w:color w:val="auto"/>
          <w:sz w:val="24"/>
          <w:highlight w:val="none"/>
        </w:rPr>
        <w:t>7.</w:t>
      </w:r>
      <w:r>
        <w:rPr>
          <w:rFonts w:hint="eastAsia"/>
          <w:color w:val="auto"/>
          <w:sz w:val="24"/>
          <w:highlight w:val="none"/>
          <w:lang w:val="en-US" w:eastAsia="zh-CN"/>
        </w:rPr>
        <w:t>7</w:t>
      </w:r>
      <w:r>
        <w:rPr>
          <w:rFonts w:hint="eastAsia"/>
          <w:color w:val="auto"/>
          <w:sz w:val="24"/>
          <w:highlight w:val="none"/>
        </w:rPr>
        <w:t>.1  招标人和中标人应当自中标通知书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1803FE70">
      <w:pPr>
        <w:adjustRightInd w:val="0"/>
        <w:snapToGrid w:val="0"/>
        <w:spacing w:beforeLines="0" w:line="360" w:lineRule="auto"/>
        <w:ind w:firstLine="480" w:firstLineChars="200"/>
        <w:rPr>
          <w:color w:val="auto"/>
          <w:sz w:val="24"/>
          <w:highlight w:val="none"/>
        </w:rPr>
      </w:pPr>
      <w:r>
        <w:rPr>
          <w:rFonts w:hint="eastAsia"/>
          <w:color w:val="auto"/>
          <w:sz w:val="24"/>
          <w:highlight w:val="none"/>
        </w:rPr>
        <w:t>7.</w:t>
      </w:r>
      <w:r>
        <w:rPr>
          <w:rFonts w:hint="eastAsia"/>
          <w:color w:val="auto"/>
          <w:sz w:val="24"/>
          <w:highlight w:val="none"/>
          <w:lang w:val="en-US" w:eastAsia="zh-CN"/>
        </w:rPr>
        <w:t>7</w:t>
      </w:r>
      <w:r>
        <w:rPr>
          <w:rFonts w:hint="eastAsia"/>
          <w:color w:val="auto"/>
          <w:sz w:val="24"/>
          <w:highlight w:val="none"/>
        </w:rPr>
        <w:t xml:space="preserve">.2  发出中标通知书后，招标人无正当理由拒签合同的，招标人应向中标人退还投标保证金及银行同期存款利息；给中标人造成损失的，还应当赔偿损失。 </w:t>
      </w:r>
    </w:p>
    <w:p w14:paraId="15DA0355">
      <w:pPr>
        <w:pStyle w:val="5"/>
        <w:adjustRightInd w:val="0"/>
        <w:snapToGrid w:val="0"/>
        <w:spacing w:before="0" w:beforeLines="0" w:after="0" w:line="360" w:lineRule="auto"/>
        <w:ind w:firstLine="562" w:firstLineChars="200"/>
        <w:rPr>
          <w:color w:val="auto"/>
          <w:highlight w:val="none"/>
        </w:rPr>
      </w:pPr>
      <w:bookmarkStart w:id="421" w:name="_Toc330384404"/>
      <w:bookmarkStart w:id="422" w:name="_Toc283559197"/>
      <w:bookmarkStart w:id="423" w:name="_Toc488650819"/>
      <w:bookmarkStart w:id="424" w:name="_Toc307991156"/>
      <w:bookmarkStart w:id="425" w:name="_Toc286759039"/>
      <w:bookmarkStart w:id="426" w:name="_Toc152045571"/>
      <w:bookmarkStart w:id="427" w:name="_Toc283558700"/>
      <w:bookmarkStart w:id="428" w:name="_Toc152042347"/>
      <w:bookmarkStart w:id="429" w:name="_Toc341805141"/>
      <w:bookmarkStart w:id="430" w:name="_Toc144974539"/>
      <w:bookmarkStart w:id="431" w:name="_Toc487291497"/>
      <w:r>
        <w:rPr>
          <w:rFonts w:hint="eastAsia"/>
          <w:color w:val="auto"/>
          <w:highlight w:val="none"/>
        </w:rPr>
        <w:t>8</w:t>
      </w:r>
      <w:r>
        <w:rPr>
          <w:color w:val="auto"/>
          <w:highlight w:val="none"/>
        </w:rPr>
        <w:t>．</w:t>
      </w:r>
      <w:r>
        <w:rPr>
          <w:rFonts w:hint="eastAsia"/>
          <w:color w:val="auto"/>
          <w:highlight w:val="none"/>
        </w:rPr>
        <w:t>重新招标</w:t>
      </w:r>
      <w:bookmarkEnd w:id="421"/>
      <w:bookmarkEnd w:id="422"/>
      <w:bookmarkEnd w:id="423"/>
      <w:bookmarkEnd w:id="424"/>
      <w:bookmarkEnd w:id="425"/>
      <w:bookmarkEnd w:id="426"/>
      <w:bookmarkEnd w:id="427"/>
      <w:bookmarkEnd w:id="428"/>
      <w:bookmarkEnd w:id="429"/>
      <w:bookmarkEnd w:id="430"/>
      <w:bookmarkEnd w:id="431"/>
    </w:p>
    <w:p w14:paraId="05FC6F87">
      <w:pPr>
        <w:pStyle w:val="5"/>
        <w:adjustRightInd w:val="0"/>
        <w:snapToGrid w:val="0"/>
        <w:spacing w:before="0" w:beforeLines="0" w:after="0" w:line="360" w:lineRule="auto"/>
        <w:ind w:firstLine="482" w:firstLineChars="200"/>
        <w:rPr>
          <w:rFonts w:ascii="黑体" w:hAnsi="宋体"/>
          <w:b w:val="0"/>
          <w:color w:val="auto"/>
          <w:sz w:val="24"/>
          <w:szCs w:val="24"/>
          <w:highlight w:val="none"/>
        </w:rPr>
      </w:pPr>
      <w:bookmarkStart w:id="432" w:name="_Toc487291498"/>
      <w:bookmarkStart w:id="433" w:name="_Toc152045572"/>
      <w:bookmarkStart w:id="434" w:name="_Toc487653387"/>
      <w:bookmarkStart w:id="435" w:name="_Toc341805142"/>
      <w:bookmarkStart w:id="436" w:name="_Toc488650820"/>
      <w:bookmarkStart w:id="437" w:name="_Toc487619469"/>
      <w:bookmarkStart w:id="438" w:name="_Toc152042348"/>
      <w:bookmarkStart w:id="439" w:name="_Toc356567822"/>
      <w:bookmarkStart w:id="440" w:name="_Toc144974540"/>
      <w:r>
        <w:rPr>
          <w:rFonts w:hint="eastAsia" w:ascii="黑体" w:hAnsi="宋体"/>
          <w:color w:val="auto"/>
          <w:sz w:val="24"/>
          <w:szCs w:val="24"/>
          <w:highlight w:val="none"/>
        </w:rPr>
        <w:t>8.1</w:t>
      </w:r>
      <w:r>
        <w:rPr>
          <w:rFonts w:hint="eastAsia" w:ascii="黑体" w:hAnsi="宋体"/>
          <w:b w:val="0"/>
          <w:color w:val="auto"/>
          <w:sz w:val="24"/>
          <w:szCs w:val="24"/>
          <w:highlight w:val="none"/>
        </w:rPr>
        <w:t xml:space="preserve">  重新招标</w:t>
      </w:r>
      <w:bookmarkEnd w:id="432"/>
      <w:bookmarkEnd w:id="433"/>
      <w:bookmarkEnd w:id="434"/>
      <w:bookmarkEnd w:id="435"/>
      <w:bookmarkEnd w:id="436"/>
      <w:bookmarkEnd w:id="437"/>
      <w:bookmarkEnd w:id="438"/>
      <w:bookmarkEnd w:id="439"/>
      <w:bookmarkEnd w:id="440"/>
    </w:p>
    <w:p w14:paraId="175E4135">
      <w:pPr>
        <w:adjustRightInd w:val="0"/>
        <w:snapToGrid w:val="0"/>
        <w:spacing w:beforeLines="0" w:line="360" w:lineRule="auto"/>
        <w:ind w:firstLine="480" w:firstLineChars="200"/>
        <w:rPr>
          <w:color w:val="auto"/>
          <w:sz w:val="24"/>
          <w:highlight w:val="none"/>
        </w:rPr>
      </w:pPr>
      <w:r>
        <w:rPr>
          <w:rFonts w:hint="eastAsia"/>
          <w:color w:val="auto"/>
          <w:sz w:val="24"/>
          <w:highlight w:val="none"/>
        </w:rPr>
        <w:t>有下列情形之一的，招标人应当重新招标：</w:t>
      </w:r>
    </w:p>
    <w:p w14:paraId="3DE91A43">
      <w:pPr>
        <w:adjustRightInd w:val="0"/>
        <w:snapToGrid w:val="0"/>
        <w:spacing w:beforeLines="0" w:line="360" w:lineRule="auto"/>
        <w:ind w:firstLine="480" w:firstLineChars="200"/>
        <w:rPr>
          <w:color w:val="auto"/>
          <w:sz w:val="24"/>
          <w:highlight w:val="none"/>
        </w:rPr>
      </w:pPr>
      <w:r>
        <w:rPr>
          <w:rFonts w:hint="eastAsia"/>
          <w:color w:val="auto"/>
          <w:sz w:val="24"/>
          <w:highlight w:val="none"/>
        </w:rPr>
        <w:t>（1）投标截止时间止，投标人少于3个的；</w:t>
      </w:r>
    </w:p>
    <w:p w14:paraId="17F5E4CB">
      <w:pPr>
        <w:adjustRightInd w:val="0"/>
        <w:snapToGrid w:val="0"/>
        <w:spacing w:beforeLines="0" w:line="360" w:lineRule="auto"/>
        <w:ind w:firstLine="480" w:firstLineChars="200"/>
        <w:rPr>
          <w:color w:val="auto"/>
          <w:sz w:val="24"/>
          <w:highlight w:val="none"/>
        </w:rPr>
      </w:pPr>
      <w:r>
        <w:rPr>
          <w:rFonts w:hint="eastAsia"/>
          <w:color w:val="auto"/>
          <w:sz w:val="24"/>
          <w:highlight w:val="none"/>
        </w:rPr>
        <w:t>（2）经评标委员会评审后否决所有投标的；</w:t>
      </w:r>
    </w:p>
    <w:p w14:paraId="4DE9617B">
      <w:pPr>
        <w:adjustRightInd w:val="0"/>
        <w:snapToGrid w:val="0"/>
        <w:spacing w:beforeLines="0" w:line="360" w:lineRule="auto"/>
        <w:ind w:firstLine="480" w:firstLineChars="200"/>
        <w:rPr>
          <w:color w:val="auto"/>
          <w:sz w:val="24"/>
          <w:highlight w:val="none"/>
        </w:rPr>
      </w:pPr>
      <w:r>
        <w:rPr>
          <w:rFonts w:hint="eastAsia"/>
          <w:color w:val="auto"/>
          <w:sz w:val="24"/>
          <w:highlight w:val="none"/>
        </w:rPr>
        <w:t>（3）法律规定的其他情形。</w:t>
      </w:r>
    </w:p>
    <w:p w14:paraId="54873412">
      <w:pPr>
        <w:pStyle w:val="5"/>
        <w:adjustRightInd w:val="0"/>
        <w:snapToGrid w:val="0"/>
        <w:spacing w:before="0" w:beforeLines="0" w:after="0" w:line="360" w:lineRule="auto"/>
        <w:ind w:firstLine="562" w:firstLineChars="200"/>
        <w:rPr>
          <w:color w:val="auto"/>
          <w:highlight w:val="none"/>
        </w:rPr>
      </w:pPr>
      <w:bookmarkStart w:id="441" w:name="_Toc144974542"/>
      <w:bookmarkStart w:id="442" w:name="_Toc283558701"/>
      <w:bookmarkStart w:id="443" w:name="_Toc307991157"/>
      <w:bookmarkStart w:id="444" w:name="_Toc330384405"/>
      <w:bookmarkStart w:id="445" w:name="_Toc283559198"/>
      <w:bookmarkStart w:id="446" w:name="_Toc152045574"/>
      <w:bookmarkStart w:id="447" w:name="_Toc488650822"/>
      <w:bookmarkStart w:id="448" w:name="_Toc341805144"/>
      <w:bookmarkStart w:id="449" w:name="_Toc152042350"/>
      <w:bookmarkStart w:id="450" w:name="_Toc487291500"/>
      <w:bookmarkStart w:id="451" w:name="_Toc286759040"/>
      <w:r>
        <w:rPr>
          <w:rFonts w:hint="eastAsia"/>
          <w:color w:val="auto"/>
          <w:highlight w:val="none"/>
        </w:rPr>
        <w:t>9</w:t>
      </w:r>
      <w:r>
        <w:rPr>
          <w:color w:val="auto"/>
          <w:highlight w:val="none"/>
        </w:rPr>
        <w:t>．</w:t>
      </w:r>
      <w:r>
        <w:rPr>
          <w:rFonts w:hint="eastAsia"/>
          <w:color w:val="auto"/>
          <w:highlight w:val="none"/>
        </w:rPr>
        <w:t>纪律和监督</w:t>
      </w:r>
      <w:bookmarkEnd w:id="441"/>
      <w:bookmarkEnd w:id="442"/>
      <w:bookmarkEnd w:id="443"/>
      <w:bookmarkEnd w:id="444"/>
      <w:bookmarkEnd w:id="445"/>
      <w:bookmarkEnd w:id="446"/>
      <w:bookmarkEnd w:id="447"/>
      <w:bookmarkEnd w:id="448"/>
      <w:bookmarkEnd w:id="449"/>
      <w:bookmarkEnd w:id="450"/>
      <w:bookmarkEnd w:id="451"/>
    </w:p>
    <w:p w14:paraId="2DB820DE">
      <w:pPr>
        <w:pStyle w:val="5"/>
        <w:adjustRightInd w:val="0"/>
        <w:snapToGrid w:val="0"/>
        <w:spacing w:before="0" w:beforeLines="0" w:after="0" w:line="360" w:lineRule="auto"/>
        <w:ind w:firstLine="482" w:firstLineChars="200"/>
        <w:rPr>
          <w:rFonts w:ascii="黑体" w:hAnsi="宋体"/>
          <w:b w:val="0"/>
          <w:color w:val="auto"/>
          <w:sz w:val="24"/>
          <w:szCs w:val="24"/>
          <w:highlight w:val="none"/>
        </w:rPr>
      </w:pPr>
      <w:bookmarkStart w:id="452" w:name="_Toc487619472"/>
      <w:bookmarkStart w:id="453" w:name="_Toc152045575"/>
      <w:bookmarkStart w:id="454" w:name="_Toc487291501"/>
      <w:bookmarkStart w:id="455" w:name="_Toc341805145"/>
      <w:bookmarkStart w:id="456" w:name="_Toc152042351"/>
      <w:bookmarkStart w:id="457" w:name="_Toc356567825"/>
      <w:bookmarkStart w:id="458" w:name="_Toc487653390"/>
      <w:bookmarkStart w:id="459" w:name="_Toc144974543"/>
      <w:bookmarkStart w:id="460" w:name="_Toc488650823"/>
      <w:r>
        <w:rPr>
          <w:rFonts w:hint="eastAsia" w:ascii="黑体" w:hAnsi="宋体"/>
          <w:color w:val="auto"/>
          <w:sz w:val="24"/>
          <w:szCs w:val="24"/>
          <w:highlight w:val="none"/>
        </w:rPr>
        <w:t xml:space="preserve">9.1 </w:t>
      </w:r>
      <w:r>
        <w:rPr>
          <w:rFonts w:hint="eastAsia" w:ascii="黑体" w:hAnsi="宋体"/>
          <w:b w:val="0"/>
          <w:color w:val="auto"/>
          <w:sz w:val="24"/>
          <w:szCs w:val="24"/>
          <w:highlight w:val="none"/>
        </w:rPr>
        <w:t xml:space="preserve"> 对招标人和招标代理的纪律要求</w:t>
      </w:r>
      <w:bookmarkEnd w:id="452"/>
      <w:bookmarkEnd w:id="453"/>
      <w:bookmarkEnd w:id="454"/>
      <w:bookmarkEnd w:id="455"/>
      <w:bookmarkEnd w:id="456"/>
      <w:bookmarkEnd w:id="457"/>
      <w:bookmarkEnd w:id="458"/>
      <w:bookmarkEnd w:id="459"/>
      <w:bookmarkEnd w:id="460"/>
    </w:p>
    <w:p w14:paraId="073203A2">
      <w:pPr>
        <w:adjustRightInd w:val="0"/>
        <w:snapToGrid w:val="0"/>
        <w:spacing w:beforeLines="0" w:line="360" w:lineRule="auto"/>
        <w:ind w:firstLine="480" w:firstLineChars="200"/>
        <w:rPr>
          <w:color w:val="auto"/>
          <w:sz w:val="24"/>
          <w:highlight w:val="none"/>
        </w:rPr>
      </w:pPr>
      <w:r>
        <w:rPr>
          <w:rFonts w:hint="eastAsia"/>
          <w:color w:val="auto"/>
          <w:sz w:val="24"/>
          <w:highlight w:val="none"/>
        </w:rPr>
        <w:t>招标人和招标代理不得收受他人的财物或者其他好处，不得泄漏招标投标活动中应当保密的情况和资料，不得与投标人串通损害国家利益、社会公共利益或者他人合法权益，不得对评标委员会的评标工作进行干预和施加任何影响。</w:t>
      </w:r>
    </w:p>
    <w:p w14:paraId="4D53DB48">
      <w:pPr>
        <w:pStyle w:val="5"/>
        <w:adjustRightInd w:val="0"/>
        <w:snapToGrid w:val="0"/>
        <w:spacing w:before="0" w:beforeLines="0" w:after="0" w:line="360" w:lineRule="auto"/>
        <w:ind w:firstLine="482" w:firstLineChars="200"/>
        <w:rPr>
          <w:rFonts w:ascii="黑体" w:hAnsi="宋体"/>
          <w:b w:val="0"/>
          <w:color w:val="auto"/>
          <w:sz w:val="24"/>
          <w:szCs w:val="24"/>
          <w:highlight w:val="none"/>
        </w:rPr>
      </w:pPr>
      <w:bookmarkStart w:id="461" w:name="_Toc487653391"/>
      <w:bookmarkStart w:id="462" w:name="_Toc152045576"/>
      <w:bookmarkStart w:id="463" w:name="_Toc356567826"/>
      <w:bookmarkStart w:id="464" w:name="_Toc488650824"/>
      <w:bookmarkStart w:id="465" w:name="_Toc144974544"/>
      <w:bookmarkStart w:id="466" w:name="_Toc152042352"/>
      <w:bookmarkStart w:id="467" w:name="_Toc487291502"/>
      <w:bookmarkStart w:id="468" w:name="_Toc487619473"/>
      <w:bookmarkStart w:id="469" w:name="_Toc341805146"/>
      <w:r>
        <w:rPr>
          <w:rFonts w:hint="eastAsia" w:ascii="黑体" w:hAnsi="宋体"/>
          <w:color w:val="auto"/>
          <w:sz w:val="24"/>
          <w:szCs w:val="24"/>
          <w:highlight w:val="none"/>
        </w:rPr>
        <w:t>9.2</w:t>
      </w:r>
      <w:r>
        <w:rPr>
          <w:rFonts w:hint="eastAsia" w:ascii="黑体" w:hAnsi="宋体"/>
          <w:b w:val="0"/>
          <w:color w:val="auto"/>
          <w:sz w:val="24"/>
          <w:szCs w:val="24"/>
          <w:highlight w:val="none"/>
        </w:rPr>
        <w:t xml:space="preserve">  对投标人的纪律要求</w:t>
      </w:r>
      <w:bookmarkEnd w:id="461"/>
      <w:bookmarkEnd w:id="462"/>
      <w:bookmarkEnd w:id="463"/>
      <w:bookmarkEnd w:id="464"/>
      <w:bookmarkEnd w:id="465"/>
      <w:bookmarkEnd w:id="466"/>
      <w:bookmarkEnd w:id="467"/>
      <w:bookmarkEnd w:id="468"/>
      <w:bookmarkEnd w:id="469"/>
    </w:p>
    <w:p w14:paraId="14ADB572">
      <w:pPr>
        <w:adjustRightInd w:val="0"/>
        <w:snapToGrid w:val="0"/>
        <w:spacing w:beforeLines="0" w:line="360" w:lineRule="auto"/>
        <w:ind w:firstLine="480" w:firstLineChars="200"/>
        <w:rPr>
          <w:color w:val="auto"/>
          <w:sz w:val="24"/>
          <w:highlight w:val="none"/>
        </w:rPr>
      </w:pPr>
      <w:r>
        <w:rPr>
          <w:rFonts w:hint="eastAsia"/>
          <w:color w:val="auto"/>
          <w:sz w:val="24"/>
          <w:highlight w:val="none"/>
        </w:rPr>
        <w:t>投标人不得相互串通投标或者与招标人、招标代理串通投标，不得向招标人、招标代理或者评标委员会成员行贿谋取中标，不得以他人名义投标或者以其他方式弄虚作假骗取中标；投标人不得以任何方式干扰、影响评标工作。</w:t>
      </w:r>
    </w:p>
    <w:p w14:paraId="67A8BD48">
      <w:pPr>
        <w:pStyle w:val="5"/>
        <w:adjustRightInd w:val="0"/>
        <w:snapToGrid w:val="0"/>
        <w:spacing w:before="0" w:beforeLines="0" w:after="0" w:line="360" w:lineRule="auto"/>
        <w:ind w:firstLine="482" w:firstLineChars="200"/>
        <w:rPr>
          <w:rFonts w:ascii="黑体" w:hAnsi="宋体"/>
          <w:color w:val="auto"/>
          <w:sz w:val="24"/>
          <w:szCs w:val="24"/>
          <w:highlight w:val="none"/>
        </w:rPr>
      </w:pPr>
      <w:bookmarkStart w:id="470" w:name="_Toc152045577"/>
      <w:bookmarkStart w:id="471" w:name="_Toc356567827"/>
      <w:bookmarkStart w:id="472" w:name="_Toc488650825"/>
      <w:bookmarkStart w:id="473" w:name="_Toc487653392"/>
      <w:bookmarkStart w:id="474" w:name="_Toc144974545"/>
      <w:bookmarkStart w:id="475" w:name="_Toc152042353"/>
      <w:bookmarkStart w:id="476" w:name="_Toc341805147"/>
      <w:bookmarkStart w:id="477" w:name="_Toc487291503"/>
      <w:bookmarkStart w:id="478" w:name="_Toc487619474"/>
      <w:r>
        <w:rPr>
          <w:rFonts w:hint="eastAsia" w:ascii="黑体" w:hAnsi="宋体"/>
          <w:color w:val="auto"/>
          <w:sz w:val="24"/>
          <w:szCs w:val="24"/>
          <w:highlight w:val="none"/>
        </w:rPr>
        <w:t xml:space="preserve">9.3  </w:t>
      </w:r>
      <w:r>
        <w:rPr>
          <w:rFonts w:hint="eastAsia" w:ascii="黑体" w:hAnsi="宋体"/>
          <w:b w:val="0"/>
          <w:bCs w:val="0"/>
          <w:color w:val="auto"/>
          <w:sz w:val="24"/>
          <w:szCs w:val="24"/>
          <w:highlight w:val="none"/>
        </w:rPr>
        <w:t>对评标委员会、清标小组和定标委员会的纪律要求</w:t>
      </w:r>
    </w:p>
    <w:p w14:paraId="302EA599">
      <w:pPr>
        <w:adjustRightInd w:val="0"/>
        <w:snapToGrid w:val="0"/>
        <w:spacing w:beforeLines="0" w:line="360" w:lineRule="auto"/>
        <w:ind w:firstLine="480" w:firstLineChars="200"/>
        <w:rPr>
          <w:rFonts w:ascii="宋体" w:hAnsi="宋体"/>
          <w:color w:val="auto"/>
          <w:sz w:val="24"/>
          <w:highlight w:val="none"/>
        </w:rPr>
      </w:pPr>
      <w:r>
        <w:rPr>
          <w:rFonts w:hint="eastAsia" w:ascii="宋体" w:hAnsi="宋体"/>
          <w:color w:val="auto"/>
          <w:sz w:val="24"/>
          <w:highlight w:val="none"/>
        </w:rPr>
        <w:t>评标委员会、清标小组和定标委员会成员不得收受他人的财物或者其他好处，不得向他人透漏对投标文件的评审和比较、定标候选人的推荐情况、清标定标情况以及有关的其他情况。在评标、清标、定标活动中，评标委员会、清标小组和定标委员会成员应当客观、公正地履行职责，遵守职业道德，不得擅离职守，影响有关程序正常进行。</w:t>
      </w:r>
      <w:bookmarkEnd w:id="470"/>
      <w:bookmarkEnd w:id="471"/>
      <w:bookmarkEnd w:id="472"/>
      <w:bookmarkEnd w:id="473"/>
      <w:bookmarkEnd w:id="474"/>
      <w:bookmarkEnd w:id="475"/>
      <w:bookmarkEnd w:id="476"/>
      <w:bookmarkEnd w:id="477"/>
      <w:bookmarkEnd w:id="478"/>
    </w:p>
    <w:p w14:paraId="70D2E098">
      <w:pPr>
        <w:pStyle w:val="5"/>
        <w:adjustRightInd w:val="0"/>
        <w:snapToGrid w:val="0"/>
        <w:spacing w:before="0" w:beforeLines="0" w:after="0" w:line="360" w:lineRule="auto"/>
        <w:ind w:firstLine="480" w:firstLineChars="200"/>
        <w:rPr>
          <w:rFonts w:ascii="黑体" w:hAnsi="宋体"/>
          <w:b w:val="0"/>
          <w:bCs w:val="0"/>
          <w:color w:val="auto"/>
          <w:sz w:val="24"/>
          <w:szCs w:val="24"/>
          <w:highlight w:val="none"/>
        </w:rPr>
      </w:pPr>
      <w:bookmarkStart w:id="479" w:name="_Toc487291504"/>
      <w:bookmarkStart w:id="480" w:name="_Toc152045578"/>
      <w:bookmarkStart w:id="481" w:name="_Toc152042354"/>
      <w:bookmarkStart w:id="482" w:name="_Toc488650826"/>
      <w:bookmarkStart w:id="483" w:name="_Toc341805148"/>
      <w:bookmarkStart w:id="484" w:name="_Toc356567828"/>
      <w:bookmarkStart w:id="485" w:name="_Toc487653393"/>
      <w:bookmarkStart w:id="486" w:name="_Toc487619475"/>
      <w:bookmarkStart w:id="487" w:name="_Toc144974546"/>
      <w:r>
        <w:rPr>
          <w:rFonts w:hint="eastAsia" w:ascii="黑体" w:hAnsi="宋体"/>
          <w:b w:val="0"/>
          <w:bCs w:val="0"/>
          <w:color w:val="auto"/>
          <w:sz w:val="24"/>
          <w:szCs w:val="24"/>
          <w:highlight w:val="none"/>
        </w:rPr>
        <w:t>9.4  对与评标、清标和定标活动有关的工作人员的纪律要求</w:t>
      </w:r>
    </w:p>
    <w:p w14:paraId="65FC1EBA">
      <w:pPr>
        <w:adjustRightInd w:val="0"/>
        <w:snapToGrid w:val="0"/>
        <w:spacing w:beforeLines="0" w:line="360" w:lineRule="auto"/>
        <w:ind w:firstLine="480" w:firstLineChars="200"/>
        <w:rPr>
          <w:rFonts w:ascii="宋体" w:hAnsi="宋体"/>
          <w:color w:val="auto"/>
          <w:sz w:val="24"/>
          <w:highlight w:val="none"/>
        </w:rPr>
      </w:pPr>
      <w:r>
        <w:rPr>
          <w:rFonts w:hint="eastAsia" w:ascii="宋体" w:hAnsi="宋体"/>
          <w:color w:val="auto"/>
          <w:sz w:val="24"/>
          <w:highlight w:val="none"/>
        </w:rPr>
        <w:t>与评标、清标和定标活动有关的工作人员不得收受他人的财物或者其他好处，不得向他人透漏对投标文件的评审和比较、定标候选人的推荐情况、清标定标情况以及有关的其他情况。在评标、清标、定标活动中，与评标、清标、定标活动有关的工作人员不得擅离职守，影响有关程序正常进行。</w:t>
      </w:r>
      <w:bookmarkEnd w:id="479"/>
      <w:bookmarkEnd w:id="480"/>
      <w:bookmarkEnd w:id="481"/>
      <w:bookmarkEnd w:id="482"/>
      <w:bookmarkEnd w:id="483"/>
      <w:bookmarkEnd w:id="484"/>
      <w:bookmarkEnd w:id="485"/>
      <w:bookmarkEnd w:id="486"/>
    </w:p>
    <w:p w14:paraId="69253D37">
      <w:pPr>
        <w:adjustRightInd w:val="0"/>
        <w:snapToGrid w:val="0"/>
        <w:spacing w:beforeLines="0" w:line="360" w:lineRule="auto"/>
        <w:ind w:firstLine="480"/>
        <w:rPr>
          <w:rFonts w:ascii="宋体" w:hAnsi="宋体"/>
          <w:color w:val="auto"/>
          <w:sz w:val="24"/>
          <w:highlight w:val="none"/>
        </w:rPr>
      </w:pPr>
      <w:bookmarkStart w:id="488" w:name="_Toc341805149"/>
      <w:bookmarkStart w:id="489" w:name="_Toc488650827"/>
      <w:bookmarkStart w:id="490" w:name="_Toc152042356"/>
      <w:bookmarkStart w:id="491" w:name="_Toc356567829"/>
      <w:bookmarkStart w:id="492" w:name="_Toc487291505"/>
      <w:bookmarkStart w:id="493" w:name="_Toc487653394"/>
      <w:bookmarkStart w:id="494" w:name="_Toc152045579"/>
      <w:bookmarkStart w:id="495" w:name="_Toc487619476"/>
      <w:r>
        <w:rPr>
          <w:rFonts w:hint="eastAsia" w:ascii="宋体" w:hAnsi="宋体"/>
          <w:color w:val="auto"/>
          <w:sz w:val="24"/>
          <w:highlight w:val="none"/>
        </w:rPr>
        <w:t xml:space="preserve">9.5  </w:t>
      </w:r>
      <w:bookmarkStart w:id="496" w:name="_Toc30170381"/>
      <w:bookmarkStart w:id="497" w:name="_Toc458439978"/>
      <w:bookmarkStart w:id="498" w:name="_Toc27330"/>
      <w:r>
        <w:rPr>
          <w:rFonts w:hint="eastAsia" w:ascii="宋体" w:hAnsi="宋体"/>
          <w:color w:val="auto"/>
          <w:sz w:val="24"/>
          <w:highlight w:val="none"/>
          <w:lang w:val="zh-CN"/>
        </w:rPr>
        <w:t>异议、投诉</w:t>
      </w:r>
      <w:bookmarkEnd w:id="496"/>
      <w:bookmarkEnd w:id="497"/>
      <w:bookmarkEnd w:id="498"/>
      <w:r>
        <w:rPr>
          <w:rFonts w:hint="eastAsia" w:ascii="宋体" w:hAnsi="宋体"/>
          <w:color w:val="auto"/>
          <w:sz w:val="24"/>
          <w:highlight w:val="none"/>
          <w:lang w:val="zh-CN"/>
        </w:rPr>
        <w:t>与处理</w:t>
      </w:r>
      <w:bookmarkEnd w:id="487"/>
      <w:bookmarkEnd w:id="488"/>
      <w:bookmarkEnd w:id="489"/>
      <w:bookmarkEnd w:id="490"/>
      <w:bookmarkEnd w:id="491"/>
      <w:bookmarkEnd w:id="492"/>
      <w:bookmarkEnd w:id="493"/>
      <w:bookmarkEnd w:id="494"/>
      <w:bookmarkEnd w:id="495"/>
    </w:p>
    <w:p w14:paraId="26629E3F">
      <w:pPr>
        <w:adjustRightInd w:val="0"/>
        <w:snapToGrid w:val="0"/>
        <w:spacing w:beforeLines="0" w:line="360" w:lineRule="auto"/>
        <w:ind w:firstLine="480"/>
        <w:rPr>
          <w:rFonts w:ascii="宋体" w:hAnsi="宋体"/>
          <w:color w:val="auto"/>
          <w:sz w:val="24"/>
          <w:highlight w:val="none"/>
        </w:rPr>
      </w:pPr>
      <w:bookmarkStart w:id="499" w:name="_Toc144974547"/>
      <w:bookmarkStart w:id="500" w:name="_Toc152045580"/>
      <w:bookmarkStart w:id="501" w:name="_Toc330384406"/>
      <w:bookmarkStart w:id="502" w:name="_Toc307991158"/>
      <w:bookmarkStart w:id="503" w:name="_Toc283558702"/>
      <w:bookmarkStart w:id="504" w:name="_Toc341805150"/>
      <w:bookmarkStart w:id="505" w:name="_Toc283559199"/>
      <w:bookmarkStart w:id="506" w:name="_Toc286759041"/>
      <w:bookmarkStart w:id="507" w:name="_Toc152042357"/>
      <w:r>
        <w:rPr>
          <w:rFonts w:hint="eastAsia" w:ascii="宋体" w:hAnsi="宋体"/>
          <w:color w:val="auto"/>
          <w:sz w:val="24"/>
          <w:highlight w:val="none"/>
        </w:rPr>
        <w:t>9.5.1异议处理</w:t>
      </w:r>
    </w:p>
    <w:p w14:paraId="44885074">
      <w:pPr>
        <w:adjustRightInd w:val="0"/>
        <w:snapToGrid w:val="0"/>
        <w:spacing w:beforeLines="0" w:line="360" w:lineRule="auto"/>
        <w:ind w:firstLine="480"/>
        <w:rPr>
          <w:rFonts w:ascii="宋体" w:hAnsi="宋体"/>
          <w:color w:val="auto"/>
          <w:sz w:val="24"/>
          <w:highlight w:val="none"/>
        </w:rPr>
      </w:pPr>
      <w:r>
        <w:rPr>
          <w:rFonts w:hint="eastAsia" w:ascii="宋体" w:hAnsi="宋体"/>
          <w:color w:val="auto"/>
          <w:sz w:val="24"/>
          <w:highlight w:val="none"/>
        </w:rPr>
        <w:t>（1）投标人对开标有异议的，应当使用本单位的CA证书当场通过电子交易平台在线提出；招标人应当通过电子交易平台当场作出答复。电子交易平台应当记录并保存异议的提出和答复情况。</w:t>
      </w:r>
    </w:p>
    <w:p w14:paraId="54528D66">
      <w:pPr>
        <w:adjustRightInd w:val="0"/>
        <w:snapToGrid w:val="0"/>
        <w:spacing w:beforeLines="0" w:line="360" w:lineRule="auto"/>
        <w:ind w:firstLine="480" w:firstLineChars="200"/>
        <w:rPr>
          <w:rFonts w:ascii="宋体" w:hAnsi="宋体"/>
          <w:color w:val="auto"/>
          <w:sz w:val="24"/>
          <w:highlight w:val="none"/>
        </w:rPr>
      </w:pPr>
      <w:r>
        <w:rPr>
          <w:rFonts w:hint="eastAsia" w:ascii="宋体" w:hAnsi="宋体"/>
          <w:color w:val="auto"/>
          <w:sz w:val="24"/>
          <w:highlight w:val="none"/>
        </w:rPr>
        <w:t>（2）潜在投标人对招标文件有异议的</w:t>
      </w:r>
      <w:r>
        <w:rPr>
          <w:rFonts w:hint="eastAsia" w:ascii="宋体" w:hAnsi="宋体"/>
          <w:color w:val="auto"/>
          <w:sz w:val="24"/>
          <w:highlight w:val="none"/>
          <w:lang w:eastAsia="zh-CN"/>
        </w:rPr>
        <w:t>，</w:t>
      </w:r>
      <w:r>
        <w:rPr>
          <w:rFonts w:hint="eastAsia" w:ascii="宋体" w:hAnsi="宋体"/>
          <w:color w:val="auto"/>
          <w:sz w:val="24"/>
          <w:highlight w:val="none"/>
        </w:rPr>
        <w:t>应当在规定的期限内（对招标文件的异议期限为在投标截止时间10天前</w:t>
      </w:r>
      <w:r>
        <w:rPr>
          <w:rFonts w:hint="eastAsia" w:ascii="宋体" w:hAnsi="宋体"/>
          <w:color w:val="auto"/>
          <w:sz w:val="24"/>
          <w:highlight w:val="none"/>
          <w:lang w:eastAsia="zh-CN"/>
        </w:rPr>
        <w:t>）</w:t>
      </w:r>
      <w:r>
        <w:rPr>
          <w:rFonts w:hint="eastAsia" w:ascii="宋体" w:hAnsi="宋体"/>
          <w:color w:val="auto"/>
          <w:sz w:val="24"/>
          <w:highlight w:val="none"/>
        </w:rPr>
        <w:t>通过</w:t>
      </w:r>
      <w:r>
        <w:rPr>
          <w:rFonts w:hint="eastAsia" w:ascii="宋体" w:hAnsi="宋体"/>
          <w:color w:val="auto"/>
          <w:sz w:val="24"/>
          <w:highlight w:val="none"/>
          <w:lang w:val="en-US" w:eastAsia="zh-CN"/>
        </w:rPr>
        <w:t>公共资源</w:t>
      </w:r>
      <w:r>
        <w:rPr>
          <w:rFonts w:hint="eastAsia" w:ascii="宋体" w:hAnsi="宋体"/>
          <w:color w:val="auto"/>
          <w:sz w:val="24"/>
          <w:highlight w:val="none"/>
        </w:rPr>
        <w:t>电子交易平台向招标人提出</w:t>
      </w:r>
      <w:r>
        <w:rPr>
          <w:rFonts w:hint="eastAsia" w:ascii="宋体" w:hAnsi="宋体"/>
          <w:color w:val="auto"/>
          <w:sz w:val="24"/>
          <w:highlight w:val="none"/>
          <w:lang w:eastAsia="zh-CN"/>
        </w:rPr>
        <w:t>。</w:t>
      </w:r>
      <w:r>
        <w:rPr>
          <w:rFonts w:hint="eastAsia" w:ascii="宋体" w:hAnsi="宋体"/>
          <w:color w:val="auto"/>
          <w:sz w:val="24"/>
          <w:highlight w:val="none"/>
        </w:rPr>
        <w:t>投标人及其他利害关系人</w:t>
      </w:r>
      <w:r>
        <w:rPr>
          <w:rFonts w:hint="eastAsia" w:ascii="宋体" w:hAnsi="宋体"/>
          <w:color w:val="auto"/>
          <w:sz w:val="24"/>
          <w:highlight w:val="none"/>
          <w:lang w:val="en-US" w:eastAsia="zh-CN"/>
        </w:rPr>
        <w:t>对</w:t>
      </w:r>
      <w:r>
        <w:rPr>
          <w:rFonts w:hint="eastAsia" w:ascii="宋体" w:hAnsi="宋体"/>
          <w:color w:val="auto"/>
          <w:sz w:val="24"/>
          <w:highlight w:val="none"/>
        </w:rPr>
        <w:t>评标结果或定标结果有异议的，应当在规定的期限内（对评标结果或定标结果的异议期限为中标候选人公示期内）通过</w:t>
      </w:r>
      <w:r>
        <w:rPr>
          <w:rFonts w:hint="eastAsia" w:ascii="宋体" w:hAnsi="宋体"/>
          <w:color w:val="auto"/>
          <w:sz w:val="24"/>
          <w:highlight w:val="none"/>
          <w:lang w:val="en-US" w:eastAsia="zh-CN"/>
        </w:rPr>
        <w:t>公共资源</w:t>
      </w:r>
      <w:r>
        <w:rPr>
          <w:rFonts w:hint="eastAsia" w:ascii="宋体" w:hAnsi="宋体"/>
          <w:color w:val="auto"/>
          <w:sz w:val="24"/>
          <w:highlight w:val="none"/>
        </w:rPr>
        <w:t xml:space="preserve">电子交易平台向招标人提出。     </w:t>
      </w:r>
    </w:p>
    <w:p w14:paraId="44DB0467">
      <w:pPr>
        <w:adjustRightInd w:val="0"/>
        <w:snapToGrid w:val="0"/>
        <w:spacing w:beforeLines="0" w:line="360" w:lineRule="auto"/>
        <w:ind w:firstLine="480" w:firstLineChars="200"/>
        <w:rPr>
          <w:rFonts w:ascii="宋体" w:hAnsi="宋体"/>
          <w:color w:val="auto"/>
          <w:sz w:val="24"/>
          <w:highlight w:val="none"/>
        </w:rPr>
      </w:pPr>
      <w:r>
        <w:rPr>
          <w:rFonts w:hint="eastAsia" w:ascii="宋体" w:hAnsi="宋体"/>
          <w:color w:val="auto"/>
          <w:sz w:val="24"/>
          <w:highlight w:val="none"/>
        </w:rPr>
        <w:t>异议应当包括下列内容：</w:t>
      </w:r>
    </w:p>
    <w:p w14:paraId="1A8A070F">
      <w:pPr>
        <w:adjustRightInd w:val="0"/>
        <w:snapToGrid w:val="0"/>
        <w:spacing w:beforeLines="0" w:line="360" w:lineRule="auto"/>
        <w:ind w:firstLine="480" w:firstLineChars="200"/>
        <w:rPr>
          <w:rFonts w:ascii="宋体" w:hAnsi="宋体"/>
          <w:color w:val="auto"/>
          <w:sz w:val="24"/>
          <w:highlight w:val="none"/>
        </w:rPr>
      </w:pPr>
      <w:r>
        <w:rPr>
          <w:rFonts w:hint="eastAsia" w:ascii="宋体" w:hAnsi="宋体"/>
          <w:color w:val="auto"/>
          <w:sz w:val="24"/>
          <w:highlight w:val="none"/>
        </w:rPr>
        <w:t>（一）异议人的名称、地址及有效联系方式；</w:t>
      </w:r>
    </w:p>
    <w:p w14:paraId="3E4998B0">
      <w:pPr>
        <w:adjustRightInd w:val="0"/>
        <w:snapToGrid w:val="0"/>
        <w:spacing w:beforeLines="0" w:line="360" w:lineRule="auto"/>
        <w:ind w:firstLine="480" w:firstLineChars="200"/>
        <w:rPr>
          <w:rFonts w:ascii="宋体" w:hAnsi="宋体"/>
          <w:color w:val="auto"/>
          <w:sz w:val="24"/>
          <w:highlight w:val="none"/>
        </w:rPr>
      </w:pPr>
      <w:r>
        <w:rPr>
          <w:rFonts w:hint="eastAsia" w:ascii="宋体" w:hAnsi="宋体"/>
          <w:color w:val="auto"/>
          <w:sz w:val="24"/>
          <w:highlight w:val="none"/>
        </w:rPr>
        <w:t>（二）被异议人的名称（仅适用于对评标结果或定标结果的异议）；</w:t>
      </w:r>
    </w:p>
    <w:p w14:paraId="646FF4AF">
      <w:pPr>
        <w:adjustRightInd w:val="0"/>
        <w:snapToGrid w:val="0"/>
        <w:spacing w:beforeLines="0" w:line="360" w:lineRule="auto"/>
        <w:ind w:firstLine="480" w:firstLineChars="200"/>
        <w:rPr>
          <w:rFonts w:ascii="宋体" w:hAnsi="宋体"/>
          <w:color w:val="auto"/>
          <w:sz w:val="24"/>
          <w:highlight w:val="none"/>
        </w:rPr>
      </w:pPr>
      <w:r>
        <w:rPr>
          <w:rFonts w:hint="eastAsia" w:ascii="宋体" w:hAnsi="宋体"/>
          <w:color w:val="auto"/>
          <w:sz w:val="24"/>
          <w:highlight w:val="none"/>
        </w:rPr>
        <w:t>（三）异议事项的基本事实；</w:t>
      </w:r>
    </w:p>
    <w:p w14:paraId="2E38CDE3">
      <w:pPr>
        <w:adjustRightInd w:val="0"/>
        <w:snapToGrid w:val="0"/>
        <w:spacing w:beforeLines="0" w:line="360" w:lineRule="auto"/>
        <w:ind w:firstLine="480" w:firstLineChars="200"/>
        <w:rPr>
          <w:rFonts w:ascii="宋体" w:hAnsi="宋体"/>
          <w:color w:val="auto"/>
          <w:sz w:val="24"/>
          <w:highlight w:val="none"/>
        </w:rPr>
      </w:pPr>
      <w:r>
        <w:rPr>
          <w:rFonts w:hint="eastAsia" w:ascii="宋体" w:hAnsi="宋体"/>
          <w:color w:val="auto"/>
          <w:sz w:val="24"/>
          <w:highlight w:val="none"/>
        </w:rPr>
        <w:t>（四）相关请求及主张；</w:t>
      </w:r>
    </w:p>
    <w:p w14:paraId="4FF0F430">
      <w:pPr>
        <w:adjustRightInd w:val="0"/>
        <w:snapToGrid w:val="0"/>
        <w:spacing w:beforeLines="0"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（五）有效线索和相关证明材料。 </w:t>
      </w:r>
    </w:p>
    <w:p w14:paraId="44483554">
      <w:pPr>
        <w:adjustRightInd w:val="0"/>
        <w:snapToGrid w:val="0"/>
        <w:spacing w:beforeLines="0" w:line="360" w:lineRule="auto"/>
        <w:ind w:firstLine="480" w:firstLineChars="200"/>
        <w:rPr>
          <w:rFonts w:ascii="宋体" w:hAnsi="宋体"/>
          <w:color w:val="auto"/>
          <w:sz w:val="24"/>
          <w:highlight w:val="none"/>
        </w:rPr>
      </w:pPr>
      <w:r>
        <w:rPr>
          <w:rFonts w:hint="eastAsia" w:ascii="宋体" w:hAnsi="宋体"/>
          <w:color w:val="auto"/>
          <w:sz w:val="24"/>
          <w:highlight w:val="none"/>
        </w:rPr>
        <w:t>异议人是法人的，书面异议必须由其法定代表人签字并盖公章；与本招标活动有利害关系的自然人提出的，书面异议必须由异议人本人签字，并附有效身份证明复印件以及与本招标项目有利害关系的证明材料。</w:t>
      </w:r>
    </w:p>
    <w:p w14:paraId="4FECA8D6">
      <w:pPr>
        <w:adjustRightInd w:val="0"/>
        <w:snapToGrid w:val="0"/>
        <w:spacing w:beforeLines="0" w:line="360" w:lineRule="auto"/>
        <w:ind w:firstLine="480" w:firstLineChars="200"/>
        <w:rPr>
          <w:rFonts w:ascii="宋体" w:hAnsi="宋体"/>
          <w:color w:val="auto"/>
          <w:sz w:val="24"/>
          <w:highlight w:val="none"/>
        </w:rPr>
      </w:pPr>
      <w:r>
        <w:rPr>
          <w:rFonts w:hint="eastAsia" w:ascii="宋体" w:hAnsi="宋体"/>
          <w:color w:val="auto"/>
          <w:sz w:val="24"/>
          <w:highlight w:val="none"/>
        </w:rPr>
        <w:t>（3）招标人收到对招标文件或评标结果的异议后，应当在3日内作出是否受理的决定，逾期未作出不予受理决定的，自收到异议之日起即视为受理。有下列情形之一的异议，不予受理，并向异议人发出不予受理告知书：</w:t>
      </w:r>
    </w:p>
    <w:p w14:paraId="6E5C4945">
      <w:pPr>
        <w:adjustRightInd w:val="0"/>
        <w:snapToGrid w:val="0"/>
        <w:spacing w:beforeLines="0" w:line="360" w:lineRule="auto"/>
        <w:ind w:firstLine="480" w:firstLineChars="200"/>
        <w:rPr>
          <w:rFonts w:ascii="宋体" w:hAnsi="宋体"/>
          <w:color w:val="auto"/>
          <w:sz w:val="24"/>
          <w:highlight w:val="none"/>
        </w:rPr>
      </w:pPr>
      <w:r>
        <w:rPr>
          <w:rFonts w:hint="eastAsia" w:ascii="宋体" w:hAnsi="宋体"/>
          <w:color w:val="auto"/>
          <w:sz w:val="24"/>
          <w:highlight w:val="none"/>
        </w:rPr>
        <w:t>（一）对评标结果或定标结果有异议的异议人不是本项目的参与者，或者与本项目无任何利害关系；</w:t>
      </w:r>
    </w:p>
    <w:p w14:paraId="3CC95450">
      <w:pPr>
        <w:adjustRightInd w:val="0"/>
        <w:snapToGrid w:val="0"/>
        <w:spacing w:beforeLines="0"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（二）异议事项不具体，且未提供有效线索，难以查证的； </w:t>
      </w:r>
    </w:p>
    <w:p w14:paraId="4B6BFE79">
      <w:pPr>
        <w:adjustRightInd w:val="0"/>
        <w:snapToGrid w:val="0"/>
        <w:spacing w:beforeLines="0" w:line="360" w:lineRule="auto"/>
        <w:ind w:firstLine="480" w:firstLineChars="200"/>
        <w:rPr>
          <w:rFonts w:ascii="宋体" w:hAnsi="宋体"/>
          <w:color w:val="auto"/>
          <w:sz w:val="24"/>
          <w:highlight w:val="none"/>
        </w:rPr>
      </w:pPr>
      <w:r>
        <w:rPr>
          <w:rFonts w:hint="eastAsia" w:ascii="宋体" w:hAnsi="宋体"/>
          <w:color w:val="auto"/>
          <w:sz w:val="24"/>
          <w:highlight w:val="none"/>
        </w:rPr>
        <w:t>（三）异议未署具异议人真实姓名、签字和有效联系方式的；以法人名义提出异议的，异议未经法定代表人签字并加盖公章的；</w:t>
      </w:r>
    </w:p>
    <w:p w14:paraId="2F7B13DD">
      <w:pPr>
        <w:adjustRightInd w:val="0"/>
        <w:snapToGrid w:val="0"/>
        <w:spacing w:beforeLines="0" w:line="360" w:lineRule="auto"/>
        <w:ind w:firstLine="480" w:firstLineChars="200"/>
        <w:rPr>
          <w:rFonts w:ascii="宋体" w:hAnsi="宋体"/>
          <w:color w:val="auto"/>
          <w:sz w:val="24"/>
          <w:highlight w:val="none"/>
        </w:rPr>
      </w:pPr>
      <w:r>
        <w:rPr>
          <w:rFonts w:hint="eastAsia" w:ascii="宋体" w:hAnsi="宋体"/>
          <w:color w:val="auto"/>
          <w:sz w:val="24"/>
          <w:highlight w:val="none"/>
        </w:rPr>
        <w:t>（四）超过异议时效的。</w:t>
      </w:r>
    </w:p>
    <w:p w14:paraId="5F8A0E6B">
      <w:pPr>
        <w:adjustRightInd w:val="0"/>
        <w:snapToGrid w:val="0"/>
        <w:spacing w:beforeLines="0" w:line="360" w:lineRule="auto"/>
        <w:ind w:firstLine="480" w:firstLineChars="200"/>
        <w:rPr>
          <w:rFonts w:ascii="宋体" w:hAnsi="宋体"/>
          <w:color w:val="auto"/>
          <w:sz w:val="24"/>
          <w:highlight w:val="none"/>
        </w:rPr>
      </w:pPr>
      <w:r>
        <w:rPr>
          <w:rFonts w:hint="eastAsia" w:ascii="宋体" w:hAnsi="宋体"/>
          <w:color w:val="auto"/>
          <w:sz w:val="24"/>
          <w:highlight w:val="none"/>
        </w:rPr>
        <w:t>招标人对招标文件或评标结果或定标结果异议的处理结果，应当通过电子交易平台作出答复并向社会公开，同时通过省行政监督平台向监督机关备案。在作出答复前应当暂停下一阶段招投标活动。</w:t>
      </w:r>
    </w:p>
    <w:p w14:paraId="6477D0AE">
      <w:pPr>
        <w:adjustRightInd w:val="0"/>
        <w:snapToGrid w:val="0"/>
        <w:spacing w:beforeLines="0" w:line="360" w:lineRule="auto"/>
        <w:ind w:firstLine="480" w:firstLineChars="200"/>
        <w:rPr>
          <w:rFonts w:ascii="宋体" w:hAnsi="宋体"/>
          <w:color w:val="auto"/>
          <w:sz w:val="24"/>
          <w:highlight w:val="none"/>
        </w:rPr>
      </w:pPr>
      <w:r>
        <w:rPr>
          <w:rFonts w:ascii="宋体" w:hAnsi="宋体"/>
          <w:color w:val="auto"/>
          <w:sz w:val="24"/>
          <w:highlight w:val="none"/>
        </w:rPr>
        <w:t>9.5.</w:t>
      </w:r>
      <w:r>
        <w:rPr>
          <w:rFonts w:hint="eastAsia" w:ascii="宋体" w:hAnsi="宋体"/>
          <w:color w:val="auto"/>
          <w:sz w:val="24"/>
          <w:highlight w:val="none"/>
        </w:rPr>
        <w:t>2投诉</w:t>
      </w:r>
    </w:p>
    <w:p w14:paraId="24CC160A">
      <w:pPr>
        <w:adjustRightInd w:val="0"/>
        <w:snapToGrid w:val="0"/>
        <w:spacing w:beforeLines="0" w:line="360" w:lineRule="auto"/>
        <w:ind w:firstLine="480" w:firstLineChars="200"/>
        <w:rPr>
          <w:rFonts w:ascii="宋体" w:hAnsi="宋体"/>
          <w:color w:val="auto"/>
          <w:sz w:val="24"/>
          <w:highlight w:val="none"/>
        </w:rPr>
      </w:pPr>
      <w:r>
        <w:rPr>
          <w:rFonts w:ascii="宋体" w:hAnsi="宋体"/>
          <w:color w:val="auto"/>
          <w:sz w:val="24"/>
          <w:highlight w:val="none"/>
        </w:rPr>
        <w:t>9.5.</w:t>
      </w:r>
      <w:r>
        <w:rPr>
          <w:rFonts w:hint="eastAsia" w:ascii="宋体" w:hAnsi="宋体"/>
          <w:color w:val="auto"/>
          <w:sz w:val="24"/>
          <w:highlight w:val="none"/>
        </w:rPr>
        <w:t>2</w:t>
      </w:r>
      <w:r>
        <w:rPr>
          <w:rFonts w:ascii="宋体" w:hAnsi="宋体"/>
          <w:color w:val="auto"/>
          <w:sz w:val="24"/>
          <w:highlight w:val="none"/>
        </w:rPr>
        <w:t>.1根据中华人民共和国国务院令《中华人民共和国招标投标法实施条例》</w:t>
      </w:r>
      <w:r>
        <w:rPr>
          <w:rFonts w:hint="eastAsia" w:ascii="宋体" w:hAnsi="宋体"/>
          <w:color w:val="auto"/>
          <w:sz w:val="24"/>
          <w:highlight w:val="none"/>
        </w:rPr>
        <w:t>、</w:t>
      </w:r>
      <w:r>
        <w:rPr>
          <w:rFonts w:ascii="宋体" w:hAnsi="宋体"/>
          <w:color w:val="auto"/>
          <w:sz w:val="24"/>
          <w:highlight w:val="none"/>
        </w:rPr>
        <w:t>国家发改委、</w:t>
      </w:r>
      <w:r>
        <w:rPr>
          <w:rFonts w:hint="eastAsia" w:ascii="宋体" w:hAnsi="宋体"/>
          <w:color w:val="auto"/>
          <w:sz w:val="24"/>
          <w:highlight w:val="none"/>
        </w:rPr>
        <w:t>交通运输部</w:t>
      </w:r>
      <w:r>
        <w:rPr>
          <w:rFonts w:ascii="宋体" w:hAnsi="宋体"/>
          <w:color w:val="auto"/>
          <w:sz w:val="24"/>
          <w:highlight w:val="none"/>
        </w:rPr>
        <w:t>等</w:t>
      </w:r>
      <w:r>
        <w:rPr>
          <w:rFonts w:hint="eastAsia" w:ascii="宋体" w:hAnsi="宋体"/>
          <w:color w:val="auto"/>
          <w:sz w:val="24"/>
          <w:highlight w:val="none"/>
        </w:rPr>
        <w:t>8</w:t>
      </w:r>
      <w:r>
        <w:rPr>
          <w:rFonts w:ascii="宋体" w:hAnsi="宋体"/>
          <w:color w:val="auto"/>
          <w:sz w:val="24"/>
          <w:highlight w:val="none"/>
        </w:rPr>
        <w:t>部委（局）《关于工程建设项目招</w:t>
      </w:r>
      <w:r>
        <w:rPr>
          <w:rFonts w:hint="eastAsia" w:ascii="宋体" w:hAnsi="宋体"/>
          <w:color w:val="auto"/>
          <w:sz w:val="24"/>
          <w:highlight w:val="none"/>
        </w:rPr>
        <w:t>标</w:t>
      </w:r>
      <w:r>
        <w:rPr>
          <w:rFonts w:ascii="宋体" w:hAnsi="宋体"/>
          <w:color w:val="auto"/>
          <w:sz w:val="24"/>
          <w:highlight w:val="none"/>
        </w:rPr>
        <w:t>投标活动投诉处理办法</w:t>
      </w:r>
      <w:r>
        <w:rPr>
          <w:rFonts w:hint="eastAsia" w:ascii="宋体" w:hAnsi="宋体"/>
          <w:color w:val="auto"/>
          <w:sz w:val="24"/>
          <w:highlight w:val="none"/>
        </w:rPr>
        <w:t>（2013修正）</w:t>
      </w:r>
      <w:r>
        <w:rPr>
          <w:rFonts w:ascii="宋体" w:hAnsi="宋体"/>
          <w:color w:val="auto"/>
          <w:sz w:val="24"/>
          <w:highlight w:val="none"/>
        </w:rPr>
        <w:t>》</w:t>
      </w:r>
      <w:r>
        <w:rPr>
          <w:rFonts w:hint="eastAsia" w:ascii="宋体" w:hAnsi="宋体"/>
          <w:color w:val="auto"/>
          <w:sz w:val="24"/>
          <w:highlight w:val="none"/>
        </w:rPr>
        <w:t>以及《福建省交通运输厅关于规范公路水运工程招投标线上投诉有关事项的通知》（闽交建函〔2020〕72号）等有关</w:t>
      </w:r>
      <w:r>
        <w:rPr>
          <w:rFonts w:ascii="宋体" w:hAnsi="宋体"/>
          <w:color w:val="auto"/>
          <w:sz w:val="24"/>
          <w:highlight w:val="none"/>
        </w:rPr>
        <w:t>规定，投标人和其他利害关系人认为招投标活动不符合法律、行政法规定的。应当先向招标人提出异议，招标人应按《中华人民共和国招标投标法实施条例》规定的时限做出答复，异议答复不能解决的。</w:t>
      </w:r>
      <w:r>
        <w:rPr>
          <w:rFonts w:hint="eastAsia" w:ascii="宋体" w:hAnsi="宋体"/>
          <w:color w:val="auto"/>
          <w:sz w:val="24"/>
          <w:highlight w:val="none"/>
        </w:rPr>
        <w:t>可以向各级行政监督部门逐级投诉（应提供向招标人提出异议的证明函件）。</w:t>
      </w:r>
      <w:r>
        <w:rPr>
          <w:rFonts w:ascii="宋体" w:hAnsi="宋体"/>
          <w:color w:val="auto"/>
          <w:sz w:val="24"/>
          <w:highlight w:val="none"/>
        </w:rPr>
        <w:t xml:space="preserve"> </w:t>
      </w:r>
    </w:p>
    <w:p w14:paraId="199672E4">
      <w:pPr>
        <w:adjustRightInd w:val="0"/>
        <w:snapToGrid w:val="0"/>
        <w:spacing w:beforeLines="0" w:line="360" w:lineRule="auto"/>
        <w:ind w:firstLine="480" w:firstLineChars="200"/>
        <w:rPr>
          <w:rFonts w:ascii="宋体" w:hAnsi="宋体"/>
          <w:color w:val="auto"/>
          <w:sz w:val="24"/>
          <w:highlight w:val="none"/>
        </w:rPr>
      </w:pPr>
      <w:r>
        <w:rPr>
          <w:rFonts w:ascii="宋体" w:hAnsi="宋体"/>
          <w:color w:val="auto"/>
          <w:sz w:val="24"/>
          <w:highlight w:val="none"/>
        </w:rPr>
        <w:t>9.5.</w:t>
      </w:r>
      <w:r>
        <w:rPr>
          <w:rFonts w:hint="eastAsia" w:ascii="宋体" w:hAnsi="宋体"/>
          <w:color w:val="auto"/>
          <w:sz w:val="24"/>
          <w:highlight w:val="none"/>
        </w:rPr>
        <w:t>2</w:t>
      </w:r>
      <w:r>
        <w:rPr>
          <w:rFonts w:ascii="宋体" w:hAnsi="宋体"/>
          <w:color w:val="auto"/>
          <w:sz w:val="24"/>
          <w:highlight w:val="none"/>
        </w:rPr>
        <w:t>.</w:t>
      </w:r>
      <w:r>
        <w:rPr>
          <w:rFonts w:hint="eastAsia" w:ascii="宋体" w:hAnsi="宋体"/>
          <w:color w:val="auto"/>
          <w:sz w:val="24"/>
          <w:highlight w:val="none"/>
        </w:rPr>
        <w:t>2</w:t>
      </w:r>
      <w:r>
        <w:rPr>
          <w:rFonts w:ascii="宋体" w:hAnsi="宋体"/>
          <w:color w:val="auto"/>
          <w:sz w:val="24"/>
          <w:highlight w:val="none"/>
        </w:rPr>
        <w:t xml:space="preserve">投诉人投诉时，应提交投诉书。投诉书应包括以下内容： </w:t>
      </w:r>
    </w:p>
    <w:p w14:paraId="1BBE9A74">
      <w:pPr>
        <w:adjustRightInd w:val="0"/>
        <w:snapToGrid w:val="0"/>
        <w:spacing w:beforeLines="0"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 xml:space="preserve">1）投诉人的名称、地址及有效联系方式； </w:t>
      </w:r>
    </w:p>
    <w:p w14:paraId="31EE17A6">
      <w:pPr>
        <w:adjustRightInd w:val="0"/>
        <w:snapToGrid w:val="0"/>
        <w:spacing w:beforeLines="0"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2）被投诉人的名称、地址及有效联系方式；</w:t>
      </w:r>
    </w:p>
    <w:p w14:paraId="12EA1C6E">
      <w:pPr>
        <w:adjustRightInd w:val="0"/>
        <w:snapToGrid w:val="0"/>
        <w:spacing w:beforeLines="0"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3）投诉事项的基本事实；</w:t>
      </w:r>
    </w:p>
    <w:p w14:paraId="6E59E616">
      <w:pPr>
        <w:adjustRightInd w:val="0"/>
        <w:snapToGrid w:val="0"/>
        <w:spacing w:beforeLines="0"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4）相关请求及主张；</w:t>
      </w:r>
    </w:p>
    <w:p w14:paraId="39CAE830">
      <w:pPr>
        <w:adjustRightInd w:val="0"/>
        <w:snapToGrid w:val="0"/>
        <w:spacing w:beforeLines="0"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 xml:space="preserve">5）投诉人是法人的，投诉书必须由其法定代表人或者授权代表签字并盖章；其他组织或个人投诉的，投诉书必须由其主要负责人或投诉人本人签字，并附有效身份证明扫描件，已向有关行政监督部门投诉的、应当一并说明情况，并附上有效线索和相关证明材料。 </w:t>
      </w:r>
      <w:r>
        <w:rPr>
          <w:rFonts w:hint="eastAsia" w:ascii="宋体" w:hAnsi="宋体"/>
          <w:color w:val="auto"/>
          <w:sz w:val="24"/>
          <w:highlight w:val="none"/>
        </w:rPr>
        <w:t>投诉书有关材料是外文的，投诉人应当同时提供其中文译本。</w:t>
      </w:r>
    </w:p>
    <w:p w14:paraId="764C08AA">
      <w:pPr>
        <w:adjustRightInd w:val="0"/>
        <w:snapToGrid w:val="0"/>
        <w:spacing w:beforeLines="0" w:line="360" w:lineRule="auto"/>
        <w:ind w:firstLine="480" w:firstLineChars="200"/>
        <w:rPr>
          <w:rFonts w:ascii="宋体" w:hAnsi="宋体"/>
          <w:color w:val="auto"/>
          <w:sz w:val="24"/>
          <w:highlight w:val="none"/>
        </w:rPr>
      </w:pPr>
      <w:r>
        <w:rPr>
          <w:rFonts w:ascii="宋体" w:hAnsi="宋体"/>
          <w:color w:val="auto"/>
          <w:sz w:val="24"/>
          <w:highlight w:val="none"/>
        </w:rPr>
        <w:t>9.5.</w:t>
      </w:r>
      <w:r>
        <w:rPr>
          <w:rFonts w:hint="eastAsia" w:ascii="宋体" w:hAnsi="宋体"/>
          <w:color w:val="auto"/>
          <w:sz w:val="24"/>
          <w:highlight w:val="none"/>
        </w:rPr>
        <w:t>2</w:t>
      </w:r>
      <w:r>
        <w:rPr>
          <w:rFonts w:ascii="宋体" w:hAnsi="宋体"/>
          <w:color w:val="auto"/>
          <w:sz w:val="24"/>
          <w:highlight w:val="none"/>
        </w:rPr>
        <w:t>.</w:t>
      </w:r>
      <w:r>
        <w:rPr>
          <w:rFonts w:hint="eastAsia" w:ascii="宋体" w:hAnsi="宋体"/>
          <w:color w:val="auto"/>
          <w:sz w:val="24"/>
          <w:highlight w:val="none"/>
        </w:rPr>
        <w:t>3</w:t>
      </w:r>
      <w:r>
        <w:rPr>
          <w:rFonts w:ascii="宋体" w:hAnsi="宋体"/>
          <w:color w:val="auto"/>
          <w:sz w:val="24"/>
          <w:highlight w:val="none"/>
        </w:rPr>
        <w:t xml:space="preserve">投诉人不得以投诉为名排挤竞争对手，不得虚假、恶意投诉、阻碍招标投标活动的正常进行。 </w:t>
      </w:r>
    </w:p>
    <w:p w14:paraId="081849D6">
      <w:pPr>
        <w:adjustRightInd w:val="0"/>
        <w:snapToGrid w:val="0"/>
        <w:spacing w:beforeLines="0" w:line="360" w:lineRule="auto"/>
        <w:ind w:firstLine="480" w:firstLineChars="200"/>
        <w:rPr>
          <w:rFonts w:ascii="宋体" w:hAnsi="宋体"/>
          <w:color w:val="auto"/>
          <w:sz w:val="24"/>
          <w:highlight w:val="none"/>
        </w:rPr>
      </w:pPr>
      <w:r>
        <w:rPr>
          <w:rFonts w:ascii="宋体" w:hAnsi="宋体"/>
          <w:color w:val="auto"/>
          <w:sz w:val="24"/>
          <w:highlight w:val="none"/>
        </w:rPr>
        <w:t>9.5.</w:t>
      </w:r>
      <w:r>
        <w:rPr>
          <w:rFonts w:hint="eastAsia" w:ascii="宋体" w:hAnsi="宋体"/>
          <w:color w:val="auto"/>
          <w:sz w:val="24"/>
          <w:highlight w:val="none"/>
        </w:rPr>
        <w:t>2</w:t>
      </w:r>
      <w:r>
        <w:rPr>
          <w:rFonts w:ascii="宋体" w:hAnsi="宋体"/>
          <w:color w:val="auto"/>
          <w:sz w:val="24"/>
          <w:highlight w:val="none"/>
        </w:rPr>
        <w:t>.</w:t>
      </w:r>
      <w:r>
        <w:rPr>
          <w:rFonts w:hint="eastAsia" w:ascii="宋体" w:hAnsi="宋体"/>
          <w:color w:val="auto"/>
          <w:sz w:val="24"/>
          <w:highlight w:val="none"/>
        </w:rPr>
        <w:t>4</w:t>
      </w:r>
      <w:r>
        <w:rPr>
          <w:rFonts w:ascii="宋体" w:hAnsi="宋体"/>
          <w:color w:val="auto"/>
          <w:sz w:val="24"/>
          <w:highlight w:val="none"/>
        </w:rPr>
        <w:t>投诉人认为招投标活动不符合法律、行政法规定的，可以在知道或应当知道之日起10日内提出书面投诉。依照有关行政法规提出异议的，异议答复期不计在内。</w:t>
      </w:r>
    </w:p>
    <w:p w14:paraId="746724D2">
      <w:pPr>
        <w:adjustRightInd w:val="0"/>
        <w:snapToGrid w:val="0"/>
        <w:spacing w:beforeLines="0" w:line="360" w:lineRule="auto"/>
        <w:ind w:firstLine="480" w:firstLineChars="200"/>
        <w:rPr>
          <w:rFonts w:ascii="宋体" w:hAnsi="宋体"/>
          <w:color w:val="auto"/>
          <w:sz w:val="24"/>
          <w:highlight w:val="none"/>
        </w:rPr>
      </w:pPr>
      <w:r>
        <w:rPr>
          <w:rFonts w:ascii="宋体" w:hAnsi="宋体"/>
          <w:color w:val="auto"/>
          <w:sz w:val="24"/>
          <w:highlight w:val="none"/>
        </w:rPr>
        <w:t>9.5.</w:t>
      </w:r>
      <w:r>
        <w:rPr>
          <w:rFonts w:hint="eastAsia" w:ascii="宋体" w:hAnsi="宋体"/>
          <w:color w:val="auto"/>
          <w:sz w:val="24"/>
          <w:highlight w:val="none"/>
        </w:rPr>
        <w:t>2</w:t>
      </w:r>
      <w:r>
        <w:rPr>
          <w:rFonts w:ascii="宋体" w:hAnsi="宋体"/>
          <w:color w:val="auto"/>
          <w:sz w:val="24"/>
          <w:highlight w:val="none"/>
        </w:rPr>
        <w:t>.</w:t>
      </w:r>
      <w:r>
        <w:rPr>
          <w:rFonts w:hint="eastAsia" w:ascii="宋体" w:hAnsi="宋体"/>
          <w:color w:val="auto"/>
          <w:sz w:val="24"/>
          <w:highlight w:val="none"/>
        </w:rPr>
        <w:t>5</w:t>
      </w:r>
      <w:r>
        <w:rPr>
          <w:rFonts w:ascii="宋体" w:hAnsi="宋体"/>
          <w:color w:val="auto"/>
          <w:sz w:val="24"/>
          <w:highlight w:val="none"/>
        </w:rPr>
        <w:t xml:space="preserve">投诉人可以自己直接投诉，也可以委托代理人办理投诉事务。代理人办理投诉事务时，应将授权委托书连同投诉书一并提交投诉机构。授权委托书应当明确有关委托代理的权限和事项。 </w:t>
      </w:r>
    </w:p>
    <w:p w14:paraId="45FC847C">
      <w:pPr>
        <w:adjustRightInd w:val="0"/>
        <w:snapToGrid w:val="0"/>
        <w:spacing w:beforeLines="0" w:line="360" w:lineRule="auto"/>
        <w:ind w:firstLine="480" w:firstLineChars="200"/>
        <w:rPr>
          <w:rFonts w:ascii="宋体" w:hAnsi="宋体"/>
          <w:color w:val="auto"/>
          <w:sz w:val="24"/>
          <w:highlight w:val="none"/>
        </w:rPr>
      </w:pPr>
      <w:r>
        <w:rPr>
          <w:rFonts w:ascii="宋体" w:hAnsi="宋体"/>
          <w:color w:val="auto"/>
          <w:sz w:val="24"/>
          <w:highlight w:val="none"/>
        </w:rPr>
        <w:t>9.5.</w:t>
      </w:r>
      <w:r>
        <w:rPr>
          <w:rFonts w:hint="eastAsia" w:ascii="宋体" w:hAnsi="宋体"/>
          <w:color w:val="auto"/>
          <w:sz w:val="24"/>
          <w:highlight w:val="none"/>
        </w:rPr>
        <w:t>2</w:t>
      </w:r>
      <w:r>
        <w:rPr>
          <w:rFonts w:ascii="宋体" w:hAnsi="宋体"/>
          <w:color w:val="auto"/>
          <w:sz w:val="24"/>
          <w:highlight w:val="none"/>
        </w:rPr>
        <w:t>.</w:t>
      </w:r>
      <w:r>
        <w:rPr>
          <w:rFonts w:hint="eastAsia" w:ascii="宋体" w:hAnsi="宋体"/>
          <w:color w:val="auto"/>
          <w:sz w:val="24"/>
          <w:highlight w:val="none"/>
        </w:rPr>
        <w:t>6</w:t>
      </w:r>
      <w:r>
        <w:rPr>
          <w:rFonts w:ascii="宋体" w:hAnsi="宋体"/>
          <w:color w:val="auto"/>
          <w:sz w:val="24"/>
          <w:highlight w:val="none"/>
        </w:rPr>
        <w:t xml:space="preserve">负责受理的投诉机构自收到投诉之日起3个工作日内决定是否受理投诉，并自受理投诉之日起30个工作日内做出书面处理决定；需要检验、检测、鉴定、专家评审的，所需时间不计算在内。投诉人缺乏事实根据或者法律依据的或者捏造事实、伪造材料或者以非法手段取得证明材料进行投诉的，负责受理的投诉机构予以驳回投诉。 </w:t>
      </w:r>
    </w:p>
    <w:p w14:paraId="512A5332">
      <w:pPr>
        <w:adjustRightInd w:val="0"/>
        <w:snapToGrid w:val="0"/>
        <w:spacing w:beforeLines="0" w:line="360" w:lineRule="auto"/>
        <w:ind w:firstLine="480" w:firstLineChars="200"/>
        <w:rPr>
          <w:rFonts w:ascii="宋体" w:hAnsi="宋体"/>
          <w:color w:val="auto"/>
          <w:sz w:val="24"/>
          <w:highlight w:val="none"/>
        </w:rPr>
      </w:pPr>
      <w:r>
        <w:rPr>
          <w:rFonts w:ascii="宋体" w:hAnsi="宋体"/>
          <w:color w:val="auto"/>
          <w:sz w:val="24"/>
          <w:highlight w:val="none"/>
        </w:rPr>
        <w:t>9.5.</w:t>
      </w:r>
      <w:r>
        <w:rPr>
          <w:rFonts w:hint="eastAsia" w:ascii="宋体" w:hAnsi="宋体"/>
          <w:color w:val="auto"/>
          <w:sz w:val="24"/>
          <w:highlight w:val="none"/>
        </w:rPr>
        <w:t>3</w:t>
      </w:r>
      <w:r>
        <w:rPr>
          <w:rFonts w:ascii="宋体" w:hAnsi="宋体"/>
          <w:color w:val="auto"/>
          <w:sz w:val="24"/>
          <w:highlight w:val="none"/>
        </w:rPr>
        <w:t xml:space="preserve">投诉处理决定做出前，投诉人要求撤回投诉的，应以书面形式提出并说明理由，受理机构根据以下情况，决定是否准予撤回。 </w:t>
      </w:r>
    </w:p>
    <w:p w14:paraId="07A1A0D1">
      <w:pPr>
        <w:adjustRightInd w:val="0"/>
        <w:snapToGrid w:val="0"/>
        <w:spacing w:beforeLines="0" w:line="360" w:lineRule="auto"/>
        <w:ind w:firstLine="480" w:firstLineChars="200"/>
        <w:rPr>
          <w:rFonts w:ascii="宋体" w:hAnsi="宋体"/>
          <w:color w:val="auto"/>
          <w:sz w:val="24"/>
          <w:highlight w:val="none"/>
        </w:rPr>
      </w:pPr>
      <w:r>
        <w:rPr>
          <w:rFonts w:ascii="宋体" w:hAnsi="宋体"/>
          <w:color w:val="auto"/>
          <w:sz w:val="24"/>
          <w:highlight w:val="none"/>
        </w:rPr>
        <w:t>9.5.</w:t>
      </w:r>
      <w:r>
        <w:rPr>
          <w:rFonts w:hint="eastAsia" w:ascii="宋体" w:hAnsi="宋体"/>
          <w:color w:val="auto"/>
          <w:sz w:val="24"/>
          <w:highlight w:val="none"/>
        </w:rPr>
        <w:t>3</w:t>
      </w:r>
      <w:r>
        <w:rPr>
          <w:rFonts w:ascii="宋体" w:hAnsi="宋体"/>
          <w:color w:val="auto"/>
          <w:sz w:val="24"/>
          <w:highlight w:val="none"/>
        </w:rPr>
        <w:t>.1已经查实有明显违法行为的，应当不准撤回，并继续调查直至做出处理决定；</w:t>
      </w:r>
    </w:p>
    <w:p w14:paraId="6B09140F">
      <w:pPr>
        <w:adjustRightInd w:val="0"/>
        <w:snapToGrid w:val="0"/>
        <w:spacing w:beforeLines="0" w:line="360" w:lineRule="auto"/>
        <w:ind w:firstLine="480" w:firstLineChars="200"/>
        <w:rPr>
          <w:rFonts w:ascii="宋体" w:hAnsi="宋体"/>
          <w:color w:val="auto"/>
          <w:sz w:val="24"/>
          <w:highlight w:val="none"/>
        </w:rPr>
      </w:pPr>
      <w:r>
        <w:rPr>
          <w:rFonts w:ascii="宋体" w:hAnsi="宋体"/>
          <w:color w:val="auto"/>
          <w:sz w:val="24"/>
          <w:highlight w:val="none"/>
        </w:rPr>
        <w:t>9.5.</w:t>
      </w:r>
      <w:r>
        <w:rPr>
          <w:rFonts w:hint="eastAsia" w:ascii="宋体" w:hAnsi="宋体"/>
          <w:color w:val="auto"/>
          <w:sz w:val="24"/>
          <w:highlight w:val="none"/>
        </w:rPr>
        <w:t>3</w:t>
      </w:r>
      <w:r>
        <w:rPr>
          <w:rFonts w:ascii="宋体" w:hAnsi="宋体"/>
          <w:color w:val="auto"/>
          <w:sz w:val="24"/>
          <w:highlight w:val="none"/>
        </w:rPr>
        <w:t>.2撤回投诉不损害国家利益、社会公共利益或其他当事人合法权益的，准予撤回，投诉处理过程终止。投诉人不得以同一事实和理由再提出投诉。</w:t>
      </w:r>
    </w:p>
    <w:p w14:paraId="7AAFE0C8">
      <w:pPr>
        <w:adjustRightInd w:val="0"/>
        <w:snapToGrid w:val="0"/>
        <w:spacing w:beforeLines="0" w:line="360" w:lineRule="auto"/>
        <w:ind w:firstLine="480" w:firstLineChars="200"/>
        <w:rPr>
          <w:rFonts w:ascii="宋体" w:hAnsi="宋体"/>
          <w:color w:val="auto"/>
          <w:sz w:val="24"/>
          <w:highlight w:val="none"/>
        </w:rPr>
      </w:pPr>
      <w:r>
        <w:rPr>
          <w:rFonts w:hint="eastAsia" w:ascii="宋体" w:hAnsi="宋体"/>
          <w:color w:val="auto"/>
          <w:sz w:val="24"/>
          <w:highlight w:val="none"/>
        </w:rPr>
        <w:t>本项目招投标活动投诉受理机构为：</w:t>
      </w:r>
    </w:p>
    <w:p w14:paraId="0D8446AE">
      <w:pPr>
        <w:adjustRightInd w:val="0"/>
        <w:snapToGrid w:val="0"/>
        <w:spacing w:beforeLines="0" w:line="360" w:lineRule="auto"/>
        <w:ind w:firstLine="480" w:firstLineChars="200"/>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1）</w:t>
      </w:r>
      <w:r>
        <w:rPr>
          <w:rFonts w:hint="eastAsia" w:ascii="宋体" w:hAnsi="宋体"/>
          <w:bCs/>
          <w:color w:val="auto"/>
          <w:sz w:val="24"/>
          <w:highlight w:val="none"/>
        </w:rPr>
        <w:t>单位：</w:t>
      </w:r>
      <w:r>
        <w:rPr>
          <w:rFonts w:ascii="宋体" w:hAnsi="宋体"/>
          <w:bCs/>
          <w:color w:val="auto"/>
          <w:sz w:val="24"/>
          <w:highlight w:val="none"/>
          <w:u w:val="single"/>
        </w:rPr>
        <w:t xml:space="preserve">          </w:t>
      </w:r>
      <w:r>
        <w:rPr>
          <w:rFonts w:hint="eastAsia" w:ascii="宋体" w:hAnsi="宋体"/>
          <w:bCs/>
          <w:color w:val="auto"/>
          <w:sz w:val="24"/>
          <w:highlight w:val="none"/>
        </w:rPr>
        <w:t>：</w:t>
      </w:r>
    </w:p>
    <w:p w14:paraId="7EBA7EA9">
      <w:pPr>
        <w:adjustRightInd w:val="0"/>
        <w:snapToGrid w:val="0"/>
        <w:spacing w:beforeLines="0" w:line="360" w:lineRule="auto"/>
        <w:ind w:firstLine="480" w:firstLineChars="200"/>
        <w:rPr>
          <w:rFonts w:ascii="宋体" w:hAnsi="宋体"/>
          <w:bCs/>
          <w:color w:val="auto"/>
          <w:sz w:val="24"/>
          <w:highlight w:val="none"/>
        </w:rPr>
      </w:pPr>
      <w:r>
        <w:rPr>
          <w:rFonts w:hint="eastAsia" w:ascii="宋体" w:hAnsi="宋体"/>
          <w:bCs/>
          <w:color w:val="auto"/>
          <w:sz w:val="24"/>
          <w:highlight w:val="none"/>
        </w:rPr>
        <w:t>投诉电话：</w:t>
      </w:r>
      <w:r>
        <w:rPr>
          <w:rFonts w:ascii="宋体" w:hAnsi="宋体"/>
          <w:bCs/>
          <w:color w:val="auto"/>
          <w:sz w:val="24"/>
          <w:highlight w:val="none"/>
          <w:u w:val="single"/>
        </w:rPr>
        <w:t xml:space="preserve">                     </w:t>
      </w:r>
    </w:p>
    <w:p w14:paraId="02FD80B0">
      <w:pPr>
        <w:adjustRightInd w:val="0"/>
        <w:snapToGrid w:val="0"/>
        <w:spacing w:beforeLines="0" w:line="360" w:lineRule="auto"/>
        <w:ind w:firstLine="480" w:firstLineChars="200"/>
        <w:rPr>
          <w:rFonts w:ascii="宋体" w:hAnsi="宋体"/>
          <w:bCs/>
          <w:color w:val="auto"/>
          <w:sz w:val="24"/>
          <w:highlight w:val="none"/>
        </w:rPr>
      </w:pPr>
      <w:r>
        <w:rPr>
          <w:rFonts w:hint="eastAsia" w:ascii="宋体" w:hAnsi="宋体"/>
          <w:bCs/>
          <w:color w:val="auto"/>
          <w:sz w:val="24"/>
          <w:highlight w:val="none"/>
        </w:rPr>
        <w:t>通讯地址：</w:t>
      </w:r>
      <w:r>
        <w:rPr>
          <w:rFonts w:ascii="宋体" w:hAnsi="宋体"/>
          <w:bCs/>
          <w:color w:val="auto"/>
          <w:sz w:val="24"/>
          <w:highlight w:val="none"/>
          <w:u w:val="single"/>
        </w:rPr>
        <w:t xml:space="preserve">           </w:t>
      </w:r>
      <w:r>
        <w:rPr>
          <w:rFonts w:ascii="宋体" w:hAnsi="宋体"/>
          <w:bCs/>
          <w:color w:val="auto"/>
          <w:sz w:val="24"/>
          <w:highlight w:val="none"/>
        </w:rPr>
        <w:t xml:space="preserve">    邮 编：</w:t>
      </w:r>
      <w:r>
        <w:rPr>
          <w:rFonts w:ascii="宋体" w:hAnsi="宋体"/>
          <w:bCs/>
          <w:color w:val="auto"/>
          <w:sz w:val="24"/>
          <w:highlight w:val="none"/>
          <w:u w:val="single"/>
        </w:rPr>
        <w:t xml:space="preserve">              </w:t>
      </w:r>
    </w:p>
    <w:p w14:paraId="39A76A5E">
      <w:pPr>
        <w:adjustRightInd w:val="0"/>
        <w:snapToGrid w:val="0"/>
        <w:spacing w:beforeLines="0" w:line="360" w:lineRule="auto"/>
        <w:ind w:firstLine="480" w:firstLineChars="200"/>
        <w:rPr>
          <w:rFonts w:ascii="宋体" w:hAnsi="宋体"/>
          <w:bCs/>
          <w:color w:val="auto"/>
          <w:sz w:val="24"/>
          <w:highlight w:val="none"/>
          <w:u w:val="single"/>
        </w:rPr>
      </w:pPr>
      <w:r>
        <w:rPr>
          <w:rFonts w:hint="eastAsia" w:ascii="宋体" w:hAnsi="宋体"/>
          <w:bCs/>
          <w:color w:val="auto"/>
          <w:sz w:val="24"/>
          <w:highlight w:val="none"/>
        </w:rPr>
        <w:t>（</w:t>
      </w:r>
      <w:r>
        <w:rPr>
          <w:rFonts w:ascii="宋体" w:hAnsi="宋体"/>
          <w:bCs/>
          <w:color w:val="auto"/>
          <w:sz w:val="24"/>
          <w:highlight w:val="none"/>
        </w:rPr>
        <w:t>2）</w:t>
      </w:r>
      <w:r>
        <w:rPr>
          <w:rFonts w:hint="eastAsia" w:ascii="宋体" w:hAnsi="宋体"/>
          <w:bCs/>
          <w:color w:val="auto"/>
          <w:sz w:val="24"/>
          <w:highlight w:val="none"/>
        </w:rPr>
        <w:t>单位：</w:t>
      </w:r>
      <w:r>
        <w:rPr>
          <w:rFonts w:ascii="宋体" w:hAnsi="宋体"/>
          <w:bCs/>
          <w:color w:val="auto"/>
          <w:sz w:val="24"/>
          <w:highlight w:val="none"/>
          <w:u w:val="single"/>
        </w:rPr>
        <w:t xml:space="preserve">                 </w:t>
      </w:r>
    </w:p>
    <w:p w14:paraId="545C79B4">
      <w:pPr>
        <w:adjustRightInd w:val="0"/>
        <w:snapToGrid w:val="0"/>
        <w:spacing w:beforeLines="0" w:line="360" w:lineRule="auto"/>
        <w:ind w:firstLine="480" w:firstLineChars="200"/>
        <w:rPr>
          <w:rFonts w:ascii="宋体" w:hAnsi="宋体"/>
          <w:bCs/>
          <w:color w:val="auto"/>
          <w:sz w:val="24"/>
          <w:highlight w:val="none"/>
        </w:rPr>
      </w:pPr>
      <w:r>
        <w:rPr>
          <w:rFonts w:hint="eastAsia" w:ascii="宋体" w:hAnsi="宋体"/>
          <w:bCs/>
          <w:color w:val="auto"/>
          <w:sz w:val="24"/>
          <w:highlight w:val="none"/>
        </w:rPr>
        <w:t>投诉电话：</w:t>
      </w:r>
      <w:r>
        <w:rPr>
          <w:rFonts w:ascii="宋体" w:hAnsi="宋体"/>
          <w:bCs/>
          <w:color w:val="auto"/>
          <w:sz w:val="24"/>
          <w:highlight w:val="none"/>
          <w:u w:val="single"/>
        </w:rPr>
        <w:t xml:space="preserve">           </w:t>
      </w:r>
      <w:r>
        <w:rPr>
          <w:rFonts w:ascii="宋体" w:hAnsi="宋体"/>
          <w:bCs/>
          <w:color w:val="auto"/>
          <w:sz w:val="24"/>
          <w:highlight w:val="none"/>
        </w:rPr>
        <w:t xml:space="preserve">    </w:t>
      </w:r>
    </w:p>
    <w:p w14:paraId="0CABEA68">
      <w:pPr>
        <w:adjustRightInd w:val="0"/>
        <w:snapToGrid w:val="0"/>
        <w:spacing w:beforeLines="0" w:line="360" w:lineRule="auto"/>
        <w:ind w:firstLine="480" w:firstLineChars="200"/>
        <w:rPr>
          <w:rFonts w:ascii="宋体" w:hAnsi="宋体"/>
          <w:color w:val="auto"/>
          <w:sz w:val="24"/>
          <w:highlight w:val="none"/>
        </w:rPr>
      </w:pPr>
      <w:r>
        <w:rPr>
          <w:rFonts w:hint="eastAsia" w:ascii="宋体" w:hAnsi="宋体"/>
          <w:bCs/>
          <w:color w:val="auto"/>
          <w:sz w:val="24"/>
          <w:highlight w:val="none"/>
        </w:rPr>
        <w:t>地址：</w:t>
      </w:r>
      <w:r>
        <w:rPr>
          <w:rFonts w:ascii="宋体" w:hAnsi="宋体"/>
          <w:bCs/>
          <w:color w:val="auto"/>
          <w:sz w:val="24"/>
          <w:highlight w:val="none"/>
          <w:u w:val="single"/>
        </w:rPr>
        <w:t xml:space="preserve">         </w:t>
      </w:r>
      <w:r>
        <w:rPr>
          <w:rFonts w:ascii="宋体" w:hAnsi="宋体"/>
          <w:bCs/>
          <w:color w:val="auto"/>
          <w:sz w:val="24"/>
          <w:highlight w:val="none"/>
        </w:rPr>
        <w:t xml:space="preserve">   邮编：</w:t>
      </w:r>
      <w:r>
        <w:rPr>
          <w:rFonts w:ascii="宋体" w:hAnsi="宋体"/>
          <w:bCs/>
          <w:color w:val="auto"/>
          <w:sz w:val="24"/>
          <w:highlight w:val="none"/>
          <w:u w:val="single"/>
        </w:rPr>
        <w:t xml:space="preserve">        </w:t>
      </w:r>
      <w:r>
        <w:rPr>
          <w:rFonts w:ascii="宋体" w:hAnsi="宋体"/>
          <w:bCs/>
          <w:color w:val="auto"/>
          <w:sz w:val="24"/>
          <w:highlight w:val="none"/>
        </w:rPr>
        <w:t xml:space="preserve"> </w:t>
      </w:r>
      <w:r>
        <w:rPr>
          <w:rFonts w:ascii="宋体" w:hAnsi="宋体"/>
          <w:b/>
          <w:bCs/>
          <w:color w:val="auto"/>
          <w:sz w:val="24"/>
          <w:highlight w:val="none"/>
        </w:rPr>
        <w:t xml:space="preserve"> </w:t>
      </w:r>
    </w:p>
    <w:p w14:paraId="3C7FBCE3">
      <w:pPr>
        <w:pStyle w:val="5"/>
        <w:adjustRightInd w:val="0"/>
        <w:snapToGrid w:val="0"/>
        <w:spacing w:before="0" w:beforeLines="0" w:after="0" w:line="360" w:lineRule="auto"/>
        <w:ind w:firstLine="562" w:firstLineChars="200"/>
        <w:rPr>
          <w:color w:val="auto"/>
          <w:highlight w:val="none"/>
        </w:rPr>
      </w:pPr>
      <w:bookmarkStart w:id="508" w:name="_Toc488650828"/>
      <w:bookmarkStart w:id="509" w:name="_Toc487291506"/>
      <w:r>
        <w:rPr>
          <w:rFonts w:hint="eastAsia"/>
          <w:color w:val="auto"/>
          <w:highlight w:val="none"/>
        </w:rPr>
        <w:t>10</w:t>
      </w:r>
      <w:r>
        <w:rPr>
          <w:color w:val="auto"/>
          <w:highlight w:val="none"/>
        </w:rPr>
        <w:t>．</w:t>
      </w:r>
      <w:r>
        <w:rPr>
          <w:rFonts w:hint="eastAsia"/>
          <w:color w:val="auto"/>
          <w:highlight w:val="none"/>
        </w:rPr>
        <w:t>需要补充的其他内容</w:t>
      </w:r>
      <w:bookmarkEnd w:id="499"/>
      <w:bookmarkEnd w:id="500"/>
      <w:bookmarkEnd w:id="501"/>
      <w:bookmarkEnd w:id="502"/>
      <w:bookmarkEnd w:id="503"/>
      <w:bookmarkEnd w:id="504"/>
      <w:bookmarkEnd w:id="505"/>
      <w:bookmarkEnd w:id="506"/>
      <w:bookmarkEnd w:id="507"/>
      <w:bookmarkEnd w:id="508"/>
      <w:bookmarkEnd w:id="509"/>
    </w:p>
    <w:p w14:paraId="0C98DF97">
      <w:pPr>
        <w:wordWrap w:val="0"/>
        <w:adjustRightInd w:val="0"/>
        <w:snapToGrid w:val="0"/>
        <w:spacing w:before="0" w:beforeLines="0" w:line="360" w:lineRule="auto"/>
        <w:ind w:firstLine="480" w:firstLineChars="200"/>
        <w:rPr>
          <w:rFonts w:hint="eastAsia"/>
          <w:color w:val="auto"/>
          <w:sz w:val="24"/>
          <w:highlight w:val="none"/>
          <w:shd w:val="clear" w:color="auto" w:fill="auto"/>
        </w:rPr>
      </w:pPr>
      <w:r>
        <w:rPr>
          <w:rFonts w:hint="eastAsia"/>
          <w:color w:val="auto"/>
          <w:sz w:val="24"/>
          <w:highlight w:val="none"/>
          <w:shd w:val="clear" w:color="auto" w:fill="auto"/>
          <w:lang w:val="en-US" w:eastAsia="zh-CN"/>
        </w:rPr>
        <w:t xml:space="preserve">10.1 </w:t>
      </w:r>
      <w:r>
        <w:rPr>
          <w:rFonts w:hint="eastAsia"/>
          <w:color w:val="auto"/>
          <w:sz w:val="24"/>
          <w:highlight w:val="none"/>
          <w:shd w:val="clear" w:color="auto" w:fill="auto"/>
        </w:rPr>
        <w:t>自招标文件发布之日起，投标人应随时关注交易系统的招标信息更新，以保证能及时下载招标文件的澄清或变更等信息。特别需要说明的是，招标人的各项通知、文件均通过网络发布，即默认为已送达投标人，若因投标人未及时上网查收等原因导致的不利后果由投标人自行承担。</w:t>
      </w:r>
    </w:p>
    <w:p w14:paraId="4174FBEE">
      <w:pPr>
        <w:wordWrap w:val="0"/>
        <w:adjustRightInd w:val="0"/>
        <w:snapToGrid w:val="0"/>
        <w:spacing w:before="0" w:beforeLines="0" w:after="0" w:afterLines="-2147483648" w:line="360" w:lineRule="auto"/>
        <w:ind w:firstLine="480" w:firstLineChars="200"/>
        <w:rPr>
          <w:rFonts w:hint="eastAsia" w:ascii="Calibri" w:hAnsi="Calibri"/>
          <w:snapToGrid/>
          <w:color w:val="auto"/>
          <w:kern w:val="2"/>
          <w:sz w:val="24"/>
          <w:szCs w:val="24"/>
          <w:highlight w:val="none"/>
          <w:shd w:val="clear" w:color="auto" w:fill="auto"/>
        </w:rPr>
      </w:pPr>
      <w:r>
        <w:rPr>
          <w:rFonts w:hint="eastAsia" w:ascii="Calibri" w:hAnsi="Calibri"/>
          <w:snapToGrid/>
          <w:color w:val="auto"/>
          <w:kern w:val="2"/>
          <w:sz w:val="24"/>
          <w:szCs w:val="24"/>
          <w:highlight w:val="none"/>
          <w:shd w:val="clear" w:color="auto" w:fill="auto"/>
        </w:rPr>
        <w:t>10.</w:t>
      </w:r>
      <w:r>
        <w:rPr>
          <w:rFonts w:hint="eastAsia" w:ascii="Calibri" w:hAnsi="Calibri"/>
          <w:snapToGrid/>
          <w:color w:val="auto"/>
          <w:kern w:val="2"/>
          <w:sz w:val="24"/>
          <w:szCs w:val="24"/>
          <w:highlight w:val="none"/>
          <w:shd w:val="clear" w:color="auto" w:fill="auto"/>
          <w:lang w:val="en-US" w:eastAsia="zh-CN"/>
        </w:rPr>
        <w:t>2</w:t>
      </w:r>
      <w:r>
        <w:rPr>
          <w:rFonts w:hint="eastAsia" w:ascii="Calibri" w:hAnsi="Calibri"/>
          <w:snapToGrid/>
          <w:color w:val="auto"/>
          <w:kern w:val="2"/>
          <w:sz w:val="24"/>
          <w:szCs w:val="24"/>
          <w:highlight w:val="none"/>
          <w:shd w:val="clear" w:color="auto" w:fill="auto"/>
        </w:rPr>
        <w:t xml:space="preserve"> 电子招标投标要求</w:t>
      </w:r>
    </w:p>
    <w:p w14:paraId="497ABCD8">
      <w:pPr>
        <w:wordWrap w:val="0"/>
        <w:adjustRightInd w:val="0"/>
        <w:snapToGrid w:val="0"/>
        <w:spacing w:before="0" w:beforeLines="0" w:after="0" w:afterLines="-2147483648" w:line="360" w:lineRule="auto"/>
        <w:ind w:firstLine="480" w:firstLineChars="200"/>
        <w:rPr>
          <w:rFonts w:hint="eastAsia" w:ascii="Calibri" w:hAnsi="Calibri"/>
          <w:snapToGrid/>
          <w:color w:val="auto"/>
          <w:kern w:val="2"/>
          <w:sz w:val="24"/>
          <w:szCs w:val="24"/>
          <w:highlight w:val="none"/>
          <w:shd w:val="clear" w:color="auto" w:fill="auto"/>
        </w:rPr>
      </w:pPr>
      <w:r>
        <w:rPr>
          <w:rFonts w:hint="eastAsia" w:ascii="Calibri" w:hAnsi="Calibri"/>
          <w:snapToGrid/>
          <w:color w:val="auto"/>
          <w:kern w:val="2"/>
          <w:sz w:val="24"/>
          <w:szCs w:val="24"/>
          <w:highlight w:val="none"/>
          <w:shd w:val="clear" w:color="auto" w:fill="auto"/>
        </w:rPr>
        <w:t>10.</w:t>
      </w:r>
      <w:r>
        <w:rPr>
          <w:rFonts w:hint="eastAsia" w:ascii="Calibri" w:hAnsi="Calibri"/>
          <w:snapToGrid/>
          <w:color w:val="auto"/>
          <w:kern w:val="2"/>
          <w:sz w:val="24"/>
          <w:szCs w:val="24"/>
          <w:highlight w:val="none"/>
          <w:shd w:val="clear" w:color="auto" w:fill="auto"/>
          <w:lang w:val="en-US" w:eastAsia="zh-CN"/>
        </w:rPr>
        <w:t>2</w:t>
      </w:r>
      <w:r>
        <w:rPr>
          <w:rFonts w:hint="eastAsia" w:ascii="Calibri" w:hAnsi="Calibri"/>
          <w:snapToGrid/>
          <w:color w:val="auto"/>
          <w:kern w:val="2"/>
          <w:sz w:val="24"/>
          <w:szCs w:val="24"/>
          <w:highlight w:val="none"/>
          <w:shd w:val="clear" w:color="auto" w:fill="auto"/>
        </w:rPr>
        <w:t>.1投标人应仔细阅读厦门市建设工程电子招投标交易平台有关的系统操作手册和使用说明（相关手册和使用说明在厦门市公共资源交易网http://zyjy.as.xm.gov.cn/中的“办事服务- “下载中心”下载，并关注更新信息）以及招标文件中电子招投标的相关条款，并根据操作手册、使用说明和招标文件电子招投标的相关条款完成投标文件的编制、加密、递交、自行解密工作。</w:t>
      </w:r>
    </w:p>
    <w:p w14:paraId="7E4793C5">
      <w:pPr>
        <w:wordWrap w:val="0"/>
        <w:adjustRightInd w:val="0"/>
        <w:snapToGrid w:val="0"/>
        <w:spacing w:before="0" w:beforeLines="0" w:line="360" w:lineRule="auto"/>
        <w:ind w:firstLine="480" w:firstLineChars="200"/>
        <w:rPr>
          <w:rFonts w:hint="eastAsia" w:ascii="Calibri" w:hAnsi="Calibri"/>
          <w:snapToGrid/>
          <w:color w:val="auto"/>
          <w:kern w:val="2"/>
          <w:sz w:val="24"/>
          <w:szCs w:val="24"/>
          <w:highlight w:val="none"/>
          <w:shd w:val="clear" w:color="auto" w:fill="auto"/>
        </w:rPr>
      </w:pPr>
      <w:r>
        <w:rPr>
          <w:rFonts w:hint="eastAsia" w:ascii="Calibri" w:hAnsi="Calibri"/>
          <w:snapToGrid/>
          <w:color w:val="auto"/>
          <w:kern w:val="2"/>
          <w:sz w:val="24"/>
          <w:szCs w:val="24"/>
          <w:highlight w:val="none"/>
          <w:shd w:val="clear" w:color="auto" w:fill="auto"/>
        </w:rPr>
        <w:t>10.</w:t>
      </w:r>
      <w:r>
        <w:rPr>
          <w:rFonts w:hint="eastAsia" w:ascii="Calibri" w:hAnsi="Calibri"/>
          <w:snapToGrid/>
          <w:color w:val="auto"/>
          <w:kern w:val="2"/>
          <w:sz w:val="24"/>
          <w:szCs w:val="24"/>
          <w:highlight w:val="none"/>
          <w:shd w:val="clear" w:color="auto" w:fill="auto"/>
          <w:lang w:val="en-US" w:eastAsia="zh-CN"/>
        </w:rPr>
        <w:t>2</w:t>
      </w:r>
      <w:r>
        <w:rPr>
          <w:rFonts w:hint="eastAsia" w:ascii="Calibri" w:hAnsi="Calibri"/>
          <w:snapToGrid/>
          <w:color w:val="auto"/>
          <w:kern w:val="2"/>
          <w:sz w:val="24"/>
          <w:szCs w:val="24"/>
          <w:highlight w:val="none"/>
          <w:shd w:val="clear" w:color="auto" w:fill="auto"/>
        </w:rPr>
        <w:t>.2在开标、评标、清标或定标工作开始后，因停电、网络故障、电子设备或者电子评标系统故障导致无法继续进行开标、评标、清标或定标工作时，故障可在短时间内解除的（不超过4小时），招标人可以暂停开标、评标、清标或定标工作，待故障解除后继续相应工作；故障无法在短时间内解除的（超过4小时），招标人应当终止开标、评标、清标或定标工作，并配合公共资源交易场所、电子交易平台做好招投标资料的封存和保密工作，待故障解除后再重新进行开标、重新组建评标委员会进行评标或重新进行清标、定标工作。</w:t>
      </w:r>
    </w:p>
    <w:p w14:paraId="44ED8285">
      <w:pPr>
        <w:adjustRightInd w:val="0"/>
        <w:snapToGrid w:val="0"/>
        <w:spacing w:beforeLines="0" w:line="360" w:lineRule="auto"/>
        <w:ind w:firstLine="480" w:firstLineChars="200"/>
        <w:rPr>
          <w:color w:val="auto"/>
          <w:sz w:val="24"/>
          <w:highlight w:val="none"/>
        </w:rPr>
      </w:pPr>
      <w:r>
        <w:rPr>
          <w:rFonts w:hint="eastAsia"/>
          <w:color w:val="auto"/>
          <w:sz w:val="24"/>
          <w:highlight w:val="none"/>
          <w:lang w:val="en-US" w:eastAsia="zh-CN"/>
        </w:rPr>
        <w:t xml:space="preserve">10.3 </w:t>
      </w:r>
      <w:r>
        <w:rPr>
          <w:rFonts w:hint="eastAsia"/>
          <w:color w:val="auto"/>
          <w:sz w:val="24"/>
          <w:highlight w:val="none"/>
        </w:rPr>
        <w:t>需要补充的其他内容见投标人须知前附表。</w:t>
      </w:r>
    </w:p>
    <w:p w14:paraId="351693BC">
      <w:pPr>
        <w:adjustRightInd w:val="0"/>
        <w:snapToGrid w:val="0"/>
        <w:spacing w:beforeLines="0" w:line="360" w:lineRule="auto"/>
        <w:rPr>
          <w:color w:val="auto"/>
          <w:highlight w:val="none"/>
        </w:rPr>
      </w:pPr>
    </w:p>
    <w:p w14:paraId="2CD60B8E">
      <w:pPr>
        <w:wordWrap w:val="0"/>
        <w:spacing w:before="120" w:beforeLines="50" w:line="440" w:lineRule="exact"/>
        <w:jc w:val="center"/>
        <w:rPr>
          <w:rFonts w:eastAsia="黑体"/>
          <w:color w:val="auto"/>
          <w:sz w:val="28"/>
          <w:szCs w:val="28"/>
          <w:highlight w:val="none"/>
          <w:u w:val="single"/>
        </w:rPr>
        <w:sectPr>
          <w:footerReference r:id="rId8" w:type="default"/>
          <w:headerReference r:id="rId7" w:type="even"/>
          <w:footerReference r:id="rId9" w:type="even"/>
          <w:footnotePr>
            <w:numFmt w:val="decimalEnclosedCircleChinese"/>
          </w:footnotePr>
          <w:pgSz w:w="11907" w:h="16840"/>
          <w:pgMar w:top="1588" w:right="1588" w:bottom="1474" w:left="1644" w:header="851" w:footer="851" w:gutter="0"/>
          <w:cols w:space="720" w:num="1"/>
          <w:docGrid w:linePitch="312" w:charSpace="0"/>
        </w:sectPr>
      </w:pPr>
    </w:p>
    <w:p w14:paraId="78438114">
      <w:pPr>
        <w:wordWrap w:val="0"/>
        <w:spacing w:before="120" w:beforeLines="50" w:line="440" w:lineRule="exact"/>
        <w:jc w:val="center"/>
        <w:rPr>
          <w:rFonts w:eastAsia="黑体"/>
          <w:color w:val="auto"/>
          <w:sz w:val="28"/>
          <w:szCs w:val="28"/>
          <w:highlight w:val="none"/>
        </w:rPr>
      </w:pPr>
      <w:r>
        <w:rPr>
          <w:rFonts w:eastAsia="黑体"/>
          <w:color w:val="auto"/>
          <w:sz w:val="28"/>
          <w:szCs w:val="28"/>
          <w:highlight w:val="none"/>
          <w:u w:val="single"/>
        </w:rPr>
        <w:t xml:space="preserve">      </w:t>
      </w:r>
      <w:r>
        <w:rPr>
          <w:rFonts w:eastAsia="黑体"/>
          <w:color w:val="auto"/>
          <w:sz w:val="28"/>
          <w:szCs w:val="28"/>
          <w:highlight w:val="none"/>
        </w:rPr>
        <w:t>（项目名称）</w:t>
      </w:r>
      <w:r>
        <w:rPr>
          <w:rFonts w:eastAsia="黑体"/>
          <w:color w:val="auto"/>
          <w:sz w:val="28"/>
          <w:szCs w:val="28"/>
          <w:highlight w:val="none"/>
          <w:u w:val="single"/>
        </w:rPr>
        <w:t xml:space="preserve">    </w:t>
      </w:r>
      <w:r>
        <w:rPr>
          <w:rFonts w:eastAsia="黑体"/>
          <w:color w:val="auto"/>
          <w:sz w:val="28"/>
          <w:szCs w:val="28"/>
          <w:highlight w:val="none"/>
        </w:rPr>
        <w:t>标段施工监理开标记录表</w:t>
      </w:r>
    </w:p>
    <w:p w14:paraId="347B2B23">
      <w:pPr>
        <w:wordWrap w:val="0"/>
        <w:spacing w:line="440" w:lineRule="exact"/>
        <w:jc w:val="right"/>
        <w:rPr>
          <w:color w:val="auto"/>
          <w:sz w:val="24"/>
          <w:highlight w:val="none"/>
        </w:rPr>
      </w:pPr>
      <w:r>
        <w:rPr>
          <w:color w:val="auto"/>
          <w:sz w:val="24"/>
          <w:highlight w:val="none"/>
        </w:rPr>
        <w:t>开标时间：</w:t>
      </w: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w:t>
      </w:r>
      <w:r>
        <w:rPr>
          <w:color w:val="auto"/>
          <w:sz w:val="24"/>
          <w:highlight w:val="none"/>
          <w:u w:val="single"/>
        </w:rPr>
        <w:t xml:space="preserve">   </w:t>
      </w:r>
      <w:r>
        <w:rPr>
          <w:color w:val="auto"/>
          <w:sz w:val="24"/>
          <w:highlight w:val="none"/>
        </w:rPr>
        <w:t>时</w:t>
      </w:r>
      <w:r>
        <w:rPr>
          <w:color w:val="auto"/>
          <w:sz w:val="24"/>
          <w:highlight w:val="none"/>
          <w:u w:val="single"/>
        </w:rPr>
        <w:t xml:space="preserve">   </w:t>
      </w:r>
      <w:r>
        <w:rPr>
          <w:color w:val="auto"/>
          <w:sz w:val="24"/>
          <w:highlight w:val="none"/>
        </w:rPr>
        <w:t>分</w:t>
      </w:r>
    </w:p>
    <w:tbl>
      <w:tblPr>
        <w:tblStyle w:val="44"/>
        <w:tblW w:w="4881"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40"/>
        <w:gridCol w:w="1829"/>
        <w:gridCol w:w="1076"/>
        <w:gridCol w:w="957"/>
        <w:gridCol w:w="968"/>
        <w:gridCol w:w="968"/>
        <w:gridCol w:w="968"/>
        <w:gridCol w:w="968"/>
        <w:gridCol w:w="1324"/>
        <w:gridCol w:w="632"/>
        <w:gridCol w:w="630"/>
        <w:gridCol w:w="678"/>
        <w:gridCol w:w="722"/>
        <w:gridCol w:w="1035"/>
      </w:tblGrid>
      <w:tr w14:paraId="1B6C53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274" w:type="pct"/>
            <w:vMerge w:val="restart"/>
            <w:vAlign w:val="center"/>
          </w:tcPr>
          <w:p w14:paraId="7E191E77">
            <w:pPr>
              <w:wordWrap w:val="0"/>
              <w:adjustRightInd w:val="0"/>
              <w:spacing w:line="0" w:lineRule="atLeast"/>
              <w:jc w:val="center"/>
              <w:textAlignment w:val="baseline"/>
              <w:rPr>
                <w:color w:val="auto"/>
                <w:szCs w:val="21"/>
                <w:highlight w:val="none"/>
              </w:rPr>
            </w:pPr>
            <w:r>
              <w:rPr>
                <w:rFonts w:hint="eastAsia"/>
                <w:color w:val="auto"/>
                <w:szCs w:val="21"/>
                <w:highlight w:val="none"/>
              </w:rPr>
              <w:t>投标序列</w:t>
            </w:r>
            <w:r>
              <w:rPr>
                <w:color w:val="auto"/>
                <w:szCs w:val="21"/>
                <w:highlight w:val="none"/>
              </w:rPr>
              <w:t>号</w:t>
            </w:r>
          </w:p>
        </w:tc>
        <w:tc>
          <w:tcPr>
            <w:tcW w:w="677" w:type="pct"/>
            <w:vMerge w:val="restart"/>
            <w:vAlign w:val="center"/>
          </w:tcPr>
          <w:p w14:paraId="15D5BB6F">
            <w:pPr>
              <w:wordWrap w:val="0"/>
              <w:adjustRightInd w:val="0"/>
              <w:spacing w:line="0" w:lineRule="atLeast"/>
              <w:jc w:val="center"/>
              <w:textAlignment w:val="baseline"/>
              <w:rPr>
                <w:color w:val="auto"/>
                <w:szCs w:val="21"/>
                <w:highlight w:val="none"/>
              </w:rPr>
            </w:pPr>
            <w:r>
              <w:rPr>
                <w:color w:val="auto"/>
                <w:szCs w:val="21"/>
                <w:highlight w:val="none"/>
              </w:rPr>
              <w:t>投标人</w:t>
            </w:r>
            <w:r>
              <w:rPr>
                <w:rFonts w:hint="eastAsia"/>
                <w:color w:val="auto"/>
                <w:szCs w:val="21"/>
                <w:highlight w:val="none"/>
              </w:rPr>
              <w:t>名称</w:t>
            </w:r>
          </w:p>
        </w:tc>
        <w:tc>
          <w:tcPr>
            <w:tcW w:w="398" w:type="pct"/>
            <w:vMerge w:val="restart"/>
            <w:vAlign w:val="center"/>
          </w:tcPr>
          <w:p w14:paraId="79028278">
            <w:pPr>
              <w:wordWrap w:val="0"/>
              <w:adjustRightInd w:val="0"/>
              <w:spacing w:line="0" w:lineRule="atLeast"/>
              <w:jc w:val="center"/>
              <w:textAlignment w:val="baseline"/>
              <w:rPr>
                <w:color w:val="auto"/>
                <w:szCs w:val="21"/>
                <w:highlight w:val="none"/>
              </w:rPr>
            </w:pPr>
            <w:r>
              <w:rPr>
                <w:rFonts w:hint="eastAsia" w:ascii="Times New Roman" w:hAnsi="Times New Roman"/>
                <w:color w:val="auto"/>
                <w:szCs w:val="21"/>
                <w:highlight w:val="none"/>
              </w:rPr>
              <w:t>投标人代表号</w:t>
            </w:r>
          </w:p>
        </w:tc>
        <w:tc>
          <w:tcPr>
            <w:tcW w:w="354" w:type="pct"/>
            <w:vMerge w:val="restart"/>
            <w:vAlign w:val="center"/>
          </w:tcPr>
          <w:p w14:paraId="3261F0C3">
            <w:pPr>
              <w:wordWrap w:val="0"/>
              <w:adjustRightInd w:val="0"/>
              <w:spacing w:line="0" w:lineRule="atLeast"/>
              <w:jc w:val="center"/>
              <w:textAlignment w:val="baseline"/>
              <w:rPr>
                <w:color w:val="auto"/>
                <w:szCs w:val="21"/>
                <w:highlight w:val="none"/>
              </w:rPr>
            </w:pPr>
            <w:r>
              <w:rPr>
                <w:rFonts w:hint="eastAsia" w:ascii="宋体" w:hAnsi="宋体" w:cs="宋体"/>
                <w:color w:val="auto"/>
                <w:sz w:val="21"/>
                <w:szCs w:val="21"/>
                <w:highlight w:val="none"/>
              </w:rPr>
              <w:t>投标保证金（元）</w:t>
            </w:r>
          </w:p>
        </w:tc>
        <w:tc>
          <w:tcPr>
            <w:tcW w:w="358" w:type="pct"/>
            <w:vMerge w:val="restart"/>
            <w:vAlign w:val="center"/>
          </w:tcPr>
          <w:p w14:paraId="676400DA">
            <w:pPr>
              <w:wordWrap w:val="0"/>
              <w:adjustRightInd w:val="0"/>
              <w:spacing w:line="0" w:lineRule="atLeast"/>
              <w:jc w:val="center"/>
              <w:textAlignment w:val="baseline"/>
              <w:rPr>
                <w:color w:val="auto"/>
                <w:szCs w:val="21"/>
                <w:highlight w:val="none"/>
              </w:rPr>
            </w:pPr>
            <w:r>
              <w:rPr>
                <w:rFonts w:hint="eastAsia" w:ascii="宋体" w:hAnsi="宋体" w:cs="宋体"/>
                <w:color w:val="auto"/>
                <w:sz w:val="21"/>
                <w:szCs w:val="21"/>
                <w:highlight w:val="none"/>
              </w:rPr>
              <w:t>投标报价（元）</w:t>
            </w:r>
          </w:p>
        </w:tc>
        <w:tc>
          <w:tcPr>
            <w:tcW w:w="358" w:type="pct"/>
            <w:vMerge w:val="restart"/>
            <w:vAlign w:val="center"/>
          </w:tcPr>
          <w:p w14:paraId="4F24A8B1">
            <w:pPr>
              <w:wordWrap w:val="0"/>
              <w:adjustRightInd w:val="0"/>
              <w:spacing w:line="0" w:lineRule="atLeast"/>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是否超过最高投标限价</w:t>
            </w:r>
          </w:p>
        </w:tc>
        <w:tc>
          <w:tcPr>
            <w:tcW w:w="358" w:type="pct"/>
            <w:vMerge w:val="restart"/>
            <w:vAlign w:val="center"/>
          </w:tcPr>
          <w:p w14:paraId="30864007">
            <w:pPr>
              <w:wordWrap w:val="0"/>
              <w:adjustRightInd w:val="0"/>
              <w:spacing w:line="0" w:lineRule="atLeast"/>
              <w:jc w:val="center"/>
              <w:textAlignment w:val="baseline"/>
              <w:rPr>
                <w:color w:val="auto"/>
                <w:szCs w:val="21"/>
                <w:highlight w:val="none"/>
              </w:rPr>
            </w:pPr>
            <w:r>
              <w:rPr>
                <w:rFonts w:hint="eastAsia"/>
                <w:color w:val="auto"/>
                <w:szCs w:val="21"/>
                <w:highlight w:val="none"/>
              </w:rPr>
              <w:t>监理服务期</w:t>
            </w:r>
          </w:p>
        </w:tc>
        <w:tc>
          <w:tcPr>
            <w:tcW w:w="358" w:type="pct"/>
            <w:vMerge w:val="restart"/>
            <w:vAlign w:val="center"/>
          </w:tcPr>
          <w:p w14:paraId="03D2FA69">
            <w:pPr>
              <w:wordWrap w:val="0"/>
              <w:adjustRightInd w:val="0"/>
              <w:spacing w:line="0" w:lineRule="atLeast"/>
              <w:jc w:val="center"/>
              <w:textAlignment w:val="baseline"/>
              <w:rPr>
                <w:color w:val="auto"/>
                <w:szCs w:val="21"/>
                <w:highlight w:val="none"/>
              </w:rPr>
            </w:pPr>
            <w:r>
              <w:rPr>
                <w:rFonts w:hint="eastAsia"/>
                <w:color w:val="auto"/>
                <w:szCs w:val="21"/>
                <w:highlight w:val="none"/>
              </w:rPr>
              <w:t>总监理工程师姓名及总监证书编号</w:t>
            </w:r>
          </w:p>
        </w:tc>
        <w:tc>
          <w:tcPr>
            <w:tcW w:w="490" w:type="pct"/>
            <w:vMerge w:val="restart"/>
            <w:vAlign w:val="center"/>
          </w:tcPr>
          <w:p w14:paraId="38E87C4E">
            <w:pPr>
              <w:wordWrap w:val="0"/>
              <w:adjustRightInd w:val="0"/>
              <w:spacing w:line="0" w:lineRule="atLeast"/>
              <w:jc w:val="center"/>
              <w:textAlignment w:val="baseline"/>
              <w:rPr>
                <w:color w:val="auto"/>
                <w:szCs w:val="21"/>
                <w:highlight w:val="none"/>
              </w:rPr>
            </w:pPr>
            <w:r>
              <w:rPr>
                <w:rFonts w:hint="eastAsia"/>
                <w:color w:val="auto"/>
                <w:sz w:val="21"/>
                <w:szCs w:val="21"/>
                <w:highlight w:val="none"/>
                <w:lang w:val="en-US" w:eastAsia="zh-CN"/>
              </w:rPr>
              <w:t>最近期的福建省交通建设市场信用考核评价等级</w:t>
            </w:r>
          </w:p>
        </w:tc>
        <w:tc>
          <w:tcPr>
            <w:tcW w:w="985" w:type="pct"/>
            <w:gridSpan w:val="4"/>
            <w:tcBorders>
              <w:bottom w:val="single" w:color="auto" w:sz="4" w:space="0"/>
            </w:tcBorders>
            <w:vAlign w:val="center"/>
          </w:tcPr>
          <w:p w14:paraId="42E4E64F">
            <w:pPr>
              <w:wordWrap w:val="0"/>
              <w:adjustRightInd w:val="0"/>
              <w:spacing w:line="0" w:lineRule="atLeast"/>
              <w:jc w:val="center"/>
              <w:textAlignment w:val="baseline"/>
              <w:rPr>
                <w:rFonts w:hint="eastAsia"/>
                <w:color w:val="auto"/>
                <w:szCs w:val="21"/>
                <w:highlight w:val="none"/>
              </w:rPr>
            </w:pPr>
            <w:r>
              <w:rPr>
                <w:rFonts w:hint="eastAsia"/>
                <w:color w:val="auto"/>
                <w:szCs w:val="21"/>
                <w:highlight w:val="none"/>
              </w:rPr>
              <w:t>递交投标文件电脑的硬件信息</w:t>
            </w:r>
          </w:p>
        </w:tc>
        <w:tc>
          <w:tcPr>
            <w:tcW w:w="383" w:type="pct"/>
            <w:vMerge w:val="restart"/>
            <w:vAlign w:val="center"/>
          </w:tcPr>
          <w:p w14:paraId="34E1BBE3">
            <w:pPr>
              <w:wordWrap w:val="0"/>
              <w:adjustRightInd w:val="0"/>
              <w:spacing w:line="500" w:lineRule="exact"/>
              <w:jc w:val="center"/>
              <w:textAlignment w:val="baseline"/>
              <w:rPr>
                <w:color w:val="auto"/>
                <w:szCs w:val="21"/>
                <w:highlight w:val="none"/>
              </w:rPr>
            </w:pPr>
            <w:r>
              <w:rPr>
                <w:rFonts w:hint="eastAsia"/>
                <w:color w:val="auto"/>
                <w:szCs w:val="21"/>
                <w:highlight w:val="none"/>
              </w:rPr>
              <w:t>备注</w:t>
            </w:r>
          </w:p>
        </w:tc>
      </w:tr>
      <w:tr w14:paraId="47F955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jc w:val="center"/>
        </w:trPr>
        <w:tc>
          <w:tcPr>
            <w:tcW w:w="274" w:type="pct"/>
            <w:vMerge w:val="continue"/>
            <w:vAlign w:val="center"/>
          </w:tcPr>
          <w:p w14:paraId="405DFEBE">
            <w:pPr>
              <w:wordWrap w:val="0"/>
              <w:adjustRightInd w:val="0"/>
              <w:spacing w:line="0" w:lineRule="atLeast"/>
              <w:jc w:val="center"/>
              <w:textAlignment w:val="baseline"/>
              <w:rPr>
                <w:color w:val="auto"/>
                <w:szCs w:val="21"/>
                <w:highlight w:val="none"/>
              </w:rPr>
            </w:pPr>
          </w:p>
        </w:tc>
        <w:tc>
          <w:tcPr>
            <w:tcW w:w="677" w:type="pct"/>
            <w:vMerge w:val="continue"/>
            <w:vAlign w:val="center"/>
          </w:tcPr>
          <w:p w14:paraId="3EC55388">
            <w:pPr>
              <w:wordWrap w:val="0"/>
              <w:adjustRightInd w:val="0"/>
              <w:spacing w:line="0" w:lineRule="atLeast"/>
              <w:jc w:val="center"/>
              <w:textAlignment w:val="baseline"/>
              <w:rPr>
                <w:color w:val="auto"/>
                <w:szCs w:val="21"/>
                <w:highlight w:val="none"/>
              </w:rPr>
            </w:pPr>
          </w:p>
        </w:tc>
        <w:tc>
          <w:tcPr>
            <w:tcW w:w="398" w:type="pct"/>
            <w:vMerge w:val="continue"/>
            <w:vAlign w:val="center"/>
          </w:tcPr>
          <w:p w14:paraId="374C624A">
            <w:pPr>
              <w:wordWrap w:val="0"/>
              <w:adjustRightInd w:val="0"/>
              <w:spacing w:line="0" w:lineRule="atLeast"/>
              <w:jc w:val="center"/>
              <w:textAlignment w:val="baseline"/>
              <w:rPr>
                <w:color w:val="auto"/>
                <w:szCs w:val="21"/>
                <w:highlight w:val="none"/>
              </w:rPr>
            </w:pPr>
          </w:p>
        </w:tc>
        <w:tc>
          <w:tcPr>
            <w:tcW w:w="354" w:type="pct"/>
            <w:vMerge w:val="continue"/>
            <w:vAlign w:val="center"/>
          </w:tcPr>
          <w:p w14:paraId="593A28F8">
            <w:pPr>
              <w:wordWrap w:val="0"/>
              <w:adjustRightInd w:val="0"/>
              <w:spacing w:line="0" w:lineRule="atLeast"/>
              <w:jc w:val="center"/>
              <w:textAlignment w:val="baseline"/>
              <w:rPr>
                <w:color w:val="auto"/>
                <w:szCs w:val="21"/>
                <w:highlight w:val="none"/>
              </w:rPr>
            </w:pPr>
          </w:p>
        </w:tc>
        <w:tc>
          <w:tcPr>
            <w:tcW w:w="358" w:type="pct"/>
            <w:vMerge w:val="continue"/>
            <w:vAlign w:val="center"/>
          </w:tcPr>
          <w:p w14:paraId="360F5178">
            <w:pPr>
              <w:wordWrap w:val="0"/>
              <w:adjustRightInd w:val="0"/>
              <w:spacing w:line="0" w:lineRule="atLeast"/>
              <w:jc w:val="center"/>
              <w:textAlignment w:val="baseline"/>
              <w:rPr>
                <w:color w:val="auto"/>
                <w:szCs w:val="21"/>
                <w:highlight w:val="none"/>
              </w:rPr>
            </w:pPr>
          </w:p>
        </w:tc>
        <w:tc>
          <w:tcPr>
            <w:tcW w:w="358" w:type="pct"/>
            <w:vMerge w:val="continue"/>
            <w:vAlign w:val="center"/>
          </w:tcPr>
          <w:p w14:paraId="17C05CBB">
            <w:pPr>
              <w:wordWrap w:val="0"/>
              <w:adjustRightInd w:val="0"/>
              <w:spacing w:line="0" w:lineRule="atLeast"/>
              <w:jc w:val="center"/>
              <w:textAlignment w:val="baseline"/>
              <w:rPr>
                <w:color w:val="auto"/>
                <w:szCs w:val="21"/>
                <w:highlight w:val="none"/>
              </w:rPr>
            </w:pPr>
          </w:p>
        </w:tc>
        <w:tc>
          <w:tcPr>
            <w:tcW w:w="358" w:type="pct"/>
            <w:vMerge w:val="continue"/>
            <w:vAlign w:val="center"/>
          </w:tcPr>
          <w:p w14:paraId="3DB7CC93">
            <w:pPr>
              <w:wordWrap w:val="0"/>
              <w:adjustRightInd w:val="0"/>
              <w:spacing w:line="0" w:lineRule="atLeast"/>
              <w:jc w:val="center"/>
              <w:textAlignment w:val="baseline"/>
              <w:rPr>
                <w:color w:val="auto"/>
                <w:szCs w:val="21"/>
                <w:highlight w:val="none"/>
              </w:rPr>
            </w:pPr>
          </w:p>
        </w:tc>
        <w:tc>
          <w:tcPr>
            <w:tcW w:w="358" w:type="pct"/>
            <w:vMerge w:val="continue"/>
            <w:vAlign w:val="center"/>
          </w:tcPr>
          <w:p w14:paraId="53CB8921">
            <w:pPr>
              <w:wordWrap w:val="0"/>
              <w:adjustRightInd w:val="0"/>
              <w:spacing w:line="0" w:lineRule="atLeast"/>
              <w:jc w:val="center"/>
              <w:textAlignment w:val="baseline"/>
              <w:rPr>
                <w:color w:val="auto"/>
                <w:szCs w:val="21"/>
                <w:highlight w:val="none"/>
              </w:rPr>
            </w:pPr>
          </w:p>
        </w:tc>
        <w:tc>
          <w:tcPr>
            <w:tcW w:w="490" w:type="pct"/>
            <w:vMerge w:val="continue"/>
            <w:vAlign w:val="center"/>
          </w:tcPr>
          <w:p w14:paraId="66794BA9">
            <w:pPr>
              <w:wordWrap w:val="0"/>
              <w:adjustRightInd w:val="0"/>
              <w:spacing w:line="0" w:lineRule="atLeast"/>
              <w:jc w:val="center"/>
              <w:textAlignment w:val="baseline"/>
              <w:rPr>
                <w:color w:val="auto"/>
                <w:szCs w:val="21"/>
                <w:highlight w:val="none"/>
              </w:rPr>
            </w:pPr>
          </w:p>
        </w:tc>
        <w:tc>
          <w:tcPr>
            <w:tcW w:w="234" w:type="pct"/>
            <w:tcBorders>
              <w:top w:val="single" w:color="auto" w:sz="4" w:space="0"/>
              <w:right w:val="single" w:color="auto" w:sz="4" w:space="0"/>
            </w:tcBorders>
            <w:vAlign w:val="center"/>
          </w:tcPr>
          <w:p w14:paraId="439828B9">
            <w:pPr>
              <w:wordWrap w:val="0"/>
              <w:adjustRightInd w:val="0"/>
              <w:spacing w:line="0" w:lineRule="atLeast"/>
              <w:jc w:val="center"/>
              <w:textAlignment w:val="baseline"/>
              <w:rPr>
                <w:color w:val="auto"/>
                <w:sz w:val="21"/>
                <w:szCs w:val="21"/>
                <w:highlight w:val="none"/>
              </w:rPr>
            </w:pPr>
            <w:r>
              <w:rPr>
                <w:rFonts w:hint="eastAsia" w:ascii="宋体" w:hAnsi="宋体" w:cs="宋体"/>
                <w:color w:val="auto"/>
                <w:sz w:val="21"/>
                <w:szCs w:val="21"/>
                <w:highlight w:val="none"/>
              </w:rPr>
              <w:t>MAC地址</w:t>
            </w:r>
          </w:p>
        </w:tc>
        <w:tc>
          <w:tcPr>
            <w:tcW w:w="233" w:type="pct"/>
            <w:tcBorders>
              <w:top w:val="single" w:color="auto" w:sz="4" w:space="0"/>
              <w:left w:val="single" w:color="auto" w:sz="4" w:space="0"/>
              <w:right w:val="single" w:color="auto" w:sz="4" w:space="0"/>
            </w:tcBorders>
            <w:vAlign w:val="center"/>
          </w:tcPr>
          <w:p w14:paraId="213D9112">
            <w:pPr>
              <w:pStyle w:val="116"/>
              <w:spacing w:before="120" w:beforeLines="50" w:line="30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CPU序</w:t>
            </w:r>
          </w:p>
          <w:p w14:paraId="205963F1">
            <w:pPr>
              <w:wordWrap w:val="0"/>
              <w:adjustRightInd w:val="0"/>
              <w:spacing w:line="0" w:lineRule="atLeast"/>
              <w:jc w:val="center"/>
              <w:textAlignment w:val="baseline"/>
              <w:rPr>
                <w:color w:val="auto"/>
                <w:sz w:val="21"/>
                <w:szCs w:val="21"/>
                <w:highlight w:val="none"/>
              </w:rPr>
            </w:pPr>
            <w:r>
              <w:rPr>
                <w:rFonts w:hint="eastAsia" w:ascii="宋体" w:hAnsi="宋体" w:cs="宋体"/>
                <w:color w:val="auto"/>
                <w:sz w:val="21"/>
                <w:szCs w:val="21"/>
                <w:highlight w:val="none"/>
              </w:rPr>
              <w:t>列号</w:t>
            </w:r>
          </w:p>
        </w:tc>
        <w:tc>
          <w:tcPr>
            <w:tcW w:w="251" w:type="pct"/>
            <w:tcBorders>
              <w:top w:val="single" w:color="auto" w:sz="4" w:space="0"/>
              <w:left w:val="single" w:color="auto" w:sz="4" w:space="0"/>
            </w:tcBorders>
            <w:vAlign w:val="center"/>
          </w:tcPr>
          <w:p w14:paraId="4F1C8423">
            <w:pPr>
              <w:wordWrap w:val="0"/>
              <w:adjustRightInd w:val="0"/>
              <w:spacing w:line="0" w:lineRule="atLeast"/>
              <w:jc w:val="center"/>
              <w:textAlignment w:val="baseline"/>
              <w:rPr>
                <w:color w:val="auto"/>
                <w:sz w:val="21"/>
                <w:szCs w:val="21"/>
                <w:highlight w:val="none"/>
              </w:rPr>
            </w:pPr>
            <w:r>
              <w:rPr>
                <w:rFonts w:hint="eastAsia" w:ascii="宋体" w:hAnsi="宋体" w:cs="宋体"/>
                <w:color w:val="auto"/>
                <w:sz w:val="21"/>
                <w:szCs w:val="21"/>
                <w:highlight w:val="none"/>
              </w:rPr>
              <w:t>硬盘序列号</w:t>
            </w:r>
          </w:p>
        </w:tc>
        <w:tc>
          <w:tcPr>
            <w:tcW w:w="266" w:type="pct"/>
            <w:vAlign w:val="center"/>
          </w:tcPr>
          <w:p w14:paraId="3956D56E">
            <w:pPr>
              <w:wordWrap w:val="0"/>
              <w:adjustRightInd w:val="0"/>
              <w:spacing w:line="0" w:lineRule="atLeast"/>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是否雷同</w:t>
            </w:r>
          </w:p>
        </w:tc>
        <w:tc>
          <w:tcPr>
            <w:tcW w:w="383" w:type="pct"/>
            <w:vMerge w:val="continue"/>
            <w:vAlign w:val="center"/>
          </w:tcPr>
          <w:p w14:paraId="7F629652">
            <w:pPr>
              <w:wordWrap w:val="0"/>
              <w:adjustRightInd w:val="0"/>
              <w:spacing w:line="500" w:lineRule="exact"/>
              <w:jc w:val="center"/>
              <w:textAlignment w:val="baseline"/>
              <w:rPr>
                <w:color w:val="auto"/>
                <w:szCs w:val="21"/>
                <w:highlight w:val="none"/>
              </w:rPr>
            </w:pPr>
          </w:p>
        </w:tc>
      </w:tr>
      <w:tr w14:paraId="05DE58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1" w:hRule="atLeast"/>
          <w:jc w:val="center"/>
        </w:trPr>
        <w:tc>
          <w:tcPr>
            <w:tcW w:w="274" w:type="pct"/>
            <w:vAlign w:val="center"/>
          </w:tcPr>
          <w:p w14:paraId="7588CE0A">
            <w:pPr>
              <w:wordWrap w:val="0"/>
              <w:adjustRightInd w:val="0"/>
              <w:spacing w:line="500" w:lineRule="exact"/>
              <w:jc w:val="center"/>
              <w:textAlignment w:val="baseline"/>
              <w:rPr>
                <w:color w:val="auto"/>
                <w:szCs w:val="21"/>
                <w:highlight w:val="none"/>
              </w:rPr>
            </w:pPr>
          </w:p>
        </w:tc>
        <w:tc>
          <w:tcPr>
            <w:tcW w:w="677" w:type="pct"/>
            <w:vAlign w:val="center"/>
          </w:tcPr>
          <w:p w14:paraId="52D62CBE">
            <w:pPr>
              <w:wordWrap w:val="0"/>
              <w:adjustRightInd w:val="0"/>
              <w:spacing w:line="500" w:lineRule="exact"/>
              <w:jc w:val="center"/>
              <w:textAlignment w:val="baseline"/>
              <w:rPr>
                <w:color w:val="auto"/>
                <w:szCs w:val="21"/>
                <w:highlight w:val="none"/>
              </w:rPr>
            </w:pPr>
          </w:p>
        </w:tc>
        <w:tc>
          <w:tcPr>
            <w:tcW w:w="398" w:type="pct"/>
            <w:vAlign w:val="center"/>
          </w:tcPr>
          <w:p w14:paraId="3FA581CC">
            <w:pPr>
              <w:wordWrap w:val="0"/>
              <w:adjustRightInd w:val="0"/>
              <w:spacing w:line="500" w:lineRule="exact"/>
              <w:jc w:val="center"/>
              <w:textAlignment w:val="baseline"/>
              <w:rPr>
                <w:color w:val="auto"/>
                <w:szCs w:val="21"/>
                <w:highlight w:val="none"/>
              </w:rPr>
            </w:pPr>
          </w:p>
        </w:tc>
        <w:tc>
          <w:tcPr>
            <w:tcW w:w="354" w:type="pct"/>
            <w:vAlign w:val="center"/>
          </w:tcPr>
          <w:p w14:paraId="0DDA7FEF">
            <w:pPr>
              <w:wordWrap w:val="0"/>
              <w:adjustRightInd w:val="0"/>
              <w:spacing w:line="500" w:lineRule="exact"/>
              <w:jc w:val="center"/>
              <w:textAlignment w:val="baseline"/>
              <w:rPr>
                <w:color w:val="auto"/>
                <w:szCs w:val="21"/>
                <w:highlight w:val="none"/>
              </w:rPr>
            </w:pPr>
          </w:p>
        </w:tc>
        <w:tc>
          <w:tcPr>
            <w:tcW w:w="358" w:type="pct"/>
            <w:vAlign w:val="center"/>
          </w:tcPr>
          <w:p w14:paraId="07C3C2E2">
            <w:pPr>
              <w:wordWrap w:val="0"/>
              <w:adjustRightInd w:val="0"/>
              <w:spacing w:line="500" w:lineRule="exact"/>
              <w:jc w:val="center"/>
              <w:textAlignment w:val="baseline"/>
              <w:rPr>
                <w:color w:val="auto"/>
                <w:szCs w:val="21"/>
                <w:highlight w:val="none"/>
              </w:rPr>
            </w:pPr>
          </w:p>
        </w:tc>
        <w:tc>
          <w:tcPr>
            <w:tcW w:w="358" w:type="pct"/>
            <w:vAlign w:val="center"/>
          </w:tcPr>
          <w:p w14:paraId="19B9D77B">
            <w:pPr>
              <w:wordWrap w:val="0"/>
              <w:adjustRightInd w:val="0"/>
              <w:spacing w:line="500" w:lineRule="exact"/>
              <w:jc w:val="center"/>
              <w:textAlignment w:val="baseline"/>
              <w:rPr>
                <w:color w:val="auto"/>
                <w:szCs w:val="21"/>
                <w:highlight w:val="none"/>
              </w:rPr>
            </w:pPr>
          </w:p>
        </w:tc>
        <w:tc>
          <w:tcPr>
            <w:tcW w:w="358" w:type="pct"/>
            <w:vAlign w:val="center"/>
          </w:tcPr>
          <w:p w14:paraId="1D4B008D">
            <w:pPr>
              <w:wordWrap w:val="0"/>
              <w:adjustRightInd w:val="0"/>
              <w:spacing w:line="500" w:lineRule="exact"/>
              <w:jc w:val="center"/>
              <w:textAlignment w:val="baseline"/>
              <w:rPr>
                <w:color w:val="auto"/>
                <w:szCs w:val="21"/>
                <w:highlight w:val="none"/>
              </w:rPr>
            </w:pPr>
          </w:p>
        </w:tc>
        <w:tc>
          <w:tcPr>
            <w:tcW w:w="358" w:type="pct"/>
            <w:vAlign w:val="center"/>
          </w:tcPr>
          <w:p w14:paraId="3C927C67">
            <w:pPr>
              <w:wordWrap w:val="0"/>
              <w:adjustRightInd w:val="0"/>
              <w:spacing w:line="500" w:lineRule="exact"/>
              <w:jc w:val="center"/>
              <w:textAlignment w:val="baseline"/>
              <w:rPr>
                <w:color w:val="auto"/>
                <w:szCs w:val="21"/>
                <w:highlight w:val="none"/>
              </w:rPr>
            </w:pPr>
          </w:p>
        </w:tc>
        <w:tc>
          <w:tcPr>
            <w:tcW w:w="490" w:type="pct"/>
          </w:tcPr>
          <w:p w14:paraId="43AE959A">
            <w:pPr>
              <w:wordWrap w:val="0"/>
              <w:rPr>
                <w:color w:val="auto"/>
                <w:szCs w:val="21"/>
                <w:highlight w:val="none"/>
              </w:rPr>
            </w:pPr>
          </w:p>
        </w:tc>
        <w:tc>
          <w:tcPr>
            <w:tcW w:w="234" w:type="pct"/>
            <w:tcBorders>
              <w:right w:val="single" w:color="auto" w:sz="4" w:space="0"/>
            </w:tcBorders>
          </w:tcPr>
          <w:p w14:paraId="6C719A40">
            <w:pPr>
              <w:wordWrap w:val="0"/>
              <w:rPr>
                <w:color w:val="auto"/>
                <w:szCs w:val="21"/>
                <w:highlight w:val="none"/>
              </w:rPr>
            </w:pPr>
          </w:p>
        </w:tc>
        <w:tc>
          <w:tcPr>
            <w:tcW w:w="233" w:type="pct"/>
            <w:tcBorders>
              <w:left w:val="single" w:color="auto" w:sz="4" w:space="0"/>
              <w:right w:val="single" w:color="auto" w:sz="4" w:space="0"/>
            </w:tcBorders>
          </w:tcPr>
          <w:p w14:paraId="09008DC0">
            <w:pPr>
              <w:wordWrap w:val="0"/>
              <w:rPr>
                <w:color w:val="auto"/>
                <w:szCs w:val="21"/>
                <w:highlight w:val="none"/>
              </w:rPr>
            </w:pPr>
          </w:p>
        </w:tc>
        <w:tc>
          <w:tcPr>
            <w:tcW w:w="251" w:type="pct"/>
            <w:tcBorders>
              <w:left w:val="single" w:color="auto" w:sz="4" w:space="0"/>
            </w:tcBorders>
          </w:tcPr>
          <w:p w14:paraId="7775F629">
            <w:pPr>
              <w:wordWrap w:val="0"/>
              <w:rPr>
                <w:color w:val="auto"/>
                <w:szCs w:val="21"/>
                <w:highlight w:val="none"/>
              </w:rPr>
            </w:pPr>
          </w:p>
        </w:tc>
        <w:tc>
          <w:tcPr>
            <w:tcW w:w="266" w:type="pct"/>
            <w:vAlign w:val="center"/>
          </w:tcPr>
          <w:p w14:paraId="49716BDA">
            <w:pPr>
              <w:wordWrap w:val="0"/>
              <w:rPr>
                <w:color w:val="auto"/>
                <w:szCs w:val="21"/>
                <w:highlight w:val="none"/>
              </w:rPr>
            </w:pPr>
          </w:p>
        </w:tc>
        <w:tc>
          <w:tcPr>
            <w:tcW w:w="383" w:type="pct"/>
            <w:vAlign w:val="center"/>
          </w:tcPr>
          <w:p w14:paraId="5BB3F813">
            <w:pPr>
              <w:wordWrap w:val="0"/>
              <w:adjustRightInd w:val="0"/>
              <w:spacing w:line="500" w:lineRule="exact"/>
              <w:jc w:val="center"/>
              <w:textAlignment w:val="baseline"/>
              <w:rPr>
                <w:color w:val="auto"/>
                <w:szCs w:val="21"/>
                <w:highlight w:val="none"/>
              </w:rPr>
            </w:pPr>
          </w:p>
        </w:tc>
      </w:tr>
      <w:tr w14:paraId="697EBF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74" w:type="pct"/>
            <w:vAlign w:val="center"/>
          </w:tcPr>
          <w:p w14:paraId="48C308E9">
            <w:pPr>
              <w:wordWrap w:val="0"/>
              <w:adjustRightInd w:val="0"/>
              <w:spacing w:line="500" w:lineRule="exact"/>
              <w:jc w:val="center"/>
              <w:textAlignment w:val="baseline"/>
              <w:rPr>
                <w:color w:val="auto"/>
                <w:szCs w:val="21"/>
                <w:highlight w:val="none"/>
              </w:rPr>
            </w:pPr>
          </w:p>
        </w:tc>
        <w:tc>
          <w:tcPr>
            <w:tcW w:w="677" w:type="pct"/>
            <w:vAlign w:val="center"/>
          </w:tcPr>
          <w:p w14:paraId="0AC17D3C">
            <w:pPr>
              <w:wordWrap w:val="0"/>
              <w:adjustRightInd w:val="0"/>
              <w:spacing w:line="500" w:lineRule="exact"/>
              <w:jc w:val="center"/>
              <w:textAlignment w:val="baseline"/>
              <w:rPr>
                <w:color w:val="auto"/>
                <w:szCs w:val="21"/>
                <w:highlight w:val="none"/>
              </w:rPr>
            </w:pPr>
          </w:p>
        </w:tc>
        <w:tc>
          <w:tcPr>
            <w:tcW w:w="398" w:type="pct"/>
            <w:vAlign w:val="center"/>
          </w:tcPr>
          <w:p w14:paraId="1D44E91B">
            <w:pPr>
              <w:wordWrap w:val="0"/>
              <w:adjustRightInd w:val="0"/>
              <w:spacing w:line="500" w:lineRule="exact"/>
              <w:jc w:val="center"/>
              <w:textAlignment w:val="baseline"/>
              <w:rPr>
                <w:color w:val="auto"/>
                <w:szCs w:val="21"/>
                <w:highlight w:val="none"/>
              </w:rPr>
            </w:pPr>
          </w:p>
        </w:tc>
        <w:tc>
          <w:tcPr>
            <w:tcW w:w="354" w:type="pct"/>
            <w:vAlign w:val="center"/>
          </w:tcPr>
          <w:p w14:paraId="5A3B4CB1">
            <w:pPr>
              <w:wordWrap w:val="0"/>
              <w:adjustRightInd w:val="0"/>
              <w:spacing w:line="500" w:lineRule="exact"/>
              <w:jc w:val="center"/>
              <w:textAlignment w:val="baseline"/>
              <w:rPr>
                <w:color w:val="auto"/>
                <w:szCs w:val="21"/>
                <w:highlight w:val="none"/>
              </w:rPr>
            </w:pPr>
          </w:p>
        </w:tc>
        <w:tc>
          <w:tcPr>
            <w:tcW w:w="358" w:type="pct"/>
            <w:vAlign w:val="center"/>
          </w:tcPr>
          <w:p w14:paraId="2CFDC00D">
            <w:pPr>
              <w:wordWrap w:val="0"/>
              <w:adjustRightInd w:val="0"/>
              <w:spacing w:line="500" w:lineRule="exact"/>
              <w:jc w:val="center"/>
              <w:textAlignment w:val="baseline"/>
              <w:rPr>
                <w:color w:val="auto"/>
                <w:szCs w:val="21"/>
                <w:highlight w:val="none"/>
              </w:rPr>
            </w:pPr>
          </w:p>
        </w:tc>
        <w:tc>
          <w:tcPr>
            <w:tcW w:w="358" w:type="pct"/>
            <w:vAlign w:val="center"/>
          </w:tcPr>
          <w:p w14:paraId="55F86F93">
            <w:pPr>
              <w:wordWrap w:val="0"/>
              <w:adjustRightInd w:val="0"/>
              <w:spacing w:line="500" w:lineRule="exact"/>
              <w:jc w:val="center"/>
              <w:textAlignment w:val="baseline"/>
              <w:rPr>
                <w:color w:val="auto"/>
                <w:szCs w:val="21"/>
                <w:highlight w:val="none"/>
              </w:rPr>
            </w:pPr>
          </w:p>
        </w:tc>
        <w:tc>
          <w:tcPr>
            <w:tcW w:w="358" w:type="pct"/>
            <w:vAlign w:val="center"/>
          </w:tcPr>
          <w:p w14:paraId="37BAD76D">
            <w:pPr>
              <w:wordWrap w:val="0"/>
              <w:adjustRightInd w:val="0"/>
              <w:spacing w:line="500" w:lineRule="exact"/>
              <w:jc w:val="center"/>
              <w:textAlignment w:val="baseline"/>
              <w:rPr>
                <w:color w:val="auto"/>
                <w:szCs w:val="21"/>
                <w:highlight w:val="none"/>
              </w:rPr>
            </w:pPr>
          </w:p>
        </w:tc>
        <w:tc>
          <w:tcPr>
            <w:tcW w:w="358" w:type="pct"/>
            <w:vAlign w:val="center"/>
          </w:tcPr>
          <w:p w14:paraId="584C9DC2">
            <w:pPr>
              <w:wordWrap w:val="0"/>
              <w:adjustRightInd w:val="0"/>
              <w:spacing w:line="500" w:lineRule="exact"/>
              <w:jc w:val="center"/>
              <w:textAlignment w:val="baseline"/>
              <w:rPr>
                <w:color w:val="auto"/>
                <w:szCs w:val="21"/>
                <w:highlight w:val="none"/>
              </w:rPr>
            </w:pPr>
          </w:p>
        </w:tc>
        <w:tc>
          <w:tcPr>
            <w:tcW w:w="490" w:type="pct"/>
          </w:tcPr>
          <w:p w14:paraId="77D693F4">
            <w:pPr>
              <w:wordWrap w:val="0"/>
              <w:rPr>
                <w:color w:val="auto"/>
                <w:szCs w:val="21"/>
                <w:highlight w:val="none"/>
              </w:rPr>
            </w:pPr>
          </w:p>
        </w:tc>
        <w:tc>
          <w:tcPr>
            <w:tcW w:w="234" w:type="pct"/>
            <w:tcBorders>
              <w:right w:val="single" w:color="auto" w:sz="4" w:space="0"/>
            </w:tcBorders>
          </w:tcPr>
          <w:p w14:paraId="7D0B35E6">
            <w:pPr>
              <w:wordWrap w:val="0"/>
              <w:rPr>
                <w:color w:val="auto"/>
                <w:szCs w:val="21"/>
                <w:highlight w:val="none"/>
              </w:rPr>
            </w:pPr>
          </w:p>
        </w:tc>
        <w:tc>
          <w:tcPr>
            <w:tcW w:w="233" w:type="pct"/>
            <w:tcBorders>
              <w:left w:val="single" w:color="auto" w:sz="4" w:space="0"/>
              <w:right w:val="single" w:color="auto" w:sz="4" w:space="0"/>
            </w:tcBorders>
          </w:tcPr>
          <w:p w14:paraId="24497590">
            <w:pPr>
              <w:wordWrap w:val="0"/>
              <w:rPr>
                <w:color w:val="auto"/>
                <w:szCs w:val="21"/>
                <w:highlight w:val="none"/>
              </w:rPr>
            </w:pPr>
          </w:p>
        </w:tc>
        <w:tc>
          <w:tcPr>
            <w:tcW w:w="251" w:type="pct"/>
            <w:tcBorders>
              <w:left w:val="single" w:color="auto" w:sz="4" w:space="0"/>
            </w:tcBorders>
          </w:tcPr>
          <w:p w14:paraId="7549C690">
            <w:pPr>
              <w:wordWrap w:val="0"/>
              <w:rPr>
                <w:color w:val="auto"/>
                <w:szCs w:val="21"/>
                <w:highlight w:val="none"/>
              </w:rPr>
            </w:pPr>
          </w:p>
        </w:tc>
        <w:tc>
          <w:tcPr>
            <w:tcW w:w="266" w:type="pct"/>
            <w:vAlign w:val="center"/>
          </w:tcPr>
          <w:p w14:paraId="250CB860">
            <w:pPr>
              <w:wordWrap w:val="0"/>
              <w:rPr>
                <w:color w:val="auto"/>
                <w:szCs w:val="21"/>
                <w:highlight w:val="none"/>
              </w:rPr>
            </w:pPr>
          </w:p>
        </w:tc>
        <w:tc>
          <w:tcPr>
            <w:tcW w:w="383" w:type="pct"/>
            <w:vAlign w:val="center"/>
          </w:tcPr>
          <w:p w14:paraId="522783BE">
            <w:pPr>
              <w:wordWrap w:val="0"/>
              <w:adjustRightInd w:val="0"/>
              <w:spacing w:line="500" w:lineRule="exact"/>
              <w:jc w:val="center"/>
              <w:textAlignment w:val="baseline"/>
              <w:rPr>
                <w:color w:val="auto"/>
                <w:szCs w:val="21"/>
                <w:highlight w:val="none"/>
              </w:rPr>
            </w:pPr>
          </w:p>
        </w:tc>
      </w:tr>
      <w:tr w14:paraId="7D6B40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74" w:type="pct"/>
            <w:vAlign w:val="center"/>
          </w:tcPr>
          <w:p w14:paraId="7C42CA2B">
            <w:pPr>
              <w:wordWrap w:val="0"/>
              <w:adjustRightInd w:val="0"/>
              <w:spacing w:line="500" w:lineRule="exact"/>
              <w:jc w:val="center"/>
              <w:textAlignment w:val="baseline"/>
              <w:rPr>
                <w:color w:val="auto"/>
                <w:szCs w:val="21"/>
                <w:highlight w:val="none"/>
              </w:rPr>
            </w:pPr>
          </w:p>
        </w:tc>
        <w:tc>
          <w:tcPr>
            <w:tcW w:w="677" w:type="pct"/>
            <w:vAlign w:val="center"/>
          </w:tcPr>
          <w:p w14:paraId="2E9F7480">
            <w:pPr>
              <w:wordWrap w:val="0"/>
              <w:adjustRightInd w:val="0"/>
              <w:spacing w:line="500" w:lineRule="exact"/>
              <w:jc w:val="center"/>
              <w:textAlignment w:val="baseline"/>
              <w:rPr>
                <w:color w:val="auto"/>
                <w:szCs w:val="21"/>
                <w:highlight w:val="none"/>
              </w:rPr>
            </w:pPr>
          </w:p>
        </w:tc>
        <w:tc>
          <w:tcPr>
            <w:tcW w:w="398" w:type="pct"/>
            <w:vAlign w:val="center"/>
          </w:tcPr>
          <w:p w14:paraId="7EC3F96D">
            <w:pPr>
              <w:wordWrap w:val="0"/>
              <w:adjustRightInd w:val="0"/>
              <w:spacing w:line="500" w:lineRule="exact"/>
              <w:jc w:val="center"/>
              <w:textAlignment w:val="baseline"/>
              <w:rPr>
                <w:color w:val="auto"/>
                <w:szCs w:val="21"/>
                <w:highlight w:val="none"/>
              </w:rPr>
            </w:pPr>
          </w:p>
        </w:tc>
        <w:tc>
          <w:tcPr>
            <w:tcW w:w="354" w:type="pct"/>
            <w:vAlign w:val="center"/>
          </w:tcPr>
          <w:p w14:paraId="4A2FBBC7">
            <w:pPr>
              <w:wordWrap w:val="0"/>
              <w:adjustRightInd w:val="0"/>
              <w:spacing w:line="500" w:lineRule="exact"/>
              <w:jc w:val="center"/>
              <w:textAlignment w:val="baseline"/>
              <w:rPr>
                <w:color w:val="auto"/>
                <w:szCs w:val="21"/>
                <w:highlight w:val="none"/>
              </w:rPr>
            </w:pPr>
          </w:p>
        </w:tc>
        <w:tc>
          <w:tcPr>
            <w:tcW w:w="358" w:type="pct"/>
            <w:vAlign w:val="center"/>
          </w:tcPr>
          <w:p w14:paraId="17ADEB6A">
            <w:pPr>
              <w:wordWrap w:val="0"/>
              <w:adjustRightInd w:val="0"/>
              <w:spacing w:line="500" w:lineRule="exact"/>
              <w:jc w:val="center"/>
              <w:textAlignment w:val="baseline"/>
              <w:rPr>
                <w:color w:val="auto"/>
                <w:szCs w:val="21"/>
                <w:highlight w:val="none"/>
              </w:rPr>
            </w:pPr>
          </w:p>
        </w:tc>
        <w:tc>
          <w:tcPr>
            <w:tcW w:w="358" w:type="pct"/>
            <w:vAlign w:val="center"/>
          </w:tcPr>
          <w:p w14:paraId="3372E7E1">
            <w:pPr>
              <w:wordWrap w:val="0"/>
              <w:adjustRightInd w:val="0"/>
              <w:spacing w:line="500" w:lineRule="exact"/>
              <w:jc w:val="center"/>
              <w:textAlignment w:val="baseline"/>
              <w:rPr>
                <w:color w:val="auto"/>
                <w:szCs w:val="21"/>
                <w:highlight w:val="none"/>
              </w:rPr>
            </w:pPr>
          </w:p>
        </w:tc>
        <w:tc>
          <w:tcPr>
            <w:tcW w:w="358" w:type="pct"/>
            <w:vAlign w:val="center"/>
          </w:tcPr>
          <w:p w14:paraId="52E1B738">
            <w:pPr>
              <w:wordWrap w:val="0"/>
              <w:adjustRightInd w:val="0"/>
              <w:spacing w:line="500" w:lineRule="exact"/>
              <w:jc w:val="center"/>
              <w:textAlignment w:val="baseline"/>
              <w:rPr>
                <w:color w:val="auto"/>
                <w:szCs w:val="21"/>
                <w:highlight w:val="none"/>
              </w:rPr>
            </w:pPr>
          </w:p>
        </w:tc>
        <w:tc>
          <w:tcPr>
            <w:tcW w:w="358" w:type="pct"/>
            <w:vAlign w:val="center"/>
          </w:tcPr>
          <w:p w14:paraId="20B895E7">
            <w:pPr>
              <w:wordWrap w:val="0"/>
              <w:adjustRightInd w:val="0"/>
              <w:spacing w:line="500" w:lineRule="exact"/>
              <w:jc w:val="center"/>
              <w:textAlignment w:val="baseline"/>
              <w:rPr>
                <w:color w:val="auto"/>
                <w:szCs w:val="21"/>
                <w:highlight w:val="none"/>
              </w:rPr>
            </w:pPr>
          </w:p>
        </w:tc>
        <w:tc>
          <w:tcPr>
            <w:tcW w:w="490" w:type="pct"/>
          </w:tcPr>
          <w:p w14:paraId="6BB0396C">
            <w:pPr>
              <w:wordWrap w:val="0"/>
              <w:rPr>
                <w:color w:val="auto"/>
                <w:szCs w:val="21"/>
                <w:highlight w:val="none"/>
              </w:rPr>
            </w:pPr>
          </w:p>
        </w:tc>
        <w:tc>
          <w:tcPr>
            <w:tcW w:w="234" w:type="pct"/>
            <w:tcBorders>
              <w:right w:val="single" w:color="auto" w:sz="4" w:space="0"/>
            </w:tcBorders>
          </w:tcPr>
          <w:p w14:paraId="5A0EDB7C">
            <w:pPr>
              <w:wordWrap w:val="0"/>
              <w:rPr>
                <w:color w:val="auto"/>
                <w:szCs w:val="21"/>
                <w:highlight w:val="none"/>
              </w:rPr>
            </w:pPr>
          </w:p>
        </w:tc>
        <w:tc>
          <w:tcPr>
            <w:tcW w:w="233" w:type="pct"/>
            <w:tcBorders>
              <w:left w:val="single" w:color="auto" w:sz="4" w:space="0"/>
              <w:right w:val="single" w:color="auto" w:sz="4" w:space="0"/>
            </w:tcBorders>
          </w:tcPr>
          <w:p w14:paraId="657B5EB2">
            <w:pPr>
              <w:wordWrap w:val="0"/>
              <w:rPr>
                <w:color w:val="auto"/>
                <w:szCs w:val="21"/>
                <w:highlight w:val="none"/>
              </w:rPr>
            </w:pPr>
          </w:p>
        </w:tc>
        <w:tc>
          <w:tcPr>
            <w:tcW w:w="251" w:type="pct"/>
            <w:tcBorders>
              <w:left w:val="single" w:color="auto" w:sz="4" w:space="0"/>
            </w:tcBorders>
          </w:tcPr>
          <w:p w14:paraId="307C813D">
            <w:pPr>
              <w:wordWrap w:val="0"/>
              <w:rPr>
                <w:color w:val="auto"/>
                <w:szCs w:val="21"/>
                <w:highlight w:val="none"/>
              </w:rPr>
            </w:pPr>
          </w:p>
        </w:tc>
        <w:tc>
          <w:tcPr>
            <w:tcW w:w="266" w:type="pct"/>
            <w:vAlign w:val="center"/>
          </w:tcPr>
          <w:p w14:paraId="0A9515DA">
            <w:pPr>
              <w:wordWrap w:val="0"/>
              <w:rPr>
                <w:color w:val="auto"/>
                <w:szCs w:val="21"/>
                <w:highlight w:val="none"/>
              </w:rPr>
            </w:pPr>
          </w:p>
        </w:tc>
        <w:tc>
          <w:tcPr>
            <w:tcW w:w="383" w:type="pct"/>
            <w:vAlign w:val="center"/>
          </w:tcPr>
          <w:p w14:paraId="4FC9E70E">
            <w:pPr>
              <w:wordWrap w:val="0"/>
              <w:adjustRightInd w:val="0"/>
              <w:spacing w:line="500" w:lineRule="exact"/>
              <w:jc w:val="center"/>
              <w:textAlignment w:val="baseline"/>
              <w:rPr>
                <w:color w:val="auto"/>
                <w:szCs w:val="21"/>
                <w:highlight w:val="none"/>
              </w:rPr>
            </w:pPr>
          </w:p>
        </w:tc>
      </w:tr>
      <w:tr w14:paraId="26537A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74" w:type="pct"/>
            <w:vAlign w:val="center"/>
          </w:tcPr>
          <w:p w14:paraId="4D884395">
            <w:pPr>
              <w:wordWrap w:val="0"/>
              <w:adjustRightInd w:val="0"/>
              <w:spacing w:line="500" w:lineRule="exact"/>
              <w:jc w:val="center"/>
              <w:textAlignment w:val="baseline"/>
              <w:rPr>
                <w:color w:val="auto"/>
                <w:szCs w:val="21"/>
                <w:highlight w:val="none"/>
              </w:rPr>
            </w:pPr>
          </w:p>
        </w:tc>
        <w:tc>
          <w:tcPr>
            <w:tcW w:w="677" w:type="pct"/>
            <w:vAlign w:val="center"/>
          </w:tcPr>
          <w:p w14:paraId="7530F3E8">
            <w:pPr>
              <w:wordWrap w:val="0"/>
              <w:adjustRightInd w:val="0"/>
              <w:spacing w:line="500" w:lineRule="exact"/>
              <w:jc w:val="center"/>
              <w:textAlignment w:val="baseline"/>
              <w:rPr>
                <w:color w:val="auto"/>
                <w:szCs w:val="21"/>
                <w:highlight w:val="none"/>
              </w:rPr>
            </w:pPr>
          </w:p>
        </w:tc>
        <w:tc>
          <w:tcPr>
            <w:tcW w:w="398" w:type="pct"/>
            <w:vAlign w:val="center"/>
          </w:tcPr>
          <w:p w14:paraId="1D400735">
            <w:pPr>
              <w:wordWrap w:val="0"/>
              <w:adjustRightInd w:val="0"/>
              <w:spacing w:line="500" w:lineRule="exact"/>
              <w:jc w:val="center"/>
              <w:textAlignment w:val="baseline"/>
              <w:rPr>
                <w:color w:val="auto"/>
                <w:szCs w:val="21"/>
                <w:highlight w:val="none"/>
              </w:rPr>
            </w:pPr>
          </w:p>
        </w:tc>
        <w:tc>
          <w:tcPr>
            <w:tcW w:w="354" w:type="pct"/>
            <w:vAlign w:val="center"/>
          </w:tcPr>
          <w:p w14:paraId="15FB3542">
            <w:pPr>
              <w:wordWrap w:val="0"/>
              <w:adjustRightInd w:val="0"/>
              <w:spacing w:line="500" w:lineRule="exact"/>
              <w:jc w:val="center"/>
              <w:textAlignment w:val="baseline"/>
              <w:rPr>
                <w:color w:val="auto"/>
                <w:szCs w:val="21"/>
                <w:highlight w:val="none"/>
              </w:rPr>
            </w:pPr>
          </w:p>
        </w:tc>
        <w:tc>
          <w:tcPr>
            <w:tcW w:w="358" w:type="pct"/>
            <w:vAlign w:val="center"/>
          </w:tcPr>
          <w:p w14:paraId="295FBB19">
            <w:pPr>
              <w:wordWrap w:val="0"/>
              <w:adjustRightInd w:val="0"/>
              <w:spacing w:line="500" w:lineRule="exact"/>
              <w:jc w:val="center"/>
              <w:textAlignment w:val="baseline"/>
              <w:rPr>
                <w:color w:val="auto"/>
                <w:szCs w:val="21"/>
                <w:highlight w:val="none"/>
              </w:rPr>
            </w:pPr>
          </w:p>
        </w:tc>
        <w:tc>
          <w:tcPr>
            <w:tcW w:w="358" w:type="pct"/>
            <w:vAlign w:val="center"/>
          </w:tcPr>
          <w:p w14:paraId="720FEE20">
            <w:pPr>
              <w:wordWrap w:val="0"/>
              <w:adjustRightInd w:val="0"/>
              <w:spacing w:line="500" w:lineRule="exact"/>
              <w:jc w:val="center"/>
              <w:textAlignment w:val="baseline"/>
              <w:rPr>
                <w:color w:val="auto"/>
                <w:szCs w:val="21"/>
                <w:highlight w:val="none"/>
              </w:rPr>
            </w:pPr>
          </w:p>
        </w:tc>
        <w:tc>
          <w:tcPr>
            <w:tcW w:w="358" w:type="pct"/>
            <w:vAlign w:val="center"/>
          </w:tcPr>
          <w:p w14:paraId="1AAFB79B">
            <w:pPr>
              <w:wordWrap w:val="0"/>
              <w:adjustRightInd w:val="0"/>
              <w:spacing w:line="500" w:lineRule="exact"/>
              <w:jc w:val="center"/>
              <w:textAlignment w:val="baseline"/>
              <w:rPr>
                <w:color w:val="auto"/>
                <w:szCs w:val="21"/>
                <w:highlight w:val="none"/>
              </w:rPr>
            </w:pPr>
          </w:p>
        </w:tc>
        <w:tc>
          <w:tcPr>
            <w:tcW w:w="358" w:type="pct"/>
            <w:vAlign w:val="center"/>
          </w:tcPr>
          <w:p w14:paraId="04CA093B">
            <w:pPr>
              <w:wordWrap w:val="0"/>
              <w:adjustRightInd w:val="0"/>
              <w:spacing w:line="500" w:lineRule="exact"/>
              <w:jc w:val="center"/>
              <w:textAlignment w:val="baseline"/>
              <w:rPr>
                <w:color w:val="auto"/>
                <w:szCs w:val="21"/>
                <w:highlight w:val="none"/>
              </w:rPr>
            </w:pPr>
          </w:p>
        </w:tc>
        <w:tc>
          <w:tcPr>
            <w:tcW w:w="490" w:type="pct"/>
          </w:tcPr>
          <w:p w14:paraId="3C072AAD">
            <w:pPr>
              <w:wordWrap w:val="0"/>
              <w:rPr>
                <w:color w:val="auto"/>
                <w:szCs w:val="21"/>
                <w:highlight w:val="none"/>
              </w:rPr>
            </w:pPr>
          </w:p>
        </w:tc>
        <w:tc>
          <w:tcPr>
            <w:tcW w:w="234" w:type="pct"/>
            <w:tcBorders>
              <w:right w:val="single" w:color="auto" w:sz="4" w:space="0"/>
            </w:tcBorders>
          </w:tcPr>
          <w:p w14:paraId="5DF5DEE8">
            <w:pPr>
              <w:wordWrap w:val="0"/>
              <w:rPr>
                <w:color w:val="auto"/>
                <w:szCs w:val="21"/>
                <w:highlight w:val="none"/>
              </w:rPr>
            </w:pPr>
          </w:p>
        </w:tc>
        <w:tc>
          <w:tcPr>
            <w:tcW w:w="233" w:type="pct"/>
            <w:tcBorders>
              <w:left w:val="single" w:color="auto" w:sz="4" w:space="0"/>
              <w:right w:val="single" w:color="auto" w:sz="4" w:space="0"/>
            </w:tcBorders>
          </w:tcPr>
          <w:p w14:paraId="526F759B">
            <w:pPr>
              <w:wordWrap w:val="0"/>
              <w:rPr>
                <w:color w:val="auto"/>
                <w:szCs w:val="21"/>
                <w:highlight w:val="none"/>
              </w:rPr>
            </w:pPr>
          </w:p>
        </w:tc>
        <w:tc>
          <w:tcPr>
            <w:tcW w:w="251" w:type="pct"/>
            <w:tcBorders>
              <w:left w:val="single" w:color="auto" w:sz="4" w:space="0"/>
            </w:tcBorders>
          </w:tcPr>
          <w:p w14:paraId="1775203F">
            <w:pPr>
              <w:wordWrap w:val="0"/>
              <w:rPr>
                <w:color w:val="auto"/>
                <w:szCs w:val="21"/>
                <w:highlight w:val="none"/>
              </w:rPr>
            </w:pPr>
          </w:p>
        </w:tc>
        <w:tc>
          <w:tcPr>
            <w:tcW w:w="266" w:type="pct"/>
            <w:vAlign w:val="center"/>
          </w:tcPr>
          <w:p w14:paraId="5CC135E5">
            <w:pPr>
              <w:wordWrap w:val="0"/>
              <w:rPr>
                <w:color w:val="auto"/>
                <w:szCs w:val="21"/>
                <w:highlight w:val="none"/>
              </w:rPr>
            </w:pPr>
          </w:p>
        </w:tc>
        <w:tc>
          <w:tcPr>
            <w:tcW w:w="383" w:type="pct"/>
            <w:vAlign w:val="center"/>
          </w:tcPr>
          <w:p w14:paraId="77C50887">
            <w:pPr>
              <w:wordWrap w:val="0"/>
              <w:adjustRightInd w:val="0"/>
              <w:spacing w:line="500" w:lineRule="exact"/>
              <w:jc w:val="center"/>
              <w:textAlignment w:val="baseline"/>
              <w:rPr>
                <w:color w:val="auto"/>
                <w:szCs w:val="21"/>
                <w:highlight w:val="none"/>
              </w:rPr>
            </w:pPr>
          </w:p>
        </w:tc>
      </w:tr>
      <w:tr w14:paraId="23AD00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74" w:type="pct"/>
            <w:vAlign w:val="center"/>
          </w:tcPr>
          <w:p w14:paraId="6582876D">
            <w:pPr>
              <w:wordWrap w:val="0"/>
              <w:adjustRightInd w:val="0"/>
              <w:spacing w:line="500" w:lineRule="exact"/>
              <w:jc w:val="center"/>
              <w:textAlignment w:val="baseline"/>
              <w:rPr>
                <w:color w:val="auto"/>
                <w:szCs w:val="21"/>
                <w:highlight w:val="none"/>
              </w:rPr>
            </w:pPr>
          </w:p>
        </w:tc>
        <w:tc>
          <w:tcPr>
            <w:tcW w:w="677" w:type="pct"/>
            <w:vAlign w:val="center"/>
          </w:tcPr>
          <w:p w14:paraId="3FE227FE">
            <w:pPr>
              <w:wordWrap w:val="0"/>
              <w:adjustRightInd w:val="0"/>
              <w:spacing w:line="500" w:lineRule="exact"/>
              <w:jc w:val="center"/>
              <w:textAlignment w:val="baseline"/>
              <w:rPr>
                <w:color w:val="auto"/>
                <w:szCs w:val="21"/>
                <w:highlight w:val="none"/>
              </w:rPr>
            </w:pPr>
          </w:p>
        </w:tc>
        <w:tc>
          <w:tcPr>
            <w:tcW w:w="398" w:type="pct"/>
            <w:vAlign w:val="center"/>
          </w:tcPr>
          <w:p w14:paraId="395B597D">
            <w:pPr>
              <w:wordWrap w:val="0"/>
              <w:adjustRightInd w:val="0"/>
              <w:spacing w:line="500" w:lineRule="exact"/>
              <w:jc w:val="center"/>
              <w:textAlignment w:val="baseline"/>
              <w:rPr>
                <w:color w:val="auto"/>
                <w:szCs w:val="21"/>
                <w:highlight w:val="none"/>
              </w:rPr>
            </w:pPr>
          </w:p>
        </w:tc>
        <w:tc>
          <w:tcPr>
            <w:tcW w:w="354" w:type="pct"/>
            <w:vAlign w:val="center"/>
          </w:tcPr>
          <w:p w14:paraId="6BB7B47C">
            <w:pPr>
              <w:wordWrap w:val="0"/>
              <w:adjustRightInd w:val="0"/>
              <w:spacing w:line="500" w:lineRule="exact"/>
              <w:jc w:val="center"/>
              <w:textAlignment w:val="baseline"/>
              <w:rPr>
                <w:color w:val="auto"/>
                <w:szCs w:val="21"/>
                <w:highlight w:val="none"/>
              </w:rPr>
            </w:pPr>
          </w:p>
        </w:tc>
        <w:tc>
          <w:tcPr>
            <w:tcW w:w="358" w:type="pct"/>
            <w:vAlign w:val="center"/>
          </w:tcPr>
          <w:p w14:paraId="76BE4FF6">
            <w:pPr>
              <w:wordWrap w:val="0"/>
              <w:adjustRightInd w:val="0"/>
              <w:spacing w:line="500" w:lineRule="exact"/>
              <w:jc w:val="center"/>
              <w:textAlignment w:val="baseline"/>
              <w:rPr>
                <w:color w:val="auto"/>
                <w:szCs w:val="21"/>
                <w:highlight w:val="none"/>
              </w:rPr>
            </w:pPr>
          </w:p>
        </w:tc>
        <w:tc>
          <w:tcPr>
            <w:tcW w:w="358" w:type="pct"/>
            <w:vAlign w:val="center"/>
          </w:tcPr>
          <w:p w14:paraId="22C36CD1">
            <w:pPr>
              <w:wordWrap w:val="0"/>
              <w:adjustRightInd w:val="0"/>
              <w:spacing w:line="500" w:lineRule="exact"/>
              <w:jc w:val="center"/>
              <w:textAlignment w:val="baseline"/>
              <w:rPr>
                <w:color w:val="auto"/>
                <w:szCs w:val="21"/>
                <w:highlight w:val="none"/>
              </w:rPr>
            </w:pPr>
          </w:p>
        </w:tc>
        <w:tc>
          <w:tcPr>
            <w:tcW w:w="358" w:type="pct"/>
            <w:vAlign w:val="center"/>
          </w:tcPr>
          <w:p w14:paraId="187EDD5B">
            <w:pPr>
              <w:wordWrap w:val="0"/>
              <w:adjustRightInd w:val="0"/>
              <w:spacing w:line="500" w:lineRule="exact"/>
              <w:jc w:val="center"/>
              <w:textAlignment w:val="baseline"/>
              <w:rPr>
                <w:color w:val="auto"/>
                <w:szCs w:val="21"/>
                <w:highlight w:val="none"/>
              </w:rPr>
            </w:pPr>
          </w:p>
        </w:tc>
        <w:tc>
          <w:tcPr>
            <w:tcW w:w="358" w:type="pct"/>
            <w:vAlign w:val="center"/>
          </w:tcPr>
          <w:p w14:paraId="3980D641">
            <w:pPr>
              <w:wordWrap w:val="0"/>
              <w:adjustRightInd w:val="0"/>
              <w:spacing w:line="500" w:lineRule="exact"/>
              <w:jc w:val="center"/>
              <w:textAlignment w:val="baseline"/>
              <w:rPr>
                <w:color w:val="auto"/>
                <w:szCs w:val="21"/>
                <w:highlight w:val="none"/>
              </w:rPr>
            </w:pPr>
          </w:p>
        </w:tc>
        <w:tc>
          <w:tcPr>
            <w:tcW w:w="490" w:type="pct"/>
          </w:tcPr>
          <w:p w14:paraId="0D13B04A">
            <w:pPr>
              <w:wordWrap w:val="0"/>
              <w:rPr>
                <w:color w:val="auto"/>
                <w:szCs w:val="21"/>
                <w:highlight w:val="none"/>
              </w:rPr>
            </w:pPr>
          </w:p>
        </w:tc>
        <w:tc>
          <w:tcPr>
            <w:tcW w:w="234" w:type="pct"/>
            <w:tcBorders>
              <w:right w:val="single" w:color="auto" w:sz="4" w:space="0"/>
            </w:tcBorders>
          </w:tcPr>
          <w:p w14:paraId="3FEA250B">
            <w:pPr>
              <w:wordWrap w:val="0"/>
              <w:rPr>
                <w:color w:val="auto"/>
                <w:szCs w:val="21"/>
                <w:highlight w:val="none"/>
              </w:rPr>
            </w:pPr>
          </w:p>
        </w:tc>
        <w:tc>
          <w:tcPr>
            <w:tcW w:w="233" w:type="pct"/>
            <w:tcBorders>
              <w:left w:val="single" w:color="auto" w:sz="4" w:space="0"/>
              <w:right w:val="single" w:color="auto" w:sz="4" w:space="0"/>
            </w:tcBorders>
          </w:tcPr>
          <w:p w14:paraId="29045C29">
            <w:pPr>
              <w:wordWrap w:val="0"/>
              <w:rPr>
                <w:color w:val="auto"/>
                <w:szCs w:val="21"/>
                <w:highlight w:val="none"/>
              </w:rPr>
            </w:pPr>
          </w:p>
        </w:tc>
        <w:tc>
          <w:tcPr>
            <w:tcW w:w="251" w:type="pct"/>
            <w:tcBorders>
              <w:left w:val="single" w:color="auto" w:sz="4" w:space="0"/>
            </w:tcBorders>
          </w:tcPr>
          <w:p w14:paraId="3BF2910E">
            <w:pPr>
              <w:wordWrap w:val="0"/>
              <w:rPr>
                <w:color w:val="auto"/>
                <w:szCs w:val="21"/>
                <w:highlight w:val="none"/>
              </w:rPr>
            </w:pPr>
          </w:p>
        </w:tc>
        <w:tc>
          <w:tcPr>
            <w:tcW w:w="266" w:type="pct"/>
            <w:vAlign w:val="center"/>
          </w:tcPr>
          <w:p w14:paraId="48035BF9">
            <w:pPr>
              <w:wordWrap w:val="0"/>
              <w:rPr>
                <w:color w:val="auto"/>
                <w:szCs w:val="21"/>
                <w:highlight w:val="none"/>
              </w:rPr>
            </w:pPr>
          </w:p>
        </w:tc>
        <w:tc>
          <w:tcPr>
            <w:tcW w:w="383" w:type="pct"/>
            <w:vAlign w:val="center"/>
          </w:tcPr>
          <w:p w14:paraId="3B63267F">
            <w:pPr>
              <w:wordWrap w:val="0"/>
              <w:adjustRightInd w:val="0"/>
              <w:spacing w:line="500" w:lineRule="exact"/>
              <w:jc w:val="center"/>
              <w:textAlignment w:val="baseline"/>
              <w:rPr>
                <w:color w:val="auto"/>
                <w:szCs w:val="21"/>
                <w:highlight w:val="none"/>
              </w:rPr>
            </w:pPr>
          </w:p>
        </w:tc>
      </w:tr>
      <w:tr w14:paraId="012E4D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74" w:type="pct"/>
            <w:vAlign w:val="center"/>
          </w:tcPr>
          <w:p w14:paraId="2C77F026">
            <w:pPr>
              <w:wordWrap w:val="0"/>
              <w:adjustRightInd w:val="0"/>
              <w:spacing w:line="500" w:lineRule="exact"/>
              <w:jc w:val="center"/>
              <w:textAlignment w:val="baseline"/>
              <w:rPr>
                <w:color w:val="auto"/>
                <w:szCs w:val="21"/>
                <w:highlight w:val="none"/>
              </w:rPr>
            </w:pPr>
          </w:p>
        </w:tc>
        <w:tc>
          <w:tcPr>
            <w:tcW w:w="677" w:type="pct"/>
            <w:vAlign w:val="center"/>
          </w:tcPr>
          <w:p w14:paraId="3B534544">
            <w:pPr>
              <w:wordWrap w:val="0"/>
              <w:adjustRightInd w:val="0"/>
              <w:spacing w:line="500" w:lineRule="exact"/>
              <w:jc w:val="center"/>
              <w:textAlignment w:val="baseline"/>
              <w:rPr>
                <w:color w:val="auto"/>
                <w:szCs w:val="21"/>
                <w:highlight w:val="none"/>
              </w:rPr>
            </w:pPr>
          </w:p>
        </w:tc>
        <w:tc>
          <w:tcPr>
            <w:tcW w:w="398" w:type="pct"/>
            <w:vAlign w:val="center"/>
          </w:tcPr>
          <w:p w14:paraId="592FB50E">
            <w:pPr>
              <w:wordWrap w:val="0"/>
              <w:adjustRightInd w:val="0"/>
              <w:spacing w:line="500" w:lineRule="exact"/>
              <w:jc w:val="center"/>
              <w:textAlignment w:val="baseline"/>
              <w:rPr>
                <w:color w:val="auto"/>
                <w:szCs w:val="21"/>
                <w:highlight w:val="none"/>
              </w:rPr>
            </w:pPr>
          </w:p>
        </w:tc>
        <w:tc>
          <w:tcPr>
            <w:tcW w:w="354" w:type="pct"/>
            <w:vAlign w:val="center"/>
          </w:tcPr>
          <w:p w14:paraId="00955F5C">
            <w:pPr>
              <w:wordWrap w:val="0"/>
              <w:adjustRightInd w:val="0"/>
              <w:spacing w:line="500" w:lineRule="exact"/>
              <w:jc w:val="center"/>
              <w:textAlignment w:val="baseline"/>
              <w:rPr>
                <w:color w:val="auto"/>
                <w:szCs w:val="21"/>
                <w:highlight w:val="none"/>
              </w:rPr>
            </w:pPr>
          </w:p>
        </w:tc>
        <w:tc>
          <w:tcPr>
            <w:tcW w:w="358" w:type="pct"/>
            <w:vAlign w:val="center"/>
          </w:tcPr>
          <w:p w14:paraId="42024872">
            <w:pPr>
              <w:wordWrap w:val="0"/>
              <w:adjustRightInd w:val="0"/>
              <w:spacing w:line="500" w:lineRule="exact"/>
              <w:jc w:val="center"/>
              <w:textAlignment w:val="baseline"/>
              <w:rPr>
                <w:color w:val="auto"/>
                <w:szCs w:val="21"/>
                <w:highlight w:val="none"/>
              </w:rPr>
            </w:pPr>
          </w:p>
        </w:tc>
        <w:tc>
          <w:tcPr>
            <w:tcW w:w="358" w:type="pct"/>
            <w:vAlign w:val="center"/>
          </w:tcPr>
          <w:p w14:paraId="136D441E">
            <w:pPr>
              <w:wordWrap w:val="0"/>
              <w:adjustRightInd w:val="0"/>
              <w:spacing w:line="500" w:lineRule="exact"/>
              <w:jc w:val="center"/>
              <w:textAlignment w:val="baseline"/>
              <w:rPr>
                <w:color w:val="auto"/>
                <w:szCs w:val="21"/>
                <w:highlight w:val="none"/>
              </w:rPr>
            </w:pPr>
          </w:p>
        </w:tc>
        <w:tc>
          <w:tcPr>
            <w:tcW w:w="358" w:type="pct"/>
            <w:vAlign w:val="center"/>
          </w:tcPr>
          <w:p w14:paraId="7AC9F085">
            <w:pPr>
              <w:wordWrap w:val="0"/>
              <w:adjustRightInd w:val="0"/>
              <w:spacing w:line="500" w:lineRule="exact"/>
              <w:jc w:val="center"/>
              <w:textAlignment w:val="baseline"/>
              <w:rPr>
                <w:color w:val="auto"/>
                <w:szCs w:val="21"/>
                <w:highlight w:val="none"/>
              </w:rPr>
            </w:pPr>
          </w:p>
        </w:tc>
        <w:tc>
          <w:tcPr>
            <w:tcW w:w="358" w:type="pct"/>
            <w:vAlign w:val="center"/>
          </w:tcPr>
          <w:p w14:paraId="355DF1FE">
            <w:pPr>
              <w:wordWrap w:val="0"/>
              <w:adjustRightInd w:val="0"/>
              <w:spacing w:line="500" w:lineRule="exact"/>
              <w:jc w:val="center"/>
              <w:textAlignment w:val="baseline"/>
              <w:rPr>
                <w:color w:val="auto"/>
                <w:szCs w:val="21"/>
                <w:highlight w:val="none"/>
              </w:rPr>
            </w:pPr>
          </w:p>
        </w:tc>
        <w:tc>
          <w:tcPr>
            <w:tcW w:w="490" w:type="pct"/>
          </w:tcPr>
          <w:p w14:paraId="4FFAA214">
            <w:pPr>
              <w:wordWrap w:val="0"/>
              <w:rPr>
                <w:color w:val="auto"/>
                <w:szCs w:val="21"/>
                <w:highlight w:val="none"/>
              </w:rPr>
            </w:pPr>
          </w:p>
        </w:tc>
        <w:tc>
          <w:tcPr>
            <w:tcW w:w="234" w:type="pct"/>
            <w:tcBorders>
              <w:right w:val="single" w:color="auto" w:sz="4" w:space="0"/>
            </w:tcBorders>
          </w:tcPr>
          <w:p w14:paraId="28A7A9C4">
            <w:pPr>
              <w:wordWrap w:val="0"/>
              <w:rPr>
                <w:color w:val="auto"/>
                <w:szCs w:val="21"/>
                <w:highlight w:val="none"/>
              </w:rPr>
            </w:pPr>
          </w:p>
        </w:tc>
        <w:tc>
          <w:tcPr>
            <w:tcW w:w="233" w:type="pct"/>
            <w:tcBorders>
              <w:left w:val="single" w:color="auto" w:sz="4" w:space="0"/>
              <w:right w:val="single" w:color="auto" w:sz="4" w:space="0"/>
            </w:tcBorders>
          </w:tcPr>
          <w:p w14:paraId="16732FE3">
            <w:pPr>
              <w:wordWrap w:val="0"/>
              <w:rPr>
                <w:color w:val="auto"/>
                <w:szCs w:val="21"/>
                <w:highlight w:val="none"/>
              </w:rPr>
            </w:pPr>
          </w:p>
        </w:tc>
        <w:tc>
          <w:tcPr>
            <w:tcW w:w="251" w:type="pct"/>
            <w:tcBorders>
              <w:left w:val="single" w:color="auto" w:sz="4" w:space="0"/>
            </w:tcBorders>
          </w:tcPr>
          <w:p w14:paraId="79B80982">
            <w:pPr>
              <w:wordWrap w:val="0"/>
              <w:rPr>
                <w:color w:val="auto"/>
                <w:szCs w:val="21"/>
                <w:highlight w:val="none"/>
              </w:rPr>
            </w:pPr>
          </w:p>
        </w:tc>
        <w:tc>
          <w:tcPr>
            <w:tcW w:w="266" w:type="pct"/>
            <w:vAlign w:val="center"/>
          </w:tcPr>
          <w:p w14:paraId="3D87F095">
            <w:pPr>
              <w:wordWrap w:val="0"/>
              <w:rPr>
                <w:color w:val="auto"/>
                <w:szCs w:val="21"/>
                <w:highlight w:val="none"/>
              </w:rPr>
            </w:pPr>
          </w:p>
        </w:tc>
        <w:tc>
          <w:tcPr>
            <w:tcW w:w="383" w:type="pct"/>
            <w:vAlign w:val="center"/>
          </w:tcPr>
          <w:p w14:paraId="7CC16D63">
            <w:pPr>
              <w:wordWrap w:val="0"/>
              <w:adjustRightInd w:val="0"/>
              <w:spacing w:line="500" w:lineRule="exact"/>
              <w:jc w:val="center"/>
              <w:textAlignment w:val="baseline"/>
              <w:rPr>
                <w:color w:val="auto"/>
                <w:szCs w:val="21"/>
                <w:highlight w:val="none"/>
              </w:rPr>
            </w:pPr>
          </w:p>
        </w:tc>
      </w:tr>
      <w:tr w14:paraId="1A9D07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74" w:type="pct"/>
            <w:vAlign w:val="center"/>
          </w:tcPr>
          <w:p w14:paraId="2946B595">
            <w:pPr>
              <w:wordWrap w:val="0"/>
              <w:adjustRightInd w:val="0"/>
              <w:spacing w:line="500" w:lineRule="exact"/>
              <w:jc w:val="center"/>
              <w:textAlignment w:val="baseline"/>
              <w:rPr>
                <w:color w:val="auto"/>
                <w:szCs w:val="21"/>
                <w:highlight w:val="none"/>
              </w:rPr>
            </w:pPr>
          </w:p>
        </w:tc>
        <w:tc>
          <w:tcPr>
            <w:tcW w:w="677" w:type="pct"/>
            <w:vAlign w:val="center"/>
          </w:tcPr>
          <w:p w14:paraId="51D69563">
            <w:pPr>
              <w:wordWrap w:val="0"/>
              <w:adjustRightInd w:val="0"/>
              <w:spacing w:line="500" w:lineRule="exact"/>
              <w:jc w:val="center"/>
              <w:textAlignment w:val="baseline"/>
              <w:rPr>
                <w:color w:val="auto"/>
                <w:szCs w:val="21"/>
                <w:highlight w:val="none"/>
              </w:rPr>
            </w:pPr>
          </w:p>
        </w:tc>
        <w:tc>
          <w:tcPr>
            <w:tcW w:w="398" w:type="pct"/>
            <w:vAlign w:val="center"/>
          </w:tcPr>
          <w:p w14:paraId="52112EE4">
            <w:pPr>
              <w:wordWrap w:val="0"/>
              <w:adjustRightInd w:val="0"/>
              <w:spacing w:line="500" w:lineRule="exact"/>
              <w:jc w:val="center"/>
              <w:textAlignment w:val="baseline"/>
              <w:rPr>
                <w:color w:val="auto"/>
                <w:szCs w:val="21"/>
                <w:highlight w:val="none"/>
              </w:rPr>
            </w:pPr>
          </w:p>
        </w:tc>
        <w:tc>
          <w:tcPr>
            <w:tcW w:w="354" w:type="pct"/>
            <w:vAlign w:val="center"/>
          </w:tcPr>
          <w:p w14:paraId="7B2504A3">
            <w:pPr>
              <w:wordWrap w:val="0"/>
              <w:adjustRightInd w:val="0"/>
              <w:spacing w:line="500" w:lineRule="exact"/>
              <w:jc w:val="center"/>
              <w:textAlignment w:val="baseline"/>
              <w:rPr>
                <w:color w:val="auto"/>
                <w:szCs w:val="21"/>
                <w:highlight w:val="none"/>
              </w:rPr>
            </w:pPr>
          </w:p>
        </w:tc>
        <w:tc>
          <w:tcPr>
            <w:tcW w:w="358" w:type="pct"/>
            <w:vAlign w:val="center"/>
          </w:tcPr>
          <w:p w14:paraId="3E802238">
            <w:pPr>
              <w:wordWrap w:val="0"/>
              <w:adjustRightInd w:val="0"/>
              <w:spacing w:line="500" w:lineRule="exact"/>
              <w:jc w:val="center"/>
              <w:textAlignment w:val="baseline"/>
              <w:rPr>
                <w:color w:val="auto"/>
                <w:szCs w:val="21"/>
                <w:highlight w:val="none"/>
              </w:rPr>
            </w:pPr>
          </w:p>
        </w:tc>
        <w:tc>
          <w:tcPr>
            <w:tcW w:w="358" w:type="pct"/>
            <w:vAlign w:val="center"/>
          </w:tcPr>
          <w:p w14:paraId="0F7E16F8">
            <w:pPr>
              <w:wordWrap w:val="0"/>
              <w:adjustRightInd w:val="0"/>
              <w:spacing w:line="500" w:lineRule="exact"/>
              <w:jc w:val="center"/>
              <w:textAlignment w:val="baseline"/>
              <w:rPr>
                <w:color w:val="auto"/>
                <w:szCs w:val="21"/>
                <w:highlight w:val="none"/>
              </w:rPr>
            </w:pPr>
          </w:p>
        </w:tc>
        <w:tc>
          <w:tcPr>
            <w:tcW w:w="358" w:type="pct"/>
            <w:vAlign w:val="center"/>
          </w:tcPr>
          <w:p w14:paraId="58BF3812">
            <w:pPr>
              <w:wordWrap w:val="0"/>
              <w:adjustRightInd w:val="0"/>
              <w:spacing w:line="500" w:lineRule="exact"/>
              <w:jc w:val="center"/>
              <w:textAlignment w:val="baseline"/>
              <w:rPr>
                <w:color w:val="auto"/>
                <w:szCs w:val="21"/>
                <w:highlight w:val="none"/>
              </w:rPr>
            </w:pPr>
          </w:p>
        </w:tc>
        <w:tc>
          <w:tcPr>
            <w:tcW w:w="358" w:type="pct"/>
            <w:vAlign w:val="center"/>
          </w:tcPr>
          <w:p w14:paraId="366CEFE9">
            <w:pPr>
              <w:wordWrap w:val="0"/>
              <w:adjustRightInd w:val="0"/>
              <w:spacing w:line="500" w:lineRule="exact"/>
              <w:jc w:val="center"/>
              <w:textAlignment w:val="baseline"/>
              <w:rPr>
                <w:color w:val="auto"/>
                <w:szCs w:val="21"/>
                <w:highlight w:val="none"/>
              </w:rPr>
            </w:pPr>
          </w:p>
        </w:tc>
        <w:tc>
          <w:tcPr>
            <w:tcW w:w="490" w:type="pct"/>
          </w:tcPr>
          <w:p w14:paraId="35240BD2">
            <w:pPr>
              <w:wordWrap w:val="0"/>
              <w:rPr>
                <w:color w:val="auto"/>
                <w:szCs w:val="21"/>
                <w:highlight w:val="none"/>
              </w:rPr>
            </w:pPr>
          </w:p>
        </w:tc>
        <w:tc>
          <w:tcPr>
            <w:tcW w:w="234" w:type="pct"/>
            <w:tcBorders>
              <w:right w:val="single" w:color="auto" w:sz="4" w:space="0"/>
            </w:tcBorders>
          </w:tcPr>
          <w:p w14:paraId="22C6B4F4">
            <w:pPr>
              <w:wordWrap w:val="0"/>
              <w:rPr>
                <w:color w:val="auto"/>
                <w:szCs w:val="21"/>
                <w:highlight w:val="none"/>
              </w:rPr>
            </w:pPr>
          </w:p>
        </w:tc>
        <w:tc>
          <w:tcPr>
            <w:tcW w:w="233" w:type="pct"/>
            <w:tcBorders>
              <w:left w:val="single" w:color="auto" w:sz="4" w:space="0"/>
              <w:right w:val="single" w:color="auto" w:sz="4" w:space="0"/>
            </w:tcBorders>
          </w:tcPr>
          <w:p w14:paraId="332CA88A">
            <w:pPr>
              <w:wordWrap w:val="0"/>
              <w:rPr>
                <w:color w:val="auto"/>
                <w:szCs w:val="21"/>
                <w:highlight w:val="none"/>
              </w:rPr>
            </w:pPr>
          </w:p>
        </w:tc>
        <w:tc>
          <w:tcPr>
            <w:tcW w:w="251" w:type="pct"/>
            <w:tcBorders>
              <w:left w:val="single" w:color="auto" w:sz="4" w:space="0"/>
            </w:tcBorders>
          </w:tcPr>
          <w:p w14:paraId="14296310">
            <w:pPr>
              <w:wordWrap w:val="0"/>
              <w:rPr>
                <w:color w:val="auto"/>
                <w:szCs w:val="21"/>
                <w:highlight w:val="none"/>
              </w:rPr>
            </w:pPr>
          </w:p>
        </w:tc>
        <w:tc>
          <w:tcPr>
            <w:tcW w:w="266" w:type="pct"/>
            <w:vAlign w:val="center"/>
          </w:tcPr>
          <w:p w14:paraId="31FC392E">
            <w:pPr>
              <w:wordWrap w:val="0"/>
              <w:rPr>
                <w:color w:val="auto"/>
                <w:szCs w:val="21"/>
                <w:highlight w:val="none"/>
              </w:rPr>
            </w:pPr>
          </w:p>
        </w:tc>
        <w:tc>
          <w:tcPr>
            <w:tcW w:w="383" w:type="pct"/>
            <w:vAlign w:val="center"/>
          </w:tcPr>
          <w:p w14:paraId="3F8A739A">
            <w:pPr>
              <w:wordWrap w:val="0"/>
              <w:adjustRightInd w:val="0"/>
              <w:spacing w:line="500" w:lineRule="exact"/>
              <w:jc w:val="center"/>
              <w:textAlignment w:val="baseline"/>
              <w:rPr>
                <w:color w:val="auto"/>
                <w:szCs w:val="21"/>
                <w:highlight w:val="none"/>
              </w:rPr>
            </w:pPr>
          </w:p>
        </w:tc>
      </w:tr>
    </w:tbl>
    <w:p w14:paraId="6573D818">
      <w:pPr>
        <w:wordWrap w:val="0"/>
        <w:spacing w:line="620" w:lineRule="exact"/>
        <w:rPr>
          <w:color w:val="auto"/>
          <w:szCs w:val="21"/>
          <w:highlight w:val="none"/>
        </w:rPr>
      </w:pPr>
    </w:p>
    <w:p w14:paraId="62D52593">
      <w:pPr>
        <w:wordWrap w:val="0"/>
        <w:spacing w:line="620" w:lineRule="exact"/>
        <w:rPr>
          <w:color w:val="auto"/>
          <w:szCs w:val="21"/>
          <w:highlight w:val="none"/>
          <w:u w:val="single"/>
        </w:rPr>
      </w:pPr>
      <w:r>
        <w:rPr>
          <w:color w:val="auto"/>
          <w:szCs w:val="21"/>
          <w:highlight w:val="none"/>
        </w:rPr>
        <w:t>招标人代表：</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 xml:space="preserve">                               </w:t>
      </w:r>
      <w:r>
        <w:rPr>
          <w:color w:val="auto"/>
          <w:szCs w:val="21"/>
          <w:highlight w:val="none"/>
        </w:rPr>
        <w:t xml:space="preserve">    </w:t>
      </w:r>
      <w:r>
        <w:rPr>
          <w:rFonts w:hint="eastAsia"/>
          <w:color w:val="auto"/>
          <w:szCs w:val="21"/>
          <w:highlight w:val="none"/>
        </w:rPr>
        <w:t>招标代理机构</w:t>
      </w:r>
      <w:r>
        <w:rPr>
          <w:color w:val="auto"/>
          <w:szCs w:val="21"/>
          <w:highlight w:val="none"/>
        </w:rPr>
        <w:t>：</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 xml:space="preserve"> </w:t>
      </w:r>
      <w:r>
        <w:rPr>
          <w:color w:val="auto"/>
          <w:szCs w:val="21"/>
          <w:highlight w:val="none"/>
        </w:rPr>
        <w:t xml:space="preserve">   </w:t>
      </w:r>
    </w:p>
    <w:p w14:paraId="1C2226D4">
      <w:pPr>
        <w:wordWrap w:val="0"/>
        <w:spacing w:line="620" w:lineRule="exact"/>
        <w:jc w:val="right"/>
        <w:rPr>
          <w:color w:val="auto"/>
          <w:szCs w:val="21"/>
          <w:highlight w:val="none"/>
        </w:rPr>
        <w:sectPr>
          <w:headerReference r:id="rId10" w:type="default"/>
          <w:footerReference r:id="rId11" w:type="default"/>
          <w:footnotePr>
            <w:numFmt w:val="decimalEnclosedCircleChinese"/>
            <w:numRestart w:val="eachPage"/>
          </w:footnotePr>
          <w:pgSz w:w="16840" w:h="11907" w:orient="landscape"/>
          <w:pgMar w:top="1588" w:right="1588" w:bottom="1531" w:left="1644" w:header="851" w:footer="851" w:gutter="0"/>
          <w:cols w:space="720" w:num="1"/>
          <w:docGrid w:linePitch="312" w:charSpace="0"/>
        </w:sectPr>
      </w:pPr>
      <w:r>
        <w:rPr>
          <w:color w:val="auto"/>
          <w:szCs w:val="21"/>
          <w:highlight w:val="none"/>
          <w:u w:val="single"/>
        </w:rPr>
        <w:t xml:space="preserve">          </w:t>
      </w:r>
      <w:r>
        <w:rPr>
          <w:color w:val="auto"/>
          <w:szCs w:val="21"/>
          <w:highlight w:val="none"/>
        </w:rPr>
        <w:t xml:space="preserve">年 </w:t>
      </w:r>
      <w:r>
        <w:rPr>
          <w:color w:val="auto"/>
          <w:szCs w:val="21"/>
          <w:highlight w:val="none"/>
          <w:u w:val="single"/>
        </w:rPr>
        <w:t xml:space="preserve">      </w:t>
      </w:r>
      <w:r>
        <w:rPr>
          <w:color w:val="auto"/>
          <w:szCs w:val="21"/>
          <w:highlight w:val="none"/>
        </w:rPr>
        <w:t xml:space="preserve"> 月</w:t>
      </w:r>
      <w:r>
        <w:rPr>
          <w:color w:val="auto"/>
          <w:szCs w:val="21"/>
          <w:highlight w:val="none"/>
          <w:u w:val="single"/>
        </w:rPr>
        <w:t xml:space="preserve">         </w:t>
      </w:r>
      <w:r>
        <w:rPr>
          <w:color w:val="auto"/>
          <w:szCs w:val="21"/>
          <w:highlight w:val="none"/>
        </w:rPr>
        <w:t>日</w:t>
      </w:r>
    </w:p>
    <w:p w14:paraId="721B43FB">
      <w:pPr>
        <w:jc w:val="center"/>
        <w:rPr>
          <w:rFonts w:ascii="黑体" w:eastAsia="黑体"/>
          <w:b/>
          <w:color w:val="auto"/>
          <w:sz w:val="24"/>
          <w:highlight w:val="none"/>
        </w:rPr>
      </w:pPr>
      <w:r>
        <w:rPr>
          <w:rFonts w:hint="eastAsia" w:ascii="黑体" w:eastAsia="黑体"/>
          <w:b/>
          <w:color w:val="auto"/>
          <w:sz w:val="24"/>
          <w:highlight w:val="none"/>
        </w:rPr>
        <w:t>问题澄清通知</w:t>
      </w:r>
    </w:p>
    <w:p w14:paraId="3BD0F8A8">
      <w:pPr>
        <w:jc w:val="center"/>
        <w:rPr>
          <w:color w:val="auto"/>
          <w:szCs w:val="21"/>
          <w:highlight w:val="none"/>
        </w:rPr>
      </w:pPr>
      <w:r>
        <w:rPr>
          <w:rFonts w:hint="eastAsia"/>
          <w:color w:val="auto"/>
          <w:szCs w:val="21"/>
          <w:highlight w:val="none"/>
        </w:rPr>
        <w:t xml:space="preserve"> </w:t>
      </w:r>
    </w:p>
    <w:p w14:paraId="5D26E35E">
      <w:pPr>
        <w:ind w:firstLine="5880" w:firstLineChars="2800"/>
        <w:rPr>
          <w:color w:val="auto"/>
          <w:szCs w:val="21"/>
          <w:highlight w:val="none"/>
        </w:rPr>
      </w:pPr>
      <w:r>
        <w:rPr>
          <w:rFonts w:hint="eastAsia"/>
          <w:color w:val="auto"/>
          <w:szCs w:val="21"/>
          <w:highlight w:val="none"/>
        </w:rPr>
        <w:t>编号：</w:t>
      </w:r>
    </w:p>
    <w:p w14:paraId="55211290">
      <w:pPr>
        <w:spacing w:line="500" w:lineRule="exact"/>
        <w:ind w:firstLine="3885" w:firstLineChars="1850"/>
        <w:rPr>
          <w:color w:val="auto"/>
          <w:szCs w:val="21"/>
          <w:highlight w:val="none"/>
        </w:rPr>
      </w:pPr>
    </w:p>
    <w:p w14:paraId="4AE8EB5E">
      <w:pPr>
        <w:spacing w:line="500" w:lineRule="exact"/>
        <w:rPr>
          <w:color w:val="auto"/>
          <w:highlight w:val="none"/>
        </w:rPr>
      </w:pPr>
      <w:r>
        <w:rPr>
          <w:rFonts w:hint="eastAsia"/>
          <w:color w:val="auto"/>
          <w:highlight w:val="none"/>
          <w:u w:val="single"/>
        </w:rPr>
        <w:t xml:space="preserve">              </w:t>
      </w:r>
      <w:r>
        <w:rPr>
          <w:rFonts w:hint="eastAsia"/>
          <w:color w:val="auto"/>
          <w:highlight w:val="none"/>
        </w:rPr>
        <w:t>（投标人名称）：</w:t>
      </w:r>
    </w:p>
    <w:p w14:paraId="68EE0F98">
      <w:pPr>
        <w:spacing w:line="500" w:lineRule="exact"/>
        <w:ind w:firstLine="525" w:firstLineChars="250"/>
        <w:rPr>
          <w:color w:val="auto"/>
          <w:highlight w:val="none"/>
        </w:rPr>
      </w:pPr>
      <w:r>
        <w:rPr>
          <w:rFonts w:hint="eastAsia"/>
          <w:color w:val="auto"/>
          <w:highlight w:val="none"/>
          <w:u w:val="single"/>
        </w:rPr>
        <w:t xml:space="preserve">           </w:t>
      </w:r>
      <w:r>
        <w:rPr>
          <w:rFonts w:hint="eastAsia"/>
          <w:color w:val="auto"/>
          <w:highlight w:val="none"/>
        </w:rPr>
        <w:t>（项目名称）</w:t>
      </w:r>
      <w:r>
        <w:rPr>
          <w:rFonts w:hint="eastAsia"/>
          <w:color w:val="auto"/>
          <w:highlight w:val="none"/>
          <w:u w:val="single"/>
        </w:rPr>
        <w:t xml:space="preserve">       </w:t>
      </w:r>
      <w:r>
        <w:rPr>
          <w:rFonts w:hint="eastAsia"/>
          <w:color w:val="auto"/>
          <w:highlight w:val="none"/>
        </w:rPr>
        <w:t>施工监理招标的评标委员会，对你方的投标文件进行了仔细的审查，现需要你方对下列问题在线予以澄清：</w:t>
      </w:r>
    </w:p>
    <w:p w14:paraId="648ABF30">
      <w:pPr>
        <w:spacing w:line="500" w:lineRule="exact"/>
        <w:ind w:firstLine="420" w:firstLineChars="200"/>
        <w:rPr>
          <w:color w:val="auto"/>
          <w:highlight w:val="none"/>
        </w:rPr>
      </w:pPr>
      <w:r>
        <w:rPr>
          <w:rFonts w:hint="eastAsia"/>
          <w:color w:val="auto"/>
          <w:highlight w:val="none"/>
        </w:rPr>
        <w:t>1.</w:t>
      </w:r>
    </w:p>
    <w:p w14:paraId="49237734">
      <w:pPr>
        <w:spacing w:line="500" w:lineRule="exact"/>
        <w:ind w:firstLine="420" w:firstLineChars="200"/>
        <w:rPr>
          <w:color w:val="auto"/>
          <w:highlight w:val="none"/>
        </w:rPr>
      </w:pPr>
      <w:r>
        <w:rPr>
          <w:rFonts w:hint="eastAsia"/>
          <w:color w:val="auto"/>
          <w:highlight w:val="none"/>
        </w:rPr>
        <w:t>2.</w:t>
      </w:r>
    </w:p>
    <w:p w14:paraId="1C29FBF4">
      <w:pPr>
        <w:spacing w:line="500" w:lineRule="exact"/>
        <w:ind w:firstLine="420" w:firstLineChars="200"/>
        <w:rPr>
          <w:rFonts w:ascii="宋体" w:hAnsi="宋体"/>
          <w:color w:val="auto"/>
          <w:highlight w:val="none"/>
        </w:rPr>
      </w:pPr>
      <w:r>
        <w:rPr>
          <w:rFonts w:hint="eastAsia" w:ascii="宋体" w:hAnsi="宋体"/>
          <w:color w:val="auto"/>
          <w:highlight w:val="none"/>
        </w:rPr>
        <w:t>……</w:t>
      </w:r>
    </w:p>
    <w:p w14:paraId="0AB6FA2E">
      <w:pPr>
        <w:spacing w:line="500" w:lineRule="exact"/>
        <w:ind w:firstLine="420" w:firstLineChars="200"/>
        <w:rPr>
          <w:rFonts w:ascii="宋体" w:hAnsi="宋体"/>
          <w:color w:val="auto"/>
          <w:highlight w:val="none"/>
        </w:rPr>
      </w:pPr>
    </w:p>
    <w:p w14:paraId="26BF6653">
      <w:pPr>
        <w:spacing w:line="500" w:lineRule="exact"/>
        <w:ind w:left="105" w:leftChars="50" w:firstLine="315" w:firstLineChars="150"/>
        <w:rPr>
          <w:rFonts w:ascii="宋体" w:hAnsi="宋体"/>
          <w:color w:val="auto"/>
          <w:highlight w:val="none"/>
        </w:rPr>
      </w:pPr>
      <w:r>
        <w:rPr>
          <w:rFonts w:hint="eastAsia" w:ascii="宋体" w:hAnsi="宋体"/>
          <w:color w:val="auto"/>
          <w:highlight w:val="none"/>
        </w:rPr>
        <w:t>请将上述问题的澄清于</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r>
        <w:rPr>
          <w:rFonts w:hint="eastAsia" w:ascii="宋体" w:hAnsi="宋体"/>
          <w:color w:val="auto"/>
          <w:highlight w:val="none"/>
          <w:u w:val="single"/>
        </w:rPr>
        <w:t xml:space="preserve">    </w:t>
      </w:r>
      <w:r>
        <w:rPr>
          <w:rFonts w:hint="eastAsia" w:ascii="宋体" w:hAnsi="宋体"/>
          <w:color w:val="auto"/>
          <w:highlight w:val="none"/>
        </w:rPr>
        <w:t>时</w:t>
      </w:r>
      <w:r>
        <w:rPr>
          <w:rFonts w:hint="eastAsia" w:ascii="宋体" w:hAnsi="宋体"/>
          <w:color w:val="auto"/>
          <w:szCs w:val="21"/>
          <w:highlight w:val="none"/>
        </w:rPr>
        <w:t>_____分___秒</w:t>
      </w:r>
      <w:r>
        <w:rPr>
          <w:rFonts w:hint="eastAsia" w:ascii="宋体" w:hAnsi="宋体"/>
          <w:color w:val="auto"/>
          <w:highlight w:val="none"/>
        </w:rPr>
        <w:t>前在线回复。</w:t>
      </w:r>
    </w:p>
    <w:p w14:paraId="3FCF3436">
      <w:pPr>
        <w:spacing w:line="500" w:lineRule="exact"/>
        <w:ind w:firstLine="420" w:firstLineChars="200"/>
        <w:rPr>
          <w:rFonts w:ascii="宋体" w:hAnsi="宋体"/>
          <w:color w:val="auto"/>
          <w:highlight w:val="none"/>
        </w:rPr>
      </w:pPr>
    </w:p>
    <w:p w14:paraId="0ACC42F5">
      <w:pPr>
        <w:spacing w:line="500" w:lineRule="exact"/>
        <w:ind w:firstLine="420" w:firstLineChars="200"/>
        <w:rPr>
          <w:rFonts w:ascii="宋体" w:hAnsi="宋体"/>
          <w:color w:val="auto"/>
          <w:highlight w:val="none"/>
        </w:rPr>
      </w:pPr>
    </w:p>
    <w:p w14:paraId="31C50F6C">
      <w:pPr>
        <w:spacing w:after="120" w:afterLines="50" w:line="360" w:lineRule="auto"/>
        <w:ind w:firstLine="5250" w:firstLineChars="2500"/>
        <w:rPr>
          <w:color w:val="auto"/>
          <w:szCs w:val="21"/>
          <w:highlight w:val="none"/>
        </w:rPr>
      </w:pPr>
      <w:r>
        <w:rPr>
          <w:rFonts w:hint="eastAsia"/>
          <w:color w:val="auto"/>
          <w:szCs w:val="21"/>
          <w:highlight w:val="none"/>
        </w:rPr>
        <w:t>评标工作组负责人：</w:t>
      </w:r>
      <w:r>
        <w:rPr>
          <w:rFonts w:hint="eastAsia"/>
          <w:color w:val="auto"/>
          <w:szCs w:val="21"/>
          <w:highlight w:val="none"/>
          <w:u w:val="single"/>
        </w:rPr>
        <w:t xml:space="preserve">        </w:t>
      </w:r>
      <w:r>
        <w:rPr>
          <w:rFonts w:hint="eastAsia"/>
          <w:color w:val="auto"/>
          <w:szCs w:val="21"/>
          <w:highlight w:val="none"/>
        </w:rPr>
        <w:t>（签字）</w:t>
      </w:r>
    </w:p>
    <w:p w14:paraId="0AE7AFB4">
      <w:pPr>
        <w:spacing w:line="360" w:lineRule="auto"/>
        <w:jc w:val="center"/>
        <w:rPr>
          <w:color w:val="auto"/>
          <w:szCs w:val="21"/>
          <w:highlight w:val="none"/>
        </w:rPr>
      </w:pPr>
      <w:r>
        <w:rPr>
          <w:rFonts w:hint="eastAsia"/>
          <w:color w:val="auto"/>
          <w:szCs w:val="21"/>
          <w:highlight w:val="none"/>
        </w:rPr>
        <w:t xml:space="preserve">                                               日  期： </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w:t>
      </w:r>
    </w:p>
    <w:p w14:paraId="571D3A37">
      <w:pPr>
        <w:spacing w:line="500" w:lineRule="exact"/>
        <w:ind w:firstLine="420" w:firstLineChars="200"/>
        <w:rPr>
          <w:color w:val="auto"/>
          <w:highlight w:val="none"/>
        </w:rPr>
      </w:pPr>
    </w:p>
    <w:p w14:paraId="27ED6066">
      <w:pPr>
        <w:spacing w:line="500" w:lineRule="exact"/>
        <w:ind w:firstLine="420" w:firstLineChars="200"/>
        <w:rPr>
          <w:color w:val="auto"/>
          <w:highlight w:val="none"/>
        </w:rPr>
      </w:pPr>
    </w:p>
    <w:p w14:paraId="2493DBFC">
      <w:pPr>
        <w:spacing w:line="500" w:lineRule="exact"/>
        <w:ind w:firstLine="420" w:firstLineChars="200"/>
        <w:rPr>
          <w:color w:val="auto"/>
          <w:highlight w:val="none"/>
        </w:rPr>
      </w:pPr>
    </w:p>
    <w:p w14:paraId="22E449E9">
      <w:pPr>
        <w:spacing w:line="500" w:lineRule="exact"/>
        <w:ind w:firstLine="420" w:firstLineChars="200"/>
        <w:rPr>
          <w:color w:val="auto"/>
          <w:highlight w:val="none"/>
        </w:rPr>
      </w:pPr>
    </w:p>
    <w:p w14:paraId="76D062B6">
      <w:pPr>
        <w:spacing w:line="500" w:lineRule="exact"/>
        <w:ind w:firstLine="420" w:firstLineChars="200"/>
        <w:rPr>
          <w:color w:val="auto"/>
          <w:highlight w:val="none"/>
        </w:rPr>
      </w:pPr>
    </w:p>
    <w:p w14:paraId="12053F04">
      <w:pPr>
        <w:spacing w:line="500" w:lineRule="exact"/>
        <w:ind w:firstLine="420" w:firstLineChars="200"/>
        <w:rPr>
          <w:color w:val="auto"/>
          <w:highlight w:val="none"/>
        </w:rPr>
      </w:pPr>
    </w:p>
    <w:p w14:paraId="3EC8911B">
      <w:pPr>
        <w:jc w:val="center"/>
        <w:rPr>
          <w:rFonts w:ascii="黑体" w:eastAsia="黑体"/>
          <w:b/>
          <w:color w:val="auto"/>
          <w:sz w:val="24"/>
          <w:highlight w:val="none"/>
        </w:rPr>
      </w:pPr>
    </w:p>
    <w:p w14:paraId="2239D63E">
      <w:pPr>
        <w:jc w:val="center"/>
        <w:rPr>
          <w:rFonts w:ascii="黑体" w:eastAsia="黑体"/>
          <w:b/>
          <w:color w:val="auto"/>
          <w:sz w:val="24"/>
          <w:highlight w:val="none"/>
        </w:rPr>
      </w:pPr>
    </w:p>
    <w:p w14:paraId="2618132C">
      <w:pPr>
        <w:jc w:val="center"/>
        <w:rPr>
          <w:rFonts w:ascii="黑体" w:eastAsia="黑体"/>
          <w:b/>
          <w:color w:val="auto"/>
          <w:sz w:val="24"/>
          <w:highlight w:val="none"/>
        </w:rPr>
      </w:pPr>
    </w:p>
    <w:p w14:paraId="069884D7">
      <w:pPr>
        <w:pStyle w:val="5"/>
        <w:rPr>
          <w:rFonts w:ascii="黑体" w:hAnsi="宋体"/>
          <w:color w:val="auto"/>
          <w:szCs w:val="28"/>
          <w:highlight w:val="none"/>
        </w:rPr>
      </w:pPr>
    </w:p>
    <w:p w14:paraId="0AAF5BFB">
      <w:pPr>
        <w:jc w:val="center"/>
        <w:rPr>
          <w:rFonts w:ascii="黑体" w:eastAsia="黑体"/>
          <w:b/>
          <w:color w:val="auto"/>
          <w:sz w:val="24"/>
          <w:highlight w:val="none"/>
        </w:rPr>
      </w:pPr>
    </w:p>
    <w:p w14:paraId="0BCC0C13">
      <w:pPr>
        <w:jc w:val="center"/>
        <w:rPr>
          <w:rFonts w:ascii="黑体" w:eastAsia="黑体"/>
          <w:b/>
          <w:color w:val="auto"/>
          <w:sz w:val="24"/>
          <w:highlight w:val="none"/>
        </w:rPr>
      </w:pPr>
    </w:p>
    <w:p w14:paraId="3D37E4AA">
      <w:pPr>
        <w:jc w:val="center"/>
        <w:rPr>
          <w:rFonts w:ascii="黑体" w:eastAsia="黑体"/>
          <w:b/>
          <w:color w:val="auto"/>
          <w:sz w:val="24"/>
          <w:highlight w:val="none"/>
        </w:rPr>
      </w:pPr>
      <w:r>
        <w:rPr>
          <w:rFonts w:ascii="黑体" w:eastAsia="黑体"/>
          <w:b/>
          <w:color w:val="auto"/>
          <w:sz w:val="24"/>
          <w:highlight w:val="none"/>
        </w:rPr>
        <w:br w:type="page"/>
      </w:r>
      <w:r>
        <w:rPr>
          <w:rFonts w:hint="eastAsia" w:ascii="黑体" w:eastAsia="黑体"/>
          <w:b/>
          <w:color w:val="auto"/>
          <w:sz w:val="24"/>
          <w:highlight w:val="none"/>
        </w:rPr>
        <w:t>问题的澄清</w:t>
      </w:r>
    </w:p>
    <w:p w14:paraId="1379AD9C">
      <w:pPr>
        <w:jc w:val="center"/>
        <w:rPr>
          <w:color w:val="auto"/>
          <w:szCs w:val="21"/>
          <w:highlight w:val="none"/>
        </w:rPr>
      </w:pPr>
      <w:r>
        <w:rPr>
          <w:rFonts w:hint="eastAsia"/>
          <w:color w:val="auto"/>
          <w:szCs w:val="21"/>
          <w:highlight w:val="none"/>
        </w:rPr>
        <w:t xml:space="preserve"> </w:t>
      </w:r>
    </w:p>
    <w:p w14:paraId="2F7B13C2">
      <w:pPr>
        <w:ind w:firstLine="6510" w:firstLineChars="3100"/>
        <w:rPr>
          <w:color w:val="auto"/>
          <w:szCs w:val="21"/>
          <w:highlight w:val="none"/>
        </w:rPr>
      </w:pPr>
      <w:r>
        <w:rPr>
          <w:rFonts w:hint="eastAsia"/>
          <w:color w:val="auto"/>
          <w:szCs w:val="21"/>
          <w:highlight w:val="none"/>
        </w:rPr>
        <w:t>编号：</w:t>
      </w:r>
    </w:p>
    <w:p w14:paraId="54264B92">
      <w:pPr>
        <w:spacing w:line="500" w:lineRule="exact"/>
        <w:rPr>
          <w:color w:val="auto"/>
          <w:highlight w:val="none"/>
          <w:u w:val="single"/>
        </w:rPr>
      </w:pPr>
    </w:p>
    <w:p w14:paraId="2E660A18">
      <w:pPr>
        <w:spacing w:line="500" w:lineRule="exact"/>
        <w:rPr>
          <w:color w:val="auto"/>
          <w:highlight w:val="none"/>
        </w:rPr>
      </w:pPr>
      <w:r>
        <w:rPr>
          <w:rFonts w:hint="eastAsia"/>
          <w:color w:val="auto"/>
          <w:highlight w:val="none"/>
          <w:u w:val="single"/>
        </w:rPr>
        <w:t xml:space="preserve">        </w:t>
      </w:r>
      <w:r>
        <w:rPr>
          <w:rFonts w:hint="eastAsia"/>
          <w:color w:val="auto"/>
          <w:highlight w:val="none"/>
        </w:rPr>
        <w:t>（项目名称）</w:t>
      </w:r>
      <w:r>
        <w:rPr>
          <w:rFonts w:hint="eastAsia"/>
          <w:color w:val="auto"/>
          <w:highlight w:val="none"/>
          <w:u w:val="single"/>
        </w:rPr>
        <w:t xml:space="preserve">     </w:t>
      </w:r>
      <w:r>
        <w:rPr>
          <w:rFonts w:hint="eastAsia"/>
          <w:color w:val="auto"/>
          <w:highlight w:val="none"/>
        </w:rPr>
        <w:t>施工监理招标评标委员会：</w:t>
      </w:r>
    </w:p>
    <w:p w14:paraId="78966263">
      <w:pPr>
        <w:spacing w:line="500" w:lineRule="exact"/>
        <w:ind w:firstLine="435"/>
        <w:rPr>
          <w:color w:val="auto"/>
          <w:highlight w:val="none"/>
        </w:rPr>
      </w:pPr>
    </w:p>
    <w:p w14:paraId="743DB841">
      <w:pPr>
        <w:spacing w:line="500" w:lineRule="exact"/>
        <w:ind w:firstLine="435"/>
        <w:rPr>
          <w:color w:val="auto"/>
          <w:highlight w:val="none"/>
        </w:rPr>
      </w:pPr>
      <w:r>
        <w:rPr>
          <w:rFonts w:hint="eastAsia"/>
          <w:color w:val="auto"/>
          <w:highlight w:val="none"/>
        </w:rPr>
        <w:t>问题澄清通知（编号：</w:t>
      </w:r>
      <w:r>
        <w:rPr>
          <w:rFonts w:hint="eastAsia"/>
          <w:color w:val="auto"/>
          <w:highlight w:val="none"/>
          <w:u w:val="single"/>
        </w:rPr>
        <w:t xml:space="preserve">     </w:t>
      </w:r>
      <w:r>
        <w:rPr>
          <w:rFonts w:hint="eastAsia"/>
          <w:color w:val="auto"/>
          <w:highlight w:val="none"/>
        </w:rPr>
        <w:t>）已收悉，现澄清如下：</w:t>
      </w:r>
    </w:p>
    <w:p w14:paraId="24CCF0B1">
      <w:pPr>
        <w:spacing w:line="500" w:lineRule="exact"/>
        <w:ind w:firstLine="420" w:firstLineChars="200"/>
        <w:rPr>
          <w:color w:val="auto"/>
          <w:highlight w:val="none"/>
        </w:rPr>
      </w:pPr>
      <w:r>
        <w:rPr>
          <w:rFonts w:hint="eastAsia"/>
          <w:color w:val="auto"/>
          <w:highlight w:val="none"/>
        </w:rPr>
        <w:t>1.</w:t>
      </w:r>
    </w:p>
    <w:p w14:paraId="4E07A8D1">
      <w:pPr>
        <w:spacing w:line="500" w:lineRule="exact"/>
        <w:ind w:firstLine="420" w:firstLineChars="200"/>
        <w:rPr>
          <w:color w:val="auto"/>
          <w:highlight w:val="none"/>
        </w:rPr>
      </w:pPr>
      <w:r>
        <w:rPr>
          <w:rFonts w:hint="eastAsia"/>
          <w:color w:val="auto"/>
          <w:highlight w:val="none"/>
        </w:rPr>
        <w:t>2.</w:t>
      </w:r>
    </w:p>
    <w:p w14:paraId="1DF1F2A6">
      <w:pPr>
        <w:spacing w:line="500" w:lineRule="exact"/>
        <w:ind w:firstLine="420" w:firstLineChars="200"/>
        <w:rPr>
          <w:rFonts w:ascii="宋体" w:hAnsi="宋体"/>
          <w:color w:val="auto"/>
          <w:highlight w:val="none"/>
        </w:rPr>
      </w:pPr>
      <w:r>
        <w:rPr>
          <w:rFonts w:hint="eastAsia" w:ascii="宋体" w:hAnsi="宋体"/>
          <w:color w:val="auto"/>
          <w:highlight w:val="none"/>
        </w:rPr>
        <w:t>……</w:t>
      </w:r>
    </w:p>
    <w:p w14:paraId="03176F53">
      <w:pPr>
        <w:spacing w:line="500" w:lineRule="exact"/>
        <w:ind w:firstLine="420" w:firstLineChars="200"/>
        <w:rPr>
          <w:rFonts w:ascii="宋体" w:hAnsi="宋体"/>
          <w:color w:val="auto"/>
          <w:highlight w:val="none"/>
        </w:rPr>
      </w:pPr>
    </w:p>
    <w:p w14:paraId="3FBCEBE2">
      <w:pPr>
        <w:spacing w:line="500" w:lineRule="exact"/>
        <w:ind w:firstLine="420" w:firstLineChars="200"/>
        <w:rPr>
          <w:rFonts w:ascii="宋体" w:hAnsi="宋体"/>
          <w:color w:val="auto"/>
          <w:highlight w:val="none"/>
        </w:rPr>
      </w:pPr>
    </w:p>
    <w:p w14:paraId="12F22719">
      <w:pPr>
        <w:spacing w:line="500" w:lineRule="exact"/>
        <w:ind w:firstLine="420" w:firstLineChars="200"/>
        <w:rPr>
          <w:rFonts w:ascii="宋体" w:hAnsi="宋体"/>
          <w:color w:val="auto"/>
          <w:highlight w:val="none"/>
        </w:rPr>
      </w:pPr>
    </w:p>
    <w:p w14:paraId="47162F6F">
      <w:pPr>
        <w:spacing w:line="500" w:lineRule="exact"/>
        <w:ind w:firstLine="420" w:firstLineChars="200"/>
        <w:rPr>
          <w:rFonts w:ascii="宋体" w:hAnsi="宋体"/>
          <w:color w:val="auto"/>
          <w:highlight w:val="none"/>
        </w:rPr>
      </w:pPr>
    </w:p>
    <w:p w14:paraId="3BA306D7">
      <w:pPr>
        <w:spacing w:line="500" w:lineRule="exact"/>
        <w:ind w:firstLine="420" w:firstLineChars="200"/>
        <w:rPr>
          <w:rFonts w:ascii="宋体" w:hAnsi="宋体"/>
          <w:color w:val="auto"/>
          <w:highlight w:val="none"/>
        </w:rPr>
      </w:pPr>
    </w:p>
    <w:p w14:paraId="501B44F4">
      <w:pPr>
        <w:spacing w:line="500" w:lineRule="exact"/>
        <w:ind w:firstLine="420" w:firstLineChars="200"/>
        <w:rPr>
          <w:rFonts w:ascii="宋体" w:hAnsi="宋体"/>
          <w:color w:val="auto"/>
          <w:highlight w:val="none"/>
        </w:rPr>
      </w:pPr>
    </w:p>
    <w:p w14:paraId="29B6AE4B">
      <w:pPr>
        <w:spacing w:after="120" w:afterLines="50" w:line="360" w:lineRule="auto"/>
        <w:ind w:firstLine="4200" w:firstLineChars="2000"/>
        <w:rPr>
          <w:color w:val="auto"/>
          <w:szCs w:val="21"/>
          <w:highlight w:val="none"/>
          <w:u w:val="single"/>
        </w:rPr>
      </w:pPr>
      <w:r>
        <w:rPr>
          <w:rFonts w:hint="eastAsia"/>
          <w:color w:val="auto"/>
          <w:szCs w:val="21"/>
          <w:highlight w:val="none"/>
        </w:rPr>
        <w:t>投</w:t>
      </w:r>
      <w:r>
        <w:rPr>
          <w:color w:val="auto"/>
          <w:szCs w:val="21"/>
          <w:highlight w:val="none"/>
        </w:rPr>
        <w:t>标人：</w:t>
      </w:r>
      <w:r>
        <w:rPr>
          <w:rFonts w:hint="eastAsia"/>
          <w:color w:val="auto"/>
          <w:szCs w:val="21"/>
          <w:highlight w:val="none"/>
          <w:u w:val="single"/>
        </w:rPr>
        <w:t xml:space="preserve">                     </w:t>
      </w:r>
      <w:r>
        <w:rPr>
          <w:rFonts w:hint="eastAsia"/>
          <w:color w:val="auto"/>
          <w:szCs w:val="21"/>
          <w:highlight w:val="none"/>
        </w:rPr>
        <w:t xml:space="preserve">（ </w:t>
      </w:r>
      <w:r>
        <w:rPr>
          <w:color w:val="auto"/>
          <w:szCs w:val="21"/>
          <w:highlight w:val="none"/>
        </w:rPr>
        <w:t>全称并盖章）</w:t>
      </w:r>
    </w:p>
    <w:p w14:paraId="7BCF4111">
      <w:pPr>
        <w:spacing w:after="120" w:afterLines="50" w:line="360" w:lineRule="auto"/>
        <w:ind w:firstLine="4200" w:firstLineChars="2000"/>
        <w:rPr>
          <w:color w:val="auto"/>
          <w:szCs w:val="21"/>
          <w:highlight w:val="none"/>
        </w:rPr>
      </w:pPr>
      <w:r>
        <w:rPr>
          <w:rFonts w:hint="eastAsia"/>
          <w:color w:val="auto"/>
          <w:szCs w:val="21"/>
          <w:highlight w:val="none"/>
        </w:rPr>
        <w:t>法定代表人或其</w:t>
      </w:r>
      <w:r>
        <w:rPr>
          <w:color w:val="auto"/>
          <w:szCs w:val="21"/>
          <w:highlight w:val="none"/>
        </w:rPr>
        <w:t>委托代理人</w:t>
      </w:r>
      <w:r>
        <w:rPr>
          <w:rFonts w:hint="eastAsia"/>
          <w:color w:val="auto"/>
          <w:szCs w:val="21"/>
          <w:highlight w:val="none"/>
        </w:rPr>
        <w:t>：</w:t>
      </w:r>
      <w:r>
        <w:rPr>
          <w:rFonts w:hint="eastAsia"/>
          <w:color w:val="auto"/>
          <w:szCs w:val="21"/>
          <w:highlight w:val="none"/>
          <w:u w:val="single"/>
        </w:rPr>
        <w:t xml:space="preserve">        </w:t>
      </w:r>
      <w:r>
        <w:rPr>
          <w:rFonts w:hint="eastAsia"/>
          <w:color w:val="auto"/>
          <w:szCs w:val="21"/>
          <w:highlight w:val="none"/>
        </w:rPr>
        <w:t>（签字）</w:t>
      </w:r>
    </w:p>
    <w:p w14:paraId="5C7319BC">
      <w:pPr>
        <w:spacing w:line="360" w:lineRule="auto"/>
        <w:jc w:val="center"/>
        <w:rPr>
          <w:color w:val="auto"/>
          <w:szCs w:val="21"/>
          <w:highlight w:val="none"/>
        </w:rPr>
      </w:pPr>
      <w:r>
        <w:rPr>
          <w:rFonts w:hint="eastAsia"/>
          <w:color w:val="auto"/>
          <w:szCs w:val="21"/>
          <w:highlight w:val="none"/>
        </w:rPr>
        <w:t xml:space="preserve">                                  日  期：  </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w:t>
      </w:r>
    </w:p>
    <w:p w14:paraId="64321FE2">
      <w:pPr>
        <w:spacing w:line="500" w:lineRule="exact"/>
        <w:ind w:firstLine="435"/>
        <w:rPr>
          <w:color w:val="auto"/>
          <w:highlight w:val="none"/>
        </w:rPr>
      </w:pPr>
    </w:p>
    <w:p w14:paraId="16890405">
      <w:pPr>
        <w:spacing w:line="500" w:lineRule="exact"/>
        <w:ind w:firstLine="435"/>
        <w:rPr>
          <w:color w:val="auto"/>
          <w:highlight w:val="none"/>
        </w:rPr>
      </w:pPr>
    </w:p>
    <w:p w14:paraId="0C44CE95">
      <w:pPr>
        <w:spacing w:line="500" w:lineRule="exact"/>
        <w:ind w:firstLine="435"/>
        <w:rPr>
          <w:color w:val="auto"/>
          <w:highlight w:val="none"/>
        </w:rPr>
      </w:pPr>
    </w:p>
    <w:p w14:paraId="40524FF4">
      <w:pPr>
        <w:spacing w:line="500" w:lineRule="exact"/>
        <w:ind w:firstLine="435"/>
        <w:rPr>
          <w:color w:val="auto"/>
          <w:highlight w:val="none"/>
        </w:rPr>
      </w:pPr>
    </w:p>
    <w:p w14:paraId="41755E4B">
      <w:pPr>
        <w:spacing w:line="500" w:lineRule="exact"/>
        <w:ind w:firstLine="435"/>
        <w:rPr>
          <w:color w:val="auto"/>
          <w:highlight w:val="none"/>
        </w:rPr>
      </w:pPr>
    </w:p>
    <w:p w14:paraId="301BE270">
      <w:pPr>
        <w:spacing w:line="500" w:lineRule="exact"/>
        <w:ind w:firstLine="435"/>
        <w:rPr>
          <w:color w:val="auto"/>
          <w:highlight w:val="none"/>
        </w:rPr>
      </w:pPr>
    </w:p>
    <w:p w14:paraId="5A11FE94">
      <w:pPr>
        <w:spacing w:line="500" w:lineRule="exact"/>
        <w:rPr>
          <w:rFonts w:ascii="黑体" w:eastAsia="黑体"/>
          <w:b/>
          <w:color w:val="auto"/>
          <w:sz w:val="28"/>
          <w:szCs w:val="28"/>
          <w:highlight w:val="none"/>
        </w:rPr>
      </w:pPr>
    </w:p>
    <w:p w14:paraId="7796C459">
      <w:pPr>
        <w:spacing w:line="500" w:lineRule="exact"/>
        <w:ind w:firstLine="435"/>
        <w:rPr>
          <w:rFonts w:ascii="黑体" w:eastAsia="黑体"/>
          <w:b/>
          <w:color w:val="auto"/>
          <w:sz w:val="28"/>
          <w:szCs w:val="28"/>
          <w:highlight w:val="none"/>
        </w:rPr>
      </w:pPr>
    </w:p>
    <w:p w14:paraId="2C6002C7">
      <w:pPr>
        <w:spacing w:line="500" w:lineRule="exact"/>
        <w:ind w:firstLine="435"/>
        <w:rPr>
          <w:color w:val="auto"/>
          <w:highlight w:val="none"/>
        </w:rPr>
      </w:pPr>
    </w:p>
    <w:p w14:paraId="0D0A6215">
      <w:pPr>
        <w:jc w:val="center"/>
        <w:rPr>
          <w:rFonts w:hAnsi="宋体"/>
          <w:b/>
          <w:bCs/>
          <w:color w:val="auto"/>
          <w:sz w:val="36"/>
          <w:szCs w:val="36"/>
          <w:highlight w:val="none"/>
        </w:rPr>
      </w:pPr>
    </w:p>
    <w:p w14:paraId="69D76C76">
      <w:pPr>
        <w:jc w:val="center"/>
        <w:rPr>
          <w:rFonts w:ascii="黑体" w:hAnsi="黑体" w:eastAsia="黑体"/>
          <w:b/>
          <w:bCs/>
          <w:color w:val="auto"/>
          <w:sz w:val="32"/>
          <w:szCs w:val="32"/>
          <w:highlight w:val="none"/>
        </w:rPr>
      </w:pPr>
      <w:r>
        <w:rPr>
          <w:rFonts w:hint="eastAsia" w:hAnsi="宋体"/>
          <w:b/>
          <w:bCs/>
          <w:color w:val="auto"/>
          <w:sz w:val="36"/>
          <w:szCs w:val="36"/>
          <w:highlight w:val="none"/>
        </w:rPr>
        <w:t>中标候选人公示</w:t>
      </w:r>
    </w:p>
    <w:p w14:paraId="79509190">
      <w:pPr>
        <w:spacing w:line="400" w:lineRule="exact"/>
        <w:ind w:firstLine="480" w:firstLineChars="200"/>
        <w:rPr>
          <w:color w:val="auto"/>
          <w:sz w:val="24"/>
          <w:highlight w:val="none"/>
        </w:rPr>
      </w:pPr>
      <w:r>
        <w:rPr>
          <w:rFonts w:hint="eastAsia"/>
          <w:color w:val="auto"/>
          <w:sz w:val="24"/>
          <w:highlight w:val="none"/>
        </w:rPr>
        <w:t>招标编号为</w:t>
      </w:r>
      <w:r>
        <w:rPr>
          <w:rFonts w:hint="eastAsia"/>
          <w:color w:val="auto"/>
          <w:sz w:val="24"/>
          <w:highlight w:val="none"/>
          <w:u w:val="single"/>
        </w:rPr>
        <w:t xml:space="preserve">               </w:t>
      </w:r>
      <w:r>
        <w:rPr>
          <w:rFonts w:hint="eastAsia"/>
          <w:color w:val="auto"/>
          <w:sz w:val="24"/>
          <w:highlight w:val="none"/>
        </w:rPr>
        <w:t>的</w:t>
      </w:r>
      <w:r>
        <w:rPr>
          <w:rFonts w:hint="eastAsia"/>
          <w:color w:val="auto"/>
          <w:sz w:val="24"/>
          <w:highlight w:val="none"/>
          <w:u w:val="single"/>
        </w:rPr>
        <w:t xml:space="preserve">                  </w:t>
      </w:r>
      <w:r>
        <w:rPr>
          <w:rFonts w:hint="eastAsia"/>
          <w:color w:val="auto"/>
          <w:sz w:val="24"/>
          <w:highlight w:val="none"/>
        </w:rPr>
        <w:t>工程建设项目，该工程施工监理招标于</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依法公开开标后，评标委员会按照招标文件规定的评标标准和方法进行了评审，清标小组、定标委员会按照定标方案规定方法、规则、标准和程序完成了清标和定标工作。招标人根据评标报告、清标报告以及定标报告，现将评标结果、定标结果以及有关情况公示如下：</w:t>
      </w:r>
    </w:p>
    <w:p w14:paraId="0D5F8C19">
      <w:pPr>
        <w:spacing w:line="400" w:lineRule="exact"/>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一、评标结果</w:t>
      </w:r>
    </w:p>
    <w:p w14:paraId="4D13FA2B">
      <w:pPr>
        <w:spacing w:line="360" w:lineRule="auto"/>
        <w:ind w:firstLine="426"/>
        <w:jc w:val="left"/>
        <w:rPr>
          <w:rFonts w:cs="宋体"/>
          <w:color w:val="auto"/>
          <w:szCs w:val="21"/>
          <w:highlight w:val="none"/>
        </w:rPr>
      </w:pPr>
      <w:r>
        <w:rPr>
          <w:rFonts w:hint="eastAsia" w:ascii="宋体" w:hAnsi="宋体" w:cs="宋体"/>
          <w:color w:val="auto"/>
          <w:szCs w:val="21"/>
          <w:highlight w:val="none"/>
        </w:rPr>
        <w:t>1.1</w:t>
      </w:r>
      <w:r>
        <w:rPr>
          <w:rFonts w:hint="eastAsia" w:cs="宋体"/>
          <w:color w:val="auto"/>
          <w:szCs w:val="21"/>
          <w:highlight w:val="none"/>
        </w:rPr>
        <w:t>资格审查不合格结论情况表</w:t>
      </w:r>
    </w:p>
    <w:tbl>
      <w:tblPr>
        <w:tblStyle w:val="44"/>
        <w:tblW w:w="8976"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5"/>
        <w:gridCol w:w="4918"/>
        <w:gridCol w:w="3173"/>
      </w:tblGrid>
      <w:tr w14:paraId="44AC57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85" w:type="dxa"/>
            <w:tcBorders>
              <w:tl2br w:val="nil"/>
              <w:tr2bl w:val="nil"/>
            </w:tcBorders>
            <w:vAlign w:val="center"/>
          </w:tcPr>
          <w:p w14:paraId="4234CBE2">
            <w:pPr>
              <w:adjustRightInd w:val="0"/>
              <w:snapToGrid w:val="0"/>
              <w:spacing w:line="240" w:lineRule="atLeast"/>
              <w:jc w:val="center"/>
              <w:rPr>
                <w:rFonts w:hAnsi="Times New Roman"/>
                <w:color w:val="auto"/>
                <w:szCs w:val="21"/>
                <w:highlight w:val="none"/>
              </w:rPr>
            </w:pPr>
            <w:r>
              <w:rPr>
                <w:rFonts w:hint="eastAsia" w:hAnsi="Times New Roman"/>
                <w:color w:val="auto"/>
                <w:szCs w:val="21"/>
                <w:highlight w:val="none"/>
              </w:rPr>
              <w:t>序号</w:t>
            </w:r>
            <w:r>
              <w:rPr>
                <w:rFonts w:ascii="Times New Roman" w:hAnsi="Times New Roman"/>
                <w:color w:val="auto"/>
                <w:szCs w:val="21"/>
                <w:highlight w:val="none"/>
              </w:rPr>
              <w:t> </w:t>
            </w:r>
          </w:p>
        </w:tc>
        <w:tc>
          <w:tcPr>
            <w:tcW w:w="4918" w:type="dxa"/>
            <w:tcBorders>
              <w:tl2br w:val="nil"/>
              <w:tr2bl w:val="nil"/>
            </w:tcBorders>
            <w:vAlign w:val="center"/>
          </w:tcPr>
          <w:p w14:paraId="5336A803">
            <w:pPr>
              <w:adjustRightInd w:val="0"/>
              <w:snapToGrid w:val="0"/>
              <w:spacing w:line="240" w:lineRule="atLeast"/>
              <w:jc w:val="center"/>
              <w:rPr>
                <w:rFonts w:hAnsi="Times New Roman"/>
                <w:color w:val="auto"/>
                <w:szCs w:val="21"/>
                <w:highlight w:val="none"/>
              </w:rPr>
            </w:pPr>
            <w:r>
              <w:rPr>
                <w:rFonts w:hint="eastAsia" w:hAnsi="Times New Roman"/>
                <w:color w:val="auto"/>
                <w:szCs w:val="21"/>
                <w:highlight w:val="none"/>
              </w:rPr>
              <w:t>投标人名称</w:t>
            </w:r>
          </w:p>
        </w:tc>
        <w:tc>
          <w:tcPr>
            <w:tcW w:w="3173" w:type="dxa"/>
            <w:tcBorders>
              <w:tl2br w:val="nil"/>
              <w:tr2bl w:val="nil"/>
            </w:tcBorders>
            <w:vAlign w:val="center"/>
          </w:tcPr>
          <w:p w14:paraId="2E4D4209">
            <w:pPr>
              <w:adjustRightInd w:val="0"/>
              <w:snapToGrid w:val="0"/>
              <w:spacing w:line="240" w:lineRule="atLeast"/>
              <w:jc w:val="center"/>
              <w:rPr>
                <w:rFonts w:hAnsi="Times New Roman"/>
                <w:color w:val="auto"/>
                <w:szCs w:val="21"/>
                <w:highlight w:val="none"/>
              </w:rPr>
            </w:pPr>
            <w:r>
              <w:rPr>
                <w:rFonts w:hint="eastAsia" w:hAnsi="Times New Roman"/>
                <w:color w:val="auto"/>
                <w:szCs w:val="21"/>
                <w:highlight w:val="none"/>
              </w:rPr>
              <w:t>资格审查不合格原因及依据</w:t>
            </w:r>
          </w:p>
        </w:tc>
      </w:tr>
      <w:tr w14:paraId="791230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85" w:type="dxa"/>
            <w:tcBorders>
              <w:tl2br w:val="nil"/>
              <w:tr2bl w:val="nil"/>
            </w:tcBorders>
            <w:vAlign w:val="center"/>
          </w:tcPr>
          <w:p w14:paraId="49C46CF2">
            <w:pPr>
              <w:adjustRightInd w:val="0"/>
              <w:snapToGrid w:val="0"/>
              <w:spacing w:line="240" w:lineRule="atLeast"/>
              <w:jc w:val="center"/>
              <w:rPr>
                <w:rFonts w:hAnsi="Times New Roman"/>
                <w:color w:val="auto"/>
                <w:szCs w:val="21"/>
                <w:highlight w:val="none"/>
              </w:rPr>
            </w:pPr>
          </w:p>
        </w:tc>
        <w:tc>
          <w:tcPr>
            <w:tcW w:w="4918" w:type="dxa"/>
            <w:tcBorders>
              <w:tl2br w:val="nil"/>
              <w:tr2bl w:val="nil"/>
            </w:tcBorders>
            <w:vAlign w:val="center"/>
          </w:tcPr>
          <w:p w14:paraId="70300083">
            <w:pPr>
              <w:adjustRightInd w:val="0"/>
              <w:snapToGrid w:val="0"/>
              <w:spacing w:line="360" w:lineRule="auto"/>
              <w:jc w:val="center"/>
              <w:rPr>
                <w:rFonts w:hAnsi="Times New Roman"/>
                <w:color w:val="auto"/>
                <w:szCs w:val="21"/>
                <w:highlight w:val="none"/>
              </w:rPr>
            </w:pPr>
          </w:p>
        </w:tc>
        <w:tc>
          <w:tcPr>
            <w:tcW w:w="3173" w:type="dxa"/>
            <w:tcBorders>
              <w:tl2br w:val="nil"/>
              <w:tr2bl w:val="nil"/>
            </w:tcBorders>
            <w:vAlign w:val="center"/>
          </w:tcPr>
          <w:p w14:paraId="6D53DB51">
            <w:pPr>
              <w:adjustRightInd w:val="0"/>
              <w:snapToGrid w:val="0"/>
              <w:spacing w:line="360" w:lineRule="auto"/>
              <w:jc w:val="center"/>
              <w:rPr>
                <w:rFonts w:hAnsi="Times New Roman"/>
                <w:color w:val="auto"/>
                <w:szCs w:val="21"/>
                <w:highlight w:val="none"/>
              </w:rPr>
            </w:pPr>
          </w:p>
        </w:tc>
      </w:tr>
      <w:tr w14:paraId="318A20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85" w:type="dxa"/>
            <w:tcBorders>
              <w:tl2br w:val="nil"/>
              <w:tr2bl w:val="nil"/>
            </w:tcBorders>
            <w:vAlign w:val="center"/>
          </w:tcPr>
          <w:p w14:paraId="447DB0EA">
            <w:pPr>
              <w:adjustRightInd w:val="0"/>
              <w:snapToGrid w:val="0"/>
              <w:spacing w:line="240" w:lineRule="atLeast"/>
              <w:jc w:val="center"/>
              <w:rPr>
                <w:rFonts w:hAnsi="Times New Roman"/>
                <w:color w:val="auto"/>
                <w:szCs w:val="21"/>
                <w:highlight w:val="none"/>
              </w:rPr>
            </w:pPr>
            <w:r>
              <w:rPr>
                <w:rFonts w:hint="eastAsia" w:hAnsi="Times New Roman"/>
                <w:color w:val="auto"/>
                <w:szCs w:val="21"/>
                <w:highlight w:val="none"/>
              </w:rPr>
              <w:t>……</w:t>
            </w:r>
          </w:p>
        </w:tc>
        <w:tc>
          <w:tcPr>
            <w:tcW w:w="4918" w:type="dxa"/>
            <w:tcBorders>
              <w:tl2br w:val="nil"/>
              <w:tr2bl w:val="nil"/>
            </w:tcBorders>
            <w:vAlign w:val="center"/>
          </w:tcPr>
          <w:p w14:paraId="55552C44">
            <w:pPr>
              <w:adjustRightInd w:val="0"/>
              <w:snapToGrid w:val="0"/>
              <w:spacing w:line="360" w:lineRule="auto"/>
              <w:jc w:val="center"/>
              <w:rPr>
                <w:rFonts w:hAnsi="Times New Roman"/>
                <w:color w:val="auto"/>
                <w:szCs w:val="21"/>
                <w:highlight w:val="none"/>
              </w:rPr>
            </w:pPr>
          </w:p>
        </w:tc>
        <w:tc>
          <w:tcPr>
            <w:tcW w:w="3173" w:type="dxa"/>
            <w:tcBorders>
              <w:tl2br w:val="nil"/>
              <w:tr2bl w:val="nil"/>
            </w:tcBorders>
            <w:vAlign w:val="center"/>
          </w:tcPr>
          <w:p w14:paraId="0DABCB02">
            <w:pPr>
              <w:adjustRightInd w:val="0"/>
              <w:snapToGrid w:val="0"/>
              <w:spacing w:line="360" w:lineRule="auto"/>
              <w:jc w:val="center"/>
              <w:rPr>
                <w:rFonts w:hAnsi="Times New Roman"/>
                <w:color w:val="auto"/>
                <w:szCs w:val="21"/>
                <w:highlight w:val="none"/>
              </w:rPr>
            </w:pPr>
          </w:p>
        </w:tc>
      </w:tr>
    </w:tbl>
    <w:p w14:paraId="17237DCA">
      <w:pPr>
        <w:spacing w:line="360" w:lineRule="auto"/>
        <w:rPr>
          <w:color w:val="auto"/>
          <w:szCs w:val="21"/>
          <w:highlight w:val="none"/>
        </w:rPr>
      </w:pPr>
    </w:p>
    <w:p w14:paraId="06B1C449">
      <w:pPr>
        <w:spacing w:line="312" w:lineRule="auto"/>
        <w:ind w:left="420"/>
        <w:rPr>
          <w:rFonts w:ascii="宋体" w:hAnsi="宋体" w:cs="宋体"/>
          <w:color w:val="auto"/>
          <w:szCs w:val="21"/>
          <w:highlight w:val="none"/>
        </w:rPr>
      </w:pPr>
      <w:r>
        <w:rPr>
          <w:rFonts w:hint="eastAsia" w:ascii="宋体" w:hAnsi="宋体" w:cs="宋体"/>
          <w:color w:val="auto"/>
          <w:szCs w:val="21"/>
          <w:highlight w:val="none"/>
        </w:rPr>
        <w:t>1.2未入围投标人名单</w:t>
      </w:r>
    </w:p>
    <w:tbl>
      <w:tblPr>
        <w:tblStyle w:val="44"/>
        <w:tblW w:w="9078"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5"/>
        <w:gridCol w:w="5018"/>
        <w:gridCol w:w="3175"/>
      </w:tblGrid>
      <w:tr w14:paraId="1E135E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85" w:type="dxa"/>
            <w:tcBorders>
              <w:tl2br w:val="nil"/>
              <w:tr2bl w:val="nil"/>
            </w:tcBorders>
            <w:vAlign w:val="center"/>
          </w:tcPr>
          <w:p w14:paraId="3E08B17F">
            <w:pPr>
              <w:adjustRightInd w:val="0"/>
              <w:snapToGrid w:val="0"/>
              <w:spacing w:line="240" w:lineRule="atLeast"/>
              <w:jc w:val="center"/>
              <w:rPr>
                <w:rFonts w:hAnsi="Times New Roman"/>
                <w:color w:val="auto"/>
                <w:szCs w:val="21"/>
                <w:highlight w:val="none"/>
              </w:rPr>
            </w:pPr>
            <w:r>
              <w:rPr>
                <w:rFonts w:hint="eastAsia" w:hAnsi="Times New Roman"/>
                <w:color w:val="auto"/>
                <w:szCs w:val="21"/>
                <w:highlight w:val="none"/>
              </w:rPr>
              <w:t>序号</w:t>
            </w:r>
            <w:r>
              <w:rPr>
                <w:rFonts w:ascii="Times New Roman" w:hAnsi="Times New Roman"/>
                <w:color w:val="auto"/>
                <w:szCs w:val="21"/>
                <w:highlight w:val="none"/>
              </w:rPr>
              <w:t> </w:t>
            </w:r>
          </w:p>
        </w:tc>
        <w:tc>
          <w:tcPr>
            <w:tcW w:w="5018" w:type="dxa"/>
            <w:tcBorders>
              <w:tl2br w:val="nil"/>
              <w:tr2bl w:val="nil"/>
            </w:tcBorders>
            <w:vAlign w:val="center"/>
          </w:tcPr>
          <w:p w14:paraId="0EBE9B82">
            <w:pPr>
              <w:adjustRightInd w:val="0"/>
              <w:snapToGrid w:val="0"/>
              <w:spacing w:line="240" w:lineRule="atLeast"/>
              <w:jc w:val="center"/>
              <w:rPr>
                <w:rFonts w:hAnsi="Times New Roman"/>
                <w:color w:val="auto"/>
                <w:szCs w:val="21"/>
                <w:highlight w:val="none"/>
              </w:rPr>
            </w:pPr>
            <w:r>
              <w:rPr>
                <w:rFonts w:hint="eastAsia" w:hAnsi="Times New Roman"/>
                <w:color w:val="auto"/>
                <w:szCs w:val="21"/>
                <w:highlight w:val="none"/>
              </w:rPr>
              <w:t>投标人名称</w:t>
            </w:r>
          </w:p>
        </w:tc>
        <w:tc>
          <w:tcPr>
            <w:tcW w:w="3175" w:type="dxa"/>
            <w:tcBorders>
              <w:tl2br w:val="nil"/>
              <w:tr2bl w:val="nil"/>
            </w:tcBorders>
            <w:vAlign w:val="center"/>
          </w:tcPr>
          <w:p w14:paraId="4B2645E9">
            <w:pPr>
              <w:adjustRightInd w:val="0"/>
              <w:snapToGrid w:val="0"/>
              <w:spacing w:line="240" w:lineRule="atLeast"/>
              <w:jc w:val="center"/>
              <w:rPr>
                <w:rFonts w:hAnsi="Times New Roman"/>
                <w:color w:val="auto"/>
                <w:szCs w:val="21"/>
                <w:highlight w:val="none"/>
              </w:rPr>
            </w:pPr>
            <w:r>
              <w:rPr>
                <w:rFonts w:hint="eastAsia" w:hAnsi="Times New Roman"/>
                <w:color w:val="auto"/>
                <w:szCs w:val="21"/>
                <w:highlight w:val="none"/>
              </w:rPr>
              <w:t>未入围</w:t>
            </w:r>
            <w:r>
              <w:rPr>
                <w:rFonts w:hint="eastAsia" w:ascii="Times New Roman" w:hAnsi="Times New Roman"/>
                <w:color w:val="auto"/>
                <w:szCs w:val="21"/>
                <w:highlight w:val="none"/>
              </w:rPr>
              <w:t>原因</w:t>
            </w:r>
          </w:p>
        </w:tc>
      </w:tr>
      <w:tr w14:paraId="61948E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85" w:type="dxa"/>
            <w:tcBorders>
              <w:tl2br w:val="nil"/>
              <w:tr2bl w:val="nil"/>
            </w:tcBorders>
            <w:vAlign w:val="center"/>
          </w:tcPr>
          <w:p w14:paraId="7B31EEBB">
            <w:pPr>
              <w:adjustRightInd w:val="0"/>
              <w:snapToGrid w:val="0"/>
              <w:spacing w:line="240" w:lineRule="atLeast"/>
              <w:jc w:val="center"/>
              <w:rPr>
                <w:rFonts w:hAnsi="Times New Roman"/>
                <w:color w:val="auto"/>
                <w:szCs w:val="21"/>
                <w:highlight w:val="none"/>
              </w:rPr>
            </w:pPr>
          </w:p>
        </w:tc>
        <w:tc>
          <w:tcPr>
            <w:tcW w:w="5018" w:type="dxa"/>
            <w:tcBorders>
              <w:tl2br w:val="nil"/>
              <w:tr2bl w:val="nil"/>
            </w:tcBorders>
            <w:vAlign w:val="center"/>
          </w:tcPr>
          <w:p w14:paraId="50BF9587">
            <w:pPr>
              <w:adjustRightInd w:val="0"/>
              <w:snapToGrid w:val="0"/>
              <w:spacing w:line="360" w:lineRule="auto"/>
              <w:jc w:val="center"/>
              <w:rPr>
                <w:rFonts w:hAnsi="Times New Roman"/>
                <w:color w:val="auto"/>
                <w:szCs w:val="21"/>
                <w:highlight w:val="none"/>
              </w:rPr>
            </w:pPr>
          </w:p>
        </w:tc>
        <w:tc>
          <w:tcPr>
            <w:tcW w:w="3175" w:type="dxa"/>
            <w:tcBorders>
              <w:tl2br w:val="nil"/>
              <w:tr2bl w:val="nil"/>
            </w:tcBorders>
            <w:vAlign w:val="center"/>
          </w:tcPr>
          <w:p w14:paraId="4C2FBD1B">
            <w:pPr>
              <w:adjustRightInd w:val="0"/>
              <w:snapToGrid w:val="0"/>
              <w:spacing w:line="360" w:lineRule="auto"/>
              <w:jc w:val="center"/>
              <w:rPr>
                <w:rFonts w:hAnsi="Times New Roman"/>
                <w:color w:val="auto"/>
                <w:szCs w:val="21"/>
                <w:highlight w:val="none"/>
              </w:rPr>
            </w:pPr>
          </w:p>
        </w:tc>
      </w:tr>
      <w:tr w14:paraId="3798C5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85" w:type="dxa"/>
            <w:tcBorders>
              <w:tl2br w:val="nil"/>
              <w:tr2bl w:val="nil"/>
            </w:tcBorders>
            <w:vAlign w:val="center"/>
          </w:tcPr>
          <w:p w14:paraId="03F7490D">
            <w:pPr>
              <w:adjustRightInd w:val="0"/>
              <w:snapToGrid w:val="0"/>
              <w:spacing w:line="240" w:lineRule="atLeast"/>
              <w:jc w:val="center"/>
              <w:rPr>
                <w:rFonts w:hAnsi="Times New Roman"/>
                <w:color w:val="auto"/>
                <w:szCs w:val="21"/>
                <w:highlight w:val="none"/>
              </w:rPr>
            </w:pPr>
            <w:r>
              <w:rPr>
                <w:rFonts w:hint="eastAsia" w:hAnsi="Times New Roman"/>
                <w:color w:val="auto"/>
                <w:szCs w:val="21"/>
                <w:highlight w:val="none"/>
              </w:rPr>
              <w:t>……</w:t>
            </w:r>
          </w:p>
        </w:tc>
        <w:tc>
          <w:tcPr>
            <w:tcW w:w="5018" w:type="dxa"/>
            <w:tcBorders>
              <w:tl2br w:val="nil"/>
              <w:tr2bl w:val="nil"/>
            </w:tcBorders>
            <w:vAlign w:val="center"/>
          </w:tcPr>
          <w:p w14:paraId="0A6270E3">
            <w:pPr>
              <w:adjustRightInd w:val="0"/>
              <w:snapToGrid w:val="0"/>
              <w:spacing w:line="360" w:lineRule="auto"/>
              <w:jc w:val="center"/>
              <w:rPr>
                <w:rFonts w:hAnsi="Times New Roman"/>
                <w:color w:val="auto"/>
                <w:szCs w:val="21"/>
                <w:highlight w:val="none"/>
              </w:rPr>
            </w:pPr>
          </w:p>
        </w:tc>
        <w:tc>
          <w:tcPr>
            <w:tcW w:w="3175" w:type="dxa"/>
            <w:tcBorders>
              <w:tl2br w:val="nil"/>
              <w:tr2bl w:val="nil"/>
            </w:tcBorders>
            <w:vAlign w:val="center"/>
          </w:tcPr>
          <w:p w14:paraId="014AEC1D">
            <w:pPr>
              <w:adjustRightInd w:val="0"/>
              <w:snapToGrid w:val="0"/>
              <w:spacing w:line="360" w:lineRule="auto"/>
              <w:jc w:val="center"/>
              <w:rPr>
                <w:rFonts w:hAnsi="Times New Roman"/>
                <w:color w:val="auto"/>
                <w:szCs w:val="21"/>
                <w:highlight w:val="none"/>
              </w:rPr>
            </w:pPr>
          </w:p>
        </w:tc>
      </w:tr>
    </w:tbl>
    <w:p w14:paraId="7ED1878A">
      <w:pPr>
        <w:tabs>
          <w:tab w:val="left" w:pos="1140"/>
        </w:tabs>
        <w:spacing w:line="360" w:lineRule="auto"/>
        <w:ind w:firstLine="426"/>
        <w:rPr>
          <w:rFonts w:ascii="Times New Roman" w:hAnsi="Times New Roman"/>
          <w:color w:val="auto"/>
          <w:sz w:val="24"/>
          <w:highlight w:val="none"/>
        </w:rPr>
      </w:pPr>
    </w:p>
    <w:p w14:paraId="6B43BFFA">
      <w:pPr>
        <w:tabs>
          <w:tab w:val="left" w:pos="1140"/>
        </w:tabs>
        <w:spacing w:line="360" w:lineRule="auto"/>
        <w:ind w:firstLine="426"/>
        <w:rPr>
          <w:color w:val="auto"/>
          <w:sz w:val="24"/>
          <w:highlight w:val="none"/>
        </w:rPr>
      </w:pPr>
      <w:r>
        <w:rPr>
          <w:rFonts w:hint="eastAsia" w:ascii="Times New Roman" w:hAnsi="Times New Roman"/>
          <w:color w:val="auto"/>
          <w:sz w:val="24"/>
          <w:highlight w:val="none"/>
        </w:rPr>
        <w:t>1.3推荐的定标候选人名单及主要投标内容：</w:t>
      </w:r>
    </w:p>
    <w:tbl>
      <w:tblPr>
        <w:tblStyle w:val="44"/>
        <w:tblW w:w="10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7"/>
        <w:gridCol w:w="888"/>
        <w:gridCol w:w="789"/>
        <w:gridCol w:w="1224"/>
        <w:gridCol w:w="1032"/>
        <w:gridCol w:w="1308"/>
        <w:gridCol w:w="900"/>
        <w:gridCol w:w="900"/>
        <w:gridCol w:w="953"/>
        <w:gridCol w:w="953"/>
      </w:tblGrid>
      <w:tr w14:paraId="62F53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jc w:val="center"/>
        </w:trPr>
        <w:tc>
          <w:tcPr>
            <w:tcW w:w="1657" w:type="dxa"/>
            <w:tcBorders>
              <w:tl2br w:val="single" w:color="auto" w:sz="4" w:space="0"/>
            </w:tcBorders>
          </w:tcPr>
          <w:p w14:paraId="2E1A5BB4">
            <w:pPr>
              <w:tabs>
                <w:tab w:val="left" w:pos="1140"/>
              </w:tabs>
              <w:rPr>
                <w:color w:val="auto"/>
                <w:szCs w:val="21"/>
                <w:highlight w:val="none"/>
              </w:rPr>
            </w:pPr>
          </w:p>
          <w:p w14:paraId="217DD881">
            <w:pPr>
              <w:tabs>
                <w:tab w:val="left" w:pos="1140"/>
              </w:tabs>
              <w:ind w:firstLine="420" w:firstLineChars="200"/>
              <w:rPr>
                <w:color w:val="auto"/>
                <w:szCs w:val="21"/>
                <w:highlight w:val="none"/>
              </w:rPr>
            </w:pPr>
            <w:r>
              <w:rPr>
                <w:rFonts w:hint="eastAsia"/>
                <w:color w:val="auto"/>
                <w:szCs w:val="21"/>
                <w:highlight w:val="none"/>
              </w:rPr>
              <w:t>投标</w:t>
            </w:r>
          </w:p>
          <w:p w14:paraId="1E8F3992">
            <w:pPr>
              <w:tabs>
                <w:tab w:val="left" w:pos="1140"/>
              </w:tabs>
              <w:ind w:firstLine="420" w:firstLineChars="200"/>
              <w:rPr>
                <w:color w:val="auto"/>
                <w:szCs w:val="21"/>
                <w:highlight w:val="none"/>
              </w:rPr>
            </w:pPr>
            <w:r>
              <w:rPr>
                <w:rFonts w:hint="eastAsia"/>
                <w:color w:val="auto"/>
                <w:szCs w:val="21"/>
                <w:highlight w:val="none"/>
              </w:rPr>
              <w:t>主要内容</w:t>
            </w:r>
          </w:p>
          <w:p w14:paraId="285F994C">
            <w:pPr>
              <w:tabs>
                <w:tab w:val="left" w:pos="1140"/>
              </w:tabs>
              <w:rPr>
                <w:color w:val="auto"/>
                <w:szCs w:val="21"/>
                <w:highlight w:val="none"/>
              </w:rPr>
            </w:pPr>
          </w:p>
          <w:p w14:paraId="2E9F42C2">
            <w:pPr>
              <w:tabs>
                <w:tab w:val="left" w:pos="1140"/>
              </w:tabs>
              <w:rPr>
                <w:color w:val="auto"/>
                <w:szCs w:val="21"/>
                <w:highlight w:val="none"/>
              </w:rPr>
            </w:pPr>
          </w:p>
          <w:p w14:paraId="6FDD844E">
            <w:pPr>
              <w:tabs>
                <w:tab w:val="left" w:pos="1140"/>
              </w:tabs>
              <w:rPr>
                <w:color w:val="auto"/>
                <w:szCs w:val="21"/>
                <w:highlight w:val="none"/>
              </w:rPr>
            </w:pPr>
          </w:p>
          <w:p w14:paraId="5ACBFDD9">
            <w:pPr>
              <w:tabs>
                <w:tab w:val="left" w:pos="1140"/>
              </w:tabs>
              <w:rPr>
                <w:color w:val="auto"/>
                <w:szCs w:val="21"/>
                <w:highlight w:val="none"/>
              </w:rPr>
            </w:pPr>
            <w:r>
              <w:rPr>
                <w:rFonts w:hint="eastAsia"/>
                <w:color w:val="auto"/>
                <w:szCs w:val="21"/>
                <w:highlight w:val="none"/>
              </w:rPr>
              <w:t>定标候选人</w:t>
            </w:r>
          </w:p>
          <w:p w14:paraId="2040D1B7">
            <w:pPr>
              <w:tabs>
                <w:tab w:val="left" w:pos="1140"/>
              </w:tabs>
              <w:rPr>
                <w:color w:val="auto"/>
                <w:szCs w:val="21"/>
                <w:highlight w:val="none"/>
              </w:rPr>
            </w:pPr>
          </w:p>
        </w:tc>
        <w:tc>
          <w:tcPr>
            <w:tcW w:w="888" w:type="dxa"/>
            <w:vAlign w:val="center"/>
          </w:tcPr>
          <w:p w14:paraId="004FD0CD">
            <w:pPr>
              <w:tabs>
                <w:tab w:val="left" w:pos="1140"/>
              </w:tabs>
              <w:jc w:val="center"/>
              <w:rPr>
                <w:color w:val="auto"/>
                <w:szCs w:val="21"/>
                <w:highlight w:val="none"/>
              </w:rPr>
            </w:pPr>
            <w:r>
              <w:rPr>
                <w:rFonts w:hint="eastAsia"/>
                <w:color w:val="auto"/>
                <w:sz w:val="24"/>
                <w:highlight w:val="none"/>
              </w:rPr>
              <w:t>监理服务费报价（元）</w:t>
            </w:r>
          </w:p>
        </w:tc>
        <w:tc>
          <w:tcPr>
            <w:tcW w:w="789" w:type="dxa"/>
            <w:vAlign w:val="center"/>
          </w:tcPr>
          <w:p w14:paraId="0EC60D9A">
            <w:pPr>
              <w:tabs>
                <w:tab w:val="left" w:pos="1140"/>
              </w:tabs>
              <w:jc w:val="center"/>
              <w:rPr>
                <w:color w:val="auto"/>
                <w:szCs w:val="21"/>
                <w:highlight w:val="none"/>
              </w:rPr>
            </w:pPr>
            <w:r>
              <w:rPr>
                <w:rFonts w:hint="eastAsia"/>
                <w:color w:val="auto"/>
                <w:sz w:val="24"/>
                <w:highlight w:val="none"/>
              </w:rPr>
              <w:t>总监理工程师姓名</w:t>
            </w:r>
          </w:p>
        </w:tc>
        <w:tc>
          <w:tcPr>
            <w:tcW w:w="1224" w:type="dxa"/>
            <w:vAlign w:val="center"/>
          </w:tcPr>
          <w:p w14:paraId="4DD860C1">
            <w:pPr>
              <w:tabs>
                <w:tab w:val="left" w:pos="1140"/>
              </w:tabs>
              <w:jc w:val="center"/>
              <w:rPr>
                <w:rFonts w:ascii="宋体" w:hAnsi="宋体"/>
                <w:color w:val="auto"/>
                <w:szCs w:val="21"/>
                <w:highlight w:val="none"/>
              </w:rPr>
            </w:pPr>
            <w:r>
              <w:rPr>
                <w:rFonts w:hint="eastAsia"/>
                <w:color w:val="auto"/>
                <w:sz w:val="24"/>
                <w:highlight w:val="none"/>
              </w:rPr>
              <w:t>总监理工程师相关个人工程业绩（如有时）</w:t>
            </w:r>
          </w:p>
        </w:tc>
        <w:tc>
          <w:tcPr>
            <w:tcW w:w="1032" w:type="dxa"/>
            <w:vAlign w:val="center"/>
          </w:tcPr>
          <w:p w14:paraId="21332410">
            <w:pPr>
              <w:tabs>
                <w:tab w:val="left" w:pos="1140"/>
              </w:tabs>
              <w:jc w:val="center"/>
              <w:rPr>
                <w:color w:val="auto"/>
                <w:szCs w:val="21"/>
                <w:highlight w:val="none"/>
              </w:rPr>
            </w:pPr>
            <w:r>
              <w:rPr>
                <w:rFonts w:hint="eastAsia"/>
                <w:color w:val="auto"/>
                <w:sz w:val="24"/>
                <w:highlight w:val="none"/>
              </w:rPr>
              <w:t>总监理工程师监相关证书</w:t>
            </w:r>
          </w:p>
        </w:tc>
        <w:tc>
          <w:tcPr>
            <w:tcW w:w="1308" w:type="dxa"/>
            <w:vAlign w:val="center"/>
          </w:tcPr>
          <w:p w14:paraId="46A27047">
            <w:pPr>
              <w:tabs>
                <w:tab w:val="left" w:pos="1140"/>
              </w:tabs>
              <w:jc w:val="center"/>
              <w:rPr>
                <w:color w:val="auto"/>
                <w:szCs w:val="21"/>
                <w:highlight w:val="none"/>
              </w:rPr>
            </w:pPr>
            <w:r>
              <w:rPr>
                <w:rFonts w:hint="eastAsia"/>
                <w:color w:val="auto"/>
                <w:sz w:val="24"/>
                <w:highlight w:val="none"/>
              </w:rPr>
              <w:t>定标候选人同类同等工程业绩（如有时）</w:t>
            </w:r>
          </w:p>
        </w:tc>
        <w:tc>
          <w:tcPr>
            <w:tcW w:w="900" w:type="dxa"/>
            <w:vAlign w:val="center"/>
          </w:tcPr>
          <w:p w14:paraId="189D7CFF">
            <w:pPr>
              <w:tabs>
                <w:tab w:val="left" w:pos="1140"/>
              </w:tabs>
              <w:jc w:val="center"/>
              <w:rPr>
                <w:color w:val="auto"/>
                <w:sz w:val="24"/>
                <w:highlight w:val="none"/>
              </w:rPr>
            </w:pPr>
            <w:r>
              <w:rPr>
                <w:rFonts w:hint="eastAsia"/>
                <w:color w:val="auto"/>
                <w:sz w:val="24"/>
                <w:highlight w:val="none"/>
              </w:rPr>
              <w:t>企业及人员信用分享用情况（如有）</w:t>
            </w:r>
          </w:p>
        </w:tc>
        <w:tc>
          <w:tcPr>
            <w:tcW w:w="900" w:type="dxa"/>
            <w:vAlign w:val="center"/>
          </w:tcPr>
          <w:p w14:paraId="17E0E8AA">
            <w:pPr>
              <w:tabs>
                <w:tab w:val="left" w:pos="1140"/>
              </w:tabs>
              <w:jc w:val="center"/>
              <w:rPr>
                <w:color w:val="auto"/>
                <w:szCs w:val="21"/>
                <w:highlight w:val="none"/>
              </w:rPr>
            </w:pPr>
            <w:r>
              <w:rPr>
                <w:rFonts w:hint="eastAsia"/>
                <w:color w:val="auto"/>
                <w:sz w:val="24"/>
                <w:highlight w:val="none"/>
              </w:rPr>
              <w:t>监理服务期</w:t>
            </w:r>
          </w:p>
        </w:tc>
        <w:tc>
          <w:tcPr>
            <w:tcW w:w="953" w:type="dxa"/>
            <w:vAlign w:val="center"/>
          </w:tcPr>
          <w:p w14:paraId="368DC683">
            <w:pPr>
              <w:tabs>
                <w:tab w:val="left" w:pos="1140"/>
              </w:tabs>
              <w:jc w:val="center"/>
              <w:rPr>
                <w:color w:val="auto"/>
                <w:szCs w:val="21"/>
                <w:highlight w:val="none"/>
              </w:rPr>
            </w:pPr>
            <w:r>
              <w:rPr>
                <w:rFonts w:hint="eastAsia"/>
                <w:color w:val="auto"/>
                <w:sz w:val="24"/>
                <w:highlight w:val="none"/>
              </w:rPr>
              <w:t>质量标准</w:t>
            </w:r>
          </w:p>
        </w:tc>
        <w:tc>
          <w:tcPr>
            <w:tcW w:w="953" w:type="dxa"/>
            <w:vAlign w:val="center"/>
          </w:tcPr>
          <w:p w14:paraId="0490BB44">
            <w:pPr>
              <w:tabs>
                <w:tab w:val="left" w:pos="1140"/>
              </w:tabs>
              <w:jc w:val="center"/>
              <w:rPr>
                <w:rFonts w:hint="eastAsia"/>
                <w:color w:val="auto"/>
                <w:sz w:val="24"/>
                <w:highlight w:val="none"/>
              </w:rPr>
            </w:pPr>
            <w:r>
              <w:rPr>
                <w:rFonts w:hint="eastAsia"/>
                <w:color w:val="auto"/>
                <w:sz w:val="21"/>
                <w:szCs w:val="21"/>
                <w:highlight w:val="none"/>
                <w:lang w:val="en-US" w:eastAsia="zh-CN"/>
              </w:rPr>
              <w:t>最近期的福建省交通建设市场信用考核评价等级</w:t>
            </w:r>
          </w:p>
        </w:tc>
      </w:tr>
      <w:tr w14:paraId="5E234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57" w:type="dxa"/>
            <w:vAlign w:val="center"/>
          </w:tcPr>
          <w:p w14:paraId="7A4A6388">
            <w:pPr>
              <w:tabs>
                <w:tab w:val="left" w:pos="1140"/>
              </w:tabs>
              <w:jc w:val="center"/>
              <w:rPr>
                <w:rFonts w:ascii="宋体" w:hAnsi="宋体"/>
                <w:color w:val="auto"/>
                <w:szCs w:val="21"/>
                <w:highlight w:val="none"/>
              </w:rPr>
            </w:pPr>
          </w:p>
        </w:tc>
        <w:tc>
          <w:tcPr>
            <w:tcW w:w="888" w:type="dxa"/>
          </w:tcPr>
          <w:p w14:paraId="34214155">
            <w:pPr>
              <w:spacing w:line="400" w:lineRule="exact"/>
              <w:jc w:val="center"/>
              <w:rPr>
                <w:rFonts w:ascii="宋体" w:hAnsi="宋体"/>
                <w:color w:val="auto"/>
                <w:szCs w:val="21"/>
                <w:highlight w:val="none"/>
              </w:rPr>
            </w:pPr>
          </w:p>
        </w:tc>
        <w:tc>
          <w:tcPr>
            <w:tcW w:w="789" w:type="dxa"/>
          </w:tcPr>
          <w:p w14:paraId="56B56FC0">
            <w:pPr>
              <w:spacing w:line="400" w:lineRule="exact"/>
              <w:jc w:val="center"/>
              <w:rPr>
                <w:rFonts w:ascii="宋体" w:hAnsi="宋体"/>
                <w:color w:val="auto"/>
                <w:szCs w:val="21"/>
                <w:highlight w:val="none"/>
              </w:rPr>
            </w:pPr>
          </w:p>
        </w:tc>
        <w:tc>
          <w:tcPr>
            <w:tcW w:w="1224" w:type="dxa"/>
          </w:tcPr>
          <w:p w14:paraId="066CBA06">
            <w:pPr>
              <w:spacing w:line="400" w:lineRule="exact"/>
              <w:jc w:val="center"/>
              <w:rPr>
                <w:rFonts w:ascii="宋体" w:hAnsi="宋体"/>
                <w:color w:val="auto"/>
                <w:szCs w:val="21"/>
                <w:highlight w:val="none"/>
              </w:rPr>
            </w:pPr>
          </w:p>
        </w:tc>
        <w:tc>
          <w:tcPr>
            <w:tcW w:w="1032" w:type="dxa"/>
          </w:tcPr>
          <w:p w14:paraId="01FDF1B5">
            <w:pPr>
              <w:spacing w:line="400" w:lineRule="exact"/>
              <w:jc w:val="center"/>
              <w:rPr>
                <w:rFonts w:ascii="宋体" w:hAnsi="宋体"/>
                <w:color w:val="auto"/>
                <w:szCs w:val="21"/>
                <w:highlight w:val="none"/>
              </w:rPr>
            </w:pPr>
          </w:p>
        </w:tc>
        <w:tc>
          <w:tcPr>
            <w:tcW w:w="1308" w:type="dxa"/>
          </w:tcPr>
          <w:p w14:paraId="223D7ACB">
            <w:pPr>
              <w:spacing w:line="400" w:lineRule="exact"/>
              <w:jc w:val="center"/>
              <w:rPr>
                <w:rFonts w:ascii="宋体" w:hAnsi="宋体"/>
                <w:color w:val="auto"/>
                <w:szCs w:val="21"/>
                <w:highlight w:val="none"/>
              </w:rPr>
            </w:pPr>
          </w:p>
        </w:tc>
        <w:tc>
          <w:tcPr>
            <w:tcW w:w="900" w:type="dxa"/>
          </w:tcPr>
          <w:p w14:paraId="1FBF0049">
            <w:pPr>
              <w:spacing w:line="400" w:lineRule="exact"/>
              <w:jc w:val="center"/>
              <w:rPr>
                <w:rFonts w:ascii="宋体" w:hAnsi="宋体"/>
                <w:color w:val="auto"/>
                <w:szCs w:val="21"/>
                <w:highlight w:val="none"/>
              </w:rPr>
            </w:pPr>
          </w:p>
        </w:tc>
        <w:tc>
          <w:tcPr>
            <w:tcW w:w="900" w:type="dxa"/>
          </w:tcPr>
          <w:p w14:paraId="7050EDBE">
            <w:pPr>
              <w:spacing w:line="400" w:lineRule="exact"/>
              <w:jc w:val="center"/>
              <w:rPr>
                <w:rFonts w:ascii="宋体" w:hAnsi="宋体"/>
                <w:color w:val="auto"/>
                <w:szCs w:val="21"/>
                <w:highlight w:val="none"/>
              </w:rPr>
            </w:pPr>
          </w:p>
        </w:tc>
        <w:tc>
          <w:tcPr>
            <w:tcW w:w="953" w:type="dxa"/>
          </w:tcPr>
          <w:p w14:paraId="2A1DB706">
            <w:pPr>
              <w:spacing w:line="400" w:lineRule="exact"/>
              <w:jc w:val="center"/>
              <w:rPr>
                <w:rFonts w:ascii="宋体" w:hAnsi="宋体"/>
                <w:color w:val="auto"/>
                <w:szCs w:val="21"/>
                <w:highlight w:val="none"/>
              </w:rPr>
            </w:pPr>
          </w:p>
        </w:tc>
        <w:tc>
          <w:tcPr>
            <w:tcW w:w="953" w:type="dxa"/>
          </w:tcPr>
          <w:p w14:paraId="35E972C8">
            <w:pPr>
              <w:spacing w:line="400" w:lineRule="exact"/>
              <w:jc w:val="center"/>
              <w:rPr>
                <w:rFonts w:ascii="宋体" w:hAnsi="宋体"/>
                <w:color w:val="auto"/>
                <w:szCs w:val="21"/>
                <w:highlight w:val="none"/>
              </w:rPr>
            </w:pPr>
          </w:p>
        </w:tc>
      </w:tr>
      <w:tr w14:paraId="4C5C8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57" w:type="dxa"/>
            <w:vAlign w:val="center"/>
          </w:tcPr>
          <w:p w14:paraId="72B31CC3">
            <w:pPr>
              <w:tabs>
                <w:tab w:val="left" w:pos="1140"/>
              </w:tabs>
              <w:jc w:val="center"/>
              <w:rPr>
                <w:color w:val="auto"/>
                <w:szCs w:val="21"/>
                <w:highlight w:val="none"/>
              </w:rPr>
            </w:pPr>
          </w:p>
        </w:tc>
        <w:tc>
          <w:tcPr>
            <w:tcW w:w="888" w:type="dxa"/>
            <w:vAlign w:val="center"/>
          </w:tcPr>
          <w:p w14:paraId="14EBB58C">
            <w:pPr>
              <w:spacing w:before="100" w:after="100"/>
              <w:jc w:val="center"/>
              <w:rPr>
                <w:rFonts w:ascii="宋体" w:hAnsi="宋体"/>
                <w:color w:val="auto"/>
                <w:highlight w:val="none"/>
              </w:rPr>
            </w:pPr>
          </w:p>
        </w:tc>
        <w:tc>
          <w:tcPr>
            <w:tcW w:w="789" w:type="dxa"/>
            <w:vAlign w:val="center"/>
          </w:tcPr>
          <w:p w14:paraId="1D01A749">
            <w:pPr>
              <w:tabs>
                <w:tab w:val="left" w:pos="1140"/>
              </w:tabs>
              <w:jc w:val="center"/>
              <w:rPr>
                <w:rFonts w:ascii="宋体" w:hAnsi="宋体"/>
                <w:color w:val="auto"/>
                <w:szCs w:val="21"/>
                <w:highlight w:val="none"/>
              </w:rPr>
            </w:pPr>
          </w:p>
        </w:tc>
        <w:tc>
          <w:tcPr>
            <w:tcW w:w="1224" w:type="dxa"/>
            <w:vAlign w:val="center"/>
          </w:tcPr>
          <w:p w14:paraId="3BFDE7D9">
            <w:pPr>
              <w:tabs>
                <w:tab w:val="left" w:pos="1140"/>
              </w:tabs>
              <w:jc w:val="center"/>
              <w:rPr>
                <w:rFonts w:ascii="宋体" w:hAnsi="宋体"/>
                <w:color w:val="auto"/>
                <w:szCs w:val="21"/>
                <w:highlight w:val="none"/>
              </w:rPr>
            </w:pPr>
          </w:p>
        </w:tc>
        <w:tc>
          <w:tcPr>
            <w:tcW w:w="1032" w:type="dxa"/>
            <w:vAlign w:val="center"/>
          </w:tcPr>
          <w:p w14:paraId="6AD83F70">
            <w:pPr>
              <w:tabs>
                <w:tab w:val="left" w:pos="1140"/>
              </w:tabs>
              <w:jc w:val="center"/>
              <w:rPr>
                <w:rFonts w:ascii="宋体" w:hAnsi="宋体"/>
                <w:color w:val="auto"/>
                <w:szCs w:val="21"/>
                <w:highlight w:val="none"/>
              </w:rPr>
            </w:pPr>
          </w:p>
        </w:tc>
        <w:tc>
          <w:tcPr>
            <w:tcW w:w="1308" w:type="dxa"/>
            <w:vAlign w:val="center"/>
          </w:tcPr>
          <w:p w14:paraId="0394ACCF">
            <w:pPr>
              <w:tabs>
                <w:tab w:val="left" w:pos="1140"/>
              </w:tabs>
              <w:jc w:val="center"/>
              <w:rPr>
                <w:rFonts w:ascii="宋体" w:hAnsi="宋体"/>
                <w:color w:val="auto"/>
                <w:szCs w:val="21"/>
                <w:highlight w:val="none"/>
              </w:rPr>
            </w:pPr>
          </w:p>
        </w:tc>
        <w:tc>
          <w:tcPr>
            <w:tcW w:w="900" w:type="dxa"/>
            <w:vAlign w:val="center"/>
          </w:tcPr>
          <w:p w14:paraId="4C0C0BC6">
            <w:pPr>
              <w:tabs>
                <w:tab w:val="left" w:pos="1140"/>
              </w:tabs>
              <w:jc w:val="center"/>
              <w:rPr>
                <w:rFonts w:ascii="宋体" w:hAnsi="宋体"/>
                <w:color w:val="auto"/>
                <w:szCs w:val="21"/>
                <w:highlight w:val="none"/>
              </w:rPr>
            </w:pPr>
          </w:p>
        </w:tc>
        <w:tc>
          <w:tcPr>
            <w:tcW w:w="900" w:type="dxa"/>
            <w:vAlign w:val="center"/>
          </w:tcPr>
          <w:p w14:paraId="0E794164">
            <w:pPr>
              <w:tabs>
                <w:tab w:val="left" w:pos="1140"/>
              </w:tabs>
              <w:jc w:val="center"/>
              <w:rPr>
                <w:rFonts w:ascii="宋体" w:hAnsi="宋体"/>
                <w:color w:val="auto"/>
                <w:szCs w:val="21"/>
                <w:highlight w:val="none"/>
              </w:rPr>
            </w:pPr>
          </w:p>
        </w:tc>
        <w:tc>
          <w:tcPr>
            <w:tcW w:w="953" w:type="dxa"/>
            <w:vAlign w:val="center"/>
          </w:tcPr>
          <w:p w14:paraId="3E2CE61B">
            <w:pPr>
              <w:tabs>
                <w:tab w:val="left" w:pos="1140"/>
              </w:tabs>
              <w:jc w:val="center"/>
              <w:rPr>
                <w:rFonts w:ascii="宋体" w:hAnsi="宋体"/>
                <w:color w:val="auto"/>
                <w:szCs w:val="21"/>
                <w:highlight w:val="none"/>
              </w:rPr>
            </w:pPr>
          </w:p>
        </w:tc>
        <w:tc>
          <w:tcPr>
            <w:tcW w:w="953" w:type="dxa"/>
            <w:vAlign w:val="center"/>
          </w:tcPr>
          <w:p w14:paraId="1A8F8ECB">
            <w:pPr>
              <w:tabs>
                <w:tab w:val="left" w:pos="1140"/>
              </w:tabs>
              <w:jc w:val="center"/>
              <w:rPr>
                <w:rFonts w:ascii="宋体" w:hAnsi="宋体"/>
                <w:color w:val="auto"/>
                <w:szCs w:val="21"/>
                <w:highlight w:val="none"/>
              </w:rPr>
            </w:pPr>
          </w:p>
        </w:tc>
      </w:tr>
      <w:tr w14:paraId="4FFE6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57" w:type="dxa"/>
            <w:vAlign w:val="center"/>
          </w:tcPr>
          <w:p w14:paraId="34E69A31">
            <w:pPr>
              <w:tabs>
                <w:tab w:val="left" w:pos="1140"/>
              </w:tabs>
              <w:jc w:val="center"/>
              <w:rPr>
                <w:rFonts w:ascii="宋体" w:hAnsi="宋体"/>
                <w:color w:val="auto"/>
                <w:szCs w:val="21"/>
                <w:highlight w:val="none"/>
              </w:rPr>
            </w:pPr>
            <w:r>
              <w:rPr>
                <w:rFonts w:hint="eastAsia" w:hAnsi="Times New Roman"/>
                <w:color w:val="auto"/>
                <w:szCs w:val="21"/>
                <w:highlight w:val="none"/>
              </w:rPr>
              <w:t>……</w:t>
            </w:r>
          </w:p>
        </w:tc>
        <w:tc>
          <w:tcPr>
            <w:tcW w:w="888" w:type="dxa"/>
            <w:vAlign w:val="center"/>
          </w:tcPr>
          <w:p w14:paraId="041BC610">
            <w:pPr>
              <w:tabs>
                <w:tab w:val="left" w:pos="1140"/>
              </w:tabs>
              <w:spacing w:before="100" w:after="100"/>
              <w:jc w:val="center"/>
              <w:rPr>
                <w:rFonts w:ascii="宋体" w:hAnsi="宋体"/>
                <w:color w:val="auto"/>
                <w:szCs w:val="21"/>
                <w:highlight w:val="none"/>
              </w:rPr>
            </w:pPr>
          </w:p>
        </w:tc>
        <w:tc>
          <w:tcPr>
            <w:tcW w:w="789" w:type="dxa"/>
            <w:vAlign w:val="center"/>
          </w:tcPr>
          <w:p w14:paraId="3EC43A48">
            <w:pPr>
              <w:tabs>
                <w:tab w:val="left" w:pos="1140"/>
              </w:tabs>
              <w:jc w:val="center"/>
              <w:rPr>
                <w:rFonts w:ascii="宋体" w:hAnsi="宋体"/>
                <w:color w:val="auto"/>
                <w:szCs w:val="21"/>
                <w:highlight w:val="none"/>
              </w:rPr>
            </w:pPr>
          </w:p>
        </w:tc>
        <w:tc>
          <w:tcPr>
            <w:tcW w:w="1224" w:type="dxa"/>
            <w:vAlign w:val="center"/>
          </w:tcPr>
          <w:p w14:paraId="65D32BBB">
            <w:pPr>
              <w:tabs>
                <w:tab w:val="left" w:pos="1140"/>
              </w:tabs>
              <w:jc w:val="center"/>
              <w:rPr>
                <w:rFonts w:ascii="宋体" w:hAnsi="宋体"/>
                <w:color w:val="auto"/>
                <w:szCs w:val="21"/>
                <w:highlight w:val="none"/>
              </w:rPr>
            </w:pPr>
          </w:p>
        </w:tc>
        <w:tc>
          <w:tcPr>
            <w:tcW w:w="1032" w:type="dxa"/>
            <w:vAlign w:val="center"/>
          </w:tcPr>
          <w:p w14:paraId="2B14932A">
            <w:pPr>
              <w:tabs>
                <w:tab w:val="left" w:pos="1140"/>
              </w:tabs>
              <w:jc w:val="center"/>
              <w:rPr>
                <w:rFonts w:ascii="宋体" w:hAnsi="宋体"/>
                <w:color w:val="auto"/>
                <w:szCs w:val="21"/>
                <w:highlight w:val="none"/>
              </w:rPr>
            </w:pPr>
          </w:p>
        </w:tc>
        <w:tc>
          <w:tcPr>
            <w:tcW w:w="1308" w:type="dxa"/>
            <w:vAlign w:val="center"/>
          </w:tcPr>
          <w:p w14:paraId="174D099E">
            <w:pPr>
              <w:tabs>
                <w:tab w:val="left" w:pos="1140"/>
              </w:tabs>
              <w:jc w:val="center"/>
              <w:rPr>
                <w:rFonts w:ascii="宋体" w:hAnsi="宋体"/>
                <w:color w:val="auto"/>
                <w:szCs w:val="21"/>
                <w:highlight w:val="none"/>
              </w:rPr>
            </w:pPr>
          </w:p>
        </w:tc>
        <w:tc>
          <w:tcPr>
            <w:tcW w:w="900" w:type="dxa"/>
            <w:vAlign w:val="center"/>
          </w:tcPr>
          <w:p w14:paraId="6ABE2F28">
            <w:pPr>
              <w:tabs>
                <w:tab w:val="left" w:pos="1140"/>
              </w:tabs>
              <w:jc w:val="center"/>
              <w:rPr>
                <w:rFonts w:ascii="宋体" w:hAnsi="宋体"/>
                <w:color w:val="auto"/>
                <w:szCs w:val="21"/>
                <w:highlight w:val="none"/>
              </w:rPr>
            </w:pPr>
          </w:p>
        </w:tc>
        <w:tc>
          <w:tcPr>
            <w:tcW w:w="900" w:type="dxa"/>
            <w:vAlign w:val="center"/>
          </w:tcPr>
          <w:p w14:paraId="0AE0B15A">
            <w:pPr>
              <w:tabs>
                <w:tab w:val="left" w:pos="1140"/>
              </w:tabs>
              <w:jc w:val="center"/>
              <w:rPr>
                <w:rFonts w:ascii="宋体" w:hAnsi="宋体"/>
                <w:color w:val="auto"/>
                <w:szCs w:val="21"/>
                <w:highlight w:val="none"/>
              </w:rPr>
            </w:pPr>
          </w:p>
        </w:tc>
        <w:tc>
          <w:tcPr>
            <w:tcW w:w="953" w:type="dxa"/>
            <w:vAlign w:val="center"/>
          </w:tcPr>
          <w:p w14:paraId="0473539C">
            <w:pPr>
              <w:tabs>
                <w:tab w:val="left" w:pos="1140"/>
              </w:tabs>
              <w:jc w:val="center"/>
              <w:rPr>
                <w:rFonts w:ascii="宋体" w:hAnsi="宋体"/>
                <w:color w:val="auto"/>
                <w:szCs w:val="21"/>
                <w:highlight w:val="none"/>
              </w:rPr>
            </w:pPr>
          </w:p>
        </w:tc>
        <w:tc>
          <w:tcPr>
            <w:tcW w:w="953" w:type="dxa"/>
            <w:vAlign w:val="center"/>
          </w:tcPr>
          <w:p w14:paraId="3C824C2C">
            <w:pPr>
              <w:tabs>
                <w:tab w:val="left" w:pos="1140"/>
              </w:tabs>
              <w:jc w:val="center"/>
              <w:rPr>
                <w:rFonts w:ascii="宋体" w:hAnsi="宋体"/>
                <w:color w:val="auto"/>
                <w:szCs w:val="21"/>
                <w:highlight w:val="none"/>
              </w:rPr>
            </w:pPr>
          </w:p>
        </w:tc>
      </w:tr>
    </w:tbl>
    <w:p w14:paraId="05E50A31">
      <w:pPr>
        <w:numPr>
          <w:ilvl w:val="255"/>
          <w:numId w:val="0"/>
        </w:numPr>
        <w:spacing w:line="360" w:lineRule="auto"/>
        <w:rPr>
          <w:rFonts w:hint="eastAsia" w:ascii="Times New Roman" w:hAnsi="Times New Roman"/>
          <w:color w:val="auto"/>
          <w:sz w:val="24"/>
          <w:highlight w:val="none"/>
        </w:rPr>
      </w:pPr>
      <w:r>
        <w:rPr>
          <w:rFonts w:hint="eastAsia" w:ascii="Times New Roman" w:hAnsi="Times New Roman"/>
          <w:color w:val="auto"/>
          <w:sz w:val="24"/>
          <w:highlight w:val="none"/>
        </w:rPr>
        <w:t>1.4否决其投标以及未被推荐为定标候选人的投标人及原因：</w:t>
      </w:r>
    </w:p>
    <w:tbl>
      <w:tblPr>
        <w:tblStyle w:val="44"/>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992"/>
        <w:gridCol w:w="4891"/>
      </w:tblGrid>
      <w:tr w14:paraId="27382F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97" w:type="dxa"/>
            <w:tcBorders>
              <w:tl2br w:val="nil"/>
              <w:tr2bl w:val="nil"/>
            </w:tcBorders>
            <w:noWrap w:val="0"/>
            <w:vAlign w:val="center"/>
          </w:tcPr>
          <w:p w14:paraId="2E935235">
            <w:pPr>
              <w:adjustRightInd w:val="0"/>
              <w:snapToGrid w:val="0"/>
              <w:spacing w:line="240" w:lineRule="atLeast"/>
              <w:jc w:val="center"/>
              <w:rPr>
                <w:rFonts w:hAnsi="Times New Roman"/>
                <w:color w:val="auto"/>
                <w:sz w:val="21"/>
                <w:szCs w:val="21"/>
                <w:highlight w:val="none"/>
              </w:rPr>
            </w:pPr>
            <w:r>
              <w:rPr>
                <w:rFonts w:hint="eastAsia" w:hAnsi="Times New Roman"/>
                <w:color w:val="auto"/>
                <w:sz w:val="21"/>
                <w:szCs w:val="21"/>
                <w:highlight w:val="none"/>
              </w:rPr>
              <w:t>序号</w:t>
            </w:r>
            <w:r>
              <w:rPr>
                <w:rFonts w:ascii="Times New Roman" w:hAnsi="Times New Roman"/>
                <w:color w:val="auto"/>
                <w:sz w:val="21"/>
                <w:szCs w:val="21"/>
                <w:highlight w:val="none"/>
              </w:rPr>
              <w:t> </w:t>
            </w:r>
          </w:p>
        </w:tc>
        <w:tc>
          <w:tcPr>
            <w:tcW w:w="2992" w:type="dxa"/>
            <w:tcBorders>
              <w:tl2br w:val="nil"/>
              <w:tr2bl w:val="nil"/>
            </w:tcBorders>
            <w:noWrap w:val="0"/>
            <w:vAlign w:val="center"/>
          </w:tcPr>
          <w:p w14:paraId="1EB7D960">
            <w:pPr>
              <w:adjustRightInd w:val="0"/>
              <w:snapToGrid w:val="0"/>
              <w:spacing w:line="240" w:lineRule="atLeast"/>
              <w:jc w:val="center"/>
              <w:rPr>
                <w:rFonts w:hAnsi="Times New Roman"/>
                <w:color w:val="auto"/>
                <w:sz w:val="21"/>
                <w:szCs w:val="21"/>
                <w:highlight w:val="none"/>
              </w:rPr>
            </w:pPr>
            <w:r>
              <w:rPr>
                <w:rFonts w:hint="eastAsia" w:hAnsi="Times New Roman"/>
                <w:color w:val="auto"/>
                <w:sz w:val="21"/>
                <w:szCs w:val="21"/>
                <w:highlight w:val="none"/>
              </w:rPr>
              <w:t>投标人名称</w:t>
            </w:r>
          </w:p>
        </w:tc>
        <w:tc>
          <w:tcPr>
            <w:tcW w:w="4891" w:type="dxa"/>
            <w:tcBorders>
              <w:tl2br w:val="nil"/>
              <w:tr2bl w:val="nil"/>
            </w:tcBorders>
            <w:noWrap w:val="0"/>
            <w:vAlign w:val="center"/>
          </w:tcPr>
          <w:p w14:paraId="05300813">
            <w:pPr>
              <w:adjustRightInd w:val="0"/>
              <w:snapToGrid w:val="0"/>
              <w:spacing w:line="240" w:lineRule="atLeast"/>
              <w:jc w:val="center"/>
              <w:rPr>
                <w:rFonts w:hAnsi="Times New Roman"/>
                <w:color w:val="auto"/>
                <w:sz w:val="21"/>
                <w:szCs w:val="21"/>
                <w:highlight w:val="none"/>
              </w:rPr>
            </w:pPr>
            <w:r>
              <w:rPr>
                <w:rFonts w:hint="eastAsia" w:cs="宋体"/>
                <w:color w:val="auto"/>
                <w:sz w:val="21"/>
                <w:szCs w:val="21"/>
                <w:highlight w:val="none"/>
                <w:lang w:val="en-US" w:eastAsia="zh-CN" w:bidi="ar-SA"/>
              </w:rPr>
              <w:t>否决其投标以及未被推荐为定标候选人的原因</w:t>
            </w:r>
            <w:r>
              <w:rPr>
                <w:rFonts w:hint="eastAsia" w:hAnsi="Times New Roman"/>
                <w:color w:val="auto"/>
                <w:sz w:val="21"/>
                <w:szCs w:val="21"/>
                <w:highlight w:val="none"/>
                <w:lang w:val="en-US" w:eastAsia="zh-CN"/>
              </w:rPr>
              <w:t>及依据</w:t>
            </w:r>
          </w:p>
        </w:tc>
      </w:tr>
      <w:tr w14:paraId="5D711B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97" w:type="dxa"/>
            <w:tcBorders>
              <w:tl2br w:val="nil"/>
              <w:tr2bl w:val="nil"/>
            </w:tcBorders>
            <w:noWrap w:val="0"/>
            <w:vAlign w:val="center"/>
          </w:tcPr>
          <w:p w14:paraId="2D13CE40">
            <w:pPr>
              <w:adjustRightInd w:val="0"/>
              <w:snapToGrid w:val="0"/>
              <w:spacing w:line="240" w:lineRule="atLeast"/>
              <w:jc w:val="center"/>
              <w:rPr>
                <w:rFonts w:hAnsi="Times New Roman"/>
                <w:color w:val="auto"/>
                <w:sz w:val="21"/>
                <w:szCs w:val="21"/>
                <w:highlight w:val="none"/>
              </w:rPr>
            </w:pPr>
          </w:p>
        </w:tc>
        <w:tc>
          <w:tcPr>
            <w:tcW w:w="2992" w:type="dxa"/>
            <w:tcBorders>
              <w:tl2br w:val="nil"/>
              <w:tr2bl w:val="nil"/>
            </w:tcBorders>
            <w:noWrap w:val="0"/>
            <w:vAlign w:val="center"/>
          </w:tcPr>
          <w:p w14:paraId="4E6F369A">
            <w:pPr>
              <w:adjustRightInd w:val="0"/>
              <w:snapToGrid w:val="0"/>
              <w:spacing w:line="360" w:lineRule="auto"/>
              <w:jc w:val="center"/>
              <w:rPr>
                <w:rFonts w:hAnsi="Times New Roman"/>
                <w:color w:val="auto"/>
                <w:sz w:val="21"/>
                <w:szCs w:val="21"/>
                <w:highlight w:val="none"/>
              </w:rPr>
            </w:pPr>
          </w:p>
        </w:tc>
        <w:tc>
          <w:tcPr>
            <w:tcW w:w="4891" w:type="dxa"/>
            <w:tcBorders>
              <w:tl2br w:val="nil"/>
              <w:tr2bl w:val="nil"/>
            </w:tcBorders>
            <w:noWrap w:val="0"/>
            <w:vAlign w:val="center"/>
          </w:tcPr>
          <w:p w14:paraId="4DD9A5DD">
            <w:pPr>
              <w:adjustRightInd w:val="0"/>
              <w:snapToGrid w:val="0"/>
              <w:spacing w:line="360" w:lineRule="auto"/>
              <w:jc w:val="center"/>
              <w:rPr>
                <w:rFonts w:hAnsi="Times New Roman"/>
                <w:color w:val="auto"/>
                <w:sz w:val="21"/>
                <w:szCs w:val="21"/>
                <w:highlight w:val="none"/>
              </w:rPr>
            </w:pPr>
          </w:p>
        </w:tc>
      </w:tr>
      <w:tr w14:paraId="6D5672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97" w:type="dxa"/>
            <w:tcBorders>
              <w:tl2br w:val="nil"/>
              <w:tr2bl w:val="nil"/>
            </w:tcBorders>
            <w:noWrap w:val="0"/>
            <w:vAlign w:val="center"/>
          </w:tcPr>
          <w:p w14:paraId="3FDD1067">
            <w:pPr>
              <w:adjustRightInd w:val="0"/>
              <w:snapToGrid w:val="0"/>
              <w:spacing w:line="240" w:lineRule="atLeast"/>
              <w:jc w:val="center"/>
              <w:rPr>
                <w:rFonts w:hint="eastAsia" w:hAnsi="Times New Roman" w:eastAsia="宋体"/>
                <w:color w:val="auto"/>
                <w:sz w:val="21"/>
                <w:szCs w:val="21"/>
                <w:highlight w:val="none"/>
                <w:lang w:eastAsia="zh-CN"/>
              </w:rPr>
            </w:pPr>
            <w:r>
              <w:rPr>
                <w:rFonts w:hint="eastAsia" w:hAnsi="Times New Roman"/>
                <w:color w:val="auto"/>
                <w:sz w:val="21"/>
                <w:szCs w:val="21"/>
                <w:highlight w:val="none"/>
                <w:lang w:eastAsia="zh-CN"/>
              </w:rPr>
              <w:t>……</w:t>
            </w:r>
          </w:p>
        </w:tc>
        <w:tc>
          <w:tcPr>
            <w:tcW w:w="2992" w:type="dxa"/>
            <w:tcBorders>
              <w:tl2br w:val="nil"/>
              <w:tr2bl w:val="nil"/>
            </w:tcBorders>
            <w:noWrap w:val="0"/>
            <w:vAlign w:val="center"/>
          </w:tcPr>
          <w:p w14:paraId="65452524">
            <w:pPr>
              <w:adjustRightInd w:val="0"/>
              <w:snapToGrid w:val="0"/>
              <w:spacing w:line="360" w:lineRule="auto"/>
              <w:jc w:val="center"/>
              <w:rPr>
                <w:rFonts w:hint="eastAsia" w:hAnsi="Times New Roman" w:eastAsia="宋体"/>
                <w:color w:val="auto"/>
                <w:sz w:val="21"/>
                <w:szCs w:val="21"/>
                <w:highlight w:val="none"/>
                <w:lang w:eastAsia="zh-CN"/>
              </w:rPr>
            </w:pPr>
          </w:p>
        </w:tc>
        <w:tc>
          <w:tcPr>
            <w:tcW w:w="4891" w:type="dxa"/>
            <w:tcBorders>
              <w:tl2br w:val="nil"/>
              <w:tr2bl w:val="nil"/>
            </w:tcBorders>
            <w:noWrap w:val="0"/>
            <w:vAlign w:val="center"/>
          </w:tcPr>
          <w:p w14:paraId="31F65DE8">
            <w:pPr>
              <w:adjustRightInd w:val="0"/>
              <w:snapToGrid w:val="0"/>
              <w:spacing w:line="360" w:lineRule="auto"/>
              <w:jc w:val="center"/>
              <w:rPr>
                <w:rFonts w:hint="eastAsia" w:hAnsi="Times New Roman" w:eastAsia="宋体"/>
                <w:color w:val="auto"/>
                <w:sz w:val="21"/>
                <w:szCs w:val="21"/>
                <w:highlight w:val="none"/>
                <w:lang w:eastAsia="zh-CN"/>
              </w:rPr>
            </w:pPr>
          </w:p>
        </w:tc>
      </w:tr>
    </w:tbl>
    <w:p w14:paraId="502C8C24">
      <w:pPr>
        <w:numPr>
          <w:ilvl w:val="255"/>
          <w:numId w:val="0"/>
        </w:numPr>
        <w:spacing w:line="360" w:lineRule="auto"/>
        <w:rPr>
          <w:color w:val="auto"/>
          <w:sz w:val="24"/>
          <w:highlight w:val="none"/>
        </w:rPr>
      </w:pPr>
      <w:r>
        <w:rPr>
          <w:rFonts w:hint="eastAsia" w:ascii="Times New Roman" w:hAnsi="Times New Roman"/>
          <w:color w:val="auto"/>
          <w:sz w:val="24"/>
          <w:highlight w:val="none"/>
        </w:rPr>
        <w:tab/>
      </w:r>
      <w:r>
        <w:rPr>
          <w:rFonts w:hint="eastAsia" w:ascii="Times New Roman" w:hAnsi="Times New Roman"/>
          <w:color w:val="auto"/>
          <w:sz w:val="24"/>
          <w:highlight w:val="none"/>
        </w:rPr>
        <w:t xml:space="preserve"> </w:t>
      </w:r>
    </w:p>
    <w:p w14:paraId="26E34256">
      <w:pPr>
        <w:numPr>
          <w:ilvl w:val="255"/>
          <w:numId w:val="0"/>
        </w:numPr>
        <w:spacing w:line="360" w:lineRule="auto"/>
        <w:rPr>
          <w:color w:val="auto"/>
          <w:sz w:val="24"/>
          <w:highlight w:val="none"/>
        </w:rPr>
      </w:pPr>
      <w:r>
        <w:rPr>
          <w:rFonts w:hint="eastAsia" w:ascii="Times New Roman" w:hAnsi="Times New Roman"/>
          <w:color w:val="auto"/>
          <w:sz w:val="24"/>
          <w:highlight w:val="none"/>
        </w:rPr>
        <w:t>1.5评标委员会对投标报价给予修正的原因、依据和修正结果（如有时）：    。</w:t>
      </w:r>
    </w:p>
    <w:p w14:paraId="0B078FCB">
      <w:pPr>
        <w:numPr>
          <w:ilvl w:val="255"/>
          <w:numId w:val="0"/>
        </w:numPr>
        <w:spacing w:line="360" w:lineRule="auto"/>
        <w:rPr>
          <w:rFonts w:ascii="Times New Roman" w:hAnsi="Times New Roman"/>
          <w:color w:val="auto"/>
          <w:sz w:val="24"/>
          <w:highlight w:val="none"/>
        </w:rPr>
      </w:pPr>
      <w:r>
        <w:rPr>
          <w:rFonts w:hint="eastAsia" w:ascii="Times New Roman" w:hAnsi="Times New Roman"/>
          <w:color w:val="auto"/>
          <w:sz w:val="24"/>
          <w:highlight w:val="none"/>
        </w:rPr>
        <w:t>二、定标结果</w:t>
      </w:r>
    </w:p>
    <w:p w14:paraId="7065F619">
      <w:pPr>
        <w:adjustRightInd w:val="0"/>
        <w:snapToGrid w:val="0"/>
        <w:spacing w:line="360" w:lineRule="auto"/>
        <w:ind w:firstLine="448" w:firstLineChars="200"/>
        <w:rPr>
          <w:rFonts w:ascii="宋体" w:hAnsi="宋体" w:cs="宋体"/>
          <w:color w:val="auto"/>
          <w:spacing w:val="7"/>
          <w:szCs w:val="21"/>
          <w:highlight w:val="none"/>
        </w:rPr>
      </w:pPr>
      <w:r>
        <w:rPr>
          <w:rFonts w:hint="eastAsia" w:ascii="宋体" w:hAnsi="宋体" w:cs="宋体"/>
          <w:color w:val="auto"/>
          <w:spacing w:val="7"/>
          <w:szCs w:val="21"/>
          <w:highlight w:val="none"/>
        </w:rPr>
        <w:t>2.1定标候选人综合得分（由高至低排序）、中标候选人名单</w:t>
      </w:r>
    </w:p>
    <w:tbl>
      <w:tblPr>
        <w:tblStyle w:val="44"/>
        <w:tblW w:w="8183" w:type="dxa"/>
        <w:tblInd w:w="108" w:type="dxa"/>
        <w:tblLayout w:type="fixed"/>
        <w:tblCellMar>
          <w:top w:w="0" w:type="dxa"/>
          <w:left w:w="108" w:type="dxa"/>
          <w:bottom w:w="0" w:type="dxa"/>
          <w:right w:w="108" w:type="dxa"/>
        </w:tblCellMar>
      </w:tblPr>
      <w:tblGrid>
        <w:gridCol w:w="885"/>
        <w:gridCol w:w="4645"/>
        <w:gridCol w:w="1000"/>
        <w:gridCol w:w="1653"/>
      </w:tblGrid>
      <w:tr w14:paraId="5A0A5C68">
        <w:tblPrEx>
          <w:tblCellMar>
            <w:top w:w="0" w:type="dxa"/>
            <w:left w:w="108" w:type="dxa"/>
            <w:bottom w:w="0" w:type="dxa"/>
            <w:right w:w="108" w:type="dxa"/>
          </w:tblCellMar>
        </w:tblPrEx>
        <w:trPr>
          <w:trHeight w:val="556" w:hRule="atLeast"/>
        </w:trPr>
        <w:tc>
          <w:tcPr>
            <w:tcW w:w="885" w:type="dxa"/>
            <w:tcBorders>
              <w:top w:val="single" w:color="auto" w:sz="4" w:space="0"/>
              <w:left w:val="single" w:color="auto" w:sz="4" w:space="0"/>
              <w:bottom w:val="single" w:color="auto" w:sz="4" w:space="0"/>
              <w:right w:val="single" w:color="auto" w:sz="4" w:space="0"/>
            </w:tcBorders>
            <w:vAlign w:val="center"/>
          </w:tcPr>
          <w:p w14:paraId="0CF64DAD">
            <w:pPr>
              <w:adjustRightInd w:val="0"/>
              <w:snapToGrid w:val="0"/>
              <w:spacing w:line="240" w:lineRule="atLeast"/>
              <w:jc w:val="center"/>
              <w:rPr>
                <w:rFonts w:hAnsi="Times New Roman"/>
                <w:color w:val="auto"/>
                <w:szCs w:val="21"/>
                <w:highlight w:val="none"/>
              </w:rPr>
            </w:pPr>
            <w:r>
              <w:rPr>
                <w:rFonts w:hint="eastAsia" w:hAnsi="Times New Roman"/>
                <w:color w:val="auto"/>
                <w:szCs w:val="21"/>
                <w:highlight w:val="none"/>
              </w:rPr>
              <w:t>序号</w:t>
            </w:r>
            <w:r>
              <w:rPr>
                <w:rFonts w:ascii="Times New Roman" w:hAnsi="Times New Roman"/>
                <w:color w:val="auto"/>
                <w:szCs w:val="21"/>
                <w:highlight w:val="none"/>
              </w:rPr>
              <w:t> </w:t>
            </w:r>
          </w:p>
        </w:tc>
        <w:tc>
          <w:tcPr>
            <w:tcW w:w="4645" w:type="dxa"/>
            <w:tcBorders>
              <w:top w:val="single" w:color="auto" w:sz="4" w:space="0"/>
              <w:left w:val="nil"/>
              <w:bottom w:val="single" w:color="auto" w:sz="4" w:space="0"/>
              <w:right w:val="single" w:color="auto" w:sz="4" w:space="0"/>
            </w:tcBorders>
            <w:vAlign w:val="center"/>
          </w:tcPr>
          <w:p w14:paraId="022D1E53">
            <w:pPr>
              <w:adjustRightInd w:val="0"/>
              <w:snapToGrid w:val="0"/>
              <w:spacing w:line="240" w:lineRule="atLeast"/>
              <w:jc w:val="center"/>
              <w:rPr>
                <w:rFonts w:hAnsi="Times New Roman"/>
                <w:color w:val="auto"/>
                <w:szCs w:val="21"/>
                <w:highlight w:val="none"/>
              </w:rPr>
            </w:pPr>
            <w:r>
              <w:rPr>
                <w:rFonts w:hint="eastAsia" w:hAnsi="Times New Roman"/>
                <w:color w:val="auto"/>
                <w:szCs w:val="21"/>
                <w:highlight w:val="none"/>
              </w:rPr>
              <w:t>定标候选人名称</w:t>
            </w:r>
          </w:p>
        </w:tc>
        <w:tc>
          <w:tcPr>
            <w:tcW w:w="1000" w:type="dxa"/>
            <w:tcBorders>
              <w:top w:val="single" w:color="auto" w:sz="4" w:space="0"/>
              <w:left w:val="nil"/>
              <w:bottom w:val="single" w:color="auto" w:sz="4" w:space="0"/>
              <w:right w:val="single" w:color="auto" w:sz="4" w:space="0"/>
            </w:tcBorders>
            <w:vAlign w:val="center"/>
          </w:tcPr>
          <w:p w14:paraId="697FA2A7">
            <w:pPr>
              <w:adjustRightInd w:val="0"/>
              <w:snapToGrid w:val="0"/>
              <w:spacing w:line="240" w:lineRule="atLeast"/>
              <w:jc w:val="center"/>
              <w:rPr>
                <w:rFonts w:hAnsi="Times New Roman"/>
                <w:color w:val="auto"/>
                <w:szCs w:val="21"/>
                <w:highlight w:val="none"/>
              </w:rPr>
            </w:pPr>
            <w:r>
              <w:rPr>
                <w:rFonts w:hint="eastAsia" w:cs="宋体"/>
                <w:color w:val="auto"/>
                <w:szCs w:val="21"/>
                <w:highlight w:val="none"/>
              </w:rPr>
              <w:t>综合得分</w:t>
            </w:r>
          </w:p>
        </w:tc>
        <w:tc>
          <w:tcPr>
            <w:tcW w:w="1653" w:type="dxa"/>
            <w:tcBorders>
              <w:top w:val="single" w:color="auto" w:sz="4" w:space="0"/>
              <w:left w:val="nil"/>
              <w:bottom w:val="single" w:color="auto" w:sz="4" w:space="0"/>
              <w:right w:val="single" w:color="auto" w:sz="4" w:space="0"/>
            </w:tcBorders>
            <w:vAlign w:val="center"/>
          </w:tcPr>
          <w:p w14:paraId="59FB949C">
            <w:pPr>
              <w:adjustRightInd w:val="0"/>
              <w:snapToGrid w:val="0"/>
              <w:spacing w:line="240" w:lineRule="atLeast"/>
              <w:jc w:val="center"/>
              <w:rPr>
                <w:rFonts w:hAnsi="Times New Roman"/>
                <w:color w:val="auto"/>
                <w:szCs w:val="21"/>
                <w:highlight w:val="none"/>
              </w:rPr>
            </w:pPr>
            <w:r>
              <w:rPr>
                <w:rFonts w:hint="eastAsia" w:cs="宋体"/>
                <w:color w:val="auto"/>
                <w:szCs w:val="21"/>
                <w:highlight w:val="none"/>
              </w:rPr>
              <w:t>是否为中标候选人</w:t>
            </w:r>
          </w:p>
        </w:tc>
      </w:tr>
      <w:tr w14:paraId="65FB6153">
        <w:tblPrEx>
          <w:tblCellMar>
            <w:top w:w="0" w:type="dxa"/>
            <w:left w:w="108" w:type="dxa"/>
            <w:bottom w:w="0" w:type="dxa"/>
            <w:right w:w="108" w:type="dxa"/>
          </w:tblCellMar>
        </w:tblPrEx>
        <w:trPr>
          <w:trHeight w:val="556" w:hRule="atLeast"/>
        </w:trPr>
        <w:tc>
          <w:tcPr>
            <w:tcW w:w="885" w:type="dxa"/>
            <w:tcBorders>
              <w:top w:val="single" w:color="auto" w:sz="4" w:space="0"/>
              <w:left w:val="single" w:color="auto" w:sz="4" w:space="0"/>
              <w:bottom w:val="single" w:color="auto" w:sz="4" w:space="0"/>
              <w:right w:val="single" w:color="auto" w:sz="4" w:space="0"/>
            </w:tcBorders>
            <w:vAlign w:val="center"/>
          </w:tcPr>
          <w:p w14:paraId="6C95D372">
            <w:pPr>
              <w:adjustRightInd w:val="0"/>
              <w:snapToGrid w:val="0"/>
              <w:spacing w:line="240" w:lineRule="atLeast"/>
              <w:jc w:val="center"/>
              <w:rPr>
                <w:rFonts w:hAnsi="Times New Roman"/>
                <w:color w:val="auto"/>
                <w:szCs w:val="21"/>
                <w:highlight w:val="none"/>
              </w:rPr>
            </w:pPr>
          </w:p>
        </w:tc>
        <w:tc>
          <w:tcPr>
            <w:tcW w:w="4645" w:type="dxa"/>
            <w:tcBorders>
              <w:top w:val="single" w:color="auto" w:sz="4" w:space="0"/>
              <w:left w:val="nil"/>
              <w:bottom w:val="single" w:color="auto" w:sz="4" w:space="0"/>
              <w:right w:val="single" w:color="auto" w:sz="4" w:space="0"/>
            </w:tcBorders>
            <w:vAlign w:val="center"/>
          </w:tcPr>
          <w:p w14:paraId="1B2D6BEB">
            <w:pPr>
              <w:adjustRightInd w:val="0"/>
              <w:snapToGrid w:val="0"/>
              <w:spacing w:line="360" w:lineRule="auto"/>
              <w:jc w:val="center"/>
              <w:rPr>
                <w:rFonts w:hAnsi="Times New Roman"/>
                <w:color w:val="auto"/>
                <w:szCs w:val="21"/>
                <w:highlight w:val="none"/>
              </w:rPr>
            </w:pPr>
          </w:p>
        </w:tc>
        <w:tc>
          <w:tcPr>
            <w:tcW w:w="1000" w:type="dxa"/>
            <w:tcBorders>
              <w:top w:val="single" w:color="auto" w:sz="4" w:space="0"/>
              <w:left w:val="nil"/>
              <w:bottom w:val="single" w:color="auto" w:sz="4" w:space="0"/>
              <w:right w:val="single" w:color="auto" w:sz="4" w:space="0"/>
            </w:tcBorders>
            <w:vAlign w:val="center"/>
          </w:tcPr>
          <w:p w14:paraId="08466965">
            <w:pPr>
              <w:adjustRightInd w:val="0"/>
              <w:snapToGrid w:val="0"/>
              <w:spacing w:line="360" w:lineRule="auto"/>
              <w:jc w:val="center"/>
              <w:rPr>
                <w:rFonts w:hAnsi="Times New Roman"/>
                <w:color w:val="auto"/>
                <w:szCs w:val="21"/>
                <w:highlight w:val="none"/>
              </w:rPr>
            </w:pPr>
          </w:p>
        </w:tc>
        <w:tc>
          <w:tcPr>
            <w:tcW w:w="1653" w:type="dxa"/>
            <w:tcBorders>
              <w:top w:val="single" w:color="auto" w:sz="4" w:space="0"/>
              <w:left w:val="nil"/>
              <w:bottom w:val="single" w:color="auto" w:sz="4" w:space="0"/>
              <w:right w:val="single" w:color="auto" w:sz="4" w:space="0"/>
            </w:tcBorders>
            <w:vAlign w:val="center"/>
          </w:tcPr>
          <w:p w14:paraId="4484EEEE">
            <w:pPr>
              <w:adjustRightInd w:val="0"/>
              <w:snapToGrid w:val="0"/>
              <w:spacing w:line="360" w:lineRule="auto"/>
              <w:jc w:val="center"/>
              <w:rPr>
                <w:rFonts w:hAnsi="Times New Roman"/>
                <w:color w:val="auto"/>
                <w:szCs w:val="21"/>
                <w:highlight w:val="none"/>
              </w:rPr>
            </w:pPr>
          </w:p>
        </w:tc>
      </w:tr>
      <w:tr w14:paraId="5459EBEE">
        <w:tblPrEx>
          <w:tblCellMar>
            <w:top w:w="0" w:type="dxa"/>
            <w:left w:w="108" w:type="dxa"/>
            <w:bottom w:w="0" w:type="dxa"/>
            <w:right w:w="108" w:type="dxa"/>
          </w:tblCellMar>
        </w:tblPrEx>
        <w:trPr>
          <w:trHeight w:val="556" w:hRule="atLeast"/>
        </w:trPr>
        <w:tc>
          <w:tcPr>
            <w:tcW w:w="885" w:type="dxa"/>
            <w:tcBorders>
              <w:top w:val="single" w:color="auto" w:sz="4" w:space="0"/>
              <w:left w:val="single" w:color="auto" w:sz="4" w:space="0"/>
              <w:bottom w:val="single" w:color="auto" w:sz="4" w:space="0"/>
              <w:right w:val="single" w:color="auto" w:sz="4" w:space="0"/>
            </w:tcBorders>
            <w:vAlign w:val="center"/>
          </w:tcPr>
          <w:p w14:paraId="32D6AD34">
            <w:pPr>
              <w:adjustRightInd w:val="0"/>
              <w:snapToGrid w:val="0"/>
              <w:spacing w:line="240" w:lineRule="atLeast"/>
              <w:jc w:val="center"/>
              <w:rPr>
                <w:rFonts w:hAnsi="Times New Roman"/>
                <w:color w:val="auto"/>
                <w:szCs w:val="21"/>
                <w:highlight w:val="none"/>
              </w:rPr>
            </w:pPr>
            <w:r>
              <w:rPr>
                <w:rFonts w:hint="eastAsia" w:hAnsi="Times New Roman"/>
                <w:color w:val="auto"/>
                <w:szCs w:val="21"/>
                <w:highlight w:val="none"/>
              </w:rPr>
              <w:t>……</w:t>
            </w:r>
          </w:p>
        </w:tc>
        <w:tc>
          <w:tcPr>
            <w:tcW w:w="4645" w:type="dxa"/>
            <w:tcBorders>
              <w:top w:val="single" w:color="auto" w:sz="4" w:space="0"/>
              <w:left w:val="nil"/>
              <w:bottom w:val="single" w:color="auto" w:sz="4" w:space="0"/>
              <w:right w:val="single" w:color="auto" w:sz="4" w:space="0"/>
            </w:tcBorders>
            <w:vAlign w:val="center"/>
          </w:tcPr>
          <w:p w14:paraId="2F7AD3DE">
            <w:pPr>
              <w:adjustRightInd w:val="0"/>
              <w:snapToGrid w:val="0"/>
              <w:spacing w:line="360" w:lineRule="auto"/>
              <w:jc w:val="center"/>
              <w:rPr>
                <w:rFonts w:hAnsi="Times New Roman"/>
                <w:color w:val="auto"/>
                <w:szCs w:val="21"/>
                <w:highlight w:val="none"/>
              </w:rPr>
            </w:pPr>
          </w:p>
        </w:tc>
        <w:tc>
          <w:tcPr>
            <w:tcW w:w="1000" w:type="dxa"/>
            <w:tcBorders>
              <w:top w:val="single" w:color="auto" w:sz="4" w:space="0"/>
              <w:left w:val="nil"/>
              <w:bottom w:val="single" w:color="auto" w:sz="4" w:space="0"/>
              <w:right w:val="single" w:color="auto" w:sz="4" w:space="0"/>
            </w:tcBorders>
            <w:vAlign w:val="center"/>
          </w:tcPr>
          <w:p w14:paraId="1185E0BA">
            <w:pPr>
              <w:adjustRightInd w:val="0"/>
              <w:snapToGrid w:val="0"/>
              <w:spacing w:line="360" w:lineRule="auto"/>
              <w:jc w:val="center"/>
              <w:rPr>
                <w:rFonts w:hAnsi="Times New Roman"/>
                <w:color w:val="auto"/>
                <w:szCs w:val="21"/>
                <w:highlight w:val="none"/>
              </w:rPr>
            </w:pPr>
          </w:p>
        </w:tc>
        <w:tc>
          <w:tcPr>
            <w:tcW w:w="1653" w:type="dxa"/>
            <w:tcBorders>
              <w:top w:val="single" w:color="auto" w:sz="4" w:space="0"/>
              <w:left w:val="nil"/>
              <w:bottom w:val="single" w:color="auto" w:sz="4" w:space="0"/>
              <w:right w:val="single" w:color="auto" w:sz="4" w:space="0"/>
            </w:tcBorders>
            <w:vAlign w:val="center"/>
          </w:tcPr>
          <w:p w14:paraId="1AA2E044">
            <w:pPr>
              <w:adjustRightInd w:val="0"/>
              <w:snapToGrid w:val="0"/>
              <w:spacing w:line="360" w:lineRule="auto"/>
              <w:jc w:val="center"/>
              <w:rPr>
                <w:rFonts w:hAnsi="Times New Roman"/>
                <w:color w:val="auto"/>
                <w:szCs w:val="21"/>
                <w:highlight w:val="none"/>
              </w:rPr>
            </w:pPr>
          </w:p>
        </w:tc>
      </w:tr>
    </w:tbl>
    <w:p w14:paraId="05C90C99">
      <w:pPr>
        <w:pStyle w:val="43"/>
        <w:numPr>
          <w:ilvl w:val="0"/>
          <w:numId w:val="0"/>
        </w:numPr>
        <w:ind w:firstLine="420"/>
        <w:rPr>
          <w:rFonts w:hint="eastAsia" w:ascii="宋体" w:hAnsi="宋体" w:cs="宋体"/>
          <w:color w:val="auto"/>
          <w:spacing w:val="7"/>
          <w:sz w:val="21"/>
          <w:szCs w:val="21"/>
          <w:highlight w:val="none"/>
          <w:u w:val="none"/>
          <w:lang w:val="en-US" w:eastAsia="zh-CN"/>
        </w:rPr>
      </w:pPr>
      <w:r>
        <w:rPr>
          <w:rFonts w:hint="eastAsia" w:ascii="宋体" w:hAnsi="宋体" w:cs="宋体"/>
          <w:color w:val="auto"/>
          <w:spacing w:val="7"/>
          <w:sz w:val="21"/>
          <w:szCs w:val="21"/>
          <w:highlight w:val="none"/>
          <w:u w:val="none"/>
          <w:lang w:val="en-US" w:eastAsia="zh-CN"/>
        </w:rPr>
        <w:t>2.2</w:t>
      </w:r>
      <w:r>
        <w:rPr>
          <w:rFonts w:hint="eastAsia" w:ascii="宋体" w:hAnsi="宋体" w:cs="宋体"/>
          <w:color w:val="auto"/>
          <w:spacing w:val="7"/>
          <w:sz w:val="21"/>
          <w:szCs w:val="21"/>
          <w:highlight w:val="none"/>
          <w:lang w:val="en-US" w:eastAsia="zh-CN"/>
        </w:rPr>
        <w:t>报价评审标准（如有）：</w:t>
      </w:r>
      <w:r>
        <w:rPr>
          <w:rFonts w:hint="eastAsia" w:ascii="宋体" w:hAnsi="宋体" w:cs="宋体"/>
          <w:color w:val="auto"/>
          <w:spacing w:val="7"/>
          <w:sz w:val="21"/>
          <w:szCs w:val="21"/>
          <w:highlight w:val="none"/>
          <w:u w:val="none"/>
          <w:lang w:val="en-US" w:eastAsia="zh-CN"/>
        </w:rPr>
        <w:t xml:space="preserve">                             </w:t>
      </w:r>
    </w:p>
    <w:p w14:paraId="63BD3988">
      <w:pPr>
        <w:numPr>
          <w:ilvl w:val="255"/>
          <w:numId w:val="0"/>
        </w:numPr>
        <w:spacing w:line="360" w:lineRule="auto"/>
        <w:ind w:firstLine="448" w:firstLineChars="200"/>
        <w:rPr>
          <w:rFonts w:ascii="宋体" w:hAnsi="宋体" w:cs="宋体"/>
          <w:color w:val="auto"/>
          <w:spacing w:val="7"/>
          <w:szCs w:val="21"/>
          <w:highlight w:val="none"/>
        </w:rPr>
      </w:pPr>
      <w:r>
        <w:rPr>
          <w:rFonts w:hint="eastAsia" w:ascii="宋体" w:hAnsi="宋体" w:cs="宋体"/>
          <w:color w:val="auto"/>
          <w:spacing w:val="7"/>
          <w:szCs w:val="21"/>
          <w:highlight w:val="none"/>
        </w:rPr>
        <w:t>2.</w:t>
      </w:r>
      <w:r>
        <w:rPr>
          <w:rFonts w:hint="eastAsia" w:ascii="宋体" w:hAnsi="宋体" w:cs="宋体"/>
          <w:color w:val="auto"/>
          <w:spacing w:val="7"/>
          <w:szCs w:val="21"/>
          <w:highlight w:val="none"/>
          <w:lang w:val="en-US" w:eastAsia="zh-CN"/>
        </w:rPr>
        <w:t>3</w:t>
      </w:r>
      <w:r>
        <w:rPr>
          <w:rFonts w:hint="eastAsia" w:ascii="宋体" w:hAnsi="宋体" w:cs="宋体"/>
          <w:color w:val="auto"/>
          <w:spacing w:val="7"/>
          <w:szCs w:val="21"/>
          <w:highlight w:val="none"/>
        </w:rPr>
        <w:t xml:space="preserve"> 随机抽取确定的定标方法</w:t>
      </w:r>
      <w:r>
        <w:rPr>
          <w:rStyle w:val="53"/>
          <w:rFonts w:hint="eastAsia" w:ascii="宋体" w:hAnsi="宋体" w:cs="宋体"/>
          <w:color w:val="auto"/>
          <w:spacing w:val="7"/>
          <w:szCs w:val="21"/>
          <w:highlight w:val="none"/>
        </w:rPr>
        <w:footnoteReference w:id="3"/>
      </w:r>
      <w:r>
        <w:rPr>
          <w:rFonts w:hint="eastAsia" w:ascii="宋体" w:hAnsi="宋体" w:cs="宋体"/>
          <w:color w:val="auto"/>
          <w:spacing w:val="7"/>
          <w:szCs w:val="21"/>
          <w:highlight w:val="none"/>
        </w:rPr>
        <w:t xml:space="preserve"> ： </w:t>
      </w:r>
    </w:p>
    <w:p w14:paraId="18215C66">
      <w:pPr>
        <w:numPr>
          <w:ilvl w:val="255"/>
          <w:numId w:val="0"/>
        </w:numPr>
        <w:spacing w:line="360" w:lineRule="auto"/>
        <w:ind w:firstLine="448" w:firstLineChars="200"/>
        <w:rPr>
          <w:rFonts w:hint="eastAsia" w:ascii="宋体" w:hAnsi="宋体" w:cs="宋体"/>
          <w:color w:val="auto"/>
          <w:spacing w:val="7"/>
          <w:szCs w:val="21"/>
          <w:highlight w:val="none"/>
        </w:rPr>
      </w:pPr>
      <w:r>
        <w:rPr>
          <w:rFonts w:hint="eastAsia" w:ascii="宋体" w:hAnsi="宋体" w:cs="宋体"/>
          <w:color w:val="auto"/>
          <w:spacing w:val="7"/>
          <w:szCs w:val="21"/>
          <w:highlight w:val="none"/>
        </w:rPr>
        <w:t>2.</w:t>
      </w:r>
      <w:r>
        <w:rPr>
          <w:rFonts w:hint="eastAsia" w:ascii="宋体" w:hAnsi="宋体" w:cs="宋体"/>
          <w:color w:val="auto"/>
          <w:spacing w:val="7"/>
          <w:szCs w:val="21"/>
          <w:highlight w:val="none"/>
          <w:lang w:val="en-US" w:eastAsia="zh-CN"/>
        </w:rPr>
        <w:t>4</w:t>
      </w:r>
      <w:r>
        <w:rPr>
          <w:rFonts w:hint="eastAsia" w:ascii="宋体" w:hAnsi="宋体" w:cs="宋体"/>
          <w:color w:val="auto"/>
          <w:spacing w:val="7"/>
          <w:szCs w:val="21"/>
          <w:highlight w:val="none"/>
        </w:rPr>
        <w:t xml:space="preserve">定标委员会推荐的中标人： </w:t>
      </w:r>
    </w:p>
    <w:p w14:paraId="14DB75D2">
      <w:pPr>
        <w:numPr>
          <w:ilvl w:val="255"/>
          <w:numId w:val="0"/>
        </w:numPr>
        <w:spacing w:line="360" w:lineRule="auto"/>
        <w:ind w:firstLine="448" w:firstLineChars="200"/>
        <w:rPr>
          <w:rFonts w:hint="eastAsia" w:ascii="宋体" w:hAnsi="宋体" w:cs="宋体"/>
          <w:color w:val="auto"/>
          <w:spacing w:val="7"/>
          <w:sz w:val="21"/>
          <w:szCs w:val="21"/>
          <w:highlight w:val="none"/>
        </w:rPr>
      </w:pPr>
      <w:r>
        <w:rPr>
          <w:rFonts w:hint="eastAsia" w:ascii="宋体" w:hAnsi="宋体" w:cs="宋体"/>
          <w:color w:val="auto"/>
          <w:spacing w:val="7"/>
          <w:sz w:val="21"/>
          <w:szCs w:val="21"/>
          <w:highlight w:val="none"/>
          <w:u w:val="none"/>
          <w:lang w:val="en-US" w:eastAsia="zh-CN"/>
        </w:rPr>
        <w:t xml:space="preserve">2.5 其它：                    </w:t>
      </w:r>
      <w:r>
        <w:rPr>
          <w:rFonts w:hint="eastAsia" w:ascii="宋体" w:hAnsi="宋体" w:cs="宋体"/>
          <w:color w:val="auto"/>
          <w:spacing w:val="7"/>
          <w:sz w:val="21"/>
          <w:szCs w:val="21"/>
          <w:highlight w:val="none"/>
        </w:rPr>
        <w:t xml:space="preserve">                                         </w:t>
      </w:r>
    </w:p>
    <w:p w14:paraId="61F1ED1D">
      <w:pPr>
        <w:numPr>
          <w:ilvl w:val="255"/>
          <w:numId w:val="0"/>
        </w:numPr>
        <w:spacing w:line="360" w:lineRule="auto"/>
        <w:rPr>
          <w:rFonts w:ascii="Times New Roman" w:hAnsi="Times New Roman"/>
          <w:color w:val="auto"/>
          <w:sz w:val="24"/>
          <w:highlight w:val="none"/>
        </w:rPr>
      </w:pPr>
      <w:r>
        <w:rPr>
          <w:rFonts w:hint="eastAsia" w:ascii="Times New Roman" w:hAnsi="Times New Roman"/>
          <w:color w:val="auto"/>
          <w:sz w:val="24"/>
          <w:highlight w:val="none"/>
        </w:rPr>
        <w:t>三、公示时间：     年    月    日至     年    月    日。投标人或者其他利害关系人对公示内容有异议的，应当在公示期间书面向招标人提出。</w:t>
      </w:r>
      <w:r>
        <w:rPr>
          <w:rFonts w:hint="eastAsia" w:ascii="Times New Roman" w:hAnsi="Times New Roman"/>
          <w:color w:val="auto"/>
          <w:sz w:val="24"/>
          <w:highlight w:val="none"/>
        </w:rPr>
        <w:tab/>
      </w:r>
    </w:p>
    <w:p w14:paraId="6ED03244">
      <w:pPr>
        <w:numPr>
          <w:ilvl w:val="255"/>
          <w:numId w:val="0"/>
        </w:numPr>
        <w:spacing w:line="360" w:lineRule="auto"/>
        <w:rPr>
          <w:rFonts w:ascii="Times New Roman" w:hAnsi="Times New Roman"/>
          <w:color w:val="auto"/>
          <w:sz w:val="24"/>
          <w:highlight w:val="none"/>
        </w:rPr>
      </w:pPr>
      <w:r>
        <w:rPr>
          <w:rFonts w:hint="eastAsia" w:ascii="Times New Roman" w:hAnsi="Times New Roman"/>
          <w:color w:val="auto"/>
          <w:sz w:val="24"/>
          <w:highlight w:val="none"/>
        </w:rPr>
        <w:t xml:space="preserve">四、异议的渠道和方式：                                       </w:t>
      </w:r>
    </w:p>
    <w:p w14:paraId="52D55DD7">
      <w:pPr>
        <w:spacing w:line="360" w:lineRule="auto"/>
        <w:rPr>
          <w:color w:val="auto"/>
          <w:sz w:val="24"/>
          <w:highlight w:val="none"/>
        </w:rPr>
      </w:pPr>
    </w:p>
    <w:p w14:paraId="3E537DEF">
      <w:pPr>
        <w:spacing w:line="360" w:lineRule="auto"/>
        <w:rPr>
          <w:color w:val="auto"/>
          <w:sz w:val="24"/>
          <w:highlight w:val="none"/>
        </w:rPr>
      </w:pPr>
      <w:r>
        <w:rPr>
          <w:rFonts w:hint="eastAsia"/>
          <w:color w:val="auto"/>
          <w:sz w:val="24"/>
          <w:highlight w:val="none"/>
        </w:rPr>
        <w:t>招标人名称：</w:t>
      </w:r>
      <w:r>
        <w:rPr>
          <w:rFonts w:hint="eastAsia"/>
          <w:color w:val="auto"/>
          <w:sz w:val="24"/>
          <w:highlight w:val="none"/>
          <w:u w:val="single"/>
        </w:rPr>
        <w:t xml:space="preserve">                            </w:t>
      </w:r>
    </w:p>
    <w:p w14:paraId="4A6F685F">
      <w:pPr>
        <w:spacing w:line="360" w:lineRule="auto"/>
        <w:rPr>
          <w:color w:val="auto"/>
          <w:sz w:val="24"/>
          <w:highlight w:val="none"/>
        </w:rPr>
      </w:pPr>
      <w:r>
        <w:rPr>
          <w:rFonts w:hint="eastAsia"/>
          <w:color w:val="auto"/>
          <w:sz w:val="24"/>
          <w:highlight w:val="none"/>
        </w:rPr>
        <w:t>招标人地址：</w:t>
      </w:r>
      <w:r>
        <w:rPr>
          <w:rFonts w:hint="eastAsia"/>
          <w:color w:val="auto"/>
          <w:sz w:val="24"/>
          <w:highlight w:val="none"/>
          <w:u w:val="single"/>
        </w:rPr>
        <w:t xml:space="preserve">                            </w:t>
      </w:r>
    </w:p>
    <w:p w14:paraId="5F3356B3">
      <w:pPr>
        <w:spacing w:line="360" w:lineRule="auto"/>
        <w:rPr>
          <w:color w:val="auto"/>
          <w:sz w:val="24"/>
          <w:highlight w:val="none"/>
        </w:rPr>
      </w:pPr>
      <w:r>
        <w:rPr>
          <w:rFonts w:hint="eastAsia"/>
          <w:color w:val="auto"/>
          <w:sz w:val="24"/>
          <w:highlight w:val="none"/>
        </w:rPr>
        <w:t>招标人联系方式：</w:t>
      </w:r>
      <w:r>
        <w:rPr>
          <w:rFonts w:hint="eastAsia"/>
          <w:color w:val="auto"/>
          <w:sz w:val="24"/>
          <w:highlight w:val="none"/>
          <w:u w:val="single"/>
        </w:rPr>
        <w:t xml:space="preserve">                        </w:t>
      </w:r>
    </w:p>
    <w:p w14:paraId="1B0EFB58">
      <w:pPr>
        <w:spacing w:line="360" w:lineRule="auto"/>
        <w:rPr>
          <w:color w:val="auto"/>
          <w:highlight w:val="none"/>
        </w:rPr>
      </w:pPr>
    </w:p>
    <w:p w14:paraId="207EFBFA">
      <w:pPr>
        <w:spacing w:line="360" w:lineRule="auto"/>
        <w:rPr>
          <w:color w:val="auto"/>
          <w:highlight w:val="none"/>
        </w:rPr>
      </w:pPr>
    </w:p>
    <w:p w14:paraId="3CB7101A">
      <w:pPr>
        <w:spacing w:line="360" w:lineRule="auto"/>
        <w:rPr>
          <w:color w:val="auto"/>
          <w:highlight w:val="none"/>
        </w:rPr>
      </w:pPr>
    </w:p>
    <w:p w14:paraId="13D2CC5E">
      <w:pPr>
        <w:spacing w:line="360" w:lineRule="auto"/>
        <w:rPr>
          <w:color w:val="auto"/>
          <w:sz w:val="24"/>
          <w:highlight w:val="none"/>
          <w:u w:val="single"/>
        </w:rPr>
      </w:pPr>
      <w:r>
        <w:rPr>
          <w:rFonts w:hint="eastAsia"/>
          <w:color w:val="auto"/>
          <w:sz w:val="24"/>
          <w:highlight w:val="none"/>
        </w:rPr>
        <w:t>招标人：</w:t>
      </w:r>
      <w:r>
        <w:rPr>
          <w:rFonts w:hint="eastAsia"/>
          <w:color w:val="auto"/>
          <w:sz w:val="24"/>
          <w:highlight w:val="none"/>
          <w:u w:val="single"/>
        </w:rPr>
        <w:t xml:space="preserve">     （电子签名专用章）</w:t>
      </w:r>
      <w:r>
        <w:rPr>
          <w:rFonts w:hint="eastAsia"/>
          <w:color w:val="auto"/>
          <w:sz w:val="24"/>
          <w:highlight w:val="none"/>
        </w:rPr>
        <w:t xml:space="preserve"> 招标代理机构：</w:t>
      </w:r>
      <w:r>
        <w:rPr>
          <w:rFonts w:hint="eastAsia"/>
          <w:color w:val="auto"/>
          <w:sz w:val="24"/>
          <w:highlight w:val="none"/>
          <w:u w:val="single"/>
        </w:rPr>
        <w:t xml:space="preserve">     （电子签名专用章）</w:t>
      </w:r>
    </w:p>
    <w:p w14:paraId="294A24F5">
      <w:pPr>
        <w:spacing w:line="360" w:lineRule="auto"/>
        <w:rPr>
          <w:color w:val="auto"/>
          <w:sz w:val="24"/>
          <w:highlight w:val="none"/>
        </w:rPr>
      </w:pPr>
      <w:r>
        <w:rPr>
          <w:rFonts w:hint="eastAsia"/>
          <w:color w:val="auto"/>
          <w:sz w:val="24"/>
          <w:highlight w:val="none"/>
        </w:rPr>
        <w:t>法定代表人或                    法定代表人或</w:t>
      </w:r>
    </w:p>
    <w:p w14:paraId="64D4982B">
      <w:pPr>
        <w:spacing w:line="360" w:lineRule="auto"/>
        <w:rPr>
          <w:color w:val="auto"/>
          <w:highlight w:val="none"/>
        </w:rPr>
      </w:pPr>
      <w:r>
        <w:rPr>
          <w:rFonts w:hint="eastAsia"/>
          <w:color w:val="auto"/>
          <w:sz w:val="24"/>
          <w:highlight w:val="none"/>
        </w:rPr>
        <w:t>其委托代理人：</w:t>
      </w:r>
      <w:r>
        <w:rPr>
          <w:rFonts w:hint="eastAsia"/>
          <w:color w:val="auto"/>
          <w:sz w:val="24"/>
          <w:highlight w:val="none"/>
          <w:u w:val="single"/>
        </w:rPr>
        <w:t>（电子签名专用章）</w:t>
      </w:r>
      <w:r>
        <w:rPr>
          <w:rFonts w:hint="eastAsia"/>
          <w:color w:val="auto"/>
          <w:sz w:val="24"/>
          <w:highlight w:val="none"/>
        </w:rPr>
        <w:t xml:space="preserve"> 其委托代理人：</w:t>
      </w:r>
      <w:r>
        <w:rPr>
          <w:rFonts w:hint="eastAsia"/>
          <w:color w:val="auto"/>
          <w:sz w:val="24"/>
          <w:highlight w:val="none"/>
          <w:u w:val="single"/>
        </w:rPr>
        <w:t xml:space="preserve">     （电子签名专用章）</w:t>
      </w:r>
    </w:p>
    <w:p w14:paraId="4EC465BD">
      <w:pPr>
        <w:spacing w:line="400" w:lineRule="exact"/>
        <w:rPr>
          <w:color w:val="auto"/>
          <w:sz w:val="24"/>
          <w:highlight w:val="none"/>
        </w:rPr>
      </w:pPr>
    </w:p>
    <w:p w14:paraId="4B1D1609">
      <w:pPr>
        <w:pStyle w:val="3"/>
        <w:wordWrap w:val="0"/>
        <w:spacing w:before="0" w:after="0" w:line="240" w:lineRule="atLeast"/>
        <w:rPr>
          <w:color w:val="auto"/>
          <w:sz w:val="20"/>
          <w:szCs w:val="20"/>
          <w:highlight w:val="none"/>
        </w:rPr>
      </w:pPr>
    </w:p>
    <w:p w14:paraId="3789614D">
      <w:pPr>
        <w:pStyle w:val="3"/>
        <w:wordWrap w:val="0"/>
        <w:spacing w:before="0" w:after="0" w:line="240" w:lineRule="atLeast"/>
        <w:rPr>
          <w:color w:val="auto"/>
          <w:sz w:val="20"/>
          <w:szCs w:val="20"/>
          <w:highlight w:val="none"/>
        </w:rPr>
      </w:pPr>
    </w:p>
    <w:p w14:paraId="1FE4A77A">
      <w:pPr>
        <w:wordWrap w:val="0"/>
        <w:spacing w:line="240" w:lineRule="atLeast"/>
        <w:rPr>
          <w:color w:val="auto"/>
          <w:highlight w:val="none"/>
        </w:rPr>
        <w:sectPr>
          <w:footnotePr>
            <w:numFmt w:val="decimalEnclosedCircleChinese"/>
            <w:numRestart w:val="eachPage"/>
          </w:footnotePr>
          <w:type w:val="continuous"/>
          <w:pgSz w:w="11907" w:h="16840"/>
          <w:pgMar w:top="1588" w:right="1588" w:bottom="1474" w:left="1644" w:header="851" w:footer="851" w:gutter="0"/>
          <w:cols w:space="720" w:num="1"/>
          <w:docGrid w:linePitch="312" w:charSpace="0"/>
        </w:sectPr>
      </w:pPr>
    </w:p>
    <w:p w14:paraId="4C0D4BDE">
      <w:pPr>
        <w:tabs>
          <w:tab w:val="left" w:pos="1440"/>
        </w:tabs>
        <w:spacing w:line="360" w:lineRule="auto"/>
        <w:jc w:val="center"/>
        <w:rPr>
          <w:rFonts w:ascii="黑体" w:hAnsi="黑体" w:eastAsia="黑体"/>
          <w:b/>
          <w:color w:val="auto"/>
          <w:sz w:val="32"/>
          <w:szCs w:val="32"/>
          <w:highlight w:val="none"/>
        </w:rPr>
      </w:pPr>
      <w:r>
        <w:rPr>
          <w:rFonts w:hint="eastAsia" w:ascii="黑体" w:hAnsi="黑体" w:eastAsia="黑体"/>
          <w:b/>
          <w:color w:val="auto"/>
          <w:sz w:val="32"/>
          <w:szCs w:val="32"/>
          <w:highlight w:val="none"/>
        </w:rPr>
        <w:t>中标结果公示</w:t>
      </w:r>
    </w:p>
    <w:p w14:paraId="4E011ED2">
      <w:pPr>
        <w:spacing w:line="360" w:lineRule="auto"/>
        <w:ind w:firstLine="480" w:firstLineChars="200"/>
        <w:rPr>
          <w:color w:val="auto"/>
          <w:sz w:val="24"/>
          <w:highlight w:val="none"/>
        </w:rPr>
      </w:pPr>
      <w:r>
        <w:rPr>
          <w:rFonts w:hint="eastAsia"/>
          <w:color w:val="auto"/>
          <w:sz w:val="24"/>
          <w:highlight w:val="none"/>
        </w:rPr>
        <w:t>招标项目编号：</w:t>
      </w:r>
      <w:r>
        <w:rPr>
          <w:rFonts w:hint="eastAsia"/>
          <w:color w:val="auto"/>
          <w:sz w:val="24"/>
          <w:highlight w:val="none"/>
          <w:u w:val="single"/>
        </w:rPr>
        <w:t xml:space="preserve">                 </w:t>
      </w:r>
      <w:r>
        <w:rPr>
          <w:rFonts w:hint="eastAsia"/>
          <w:color w:val="auto"/>
          <w:sz w:val="24"/>
          <w:highlight w:val="none"/>
        </w:rPr>
        <w:t>的</w:t>
      </w:r>
      <w:r>
        <w:rPr>
          <w:rFonts w:hint="eastAsia"/>
          <w:color w:val="auto"/>
          <w:sz w:val="24"/>
          <w:highlight w:val="none"/>
          <w:u w:val="single"/>
        </w:rPr>
        <w:t xml:space="preserve">                        </w:t>
      </w:r>
      <w:r>
        <w:rPr>
          <w:rFonts w:hint="eastAsia"/>
          <w:color w:val="auto"/>
          <w:sz w:val="24"/>
          <w:highlight w:val="none"/>
        </w:rPr>
        <w:t>建设项目的招标，招标人根据定标委员会的中标人推荐结果确定了中标人，现将中标人有关情况公布如下：</w:t>
      </w:r>
    </w:p>
    <w:p w14:paraId="0149983F">
      <w:pPr>
        <w:spacing w:line="360" w:lineRule="auto"/>
        <w:rPr>
          <w:color w:val="auto"/>
          <w:highlight w:val="none"/>
        </w:rPr>
      </w:pP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9"/>
        <w:gridCol w:w="2139"/>
        <w:gridCol w:w="2141"/>
        <w:gridCol w:w="2141"/>
      </w:tblGrid>
      <w:tr w14:paraId="62C37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139" w:type="dxa"/>
            <w:vAlign w:val="center"/>
          </w:tcPr>
          <w:p w14:paraId="268BFA2F">
            <w:pPr>
              <w:spacing w:line="360" w:lineRule="auto"/>
              <w:jc w:val="center"/>
              <w:rPr>
                <w:color w:val="auto"/>
                <w:sz w:val="24"/>
                <w:highlight w:val="none"/>
              </w:rPr>
            </w:pPr>
            <w:r>
              <w:rPr>
                <w:rFonts w:hint="eastAsia"/>
                <w:color w:val="auto"/>
                <w:sz w:val="24"/>
                <w:highlight w:val="none"/>
              </w:rPr>
              <w:t>中标人</w:t>
            </w:r>
          </w:p>
        </w:tc>
        <w:tc>
          <w:tcPr>
            <w:tcW w:w="6421" w:type="dxa"/>
            <w:gridSpan w:val="3"/>
            <w:vAlign w:val="center"/>
          </w:tcPr>
          <w:p w14:paraId="31DAA3A6">
            <w:pPr>
              <w:spacing w:line="360" w:lineRule="auto"/>
              <w:jc w:val="center"/>
              <w:rPr>
                <w:color w:val="auto"/>
                <w:sz w:val="24"/>
                <w:highlight w:val="none"/>
              </w:rPr>
            </w:pPr>
          </w:p>
        </w:tc>
      </w:tr>
      <w:tr w14:paraId="3E8B5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139" w:type="dxa"/>
            <w:vAlign w:val="center"/>
          </w:tcPr>
          <w:p w14:paraId="3F0E53F5">
            <w:pPr>
              <w:spacing w:line="360" w:lineRule="auto"/>
              <w:jc w:val="center"/>
              <w:rPr>
                <w:color w:val="auto"/>
                <w:sz w:val="24"/>
                <w:highlight w:val="none"/>
              </w:rPr>
            </w:pPr>
            <w:r>
              <w:rPr>
                <w:rFonts w:hint="eastAsia"/>
                <w:color w:val="auto"/>
                <w:sz w:val="24"/>
                <w:highlight w:val="none"/>
              </w:rPr>
              <w:t>监理服务费</w:t>
            </w:r>
          </w:p>
        </w:tc>
        <w:tc>
          <w:tcPr>
            <w:tcW w:w="2139" w:type="dxa"/>
            <w:vAlign w:val="center"/>
          </w:tcPr>
          <w:p w14:paraId="23683222">
            <w:pPr>
              <w:spacing w:line="360" w:lineRule="auto"/>
              <w:jc w:val="center"/>
              <w:rPr>
                <w:color w:val="auto"/>
                <w:sz w:val="24"/>
                <w:highlight w:val="none"/>
              </w:rPr>
            </w:pPr>
          </w:p>
        </w:tc>
        <w:tc>
          <w:tcPr>
            <w:tcW w:w="2141" w:type="dxa"/>
            <w:vAlign w:val="center"/>
          </w:tcPr>
          <w:p w14:paraId="2F60FDB9">
            <w:pPr>
              <w:spacing w:line="360" w:lineRule="auto"/>
              <w:jc w:val="center"/>
              <w:rPr>
                <w:color w:val="auto"/>
                <w:sz w:val="24"/>
                <w:highlight w:val="none"/>
              </w:rPr>
            </w:pPr>
            <w:r>
              <w:rPr>
                <w:rFonts w:hint="eastAsia"/>
                <w:color w:val="auto"/>
                <w:sz w:val="24"/>
                <w:highlight w:val="none"/>
              </w:rPr>
              <w:t>总监理工程师</w:t>
            </w:r>
          </w:p>
        </w:tc>
        <w:tc>
          <w:tcPr>
            <w:tcW w:w="2141" w:type="dxa"/>
            <w:vAlign w:val="center"/>
          </w:tcPr>
          <w:p w14:paraId="1B8D6DB2">
            <w:pPr>
              <w:spacing w:line="360" w:lineRule="auto"/>
              <w:jc w:val="center"/>
              <w:rPr>
                <w:color w:val="auto"/>
                <w:sz w:val="24"/>
                <w:highlight w:val="none"/>
              </w:rPr>
            </w:pPr>
          </w:p>
        </w:tc>
      </w:tr>
      <w:tr w14:paraId="5CF08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2139" w:type="dxa"/>
            <w:vAlign w:val="center"/>
          </w:tcPr>
          <w:p w14:paraId="71797507">
            <w:pPr>
              <w:spacing w:line="360" w:lineRule="auto"/>
              <w:jc w:val="center"/>
              <w:rPr>
                <w:color w:val="auto"/>
                <w:sz w:val="24"/>
                <w:highlight w:val="none"/>
              </w:rPr>
            </w:pPr>
            <w:r>
              <w:rPr>
                <w:rFonts w:hint="eastAsia"/>
                <w:color w:val="auto"/>
                <w:sz w:val="24"/>
                <w:highlight w:val="none"/>
              </w:rPr>
              <w:t>监理服务期</w:t>
            </w:r>
          </w:p>
        </w:tc>
        <w:tc>
          <w:tcPr>
            <w:tcW w:w="2139" w:type="dxa"/>
            <w:vAlign w:val="center"/>
          </w:tcPr>
          <w:p w14:paraId="6E3834BA">
            <w:pPr>
              <w:spacing w:line="360" w:lineRule="auto"/>
              <w:jc w:val="center"/>
              <w:rPr>
                <w:color w:val="auto"/>
                <w:sz w:val="24"/>
                <w:highlight w:val="none"/>
              </w:rPr>
            </w:pPr>
          </w:p>
        </w:tc>
        <w:tc>
          <w:tcPr>
            <w:tcW w:w="2141" w:type="dxa"/>
            <w:vAlign w:val="center"/>
          </w:tcPr>
          <w:p w14:paraId="6B1CE038">
            <w:pPr>
              <w:spacing w:line="360" w:lineRule="auto"/>
              <w:jc w:val="center"/>
              <w:rPr>
                <w:color w:val="auto"/>
                <w:sz w:val="24"/>
                <w:highlight w:val="none"/>
              </w:rPr>
            </w:pPr>
            <w:r>
              <w:rPr>
                <w:rFonts w:hint="eastAsia"/>
                <w:color w:val="auto"/>
                <w:sz w:val="24"/>
                <w:highlight w:val="none"/>
              </w:rPr>
              <w:t>质量标准</w:t>
            </w:r>
          </w:p>
        </w:tc>
        <w:tc>
          <w:tcPr>
            <w:tcW w:w="2141" w:type="dxa"/>
            <w:vAlign w:val="center"/>
          </w:tcPr>
          <w:p w14:paraId="48304B8C">
            <w:pPr>
              <w:spacing w:line="360" w:lineRule="auto"/>
              <w:jc w:val="center"/>
              <w:rPr>
                <w:color w:val="auto"/>
                <w:sz w:val="24"/>
                <w:highlight w:val="none"/>
              </w:rPr>
            </w:pPr>
          </w:p>
        </w:tc>
      </w:tr>
      <w:tr w14:paraId="4259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2139" w:type="dxa"/>
            <w:vAlign w:val="center"/>
          </w:tcPr>
          <w:p w14:paraId="19E043D4">
            <w:pPr>
              <w:spacing w:line="360" w:lineRule="auto"/>
              <w:jc w:val="center"/>
              <w:rPr>
                <w:color w:val="auto"/>
                <w:sz w:val="24"/>
                <w:highlight w:val="none"/>
              </w:rPr>
            </w:pPr>
            <w:r>
              <w:rPr>
                <w:rFonts w:hint="eastAsia"/>
                <w:color w:val="auto"/>
                <w:sz w:val="24"/>
                <w:highlight w:val="none"/>
              </w:rPr>
              <w:t>企业及人员信用分享用情况（如有）</w:t>
            </w:r>
          </w:p>
        </w:tc>
        <w:tc>
          <w:tcPr>
            <w:tcW w:w="6421" w:type="dxa"/>
            <w:gridSpan w:val="3"/>
            <w:vAlign w:val="center"/>
          </w:tcPr>
          <w:p w14:paraId="3938E701">
            <w:pPr>
              <w:spacing w:line="360" w:lineRule="auto"/>
              <w:jc w:val="center"/>
              <w:rPr>
                <w:color w:val="auto"/>
                <w:sz w:val="24"/>
                <w:highlight w:val="none"/>
              </w:rPr>
            </w:pPr>
          </w:p>
        </w:tc>
      </w:tr>
    </w:tbl>
    <w:p w14:paraId="0DAC89B0">
      <w:pPr>
        <w:spacing w:line="360" w:lineRule="auto"/>
        <w:rPr>
          <w:color w:val="auto"/>
          <w:sz w:val="24"/>
          <w:highlight w:val="none"/>
        </w:rPr>
      </w:pPr>
    </w:p>
    <w:p w14:paraId="6145C86D">
      <w:pPr>
        <w:spacing w:line="360" w:lineRule="auto"/>
        <w:rPr>
          <w:color w:val="auto"/>
          <w:sz w:val="24"/>
          <w:highlight w:val="none"/>
          <w:u w:val="single"/>
        </w:rPr>
      </w:pPr>
      <w:r>
        <w:rPr>
          <w:rFonts w:hint="eastAsia"/>
          <w:color w:val="auto"/>
          <w:sz w:val="24"/>
          <w:highlight w:val="none"/>
        </w:rPr>
        <w:t>评标委员会成员名单：</w:t>
      </w:r>
      <w:r>
        <w:rPr>
          <w:rFonts w:hint="eastAsia"/>
          <w:color w:val="auto"/>
          <w:sz w:val="24"/>
          <w:highlight w:val="none"/>
          <w:u w:val="single"/>
        </w:rPr>
        <w:t xml:space="preserve">                                                 </w:t>
      </w:r>
    </w:p>
    <w:p w14:paraId="4090EAF1">
      <w:pPr>
        <w:spacing w:line="360" w:lineRule="auto"/>
        <w:rPr>
          <w:color w:val="auto"/>
          <w:highlight w:val="none"/>
        </w:rPr>
      </w:pPr>
    </w:p>
    <w:p w14:paraId="2CB9771D">
      <w:pPr>
        <w:spacing w:line="360" w:lineRule="auto"/>
        <w:rPr>
          <w:color w:val="auto"/>
          <w:sz w:val="24"/>
          <w:highlight w:val="none"/>
        </w:rPr>
      </w:pPr>
      <w:r>
        <w:rPr>
          <w:rFonts w:hint="eastAsia"/>
          <w:color w:val="auto"/>
          <w:sz w:val="24"/>
          <w:highlight w:val="none"/>
        </w:rPr>
        <w:t>招标人名称：</w:t>
      </w:r>
      <w:r>
        <w:rPr>
          <w:rFonts w:hint="eastAsia"/>
          <w:color w:val="auto"/>
          <w:sz w:val="24"/>
          <w:highlight w:val="none"/>
          <w:u w:val="single"/>
        </w:rPr>
        <w:t xml:space="preserve">                            </w:t>
      </w:r>
    </w:p>
    <w:p w14:paraId="2AC825A7">
      <w:pPr>
        <w:spacing w:line="360" w:lineRule="auto"/>
        <w:rPr>
          <w:color w:val="auto"/>
          <w:sz w:val="24"/>
          <w:highlight w:val="none"/>
        </w:rPr>
      </w:pPr>
      <w:r>
        <w:rPr>
          <w:rFonts w:hint="eastAsia"/>
          <w:color w:val="auto"/>
          <w:sz w:val="24"/>
          <w:highlight w:val="none"/>
        </w:rPr>
        <w:t>招标人地址：</w:t>
      </w:r>
      <w:r>
        <w:rPr>
          <w:rFonts w:hint="eastAsia"/>
          <w:color w:val="auto"/>
          <w:sz w:val="24"/>
          <w:highlight w:val="none"/>
          <w:u w:val="single"/>
        </w:rPr>
        <w:t xml:space="preserve">                            </w:t>
      </w:r>
    </w:p>
    <w:p w14:paraId="241FB2F0">
      <w:pPr>
        <w:spacing w:line="360" w:lineRule="auto"/>
        <w:rPr>
          <w:color w:val="auto"/>
          <w:sz w:val="24"/>
          <w:highlight w:val="none"/>
        </w:rPr>
      </w:pPr>
      <w:r>
        <w:rPr>
          <w:rFonts w:hint="eastAsia"/>
          <w:color w:val="auto"/>
          <w:sz w:val="24"/>
          <w:highlight w:val="none"/>
        </w:rPr>
        <w:t>招标人联系方式：</w:t>
      </w:r>
      <w:r>
        <w:rPr>
          <w:rFonts w:hint="eastAsia"/>
          <w:color w:val="auto"/>
          <w:sz w:val="24"/>
          <w:highlight w:val="none"/>
          <w:u w:val="single"/>
        </w:rPr>
        <w:t xml:space="preserve">                        </w:t>
      </w:r>
    </w:p>
    <w:p w14:paraId="7AD750DA">
      <w:pPr>
        <w:spacing w:line="360" w:lineRule="auto"/>
        <w:rPr>
          <w:color w:val="auto"/>
          <w:highlight w:val="none"/>
        </w:rPr>
      </w:pPr>
    </w:p>
    <w:p w14:paraId="594CCF42">
      <w:pPr>
        <w:spacing w:line="360" w:lineRule="auto"/>
        <w:rPr>
          <w:color w:val="auto"/>
          <w:highlight w:val="none"/>
        </w:rPr>
      </w:pPr>
    </w:p>
    <w:p w14:paraId="513EEE60">
      <w:pPr>
        <w:spacing w:line="360" w:lineRule="auto"/>
        <w:rPr>
          <w:color w:val="auto"/>
          <w:sz w:val="24"/>
          <w:highlight w:val="none"/>
          <w:u w:val="single"/>
        </w:rPr>
      </w:pPr>
      <w:r>
        <w:rPr>
          <w:rFonts w:hint="eastAsia"/>
          <w:color w:val="auto"/>
          <w:sz w:val="24"/>
          <w:highlight w:val="none"/>
        </w:rPr>
        <w:t>招标人：</w:t>
      </w:r>
      <w:r>
        <w:rPr>
          <w:rFonts w:hint="eastAsia"/>
          <w:color w:val="auto"/>
          <w:sz w:val="24"/>
          <w:highlight w:val="none"/>
          <w:u w:val="single"/>
        </w:rPr>
        <w:t xml:space="preserve">           </w:t>
      </w:r>
      <w:r>
        <w:rPr>
          <w:rFonts w:hint="eastAsia"/>
          <w:color w:val="auto"/>
          <w:highlight w:val="none"/>
          <w:u w:val="single"/>
        </w:rPr>
        <w:t>（电子签名专用章）</w:t>
      </w:r>
      <w:r>
        <w:rPr>
          <w:rFonts w:hint="eastAsia"/>
          <w:color w:val="auto"/>
          <w:sz w:val="24"/>
          <w:highlight w:val="none"/>
        </w:rPr>
        <w:t xml:space="preserve">  招标代理机构：</w:t>
      </w:r>
      <w:r>
        <w:rPr>
          <w:rFonts w:hint="eastAsia"/>
          <w:color w:val="auto"/>
          <w:sz w:val="24"/>
          <w:highlight w:val="none"/>
          <w:u w:val="single"/>
        </w:rPr>
        <w:t xml:space="preserve">      </w:t>
      </w:r>
      <w:r>
        <w:rPr>
          <w:rFonts w:hint="eastAsia"/>
          <w:color w:val="auto"/>
          <w:highlight w:val="none"/>
          <w:u w:val="single"/>
        </w:rPr>
        <w:t>（电子签名专用章）</w:t>
      </w:r>
      <w:r>
        <w:rPr>
          <w:rFonts w:hint="eastAsia"/>
          <w:color w:val="auto"/>
          <w:sz w:val="24"/>
          <w:highlight w:val="none"/>
          <w:u w:val="single"/>
        </w:rPr>
        <w:t xml:space="preserve"> </w:t>
      </w:r>
    </w:p>
    <w:p w14:paraId="61BF498F">
      <w:pPr>
        <w:spacing w:line="360" w:lineRule="auto"/>
        <w:ind w:firstLine="482" w:firstLineChars="200"/>
        <w:jc w:val="center"/>
        <w:rPr>
          <w:rFonts w:eastAsia="黑体"/>
          <w:b/>
          <w:color w:val="auto"/>
          <w:sz w:val="24"/>
          <w:highlight w:val="none"/>
        </w:rPr>
      </w:pPr>
    </w:p>
    <w:p w14:paraId="5063E53C">
      <w:pPr>
        <w:spacing w:line="360" w:lineRule="auto"/>
        <w:ind w:firstLine="482" w:firstLineChars="200"/>
        <w:jc w:val="center"/>
        <w:rPr>
          <w:rFonts w:eastAsia="黑体"/>
          <w:b/>
          <w:color w:val="auto"/>
          <w:sz w:val="24"/>
          <w:highlight w:val="none"/>
        </w:rPr>
      </w:pPr>
    </w:p>
    <w:p w14:paraId="584BB460">
      <w:pPr>
        <w:spacing w:line="360" w:lineRule="auto"/>
        <w:ind w:firstLine="482" w:firstLineChars="200"/>
        <w:jc w:val="center"/>
        <w:rPr>
          <w:rFonts w:eastAsia="黑体"/>
          <w:b/>
          <w:color w:val="auto"/>
          <w:sz w:val="24"/>
          <w:highlight w:val="none"/>
        </w:rPr>
      </w:pPr>
    </w:p>
    <w:p w14:paraId="437733FE">
      <w:pPr>
        <w:spacing w:line="360" w:lineRule="auto"/>
        <w:ind w:firstLine="482" w:firstLineChars="200"/>
        <w:jc w:val="center"/>
        <w:rPr>
          <w:rFonts w:eastAsia="黑体"/>
          <w:b/>
          <w:color w:val="auto"/>
          <w:sz w:val="24"/>
          <w:highlight w:val="none"/>
        </w:rPr>
      </w:pPr>
    </w:p>
    <w:p w14:paraId="04AE5090">
      <w:pPr>
        <w:spacing w:line="360" w:lineRule="auto"/>
        <w:ind w:firstLine="482" w:firstLineChars="200"/>
        <w:jc w:val="center"/>
        <w:rPr>
          <w:rFonts w:eastAsia="黑体"/>
          <w:b/>
          <w:color w:val="auto"/>
          <w:sz w:val="24"/>
          <w:highlight w:val="none"/>
        </w:rPr>
      </w:pPr>
    </w:p>
    <w:p w14:paraId="74A70322">
      <w:pPr>
        <w:spacing w:line="360" w:lineRule="auto"/>
        <w:ind w:firstLine="482" w:firstLineChars="200"/>
        <w:jc w:val="center"/>
        <w:rPr>
          <w:rFonts w:eastAsia="黑体"/>
          <w:b/>
          <w:color w:val="auto"/>
          <w:sz w:val="24"/>
          <w:highlight w:val="none"/>
        </w:rPr>
      </w:pPr>
    </w:p>
    <w:p w14:paraId="1C55232F">
      <w:pPr>
        <w:spacing w:line="360" w:lineRule="auto"/>
        <w:ind w:firstLine="482" w:firstLineChars="200"/>
        <w:jc w:val="center"/>
        <w:rPr>
          <w:rFonts w:eastAsia="黑体"/>
          <w:b/>
          <w:color w:val="auto"/>
          <w:sz w:val="24"/>
          <w:highlight w:val="none"/>
        </w:rPr>
      </w:pPr>
    </w:p>
    <w:p w14:paraId="23A949CE">
      <w:pPr>
        <w:spacing w:line="360" w:lineRule="auto"/>
        <w:ind w:firstLine="482" w:firstLineChars="200"/>
        <w:jc w:val="center"/>
        <w:rPr>
          <w:rFonts w:eastAsia="黑体"/>
          <w:b/>
          <w:color w:val="auto"/>
          <w:sz w:val="24"/>
          <w:highlight w:val="none"/>
        </w:rPr>
      </w:pPr>
    </w:p>
    <w:p w14:paraId="73A8CA14">
      <w:pPr>
        <w:spacing w:line="360" w:lineRule="auto"/>
        <w:ind w:firstLine="482" w:firstLineChars="200"/>
        <w:jc w:val="center"/>
        <w:rPr>
          <w:rFonts w:eastAsia="黑体"/>
          <w:b/>
          <w:color w:val="auto"/>
          <w:sz w:val="24"/>
          <w:highlight w:val="none"/>
        </w:rPr>
      </w:pPr>
    </w:p>
    <w:p w14:paraId="2D7D8F10">
      <w:pPr>
        <w:spacing w:line="360" w:lineRule="auto"/>
        <w:ind w:firstLine="482" w:firstLineChars="200"/>
        <w:jc w:val="center"/>
        <w:rPr>
          <w:rFonts w:eastAsia="黑体"/>
          <w:b/>
          <w:color w:val="auto"/>
          <w:sz w:val="24"/>
          <w:highlight w:val="none"/>
        </w:rPr>
      </w:pPr>
    </w:p>
    <w:p w14:paraId="73FED3EB">
      <w:pPr>
        <w:spacing w:line="360" w:lineRule="auto"/>
        <w:ind w:firstLine="482" w:firstLineChars="200"/>
        <w:jc w:val="center"/>
        <w:rPr>
          <w:rFonts w:eastAsia="黑体"/>
          <w:b/>
          <w:color w:val="auto"/>
          <w:sz w:val="24"/>
          <w:highlight w:val="none"/>
        </w:rPr>
      </w:pPr>
    </w:p>
    <w:p w14:paraId="142E8C84">
      <w:pPr>
        <w:spacing w:line="360" w:lineRule="auto"/>
        <w:ind w:firstLine="482" w:firstLineChars="200"/>
        <w:jc w:val="center"/>
        <w:rPr>
          <w:rFonts w:eastAsia="黑体"/>
          <w:b/>
          <w:color w:val="auto"/>
          <w:sz w:val="24"/>
          <w:highlight w:val="none"/>
        </w:rPr>
      </w:pPr>
    </w:p>
    <w:p w14:paraId="540C1115">
      <w:pPr>
        <w:spacing w:line="360" w:lineRule="auto"/>
        <w:ind w:firstLine="643" w:firstLineChars="200"/>
        <w:jc w:val="center"/>
        <w:rPr>
          <w:rFonts w:eastAsia="黑体"/>
          <w:b/>
          <w:color w:val="auto"/>
          <w:sz w:val="32"/>
          <w:szCs w:val="32"/>
          <w:highlight w:val="none"/>
        </w:rPr>
      </w:pPr>
      <w:r>
        <w:rPr>
          <w:rFonts w:eastAsia="黑体"/>
          <w:b/>
          <w:color w:val="auto"/>
          <w:sz w:val="32"/>
          <w:szCs w:val="32"/>
          <w:highlight w:val="none"/>
        </w:rPr>
        <w:t>中标通知书</w:t>
      </w:r>
    </w:p>
    <w:p w14:paraId="37AB79C2">
      <w:pPr>
        <w:spacing w:before="360" w:after="240" w:line="360" w:lineRule="auto"/>
        <w:rPr>
          <w:color w:val="auto"/>
          <w:szCs w:val="21"/>
          <w:highlight w:val="none"/>
          <w:u w:val="single"/>
        </w:rPr>
      </w:pPr>
      <w:r>
        <w:rPr>
          <w:color w:val="auto"/>
          <w:szCs w:val="21"/>
          <w:highlight w:val="none"/>
        </w:rPr>
        <w:t>致：</w:t>
      </w:r>
      <w:r>
        <w:rPr>
          <w:rFonts w:hint="eastAsia"/>
          <w:color w:val="auto"/>
          <w:szCs w:val="21"/>
          <w:highlight w:val="none"/>
          <w:u w:val="single"/>
        </w:rPr>
        <w:t xml:space="preserve">                </w:t>
      </w:r>
      <w:r>
        <w:rPr>
          <w:color w:val="auto"/>
          <w:szCs w:val="21"/>
          <w:highlight w:val="none"/>
        </w:rPr>
        <w:t>（</w:t>
      </w:r>
      <w:r>
        <w:rPr>
          <w:rFonts w:hint="eastAsia"/>
          <w:color w:val="auto"/>
          <w:szCs w:val="21"/>
          <w:highlight w:val="none"/>
        </w:rPr>
        <w:t>中</w:t>
      </w:r>
      <w:r>
        <w:rPr>
          <w:color w:val="auto"/>
          <w:szCs w:val="21"/>
          <w:highlight w:val="none"/>
        </w:rPr>
        <w:t>标人全称）</w:t>
      </w:r>
    </w:p>
    <w:p w14:paraId="70BD7305">
      <w:pPr>
        <w:spacing w:line="420" w:lineRule="exact"/>
        <w:ind w:firstLine="420" w:firstLineChars="200"/>
        <w:rPr>
          <w:color w:val="auto"/>
          <w:szCs w:val="21"/>
          <w:highlight w:val="none"/>
        </w:rPr>
      </w:pPr>
      <w:r>
        <w:rPr>
          <w:rFonts w:hint="eastAsia"/>
          <w:color w:val="auto"/>
          <w:szCs w:val="21"/>
          <w:highlight w:val="none"/>
        </w:rPr>
        <w:t>你方于</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（投标日期）所递</w:t>
      </w:r>
      <w:r>
        <w:rPr>
          <w:color w:val="auto"/>
          <w:szCs w:val="21"/>
          <w:highlight w:val="none"/>
        </w:rPr>
        <w:t>交的</w:t>
      </w:r>
      <w:r>
        <w:rPr>
          <w:rFonts w:hint="eastAsia"/>
          <w:color w:val="auto"/>
          <w:szCs w:val="21"/>
          <w:highlight w:val="none"/>
          <w:u w:val="single"/>
        </w:rPr>
        <w:t xml:space="preserve">     </w:t>
      </w:r>
      <w:r>
        <w:rPr>
          <w:rFonts w:hint="eastAsia"/>
          <w:color w:val="auto"/>
          <w:szCs w:val="21"/>
          <w:highlight w:val="none"/>
        </w:rPr>
        <w:t>（项目名称）</w:t>
      </w:r>
      <w:r>
        <w:rPr>
          <w:rFonts w:hint="eastAsia"/>
          <w:color w:val="auto"/>
          <w:szCs w:val="21"/>
          <w:highlight w:val="none"/>
          <w:u w:val="single"/>
        </w:rPr>
        <w:t xml:space="preserve">   </w:t>
      </w:r>
      <w:r>
        <w:rPr>
          <w:rFonts w:hint="eastAsia"/>
          <w:color w:val="auto"/>
          <w:szCs w:val="21"/>
          <w:highlight w:val="none"/>
        </w:rPr>
        <w:t>施工监理</w:t>
      </w:r>
      <w:r>
        <w:rPr>
          <w:color w:val="auto"/>
          <w:szCs w:val="21"/>
          <w:highlight w:val="none"/>
        </w:rPr>
        <w:t>投标文件</w:t>
      </w:r>
      <w:r>
        <w:rPr>
          <w:rFonts w:hint="eastAsia"/>
          <w:color w:val="auto"/>
          <w:szCs w:val="21"/>
          <w:highlight w:val="none"/>
        </w:rPr>
        <w:t>已被我方接受</w:t>
      </w:r>
      <w:r>
        <w:rPr>
          <w:color w:val="auto"/>
          <w:szCs w:val="21"/>
          <w:highlight w:val="none"/>
        </w:rPr>
        <w:t>，</w:t>
      </w:r>
      <w:r>
        <w:rPr>
          <w:rFonts w:hint="eastAsia"/>
          <w:color w:val="auto"/>
          <w:szCs w:val="21"/>
          <w:highlight w:val="none"/>
        </w:rPr>
        <w:t>被确定</w:t>
      </w:r>
      <w:r>
        <w:rPr>
          <w:color w:val="auto"/>
          <w:szCs w:val="21"/>
          <w:highlight w:val="none"/>
        </w:rPr>
        <w:t>为中标</w:t>
      </w:r>
      <w:r>
        <w:rPr>
          <w:rFonts w:hint="eastAsia"/>
          <w:color w:val="auto"/>
          <w:szCs w:val="21"/>
          <w:highlight w:val="none"/>
        </w:rPr>
        <w:t>人</w:t>
      </w:r>
      <w:r>
        <w:rPr>
          <w:color w:val="auto"/>
          <w:szCs w:val="21"/>
          <w:highlight w:val="none"/>
        </w:rPr>
        <w:t>。</w:t>
      </w:r>
    </w:p>
    <w:p w14:paraId="1184DA8B">
      <w:pPr>
        <w:spacing w:line="420" w:lineRule="exact"/>
        <w:ind w:left="420"/>
        <w:rPr>
          <w:rFonts w:ascii="宋体" w:hAnsi="宋体"/>
          <w:color w:val="auto"/>
          <w:szCs w:val="21"/>
          <w:highlight w:val="none"/>
        </w:rPr>
      </w:pPr>
      <w:r>
        <w:rPr>
          <w:rFonts w:hint="eastAsia" w:ascii="宋体" w:hAnsi="宋体"/>
          <w:color w:val="auto"/>
          <w:szCs w:val="21"/>
          <w:highlight w:val="none"/>
        </w:rPr>
        <w:t>中标价格：</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元（人民币大写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DE64CBA">
      <w:pPr>
        <w:spacing w:line="420" w:lineRule="exact"/>
        <w:ind w:left="420"/>
        <w:rPr>
          <w:color w:val="auto"/>
          <w:szCs w:val="21"/>
          <w:highlight w:val="none"/>
        </w:rPr>
      </w:pPr>
      <w:r>
        <w:rPr>
          <w:rFonts w:hint="eastAsia"/>
          <w:color w:val="auto"/>
          <w:szCs w:val="21"/>
          <w:highlight w:val="none"/>
        </w:rPr>
        <w:t>总监理工程师：</w:t>
      </w:r>
      <w:r>
        <w:rPr>
          <w:rFonts w:hint="eastAsia"/>
          <w:color w:val="auto"/>
          <w:szCs w:val="21"/>
          <w:highlight w:val="none"/>
          <w:u w:val="single"/>
        </w:rPr>
        <w:t xml:space="preserve">                </w:t>
      </w:r>
      <w:r>
        <w:rPr>
          <w:rFonts w:hint="eastAsia"/>
          <w:color w:val="auto"/>
          <w:szCs w:val="21"/>
          <w:highlight w:val="none"/>
        </w:rPr>
        <w:t>，监理资格证书编号：</w:t>
      </w:r>
      <w:r>
        <w:rPr>
          <w:rFonts w:hint="eastAsia"/>
          <w:color w:val="auto"/>
          <w:szCs w:val="21"/>
          <w:highlight w:val="none"/>
          <w:u w:val="single"/>
        </w:rPr>
        <w:t xml:space="preserve">            </w:t>
      </w:r>
      <w:r>
        <w:rPr>
          <w:rFonts w:hint="eastAsia"/>
          <w:color w:val="auto"/>
          <w:szCs w:val="21"/>
          <w:highlight w:val="none"/>
        </w:rPr>
        <w:t>。</w:t>
      </w:r>
    </w:p>
    <w:p w14:paraId="7DF8B1E3">
      <w:pPr>
        <w:spacing w:line="420" w:lineRule="exact"/>
        <w:ind w:firstLine="420" w:firstLineChars="200"/>
        <w:rPr>
          <w:color w:val="auto"/>
          <w:szCs w:val="21"/>
          <w:highlight w:val="none"/>
        </w:rPr>
      </w:pPr>
      <w:r>
        <w:rPr>
          <w:rFonts w:hint="eastAsia"/>
          <w:color w:val="auto"/>
          <w:szCs w:val="21"/>
          <w:highlight w:val="none"/>
        </w:rPr>
        <w:t>请你方在接到本通知书后的</w:t>
      </w:r>
      <w:r>
        <w:rPr>
          <w:rFonts w:hint="eastAsia"/>
          <w:color w:val="auto"/>
          <w:szCs w:val="21"/>
          <w:highlight w:val="none"/>
          <w:u w:val="single"/>
        </w:rPr>
        <w:t xml:space="preserve">    </w:t>
      </w:r>
      <w:r>
        <w:rPr>
          <w:rFonts w:hint="eastAsia"/>
          <w:color w:val="auto"/>
          <w:szCs w:val="21"/>
          <w:highlight w:val="none"/>
        </w:rPr>
        <w:t>日内到</w:t>
      </w:r>
      <w:r>
        <w:rPr>
          <w:rFonts w:hint="eastAsia"/>
          <w:color w:val="auto"/>
          <w:szCs w:val="21"/>
          <w:highlight w:val="none"/>
          <w:u w:val="single"/>
        </w:rPr>
        <w:t xml:space="preserve">          </w:t>
      </w:r>
      <w:r>
        <w:rPr>
          <w:rFonts w:hint="eastAsia"/>
          <w:color w:val="auto"/>
          <w:szCs w:val="21"/>
          <w:highlight w:val="none"/>
        </w:rPr>
        <w:t>（指定地点）与我方签订施工监理合同，在此之前按招标文件第二章“投标人须知”第7.</w:t>
      </w:r>
      <w:r>
        <w:rPr>
          <w:rFonts w:hint="eastAsia"/>
          <w:color w:val="auto"/>
          <w:szCs w:val="21"/>
          <w:highlight w:val="none"/>
          <w:lang w:val="en-US" w:eastAsia="zh-CN"/>
        </w:rPr>
        <w:t>6</w:t>
      </w:r>
      <w:r>
        <w:rPr>
          <w:rFonts w:hint="eastAsia"/>
          <w:color w:val="auto"/>
          <w:szCs w:val="21"/>
          <w:highlight w:val="none"/>
        </w:rPr>
        <w:t>款规定向我方提交履约保证金</w:t>
      </w:r>
      <w:r>
        <w:rPr>
          <w:color w:val="auto"/>
          <w:szCs w:val="21"/>
          <w:highlight w:val="none"/>
        </w:rPr>
        <w:t>。</w:t>
      </w:r>
    </w:p>
    <w:p w14:paraId="488B12B5">
      <w:pPr>
        <w:spacing w:line="420" w:lineRule="exact"/>
        <w:ind w:firstLine="420" w:firstLineChars="200"/>
        <w:rPr>
          <w:color w:val="auto"/>
          <w:szCs w:val="21"/>
          <w:highlight w:val="none"/>
        </w:rPr>
      </w:pPr>
      <w:r>
        <w:rPr>
          <w:color w:val="auto"/>
          <w:szCs w:val="21"/>
          <w:highlight w:val="none"/>
        </w:rPr>
        <w:t>特此</w:t>
      </w:r>
      <w:r>
        <w:rPr>
          <w:rFonts w:hint="eastAsia"/>
          <w:color w:val="auto"/>
          <w:szCs w:val="21"/>
          <w:highlight w:val="none"/>
        </w:rPr>
        <w:t>通知</w:t>
      </w:r>
      <w:r>
        <w:rPr>
          <w:color w:val="auto"/>
          <w:szCs w:val="21"/>
          <w:highlight w:val="none"/>
        </w:rPr>
        <w:t>。</w:t>
      </w:r>
    </w:p>
    <w:p w14:paraId="6DEFE14A">
      <w:pPr>
        <w:spacing w:after="120" w:afterLines="50" w:line="360" w:lineRule="auto"/>
        <w:ind w:firstLine="440" w:firstLineChars="200"/>
        <w:rPr>
          <w:color w:val="auto"/>
          <w:sz w:val="22"/>
          <w:szCs w:val="22"/>
          <w:highlight w:val="none"/>
        </w:rPr>
      </w:pPr>
    </w:p>
    <w:p w14:paraId="28843FF1">
      <w:pPr>
        <w:spacing w:after="120" w:afterLines="50" w:line="360" w:lineRule="auto"/>
        <w:ind w:firstLine="440" w:firstLineChars="200"/>
        <w:rPr>
          <w:color w:val="auto"/>
          <w:sz w:val="22"/>
          <w:szCs w:val="22"/>
          <w:highlight w:val="none"/>
        </w:rPr>
      </w:pPr>
    </w:p>
    <w:p w14:paraId="6074CA78">
      <w:pPr>
        <w:spacing w:after="120" w:afterLines="50" w:line="360" w:lineRule="auto"/>
        <w:ind w:firstLine="440" w:firstLineChars="200"/>
        <w:rPr>
          <w:color w:val="auto"/>
          <w:sz w:val="22"/>
          <w:szCs w:val="22"/>
          <w:highlight w:val="none"/>
        </w:rPr>
      </w:pPr>
    </w:p>
    <w:p w14:paraId="3A761389">
      <w:pPr>
        <w:spacing w:after="120" w:afterLines="50" w:line="360" w:lineRule="auto"/>
        <w:ind w:firstLine="440" w:firstLineChars="200"/>
        <w:rPr>
          <w:color w:val="auto"/>
          <w:sz w:val="22"/>
          <w:szCs w:val="22"/>
          <w:highlight w:val="none"/>
        </w:rPr>
      </w:pPr>
    </w:p>
    <w:p w14:paraId="2F24E1C5">
      <w:pPr>
        <w:spacing w:after="120" w:afterLines="50" w:line="360" w:lineRule="auto"/>
        <w:ind w:firstLine="1650" w:firstLineChars="750"/>
        <w:rPr>
          <w:color w:val="auto"/>
          <w:sz w:val="22"/>
          <w:szCs w:val="22"/>
          <w:highlight w:val="none"/>
        </w:rPr>
      </w:pPr>
      <w:r>
        <w:rPr>
          <w:color w:val="auto"/>
          <w:sz w:val="22"/>
          <w:szCs w:val="22"/>
          <w:highlight w:val="none"/>
        </w:rPr>
        <w:t xml:space="preserve">                     </w:t>
      </w:r>
      <w:r>
        <w:rPr>
          <w:rFonts w:hint="eastAsia"/>
          <w:color w:val="auto"/>
          <w:sz w:val="22"/>
          <w:szCs w:val="22"/>
          <w:highlight w:val="none"/>
        </w:rPr>
        <w:t xml:space="preserve">    </w:t>
      </w:r>
      <w:r>
        <w:rPr>
          <w:color w:val="auto"/>
          <w:sz w:val="22"/>
          <w:szCs w:val="22"/>
          <w:highlight w:val="none"/>
        </w:rPr>
        <w:t xml:space="preserve"> 招标人：</w:t>
      </w:r>
      <w:r>
        <w:rPr>
          <w:rFonts w:hint="eastAsia"/>
          <w:color w:val="auto"/>
          <w:sz w:val="22"/>
          <w:szCs w:val="22"/>
          <w:highlight w:val="none"/>
          <w:u w:val="single"/>
        </w:rPr>
        <w:t xml:space="preserve">               </w:t>
      </w:r>
      <w:r>
        <w:rPr>
          <w:rFonts w:hint="eastAsia"/>
          <w:color w:val="auto"/>
          <w:sz w:val="22"/>
          <w:szCs w:val="22"/>
          <w:highlight w:val="none"/>
        </w:rPr>
        <w:t xml:space="preserve">（ </w:t>
      </w:r>
      <w:r>
        <w:rPr>
          <w:color w:val="auto"/>
          <w:sz w:val="22"/>
          <w:szCs w:val="22"/>
          <w:highlight w:val="none"/>
        </w:rPr>
        <w:t>全称并盖章）</w:t>
      </w:r>
    </w:p>
    <w:p w14:paraId="0EB3B1A6">
      <w:pPr>
        <w:spacing w:line="360" w:lineRule="auto"/>
        <w:jc w:val="center"/>
        <w:rPr>
          <w:color w:val="auto"/>
          <w:sz w:val="22"/>
          <w:szCs w:val="22"/>
          <w:highlight w:val="none"/>
        </w:rPr>
      </w:pPr>
      <w:r>
        <w:rPr>
          <w:rFonts w:hint="eastAsia"/>
          <w:color w:val="auto"/>
          <w:sz w:val="22"/>
          <w:szCs w:val="22"/>
          <w:highlight w:val="none"/>
        </w:rPr>
        <w:t xml:space="preserve">                                 法定代表人：</w:t>
      </w:r>
      <w:r>
        <w:rPr>
          <w:rFonts w:hint="eastAsia"/>
          <w:color w:val="auto"/>
          <w:sz w:val="22"/>
          <w:szCs w:val="22"/>
          <w:highlight w:val="none"/>
          <w:u w:val="single"/>
        </w:rPr>
        <w:t xml:space="preserve">                </w:t>
      </w:r>
      <w:r>
        <w:rPr>
          <w:rFonts w:hint="eastAsia"/>
          <w:color w:val="auto"/>
          <w:sz w:val="22"/>
          <w:szCs w:val="22"/>
          <w:highlight w:val="none"/>
        </w:rPr>
        <w:t>（签字）</w:t>
      </w:r>
    </w:p>
    <w:p w14:paraId="3B0B9DB9">
      <w:pPr>
        <w:spacing w:line="360" w:lineRule="auto"/>
        <w:jc w:val="center"/>
        <w:rPr>
          <w:color w:val="auto"/>
          <w:sz w:val="22"/>
          <w:szCs w:val="22"/>
          <w:highlight w:val="none"/>
        </w:rPr>
      </w:pPr>
      <w:r>
        <w:rPr>
          <w:rFonts w:hint="eastAsia"/>
          <w:color w:val="auto"/>
          <w:sz w:val="22"/>
          <w:szCs w:val="22"/>
          <w:highlight w:val="none"/>
        </w:rPr>
        <w:t xml:space="preserve">                               日  期： </w:t>
      </w:r>
      <w:r>
        <w:rPr>
          <w:rFonts w:hint="eastAsia"/>
          <w:color w:val="auto"/>
          <w:sz w:val="22"/>
          <w:szCs w:val="22"/>
          <w:highlight w:val="none"/>
          <w:u w:val="single"/>
        </w:rPr>
        <w:t xml:space="preserve">         </w:t>
      </w:r>
      <w:r>
        <w:rPr>
          <w:rFonts w:hint="eastAsia"/>
          <w:color w:val="auto"/>
          <w:sz w:val="22"/>
          <w:szCs w:val="22"/>
          <w:highlight w:val="none"/>
        </w:rPr>
        <w:t>年</w:t>
      </w:r>
      <w:r>
        <w:rPr>
          <w:rFonts w:hint="eastAsia"/>
          <w:color w:val="auto"/>
          <w:sz w:val="22"/>
          <w:szCs w:val="22"/>
          <w:highlight w:val="none"/>
          <w:u w:val="single"/>
        </w:rPr>
        <w:t xml:space="preserve">    </w:t>
      </w:r>
      <w:r>
        <w:rPr>
          <w:rFonts w:hint="eastAsia"/>
          <w:color w:val="auto"/>
          <w:sz w:val="22"/>
          <w:szCs w:val="22"/>
          <w:highlight w:val="none"/>
        </w:rPr>
        <w:t>月</w:t>
      </w:r>
      <w:r>
        <w:rPr>
          <w:rFonts w:hint="eastAsia"/>
          <w:color w:val="auto"/>
          <w:sz w:val="22"/>
          <w:szCs w:val="22"/>
          <w:highlight w:val="none"/>
          <w:u w:val="single"/>
        </w:rPr>
        <w:t xml:space="preserve">      </w:t>
      </w:r>
      <w:r>
        <w:rPr>
          <w:rFonts w:hint="eastAsia"/>
          <w:color w:val="auto"/>
          <w:sz w:val="22"/>
          <w:szCs w:val="22"/>
          <w:highlight w:val="none"/>
        </w:rPr>
        <w:t>日</w:t>
      </w:r>
    </w:p>
    <w:p w14:paraId="495EF257">
      <w:pPr>
        <w:spacing w:line="360" w:lineRule="auto"/>
        <w:jc w:val="center"/>
        <w:rPr>
          <w:color w:val="auto"/>
          <w:sz w:val="22"/>
          <w:szCs w:val="22"/>
          <w:highlight w:val="none"/>
        </w:rPr>
      </w:pPr>
    </w:p>
    <w:p w14:paraId="127749CF">
      <w:pPr>
        <w:spacing w:line="360" w:lineRule="auto"/>
        <w:jc w:val="center"/>
        <w:rPr>
          <w:color w:val="auto"/>
          <w:sz w:val="22"/>
          <w:szCs w:val="22"/>
          <w:highlight w:val="none"/>
        </w:rPr>
      </w:pPr>
    </w:p>
    <w:p w14:paraId="3329AAB6">
      <w:pPr>
        <w:spacing w:line="360" w:lineRule="auto"/>
        <w:jc w:val="center"/>
        <w:rPr>
          <w:color w:val="auto"/>
          <w:sz w:val="22"/>
          <w:szCs w:val="22"/>
          <w:highlight w:val="none"/>
        </w:rPr>
      </w:pPr>
    </w:p>
    <w:p w14:paraId="7AB9F7E5">
      <w:pPr>
        <w:spacing w:line="360" w:lineRule="auto"/>
        <w:jc w:val="center"/>
        <w:rPr>
          <w:color w:val="auto"/>
          <w:sz w:val="22"/>
          <w:szCs w:val="22"/>
          <w:highlight w:val="none"/>
        </w:rPr>
      </w:pPr>
    </w:p>
    <w:p w14:paraId="56CD0772">
      <w:pPr>
        <w:spacing w:line="360" w:lineRule="auto"/>
        <w:jc w:val="center"/>
        <w:rPr>
          <w:color w:val="auto"/>
          <w:sz w:val="22"/>
          <w:szCs w:val="22"/>
          <w:highlight w:val="none"/>
        </w:rPr>
      </w:pPr>
    </w:p>
    <w:p w14:paraId="1CC19F3E">
      <w:pPr>
        <w:spacing w:line="360" w:lineRule="auto"/>
        <w:jc w:val="center"/>
        <w:rPr>
          <w:rFonts w:eastAsia="黑体"/>
          <w:b/>
          <w:color w:val="auto"/>
          <w:sz w:val="30"/>
          <w:szCs w:val="30"/>
          <w:highlight w:val="none"/>
        </w:rPr>
        <w:sectPr>
          <w:headerReference r:id="rId12" w:type="default"/>
          <w:footnotePr>
            <w:numRestart w:val="eachPage"/>
          </w:footnotePr>
          <w:pgSz w:w="11906" w:h="16838"/>
          <w:pgMar w:top="1418" w:right="1416" w:bottom="1418" w:left="1304" w:header="851" w:footer="992" w:gutter="0"/>
          <w:cols w:space="720" w:num="1"/>
          <w:docGrid w:linePitch="312" w:charSpace="0"/>
        </w:sectPr>
      </w:pPr>
    </w:p>
    <w:p w14:paraId="216C343D">
      <w:pPr>
        <w:pStyle w:val="4"/>
        <w:spacing w:before="0" w:after="0" w:line="520" w:lineRule="exact"/>
        <w:rPr>
          <w:b w:val="0"/>
          <w:color w:val="auto"/>
          <w:highlight w:val="none"/>
        </w:rPr>
      </w:pPr>
      <w:bookmarkStart w:id="510" w:name="_Toc488650829"/>
      <w:r>
        <w:rPr>
          <w:rFonts w:hint="eastAsia"/>
          <w:color w:val="auto"/>
          <w:highlight w:val="none"/>
        </w:rPr>
        <w:t>第三章 评标办法</w:t>
      </w:r>
      <w:bookmarkEnd w:id="510"/>
    </w:p>
    <w:p w14:paraId="415FD9C1">
      <w:pPr>
        <w:pStyle w:val="5"/>
        <w:spacing w:before="0" w:after="0" w:line="520" w:lineRule="exact"/>
        <w:jc w:val="center"/>
        <w:rPr>
          <w:color w:val="auto"/>
          <w:highlight w:val="none"/>
        </w:rPr>
      </w:pPr>
      <w:bookmarkStart w:id="511" w:name="_Toc488650830"/>
      <w:bookmarkStart w:id="512" w:name="_Toc487291509"/>
      <w:r>
        <w:rPr>
          <w:rFonts w:hint="eastAsia"/>
          <w:color w:val="auto"/>
          <w:highlight w:val="none"/>
        </w:rPr>
        <w:t>评标办法前附表</w:t>
      </w:r>
      <w:bookmarkEnd w:id="511"/>
      <w:bookmarkEnd w:id="512"/>
      <w:r>
        <w:rPr>
          <w:rStyle w:val="53"/>
          <w:rFonts w:hint="eastAsia"/>
          <w:color w:val="auto"/>
          <w:highlight w:val="none"/>
        </w:rPr>
        <w:footnoteReference w:id="4"/>
      </w:r>
    </w:p>
    <w:tbl>
      <w:tblPr>
        <w:tblStyle w:val="44"/>
        <w:tblW w:w="949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1"/>
        <w:gridCol w:w="851"/>
        <w:gridCol w:w="2126"/>
        <w:gridCol w:w="5670"/>
      </w:tblGrid>
      <w:tr w14:paraId="0BF0CD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9" w:hRule="atLeast"/>
          <w:jc w:val="center"/>
        </w:trPr>
        <w:tc>
          <w:tcPr>
            <w:tcW w:w="1702" w:type="dxa"/>
            <w:gridSpan w:val="2"/>
            <w:vAlign w:val="center"/>
          </w:tcPr>
          <w:p w14:paraId="30429126">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条款号</w:t>
            </w:r>
          </w:p>
        </w:tc>
        <w:tc>
          <w:tcPr>
            <w:tcW w:w="2126" w:type="dxa"/>
            <w:vAlign w:val="center"/>
          </w:tcPr>
          <w:p w14:paraId="67931775">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评审因素</w:t>
            </w:r>
          </w:p>
        </w:tc>
        <w:tc>
          <w:tcPr>
            <w:tcW w:w="5670" w:type="dxa"/>
            <w:vAlign w:val="center"/>
          </w:tcPr>
          <w:p w14:paraId="1D43E6DE">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评审标准</w:t>
            </w:r>
          </w:p>
        </w:tc>
      </w:tr>
      <w:tr w14:paraId="433722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53" w:hRule="atLeast"/>
          <w:jc w:val="center"/>
        </w:trPr>
        <w:tc>
          <w:tcPr>
            <w:tcW w:w="1702" w:type="dxa"/>
            <w:gridSpan w:val="2"/>
            <w:vAlign w:val="center"/>
          </w:tcPr>
          <w:p w14:paraId="1FD34D99">
            <w:pPr>
              <w:wordWrap w:val="0"/>
              <w:spacing w:before="120" w:beforeLines="50" w:line="300" w:lineRule="auto"/>
              <w:jc w:val="center"/>
              <w:rPr>
                <w:rFonts w:ascii="宋体" w:hAnsi="宋体" w:cs="宋体"/>
                <w:color w:val="auto"/>
                <w:sz w:val="22"/>
                <w:szCs w:val="22"/>
                <w:highlight w:val="none"/>
              </w:rPr>
            </w:pPr>
            <w:r>
              <w:rPr>
                <w:rFonts w:hint="eastAsia" w:ascii="宋体" w:hAnsi="宋体" w:cs="宋体"/>
                <w:color w:val="auto"/>
                <w:szCs w:val="21"/>
                <w:highlight w:val="none"/>
              </w:rPr>
              <w:t>1</w:t>
            </w:r>
          </w:p>
        </w:tc>
        <w:tc>
          <w:tcPr>
            <w:tcW w:w="2126" w:type="dxa"/>
            <w:vAlign w:val="center"/>
          </w:tcPr>
          <w:p w14:paraId="2F5177F6">
            <w:pPr>
              <w:wordWrap w:val="0"/>
              <w:spacing w:before="120" w:beforeLines="50" w:line="300" w:lineRule="auto"/>
              <w:jc w:val="center"/>
              <w:rPr>
                <w:rFonts w:ascii="宋体" w:hAnsi="宋体" w:cs="宋体"/>
                <w:color w:val="auto"/>
                <w:sz w:val="22"/>
                <w:szCs w:val="22"/>
                <w:highlight w:val="none"/>
              </w:rPr>
            </w:pPr>
            <w:r>
              <w:rPr>
                <w:rFonts w:hint="eastAsia" w:ascii="宋体" w:hAnsi="宋体" w:cs="宋体"/>
                <w:color w:val="auto"/>
                <w:szCs w:val="21"/>
                <w:highlight w:val="none"/>
              </w:rPr>
              <w:t>确定入围投标人</w:t>
            </w:r>
          </w:p>
        </w:tc>
        <w:tc>
          <w:tcPr>
            <w:tcW w:w="5670" w:type="dxa"/>
            <w:vAlign w:val="center"/>
          </w:tcPr>
          <w:p w14:paraId="743FD9B2">
            <w:pPr>
              <w:pStyle w:val="18"/>
              <w:keepNext w:val="0"/>
              <w:keepLines w:val="0"/>
              <w:pageBreakBefore w:val="0"/>
              <w:widowControl w:val="0"/>
              <w:kinsoku/>
              <w:wordWrap w:val="0"/>
              <w:overflowPunct/>
              <w:topLinePunct w:val="0"/>
              <w:autoSpaceDE/>
              <w:autoSpaceDN/>
              <w:bidi w:val="0"/>
              <w:adjustRightInd/>
              <w:snapToGrid/>
              <w:spacing w:after="0" w:line="300" w:lineRule="exact"/>
              <w:ind w:right="-61" w:rightChars="-29"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1.当投标人数量小于等于15家的，所有投标人均为入围投标人；</w:t>
            </w:r>
          </w:p>
          <w:p w14:paraId="716DD1C4">
            <w:pPr>
              <w:pStyle w:val="18"/>
              <w:keepNext w:val="0"/>
              <w:keepLines w:val="0"/>
              <w:pageBreakBefore w:val="0"/>
              <w:widowControl w:val="0"/>
              <w:kinsoku/>
              <w:wordWrap w:val="0"/>
              <w:overflowPunct/>
              <w:topLinePunct w:val="0"/>
              <w:autoSpaceDE/>
              <w:autoSpaceDN/>
              <w:bidi w:val="0"/>
              <w:adjustRightInd/>
              <w:snapToGrid/>
              <w:spacing w:after="0" w:line="300" w:lineRule="exact"/>
              <w:ind w:right="-61" w:rightChars="-29"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2.当投标人数量大于15家的，应当采用以下方式确定入围的投标人：</w:t>
            </w:r>
          </w:p>
          <w:p w14:paraId="48C43041">
            <w:pPr>
              <w:pStyle w:val="18"/>
              <w:keepNext w:val="0"/>
              <w:keepLines w:val="0"/>
              <w:pageBreakBefore w:val="0"/>
              <w:widowControl w:val="0"/>
              <w:kinsoku/>
              <w:wordWrap w:val="0"/>
              <w:overflowPunct/>
              <w:topLinePunct w:val="0"/>
              <w:autoSpaceDE/>
              <w:autoSpaceDN/>
              <w:bidi w:val="0"/>
              <w:adjustRightInd/>
              <w:snapToGrid/>
              <w:spacing w:after="0" w:line="300" w:lineRule="exact"/>
              <w:ind w:right="-61" w:rightChars="-29"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按投标人最近期的福建省交通建设市场信用考核评价等级由高到低排序，从信用等级A及以上等级的投标人中随机抽取15家入围，再将未抽取到的信用等级为AA 级的投标人全部增补入围</w:t>
            </w:r>
            <w:r>
              <w:rPr>
                <w:rFonts w:hint="eastAsia" w:ascii="宋体" w:hAnsi="宋体" w:cs="宋体"/>
                <w:color w:val="auto"/>
                <w:sz w:val="21"/>
                <w:szCs w:val="21"/>
                <w:highlight w:val="none"/>
                <w:lang w:val="en-US" w:eastAsia="zh-CN"/>
              </w:rPr>
              <w:t>；</w:t>
            </w:r>
            <w:r>
              <w:rPr>
                <w:rFonts w:hint="eastAsia" w:ascii="宋体" w:hAnsi="宋体" w:eastAsia="宋体" w:cs="宋体"/>
                <w:color w:val="auto"/>
                <w:szCs w:val="21"/>
                <w:highlight w:val="none"/>
              </w:rPr>
              <w:t>如信用等级A及以上等级的投标人不足 15 家，信用等级A及以上等级的投标人全部入围，不足部分从信用等级B级的投标人中随机抽取，补足 15 家。</w:t>
            </w:r>
          </w:p>
          <w:p w14:paraId="04F8C391">
            <w:pPr>
              <w:pStyle w:val="18"/>
              <w:keepNext w:val="0"/>
              <w:keepLines w:val="0"/>
              <w:pageBreakBefore w:val="0"/>
              <w:widowControl w:val="0"/>
              <w:kinsoku/>
              <w:wordWrap w:val="0"/>
              <w:overflowPunct/>
              <w:topLinePunct w:val="0"/>
              <w:autoSpaceDE/>
              <w:autoSpaceDN/>
              <w:bidi w:val="0"/>
              <w:adjustRightInd/>
              <w:snapToGrid/>
              <w:spacing w:after="0" w:line="300" w:lineRule="exact"/>
              <w:ind w:right="-61" w:rightChars="-29"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抽取规则：投标人代表号即为投标人代表球号，由</w:t>
            </w:r>
            <w:r>
              <w:rPr>
                <w:rFonts w:hint="eastAsia" w:ascii="宋体" w:hAnsi="宋体" w:eastAsia="宋体" w:cs="宋体"/>
                <w:color w:val="auto"/>
                <w:szCs w:val="21"/>
                <w:highlight w:val="none"/>
              </w:rPr>
              <w:t>招标人代表在市公共资源交易中心开标区抽取机中放入</w:t>
            </w:r>
            <w:r>
              <w:rPr>
                <w:rFonts w:hint="eastAsia" w:ascii="宋体" w:hAnsi="宋体" w:eastAsia="宋体" w:cs="宋体"/>
                <w:color w:val="auto"/>
                <w:sz w:val="21"/>
                <w:szCs w:val="21"/>
                <w:highlight w:val="none"/>
                <w:lang w:val="en-US" w:eastAsia="zh-CN"/>
              </w:rPr>
              <w:t>信用等级A及以上等级的投标人代表球号，分15次进行随机抽取入围投标人。</w:t>
            </w:r>
          </w:p>
          <w:p w14:paraId="2E5D8F2A">
            <w:pPr>
              <w:pStyle w:val="18"/>
              <w:keepNext w:val="0"/>
              <w:keepLines w:val="0"/>
              <w:pageBreakBefore w:val="0"/>
              <w:widowControl w:val="0"/>
              <w:kinsoku/>
              <w:wordWrap w:val="0"/>
              <w:overflowPunct/>
              <w:topLinePunct w:val="0"/>
              <w:autoSpaceDE/>
              <w:autoSpaceDN/>
              <w:bidi w:val="0"/>
              <w:adjustRightInd/>
              <w:snapToGrid/>
              <w:spacing w:after="0" w:line="300" w:lineRule="exact"/>
              <w:ind w:right="-61" w:rightChars="-29"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若信用等级A及以上等级的投标人不足15家时，</w:t>
            </w:r>
            <w:r>
              <w:rPr>
                <w:rFonts w:hint="eastAsia" w:ascii="宋体" w:hAnsi="宋体" w:eastAsia="宋体" w:cs="宋体"/>
                <w:color w:val="auto"/>
                <w:szCs w:val="21"/>
                <w:highlight w:val="none"/>
              </w:rPr>
              <w:t>信用等级A及以上等级的投标人全部入围</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lang w:val="en-US" w:eastAsia="zh-CN"/>
              </w:rPr>
              <w:t>由</w:t>
            </w:r>
            <w:r>
              <w:rPr>
                <w:rFonts w:hint="eastAsia" w:ascii="宋体" w:hAnsi="宋体" w:eastAsia="宋体" w:cs="宋体"/>
                <w:color w:val="auto"/>
                <w:szCs w:val="21"/>
                <w:highlight w:val="none"/>
              </w:rPr>
              <w:t>招标人代表在市公共资源交易中心开标区抽取机中放入</w:t>
            </w:r>
            <w:r>
              <w:rPr>
                <w:rFonts w:hint="eastAsia" w:ascii="宋体" w:hAnsi="宋体" w:eastAsia="宋体" w:cs="宋体"/>
                <w:color w:val="auto"/>
                <w:sz w:val="21"/>
                <w:szCs w:val="21"/>
                <w:highlight w:val="none"/>
                <w:lang w:val="en-US" w:eastAsia="zh-CN"/>
              </w:rPr>
              <w:t>信用等级B级的投标人代表球号，分（15-</w:t>
            </w:r>
            <w:r>
              <w:rPr>
                <w:rFonts w:hint="eastAsia" w:ascii="宋体" w:hAnsi="宋体" w:eastAsia="宋体" w:cs="宋体"/>
                <w:color w:val="auto"/>
                <w:szCs w:val="21"/>
                <w:highlight w:val="none"/>
              </w:rPr>
              <w:t>信用等级A及以上等级的投标人</w:t>
            </w:r>
            <w:r>
              <w:rPr>
                <w:rFonts w:hint="eastAsia" w:ascii="宋体" w:hAnsi="宋体" w:eastAsia="宋体" w:cs="宋体"/>
                <w:color w:val="auto"/>
                <w:szCs w:val="21"/>
                <w:highlight w:val="none"/>
                <w:lang w:val="en-US" w:eastAsia="zh-CN"/>
              </w:rPr>
              <w:t>数量</w:t>
            </w:r>
            <w:r>
              <w:rPr>
                <w:rFonts w:hint="eastAsia" w:ascii="宋体" w:hAnsi="宋体" w:eastAsia="宋体" w:cs="宋体"/>
                <w:color w:val="auto"/>
                <w:sz w:val="21"/>
                <w:szCs w:val="21"/>
                <w:highlight w:val="none"/>
                <w:lang w:val="en-US" w:eastAsia="zh-CN"/>
              </w:rPr>
              <w:t>）次进行随机抽取入围投标人。</w:t>
            </w:r>
          </w:p>
          <w:p w14:paraId="0D2AC572">
            <w:pPr>
              <w:pStyle w:val="18"/>
              <w:keepNext w:val="0"/>
              <w:keepLines w:val="0"/>
              <w:pageBreakBefore w:val="0"/>
              <w:widowControl w:val="0"/>
              <w:kinsoku/>
              <w:wordWrap w:val="0"/>
              <w:overflowPunct/>
              <w:topLinePunct w:val="0"/>
              <w:autoSpaceDE/>
              <w:autoSpaceDN/>
              <w:bidi w:val="0"/>
              <w:adjustRightInd/>
              <w:snapToGrid/>
              <w:spacing w:after="0" w:line="300" w:lineRule="exact"/>
              <w:ind w:right="-61" w:rightChars="-29"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w:t>
            </w:r>
          </w:p>
          <w:p w14:paraId="5EEE393E">
            <w:pPr>
              <w:pStyle w:val="18"/>
              <w:keepNext w:val="0"/>
              <w:keepLines w:val="0"/>
              <w:pageBreakBefore w:val="0"/>
              <w:widowControl w:val="0"/>
              <w:numPr>
                <w:ilvl w:val="-1"/>
                <w:numId w:val="0"/>
              </w:numPr>
              <w:kinsoku/>
              <w:wordWrap w:val="0"/>
              <w:overflowPunct/>
              <w:topLinePunct w:val="0"/>
              <w:autoSpaceDE/>
              <w:autoSpaceDN/>
              <w:bidi w:val="0"/>
              <w:adjustRightInd/>
              <w:snapToGrid/>
              <w:spacing w:after="0" w:line="300" w:lineRule="exact"/>
              <w:ind w:right="-61" w:rightChars="-29"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开标现场通过“信用交通·福建”（http://220.160.53.3:30050/gzwz/）网站中“信用考核结果适用情况（动态更新）”栏目中最新公布结果核实投标人的福建省交通建设市场信用考核评价结果。按照《福建省交通建设市场信用考核管理办法》规定，投标人享受AA级、A级信用分规定且合计中标次数达到规定次数的，其从业单位及主要从业人员相应的信用分规定失效。其后参加的投标，信用分按B级处理。</w:t>
            </w:r>
          </w:p>
          <w:p w14:paraId="15F56C6F">
            <w:pPr>
              <w:pStyle w:val="42"/>
              <w:spacing w:line="300" w:lineRule="auto"/>
              <w:ind w:firstLine="210"/>
              <w:rPr>
                <w:rFonts w:ascii="宋体" w:hAnsi="宋体" w:cs="宋体"/>
                <w:color w:val="auto"/>
                <w:szCs w:val="21"/>
                <w:highlight w:val="none"/>
              </w:rPr>
            </w:pPr>
            <w:r>
              <w:rPr>
                <w:rFonts w:hint="eastAsia" w:ascii="宋体" w:hAnsi="宋体" w:eastAsia="宋体" w:cs="宋体"/>
                <w:color w:val="auto"/>
                <w:sz w:val="21"/>
                <w:szCs w:val="21"/>
                <w:highlight w:val="none"/>
                <w:lang w:val="en-US" w:bidi="zh-CN"/>
              </w:rPr>
              <w:t>2</w:t>
            </w:r>
            <w:r>
              <w:rPr>
                <w:rFonts w:hint="eastAsia" w:ascii="宋体" w:hAnsi="宋体" w:cs="宋体"/>
                <w:color w:val="auto"/>
                <w:sz w:val="21"/>
                <w:szCs w:val="21"/>
                <w:highlight w:val="none"/>
                <w:lang w:val="en-US" w:bidi="zh-CN"/>
              </w:rPr>
              <w:t>.</w:t>
            </w:r>
            <w:r>
              <w:rPr>
                <w:rFonts w:hint="eastAsia" w:ascii="宋体" w:hAnsi="宋体" w:eastAsia="宋体" w:cs="宋体"/>
                <w:color w:val="auto"/>
                <w:spacing w:val="0"/>
                <w:kern w:val="1"/>
                <w:sz w:val="21"/>
                <w:szCs w:val="21"/>
                <w:highlight w:val="none"/>
                <w:lang w:val="zh-CN"/>
              </w:rPr>
              <w:t>在</w:t>
            </w:r>
            <w:r>
              <w:rPr>
                <w:rFonts w:hint="eastAsia" w:ascii="宋体" w:hAnsi="宋体" w:eastAsia="宋体" w:cs="宋体"/>
                <w:color w:val="auto"/>
                <w:kern w:val="1"/>
                <w:sz w:val="21"/>
                <w:szCs w:val="21"/>
                <w:highlight w:val="none"/>
                <w:lang w:val="zh-CN"/>
              </w:rPr>
              <w:t>公开随机抽取入围投标人</w:t>
            </w:r>
            <w:r>
              <w:rPr>
                <w:rFonts w:hint="eastAsia" w:ascii="宋体" w:hAnsi="宋体" w:eastAsia="宋体" w:cs="宋体"/>
                <w:color w:val="auto"/>
                <w:spacing w:val="0"/>
                <w:kern w:val="1"/>
                <w:sz w:val="21"/>
                <w:szCs w:val="21"/>
                <w:highlight w:val="none"/>
                <w:lang w:val="zh-CN"/>
              </w:rPr>
              <w:t>过程中，如出现由于</w:t>
            </w:r>
            <w:r>
              <w:rPr>
                <w:rFonts w:hint="eastAsia" w:ascii="宋体" w:hAnsi="宋体" w:eastAsia="宋体" w:cs="宋体"/>
                <w:color w:val="auto"/>
                <w:spacing w:val="0"/>
                <w:kern w:val="1"/>
                <w:sz w:val="21"/>
                <w:szCs w:val="21"/>
                <w:highlight w:val="none"/>
                <w:lang w:val="en-US" w:eastAsia="zh-CN"/>
              </w:rPr>
              <w:t>工作人员</w:t>
            </w:r>
            <w:r>
              <w:rPr>
                <w:rFonts w:hint="eastAsia" w:ascii="宋体" w:hAnsi="宋体" w:eastAsia="宋体" w:cs="宋体"/>
                <w:color w:val="auto"/>
                <w:spacing w:val="0"/>
                <w:kern w:val="1"/>
                <w:sz w:val="21"/>
                <w:szCs w:val="21"/>
                <w:highlight w:val="none"/>
                <w:lang w:val="zh-CN"/>
              </w:rPr>
              <w:t>的工作失误、设备故障或其他不可抗力因素</w:t>
            </w:r>
            <w:r>
              <w:rPr>
                <w:rFonts w:hint="eastAsia" w:ascii="宋体" w:hAnsi="宋体" w:eastAsia="宋体" w:cs="宋体"/>
                <w:color w:val="auto"/>
                <w:spacing w:val="0"/>
                <w:kern w:val="1"/>
                <w:sz w:val="21"/>
                <w:szCs w:val="21"/>
                <w:highlight w:val="none"/>
                <w:lang w:val="en-US" w:eastAsia="zh-CN"/>
              </w:rPr>
              <w:t>且</w:t>
            </w:r>
            <w:r>
              <w:rPr>
                <w:rFonts w:hint="eastAsia" w:ascii="宋体" w:hAnsi="宋体" w:eastAsia="宋体" w:cs="宋体"/>
                <w:color w:val="auto"/>
                <w:spacing w:val="0"/>
                <w:kern w:val="1"/>
                <w:sz w:val="21"/>
                <w:szCs w:val="21"/>
                <w:highlight w:val="none"/>
                <w:lang w:val="zh-CN"/>
              </w:rPr>
              <w:t>影响抽取结果的，抽取的</w:t>
            </w:r>
            <w:r>
              <w:rPr>
                <w:rFonts w:hint="eastAsia" w:ascii="宋体" w:hAnsi="宋体" w:eastAsia="宋体" w:cs="宋体"/>
                <w:color w:val="auto"/>
                <w:kern w:val="1"/>
                <w:sz w:val="21"/>
                <w:szCs w:val="21"/>
                <w:highlight w:val="none"/>
                <w:lang w:val="zh-CN"/>
              </w:rPr>
              <w:t>入围投标人</w:t>
            </w:r>
            <w:r>
              <w:rPr>
                <w:rFonts w:hint="eastAsia" w:ascii="宋体" w:hAnsi="宋体" w:eastAsia="宋体" w:cs="宋体"/>
                <w:color w:val="auto"/>
                <w:spacing w:val="0"/>
                <w:kern w:val="1"/>
                <w:sz w:val="21"/>
                <w:szCs w:val="21"/>
                <w:highlight w:val="none"/>
                <w:lang w:val="zh-CN"/>
              </w:rPr>
              <w:t>名单无效，应当重新抽取。</w:t>
            </w:r>
          </w:p>
        </w:tc>
      </w:tr>
      <w:tr w14:paraId="5F0DDE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vMerge w:val="restart"/>
            <w:vAlign w:val="center"/>
          </w:tcPr>
          <w:p w14:paraId="3D79D902">
            <w:pPr>
              <w:spacing w:line="380" w:lineRule="exac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2</w:t>
            </w:r>
          </w:p>
        </w:tc>
        <w:tc>
          <w:tcPr>
            <w:tcW w:w="851" w:type="dxa"/>
            <w:vMerge w:val="restart"/>
            <w:vAlign w:val="center"/>
          </w:tcPr>
          <w:p w14:paraId="76CAFFC1">
            <w:pPr>
              <w:spacing w:line="3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资格评审标准</w:t>
            </w:r>
          </w:p>
        </w:tc>
        <w:tc>
          <w:tcPr>
            <w:tcW w:w="2126" w:type="dxa"/>
            <w:vAlign w:val="center"/>
          </w:tcPr>
          <w:p w14:paraId="01357E7B">
            <w:pPr>
              <w:spacing w:line="400" w:lineRule="exact"/>
              <w:jc w:val="center"/>
              <w:rPr>
                <w:rFonts w:ascii="宋体" w:hAnsi="宋体" w:cs="宋体"/>
                <w:color w:val="auto"/>
                <w:sz w:val="22"/>
                <w:szCs w:val="22"/>
                <w:highlight w:val="none"/>
              </w:rPr>
            </w:pPr>
            <w:r>
              <w:rPr>
                <w:color w:val="auto"/>
                <w:szCs w:val="21"/>
                <w:highlight w:val="none"/>
              </w:rPr>
              <w:t>营业执照</w:t>
            </w:r>
          </w:p>
        </w:tc>
        <w:tc>
          <w:tcPr>
            <w:tcW w:w="5670" w:type="dxa"/>
            <w:vAlign w:val="center"/>
          </w:tcPr>
          <w:p w14:paraId="1B02BB08">
            <w:pPr>
              <w:spacing w:line="400" w:lineRule="exact"/>
              <w:jc w:val="center"/>
              <w:rPr>
                <w:rFonts w:ascii="宋体" w:hAnsi="宋体" w:cs="宋体"/>
                <w:color w:val="auto"/>
                <w:sz w:val="22"/>
                <w:szCs w:val="22"/>
                <w:highlight w:val="none"/>
              </w:rPr>
            </w:pPr>
            <w:r>
              <w:rPr>
                <w:color w:val="auto"/>
                <w:szCs w:val="21"/>
                <w:highlight w:val="none"/>
              </w:rPr>
              <w:t>具备有效的营业执照</w:t>
            </w:r>
          </w:p>
        </w:tc>
      </w:tr>
      <w:tr w14:paraId="64C191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vMerge w:val="continue"/>
            <w:vAlign w:val="center"/>
          </w:tcPr>
          <w:p w14:paraId="1B5D1FD2">
            <w:pPr>
              <w:spacing w:line="380" w:lineRule="exact"/>
              <w:jc w:val="center"/>
              <w:rPr>
                <w:rFonts w:ascii="宋体" w:hAnsi="宋体" w:cs="宋体"/>
                <w:color w:val="auto"/>
                <w:sz w:val="22"/>
                <w:szCs w:val="22"/>
                <w:highlight w:val="none"/>
              </w:rPr>
            </w:pPr>
          </w:p>
        </w:tc>
        <w:tc>
          <w:tcPr>
            <w:tcW w:w="851" w:type="dxa"/>
            <w:vMerge w:val="continue"/>
            <w:vAlign w:val="center"/>
          </w:tcPr>
          <w:p w14:paraId="61D918CF">
            <w:pPr>
              <w:spacing w:line="380" w:lineRule="exact"/>
              <w:jc w:val="center"/>
              <w:rPr>
                <w:rFonts w:ascii="宋体" w:hAnsi="宋体" w:cs="宋体"/>
                <w:color w:val="auto"/>
                <w:sz w:val="22"/>
                <w:szCs w:val="22"/>
                <w:highlight w:val="none"/>
              </w:rPr>
            </w:pPr>
          </w:p>
        </w:tc>
        <w:tc>
          <w:tcPr>
            <w:tcW w:w="2126" w:type="dxa"/>
            <w:vAlign w:val="center"/>
          </w:tcPr>
          <w:p w14:paraId="3352B069">
            <w:pPr>
              <w:spacing w:line="400" w:lineRule="exact"/>
              <w:jc w:val="center"/>
              <w:rPr>
                <w:rFonts w:ascii="宋体" w:hAnsi="宋体" w:cs="宋体"/>
                <w:color w:val="auto"/>
                <w:sz w:val="22"/>
                <w:szCs w:val="22"/>
                <w:highlight w:val="none"/>
              </w:rPr>
            </w:pPr>
            <w:r>
              <w:rPr>
                <w:color w:val="auto"/>
                <w:szCs w:val="21"/>
                <w:highlight w:val="none"/>
              </w:rPr>
              <w:t>资质</w:t>
            </w:r>
            <w:r>
              <w:rPr>
                <w:rFonts w:hint="eastAsia"/>
                <w:color w:val="auto"/>
                <w:szCs w:val="21"/>
                <w:highlight w:val="none"/>
              </w:rPr>
              <w:t>条件</w:t>
            </w:r>
          </w:p>
        </w:tc>
        <w:tc>
          <w:tcPr>
            <w:tcW w:w="5670" w:type="dxa"/>
            <w:vAlign w:val="center"/>
          </w:tcPr>
          <w:p w14:paraId="52D37C5C">
            <w:pPr>
              <w:spacing w:line="400" w:lineRule="exact"/>
              <w:jc w:val="center"/>
              <w:rPr>
                <w:rFonts w:ascii="宋体" w:hAnsi="宋体" w:cs="宋体"/>
                <w:color w:val="auto"/>
                <w:sz w:val="22"/>
                <w:szCs w:val="22"/>
                <w:highlight w:val="none"/>
              </w:rPr>
            </w:pPr>
            <w:r>
              <w:rPr>
                <w:color w:val="auto"/>
                <w:szCs w:val="21"/>
                <w:highlight w:val="none"/>
              </w:rPr>
              <w:t>符合第二章“投标人须知”第1.4.1项规定</w:t>
            </w:r>
          </w:p>
        </w:tc>
      </w:tr>
      <w:tr w14:paraId="765B2D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vMerge w:val="continue"/>
            <w:vAlign w:val="center"/>
          </w:tcPr>
          <w:p w14:paraId="54756F71">
            <w:pPr>
              <w:spacing w:line="380" w:lineRule="exact"/>
              <w:jc w:val="center"/>
              <w:rPr>
                <w:rFonts w:ascii="宋体" w:hAnsi="宋体" w:cs="宋体"/>
                <w:color w:val="auto"/>
                <w:sz w:val="22"/>
                <w:szCs w:val="22"/>
                <w:highlight w:val="none"/>
              </w:rPr>
            </w:pPr>
          </w:p>
        </w:tc>
        <w:tc>
          <w:tcPr>
            <w:tcW w:w="851" w:type="dxa"/>
            <w:vMerge w:val="continue"/>
            <w:vAlign w:val="center"/>
          </w:tcPr>
          <w:p w14:paraId="05D79B52">
            <w:pPr>
              <w:spacing w:line="380" w:lineRule="exact"/>
              <w:jc w:val="center"/>
              <w:rPr>
                <w:rFonts w:ascii="宋体" w:hAnsi="宋体" w:cs="宋体"/>
                <w:color w:val="auto"/>
                <w:sz w:val="22"/>
                <w:szCs w:val="22"/>
                <w:highlight w:val="none"/>
              </w:rPr>
            </w:pPr>
          </w:p>
        </w:tc>
        <w:tc>
          <w:tcPr>
            <w:tcW w:w="2126" w:type="dxa"/>
            <w:vAlign w:val="center"/>
          </w:tcPr>
          <w:p w14:paraId="7A72568B">
            <w:pPr>
              <w:spacing w:line="400" w:lineRule="exact"/>
              <w:jc w:val="center"/>
              <w:rPr>
                <w:rFonts w:ascii="宋体" w:hAnsi="宋体" w:cs="宋体"/>
                <w:color w:val="auto"/>
                <w:sz w:val="22"/>
                <w:szCs w:val="22"/>
                <w:highlight w:val="none"/>
              </w:rPr>
            </w:pPr>
            <w:r>
              <w:rPr>
                <w:color w:val="auto"/>
                <w:szCs w:val="21"/>
                <w:highlight w:val="none"/>
              </w:rPr>
              <w:t>业绩</w:t>
            </w:r>
            <w:r>
              <w:rPr>
                <w:rFonts w:hint="eastAsia"/>
                <w:color w:val="auto"/>
                <w:szCs w:val="21"/>
                <w:highlight w:val="none"/>
              </w:rPr>
              <w:t>要求</w:t>
            </w:r>
          </w:p>
        </w:tc>
        <w:tc>
          <w:tcPr>
            <w:tcW w:w="5670" w:type="dxa"/>
            <w:vAlign w:val="center"/>
          </w:tcPr>
          <w:p w14:paraId="15359E08">
            <w:pPr>
              <w:spacing w:line="400" w:lineRule="exact"/>
              <w:jc w:val="center"/>
              <w:rPr>
                <w:rFonts w:ascii="宋体" w:hAnsi="宋体" w:cs="宋体"/>
                <w:color w:val="auto"/>
                <w:sz w:val="22"/>
                <w:szCs w:val="22"/>
                <w:highlight w:val="none"/>
              </w:rPr>
            </w:pPr>
            <w:r>
              <w:rPr>
                <w:color w:val="auto"/>
                <w:szCs w:val="21"/>
                <w:highlight w:val="none"/>
              </w:rPr>
              <w:t>符合第二章“投标人须知”第1.4.1项规定</w:t>
            </w:r>
          </w:p>
        </w:tc>
      </w:tr>
      <w:tr w14:paraId="314B03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vMerge w:val="continue"/>
            <w:vAlign w:val="center"/>
          </w:tcPr>
          <w:p w14:paraId="6C132919">
            <w:pPr>
              <w:spacing w:line="380" w:lineRule="exact"/>
              <w:jc w:val="center"/>
              <w:rPr>
                <w:rFonts w:ascii="宋体" w:hAnsi="宋体" w:cs="宋体"/>
                <w:color w:val="auto"/>
                <w:sz w:val="22"/>
                <w:szCs w:val="22"/>
                <w:highlight w:val="none"/>
              </w:rPr>
            </w:pPr>
          </w:p>
        </w:tc>
        <w:tc>
          <w:tcPr>
            <w:tcW w:w="851" w:type="dxa"/>
            <w:vMerge w:val="continue"/>
            <w:vAlign w:val="center"/>
          </w:tcPr>
          <w:p w14:paraId="0FA7DA2B">
            <w:pPr>
              <w:spacing w:line="380" w:lineRule="exact"/>
              <w:jc w:val="center"/>
              <w:rPr>
                <w:rFonts w:ascii="宋体" w:hAnsi="宋体" w:cs="宋体"/>
                <w:color w:val="auto"/>
                <w:sz w:val="22"/>
                <w:szCs w:val="22"/>
                <w:highlight w:val="none"/>
              </w:rPr>
            </w:pPr>
          </w:p>
        </w:tc>
        <w:tc>
          <w:tcPr>
            <w:tcW w:w="2126" w:type="dxa"/>
            <w:vAlign w:val="center"/>
          </w:tcPr>
          <w:p w14:paraId="3A52943B">
            <w:pPr>
              <w:spacing w:line="400" w:lineRule="exact"/>
              <w:jc w:val="center"/>
              <w:rPr>
                <w:rFonts w:ascii="宋体" w:hAnsi="宋体" w:cs="宋体"/>
                <w:color w:val="auto"/>
                <w:sz w:val="22"/>
                <w:szCs w:val="22"/>
                <w:highlight w:val="none"/>
              </w:rPr>
            </w:pPr>
            <w:r>
              <w:rPr>
                <w:color w:val="auto"/>
                <w:szCs w:val="21"/>
                <w:highlight w:val="none"/>
              </w:rPr>
              <w:t>信誉</w:t>
            </w:r>
            <w:r>
              <w:rPr>
                <w:rFonts w:hint="eastAsia"/>
                <w:color w:val="auto"/>
                <w:szCs w:val="21"/>
                <w:highlight w:val="none"/>
              </w:rPr>
              <w:t>要求</w:t>
            </w:r>
          </w:p>
        </w:tc>
        <w:tc>
          <w:tcPr>
            <w:tcW w:w="5670" w:type="dxa"/>
            <w:vAlign w:val="center"/>
          </w:tcPr>
          <w:p w14:paraId="5191D727">
            <w:pPr>
              <w:spacing w:line="400" w:lineRule="exact"/>
              <w:jc w:val="center"/>
              <w:rPr>
                <w:rFonts w:ascii="宋体" w:hAnsi="宋体" w:cs="宋体"/>
                <w:color w:val="auto"/>
                <w:sz w:val="22"/>
                <w:szCs w:val="22"/>
                <w:highlight w:val="none"/>
              </w:rPr>
            </w:pPr>
            <w:r>
              <w:rPr>
                <w:color w:val="auto"/>
                <w:szCs w:val="21"/>
                <w:highlight w:val="none"/>
              </w:rPr>
              <w:t>符合第二章“投标人须知”第1.4.1项规定</w:t>
            </w:r>
          </w:p>
        </w:tc>
      </w:tr>
      <w:tr w14:paraId="05CB70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vMerge w:val="continue"/>
            <w:vAlign w:val="center"/>
          </w:tcPr>
          <w:p w14:paraId="1F33EADC">
            <w:pPr>
              <w:spacing w:line="380" w:lineRule="exact"/>
              <w:jc w:val="center"/>
              <w:rPr>
                <w:rFonts w:ascii="宋体" w:hAnsi="宋体" w:cs="宋体"/>
                <w:color w:val="auto"/>
                <w:sz w:val="22"/>
                <w:szCs w:val="22"/>
                <w:highlight w:val="none"/>
              </w:rPr>
            </w:pPr>
          </w:p>
        </w:tc>
        <w:tc>
          <w:tcPr>
            <w:tcW w:w="851" w:type="dxa"/>
            <w:vMerge w:val="continue"/>
            <w:vAlign w:val="center"/>
          </w:tcPr>
          <w:p w14:paraId="587F336B">
            <w:pPr>
              <w:spacing w:line="380" w:lineRule="exact"/>
              <w:jc w:val="center"/>
              <w:rPr>
                <w:rFonts w:ascii="宋体" w:hAnsi="宋体" w:cs="宋体"/>
                <w:color w:val="auto"/>
                <w:sz w:val="22"/>
                <w:szCs w:val="22"/>
                <w:highlight w:val="none"/>
              </w:rPr>
            </w:pPr>
          </w:p>
        </w:tc>
        <w:tc>
          <w:tcPr>
            <w:tcW w:w="2126" w:type="dxa"/>
            <w:vAlign w:val="center"/>
          </w:tcPr>
          <w:p w14:paraId="184FDF46">
            <w:pPr>
              <w:spacing w:line="400" w:lineRule="exact"/>
              <w:jc w:val="center"/>
              <w:rPr>
                <w:rFonts w:ascii="宋体" w:hAnsi="宋体" w:cs="宋体"/>
                <w:color w:val="auto"/>
                <w:sz w:val="22"/>
                <w:szCs w:val="22"/>
                <w:highlight w:val="none"/>
              </w:rPr>
            </w:pPr>
            <w:r>
              <w:rPr>
                <w:rFonts w:hint="eastAsia"/>
                <w:color w:val="auto"/>
                <w:szCs w:val="21"/>
                <w:highlight w:val="none"/>
              </w:rPr>
              <w:t>主要人员资格</w:t>
            </w:r>
          </w:p>
        </w:tc>
        <w:tc>
          <w:tcPr>
            <w:tcW w:w="5670" w:type="dxa"/>
            <w:vAlign w:val="center"/>
          </w:tcPr>
          <w:p w14:paraId="08B7763E">
            <w:pPr>
              <w:spacing w:line="400" w:lineRule="exact"/>
              <w:jc w:val="center"/>
              <w:rPr>
                <w:rFonts w:ascii="宋体" w:hAnsi="宋体" w:cs="宋体"/>
                <w:color w:val="auto"/>
                <w:sz w:val="22"/>
                <w:szCs w:val="22"/>
                <w:highlight w:val="none"/>
              </w:rPr>
            </w:pPr>
            <w:r>
              <w:rPr>
                <w:color w:val="auto"/>
                <w:szCs w:val="21"/>
                <w:highlight w:val="none"/>
              </w:rPr>
              <w:t>符合第二章“投标人须知”第1.4.1</w:t>
            </w:r>
            <w:r>
              <w:rPr>
                <w:rFonts w:hint="eastAsia"/>
                <w:color w:val="auto"/>
                <w:szCs w:val="21"/>
                <w:highlight w:val="none"/>
              </w:rPr>
              <w:t>项</w:t>
            </w:r>
            <w:r>
              <w:rPr>
                <w:color w:val="auto"/>
                <w:szCs w:val="21"/>
                <w:highlight w:val="none"/>
              </w:rPr>
              <w:t>规定</w:t>
            </w:r>
          </w:p>
        </w:tc>
      </w:tr>
      <w:tr w14:paraId="05DEDD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vMerge w:val="continue"/>
            <w:vAlign w:val="center"/>
          </w:tcPr>
          <w:p w14:paraId="3D0D6C62">
            <w:pPr>
              <w:spacing w:line="380" w:lineRule="exact"/>
              <w:jc w:val="center"/>
              <w:rPr>
                <w:rFonts w:ascii="宋体" w:hAnsi="宋体" w:cs="宋体"/>
                <w:color w:val="auto"/>
                <w:sz w:val="22"/>
                <w:szCs w:val="22"/>
                <w:highlight w:val="none"/>
              </w:rPr>
            </w:pPr>
          </w:p>
        </w:tc>
        <w:tc>
          <w:tcPr>
            <w:tcW w:w="851" w:type="dxa"/>
            <w:vMerge w:val="continue"/>
            <w:vAlign w:val="center"/>
          </w:tcPr>
          <w:p w14:paraId="650B7105">
            <w:pPr>
              <w:spacing w:line="380" w:lineRule="exact"/>
              <w:jc w:val="center"/>
              <w:rPr>
                <w:rFonts w:ascii="宋体" w:hAnsi="宋体" w:cs="宋体"/>
                <w:color w:val="auto"/>
                <w:sz w:val="22"/>
                <w:szCs w:val="22"/>
                <w:highlight w:val="none"/>
              </w:rPr>
            </w:pPr>
          </w:p>
        </w:tc>
        <w:tc>
          <w:tcPr>
            <w:tcW w:w="2126" w:type="dxa"/>
            <w:vAlign w:val="center"/>
          </w:tcPr>
          <w:p w14:paraId="71004F8C">
            <w:pPr>
              <w:spacing w:line="400" w:lineRule="exact"/>
              <w:jc w:val="center"/>
              <w:rPr>
                <w:rFonts w:ascii="宋体" w:hAnsi="宋体" w:cs="宋体"/>
                <w:color w:val="auto"/>
                <w:sz w:val="22"/>
                <w:szCs w:val="22"/>
                <w:highlight w:val="none"/>
              </w:rPr>
            </w:pPr>
            <w:r>
              <w:rPr>
                <w:color w:val="auto"/>
                <w:szCs w:val="21"/>
                <w:highlight w:val="none"/>
              </w:rPr>
              <w:t>财务</w:t>
            </w:r>
            <w:r>
              <w:rPr>
                <w:rFonts w:hint="eastAsia"/>
                <w:color w:val="auto"/>
                <w:szCs w:val="21"/>
                <w:highlight w:val="none"/>
              </w:rPr>
              <w:t>能力</w:t>
            </w:r>
          </w:p>
        </w:tc>
        <w:tc>
          <w:tcPr>
            <w:tcW w:w="5670" w:type="dxa"/>
            <w:vAlign w:val="center"/>
          </w:tcPr>
          <w:p w14:paraId="496277FE">
            <w:pPr>
              <w:spacing w:line="400" w:lineRule="exact"/>
              <w:jc w:val="center"/>
              <w:rPr>
                <w:rFonts w:ascii="宋体" w:hAnsi="宋体" w:cs="宋体"/>
                <w:color w:val="auto"/>
                <w:sz w:val="22"/>
                <w:szCs w:val="22"/>
                <w:highlight w:val="none"/>
              </w:rPr>
            </w:pPr>
            <w:r>
              <w:rPr>
                <w:color w:val="auto"/>
                <w:szCs w:val="21"/>
                <w:highlight w:val="none"/>
              </w:rPr>
              <w:t>符合第二章“投标人须知”第1.4.1项规定</w:t>
            </w:r>
          </w:p>
        </w:tc>
      </w:tr>
      <w:tr w14:paraId="49A73F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vMerge w:val="continue"/>
            <w:vAlign w:val="center"/>
          </w:tcPr>
          <w:p w14:paraId="650EAF6A">
            <w:pPr>
              <w:spacing w:line="380" w:lineRule="exact"/>
              <w:jc w:val="center"/>
              <w:rPr>
                <w:rFonts w:ascii="宋体" w:hAnsi="宋体" w:cs="宋体"/>
                <w:color w:val="auto"/>
                <w:sz w:val="22"/>
                <w:szCs w:val="22"/>
                <w:highlight w:val="none"/>
              </w:rPr>
            </w:pPr>
          </w:p>
        </w:tc>
        <w:tc>
          <w:tcPr>
            <w:tcW w:w="851" w:type="dxa"/>
            <w:vMerge w:val="continue"/>
            <w:vAlign w:val="center"/>
          </w:tcPr>
          <w:p w14:paraId="6866AB4F">
            <w:pPr>
              <w:spacing w:line="380" w:lineRule="exact"/>
              <w:jc w:val="center"/>
              <w:rPr>
                <w:rFonts w:ascii="宋体" w:hAnsi="宋体" w:cs="宋体"/>
                <w:color w:val="auto"/>
                <w:sz w:val="22"/>
                <w:szCs w:val="22"/>
                <w:highlight w:val="none"/>
              </w:rPr>
            </w:pPr>
          </w:p>
        </w:tc>
        <w:tc>
          <w:tcPr>
            <w:tcW w:w="2126" w:type="dxa"/>
            <w:vAlign w:val="center"/>
          </w:tcPr>
          <w:p w14:paraId="20953C3C">
            <w:pPr>
              <w:spacing w:line="400" w:lineRule="exact"/>
              <w:jc w:val="center"/>
              <w:rPr>
                <w:rFonts w:ascii="宋体" w:hAnsi="宋体" w:cs="宋体"/>
                <w:color w:val="auto"/>
                <w:sz w:val="22"/>
                <w:szCs w:val="22"/>
                <w:highlight w:val="none"/>
              </w:rPr>
            </w:pPr>
            <w:r>
              <w:rPr>
                <w:rFonts w:hint="eastAsia"/>
                <w:color w:val="auto"/>
                <w:szCs w:val="21"/>
                <w:highlight w:val="none"/>
              </w:rPr>
              <w:t>其他要求</w:t>
            </w:r>
          </w:p>
        </w:tc>
        <w:tc>
          <w:tcPr>
            <w:tcW w:w="5670" w:type="dxa"/>
            <w:vAlign w:val="center"/>
          </w:tcPr>
          <w:p w14:paraId="795AF64E">
            <w:pPr>
              <w:spacing w:line="400" w:lineRule="exact"/>
              <w:jc w:val="center"/>
              <w:rPr>
                <w:rFonts w:ascii="宋体" w:hAnsi="宋体" w:cs="宋体"/>
                <w:color w:val="auto"/>
                <w:sz w:val="22"/>
                <w:szCs w:val="22"/>
                <w:highlight w:val="none"/>
              </w:rPr>
            </w:pPr>
            <w:r>
              <w:rPr>
                <w:color w:val="auto"/>
                <w:szCs w:val="21"/>
                <w:highlight w:val="none"/>
              </w:rPr>
              <w:t>符合第二章“投标人须知”第1.4.1项规定</w:t>
            </w:r>
          </w:p>
        </w:tc>
      </w:tr>
      <w:tr w14:paraId="49C47A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vMerge w:val="continue"/>
            <w:vAlign w:val="center"/>
          </w:tcPr>
          <w:p w14:paraId="1E3AD983">
            <w:pPr>
              <w:spacing w:line="380" w:lineRule="exact"/>
              <w:jc w:val="center"/>
              <w:rPr>
                <w:rFonts w:ascii="宋体" w:hAnsi="宋体" w:cs="宋体"/>
                <w:color w:val="auto"/>
                <w:sz w:val="22"/>
                <w:szCs w:val="22"/>
                <w:highlight w:val="none"/>
              </w:rPr>
            </w:pPr>
          </w:p>
        </w:tc>
        <w:tc>
          <w:tcPr>
            <w:tcW w:w="851" w:type="dxa"/>
            <w:vMerge w:val="continue"/>
            <w:vAlign w:val="center"/>
          </w:tcPr>
          <w:p w14:paraId="21187AF4">
            <w:pPr>
              <w:spacing w:line="380" w:lineRule="exact"/>
              <w:jc w:val="center"/>
              <w:rPr>
                <w:rFonts w:ascii="宋体" w:hAnsi="宋体" w:cs="宋体"/>
                <w:color w:val="auto"/>
                <w:sz w:val="22"/>
                <w:szCs w:val="22"/>
                <w:highlight w:val="none"/>
              </w:rPr>
            </w:pPr>
          </w:p>
        </w:tc>
        <w:tc>
          <w:tcPr>
            <w:tcW w:w="2126" w:type="dxa"/>
            <w:vAlign w:val="center"/>
          </w:tcPr>
          <w:p w14:paraId="76B5ACBE">
            <w:pPr>
              <w:spacing w:line="400" w:lineRule="exact"/>
              <w:jc w:val="center"/>
              <w:rPr>
                <w:rFonts w:ascii="宋体" w:hAnsi="宋体" w:cs="宋体"/>
                <w:color w:val="auto"/>
                <w:sz w:val="22"/>
                <w:szCs w:val="22"/>
                <w:highlight w:val="none"/>
              </w:rPr>
            </w:pPr>
            <w:r>
              <w:rPr>
                <w:color w:val="auto"/>
                <w:szCs w:val="21"/>
                <w:highlight w:val="none"/>
              </w:rPr>
              <w:t>联合体投标人</w:t>
            </w:r>
            <w:r>
              <w:rPr>
                <w:rFonts w:hint="eastAsia"/>
                <w:color w:val="auto"/>
                <w:szCs w:val="21"/>
                <w:highlight w:val="none"/>
              </w:rPr>
              <w:t>（如有）</w:t>
            </w:r>
          </w:p>
        </w:tc>
        <w:tc>
          <w:tcPr>
            <w:tcW w:w="5670" w:type="dxa"/>
            <w:vAlign w:val="center"/>
          </w:tcPr>
          <w:p w14:paraId="352497B1">
            <w:pPr>
              <w:spacing w:line="400" w:lineRule="exact"/>
              <w:jc w:val="center"/>
              <w:rPr>
                <w:rFonts w:ascii="宋体" w:hAnsi="宋体" w:cs="宋体"/>
                <w:color w:val="auto"/>
                <w:sz w:val="22"/>
                <w:szCs w:val="22"/>
                <w:highlight w:val="none"/>
              </w:rPr>
            </w:pPr>
            <w:r>
              <w:rPr>
                <w:color w:val="auto"/>
                <w:szCs w:val="21"/>
                <w:highlight w:val="none"/>
              </w:rPr>
              <w:t>符合第二章“投标人须知”第1.4.2项规定</w:t>
            </w:r>
          </w:p>
        </w:tc>
      </w:tr>
      <w:tr w14:paraId="7E1E81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vMerge w:val="continue"/>
            <w:vAlign w:val="center"/>
          </w:tcPr>
          <w:p w14:paraId="1DACF8A6">
            <w:pPr>
              <w:spacing w:line="380" w:lineRule="exact"/>
              <w:jc w:val="center"/>
              <w:rPr>
                <w:rFonts w:ascii="宋体" w:hAnsi="宋体" w:cs="宋体"/>
                <w:color w:val="auto"/>
                <w:sz w:val="22"/>
                <w:szCs w:val="22"/>
                <w:highlight w:val="none"/>
              </w:rPr>
            </w:pPr>
          </w:p>
        </w:tc>
        <w:tc>
          <w:tcPr>
            <w:tcW w:w="851" w:type="dxa"/>
            <w:vMerge w:val="continue"/>
            <w:vAlign w:val="center"/>
          </w:tcPr>
          <w:p w14:paraId="1BBB0BA6">
            <w:pPr>
              <w:spacing w:line="380" w:lineRule="exact"/>
              <w:jc w:val="center"/>
              <w:rPr>
                <w:rFonts w:ascii="宋体" w:hAnsi="宋体" w:cs="宋体"/>
                <w:color w:val="auto"/>
                <w:sz w:val="22"/>
                <w:szCs w:val="22"/>
                <w:highlight w:val="none"/>
              </w:rPr>
            </w:pPr>
          </w:p>
        </w:tc>
        <w:tc>
          <w:tcPr>
            <w:tcW w:w="2126" w:type="dxa"/>
            <w:vAlign w:val="center"/>
          </w:tcPr>
          <w:p w14:paraId="7A503727">
            <w:pPr>
              <w:adjustRightInd w:val="0"/>
              <w:snapToGrid w:val="0"/>
              <w:jc w:val="center"/>
              <w:rPr>
                <w:color w:val="auto"/>
                <w:szCs w:val="21"/>
                <w:highlight w:val="none"/>
              </w:rPr>
            </w:pPr>
            <w:r>
              <w:rPr>
                <w:rFonts w:hint="eastAsia" w:ascii="宋体" w:hAnsi="宋体"/>
                <w:color w:val="auto"/>
                <w:szCs w:val="21"/>
                <w:highlight w:val="none"/>
              </w:rPr>
              <w:t>投标文件软硬件信息不得出现的情形</w:t>
            </w:r>
          </w:p>
        </w:tc>
        <w:tc>
          <w:tcPr>
            <w:tcW w:w="5670" w:type="dxa"/>
            <w:vAlign w:val="center"/>
          </w:tcPr>
          <w:p w14:paraId="0C89D2BF">
            <w:pPr>
              <w:spacing w:line="300" w:lineRule="auto"/>
              <w:rPr>
                <w:color w:val="auto"/>
                <w:szCs w:val="21"/>
                <w:highlight w:val="none"/>
              </w:rPr>
            </w:pPr>
            <w:r>
              <w:rPr>
                <w:rFonts w:hint="eastAsia" w:ascii="Times New Roman" w:hAnsi="Times New Roman"/>
                <w:color w:val="auto"/>
                <w:highlight w:val="none"/>
              </w:rPr>
              <w:t>电子投标文件记录的计算机硬件信息中，不得存在一条及以上的计算机的MAC地址、CPU序列号、硬盘序列号空值的情形。</w:t>
            </w:r>
          </w:p>
        </w:tc>
      </w:tr>
      <w:tr w14:paraId="597599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vMerge w:val="restart"/>
            <w:vAlign w:val="center"/>
          </w:tcPr>
          <w:p w14:paraId="3161519F">
            <w:pP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3</w:t>
            </w:r>
          </w:p>
        </w:tc>
        <w:tc>
          <w:tcPr>
            <w:tcW w:w="851" w:type="dxa"/>
            <w:vMerge w:val="restart"/>
            <w:vAlign w:val="center"/>
          </w:tcPr>
          <w:p w14:paraId="1B063466">
            <w:pPr>
              <w:spacing w:line="3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形式评审标准</w:t>
            </w:r>
          </w:p>
        </w:tc>
        <w:tc>
          <w:tcPr>
            <w:tcW w:w="2126" w:type="dxa"/>
            <w:vAlign w:val="center"/>
          </w:tcPr>
          <w:p w14:paraId="6644AB3E">
            <w:pPr>
              <w:spacing w:line="400" w:lineRule="exact"/>
              <w:jc w:val="center"/>
              <w:rPr>
                <w:color w:val="auto"/>
                <w:szCs w:val="21"/>
                <w:highlight w:val="none"/>
              </w:rPr>
            </w:pPr>
            <w:r>
              <w:rPr>
                <w:color w:val="auto"/>
                <w:szCs w:val="21"/>
                <w:highlight w:val="none"/>
              </w:rPr>
              <w:t>投标人名称</w:t>
            </w:r>
          </w:p>
        </w:tc>
        <w:tc>
          <w:tcPr>
            <w:tcW w:w="5670" w:type="dxa"/>
            <w:vAlign w:val="center"/>
          </w:tcPr>
          <w:p w14:paraId="0F02D099">
            <w:pPr>
              <w:spacing w:line="400" w:lineRule="exact"/>
              <w:jc w:val="center"/>
              <w:rPr>
                <w:color w:val="auto"/>
                <w:szCs w:val="21"/>
                <w:highlight w:val="none"/>
              </w:rPr>
            </w:pPr>
            <w:r>
              <w:rPr>
                <w:color w:val="auto"/>
                <w:szCs w:val="21"/>
                <w:highlight w:val="none"/>
              </w:rPr>
              <w:t>与营业执照、资质证书一致</w:t>
            </w:r>
          </w:p>
        </w:tc>
      </w:tr>
      <w:tr w14:paraId="15CDBE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vMerge w:val="continue"/>
            <w:vAlign w:val="center"/>
          </w:tcPr>
          <w:p w14:paraId="3FBD597D">
            <w:pPr>
              <w:spacing w:line="380" w:lineRule="exact"/>
              <w:jc w:val="center"/>
              <w:rPr>
                <w:rFonts w:ascii="宋体" w:hAnsi="宋体" w:cs="宋体"/>
                <w:color w:val="auto"/>
                <w:sz w:val="22"/>
                <w:szCs w:val="22"/>
                <w:highlight w:val="none"/>
              </w:rPr>
            </w:pPr>
          </w:p>
        </w:tc>
        <w:tc>
          <w:tcPr>
            <w:tcW w:w="851" w:type="dxa"/>
            <w:vMerge w:val="continue"/>
            <w:vAlign w:val="center"/>
          </w:tcPr>
          <w:p w14:paraId="1B39FAA8">
            <w:pPr>
              <w:spacing w:line="380" w:lineRule="exact"/>
              <w:jc w:val="center"/>
              <w:rPr>
                <w:rFonts w:ascii="宋体" w:hAnsi="宋体" w:cs="宋体"/>
                <w:color w:val="auto"/>
                <w:sz w:val="22"/>
                <w:szCs w:val="22"/>
                <w:highlight w:val="none"/>
              </w:rPr>
            </w:pPr>
          </w:p>
        </w:tc>
        <w:tc>
          <w:tcPr>
            <w:tcW w:w="2126" w:type="dxa"/>
            <w:vAlign w:val="center"/>
          </w:tcPr>
          <w:p w14:paraId="76520E86">
            <w:pPr>
              <w:spacing w:line="400" w:lineRule="exact"/>
              <w:jc w:val="center"/>
              <w:rPr>
                <w:color w:val="auto"/>
                <w:szCs w:val="21"/>
                <w:highlight w:val="none"/>
              </w:rPr>
            </w:pPr>
            <w:r>
              <w:rPr>
                <w:color w:val="auto"/>
                <w:szCs w:val="21"/>
                <w:highlight w:val="none"/>
              </w:rPr>
              <w:t>投标函签字盖章</w:t>
            </w:r>
          </w:p>
        </w:tc>
        <w:tc>
          <w:tcPr>
            <w:tcW w:w="5670" w:type="dxa"/>
            <w:vAlign w:val="center"/>
          </w:tcPr>
          <w:p w14:paraId="76F93CDA">
            <w:pPr>
              <w:spacing w:line="400" w:lineRule="exact"/>
              <w:jc w:val="center"/>
              <w:rPr>
                <w:color w:val="auto"/>
                <w:szCs w:val="21"/>
                <w:highlight w:val="none"/>
              </w:rPr>
            </w:pPr>
            <w:r>
              <w:rPr>
                <w:rFonts w:hint="eastAsia"/>
                <w:color w:val="auto"/>
                <w:szCs w:val="21"/>
                <w:highlight w:val="none"/>
              </w:rPr>
              <w:t>加盖单位电子公章</w:t>
            </w:r>
          </w:p>
        </w:tc>
      </w:tr>
      <w:tr w14:paraId="0AA361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vMerge w:val="continue"/>
            <w:vAlign w:val="center"/>
          </w:tcPr>
          <w:p w14:paraId="6B11AC40">
            <w:pPr>
              <w:spacing w:line="380" w:lineRule="exact"/>
              <w:jc w:val="center"/>
              <w:rPr>
                <w:rFonts w:ascii="宋体" w:hAnsi="宋体" w:cs="宋体"/>
                <w:color w:val="auto"/>
                <w:sz w:val="22"/>
                <w:szCs w:val="22"/>
                <w:highlight w:val="none"/>
              </w:rPr>
            </w:pPr>
          </w:p>
        </w:tc>
        <w:tc>
          <w:tcPr>
            <w:tcW w:w="851" w:type="dxa"/>
            <w:vMerge w:val="continue"/>
            <w:vAlign w:val="center"/>
          </w:tcPr>
          <w:p w14:paraId="29718527">
            <w:pPr>
              <w:spacing w:line="380" w:lineRule="exact"/>
              <w:jc w:val="center"/>
              <w:rPr>
                <w:rFonts w:ascii="宋体" w:hAnsi="宋体" w:cs="宋体"/>
                <w:color w:val="auto"/>
                <w:sz w:val="22"/>
                <w:szCs w:val="22"/>
                <w:highlight w:val="none"/>
              </w:rPr>
            </w:pPr>
          </w:p>
        </w:tc>
        <w:tc>
          <w:tcPr>
            <w:tcW w:w="2126" w:type="dxa"/>
            <w:vAlign w:val="center"/>
          </w:tcPr>
          <w:p w14:paraId="41F29E88">
            <w:pPr>
              <w:spacing w:line="400" w:lineRule="exact"/>
              <w:jc w:val="center"/>
              <w:rPr>
                <w:color w:val="auto"/>
                <w:szCs w:val="21"/>
                <w:highlight w:val="none"/>
              </w:rPr>
            </w:pPr>
            <w:r>
              <w:rPr>
                <w:color w:val="auto"/>
                <w:szCs w:val="21"/>
                <w:highlight w:val="none"/>
              </w:rPr>
              <w:t>投标文件格式</w:t>
            </w:r>
          </w:p>
        </w:tc>
        <w:tc>
          <w:tcPr>
            <w:tcW w:w="5670" w:type="dxa"/>
            <w:vAlign w:val="center"/>
          </w:tcPr>
          <w:p w14:paraId="074BB042">
            <w:pPr>
              <w:spacing w:line="400" w:lineRule="exact"/>
              <w:jc w:val="center"/>
              <w:rPr>
                <w:color w:val="auto"/>
                <w:szCs w:val="21"/>
                <w:highlight w:val="none"/>
              </w:rPr>
            </w:pPr>
            <w:r>
              <w:rPr>
                <w:color w:val="auto"/>
                <w:szCs w:val="21"/>
                <w:highlight w:val="none"/>
              </w:rPr>
              <w:t>符合</w:t>
            </w:r>
            <w:r>
              <w:rPr>
                <w:rFonts w:hint="eastAsia"/>
                <w:color w:val="auto"/>
                <w:szCs w:val="21"/>
                <w:highlight w:val="none"/>
              </w:rPr>
              <w:t>招标文件</w:t>
            </w:r>
            <w:r>
              <w:rPr>
                <w:color w:val="auto"/>
                <w:szCs w:val="21"/>
                <w:highlight w:val="none"/>
              </w:rPr>
              <w:t>第</w:t>
            </w:r>
            <w:r>
              <w:rPr>
                <w:rFonts w:hint="eastAsia"/>
                <w:color w:val="auto"/>
                <w:szCs w:val="21"/>
                <w:highlight w:val="none"/>
              </w:rPr>
              <w:t>九</w:t>
            </w:r>
            <w:r>
              <w:rPr>
                <w:color w:val="auto"/>
                <w:szCs w:val="21"/>
                <w:highlight w:val="none"/>
              </w:rPr>
              <w:t>章“投标文件格式”的要求</w:t>
            </w:r>
          </w:p>
        </w:tc>
      </w:tr>
      <w:tr w14:paraId="772469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vMerge w:val="continue"/>
            <w:vAlign w:val="center"/>
          </w:tcPr>
          <w:p w14:paraId="3AAC5E01">
            <w:pPr>
              <w:spacing w:line="380" w:lineRule="exact"/>
              <w:jc w:val="center"/>
              <w:rPr>
                <w:rFonts w:ascii="宋体" w:hAnsi="宋体" w:cs="宋体"/>
                <w:color w:val="auto"/>
                <w:sz w:val="22"/>
                <w:szCs w:val="22"/>
                <w:highlight w:val="none"/>
              </w:rPr>
            </w:pPr>
          </w:p>
        </w:tc>
        <w:tc>
          <w:tcPr>
            <w:tcW w:w="851" w:type="dxa"/>
            <w:vMerge w:val="continue"/>
            <w:vAlign w:val="center"/>
          </w:tcPr>
          <w:p w14:paraId="18F79892">
            <w:pPr>
              <w:spacing w:line="380" w:lineRule="exact"/>
              <w:jc w:val="center"/>
              <w:rPr>
                <w:rFonts w:ascii="宋体" w:hAnsi="宋体" w:cs="宋体"/>
                <w:color w:val="auto"/>
                <w:sz w:val="22"/>
                <w:szCs w:val="22"/>
                <w:highlight w:val="none"/>
              </w:rPr>
            </w:pPr>
          </w:p>
        </w:tc>
        <w:tc>
          <w:tcPr>
            <w:tcW w:w="2126" w:type="dxa"/>
            <w:vAlign w:val="center"/>
          </w:tcPr>
          <w:p w14:paraId="1D962455">
            <w:pPr>
              <w:spacing w:line="400" w:lineRule="exact"/>
              <w:jc w:val="center"/>
              <w:rPr>
                <w:color w:val="auto"/>
                <w:szCs w:val="21"/>
                <w:highlight w:val="none"/>
              </w:rPr>
            </w:pPr>
            <w:r>
              <w:rPr>
                <w:color w:val="auto"/>
                <w:szCs w:val="21"/>
                <w:highlight w:val="none"/>
              </w:rPr>
              <w:t>联合体投标人</w:t>
            </w:r>
            <w:r>
              <w:rPr>
                <w:rFonts w:hint="eastAsia"/>
                <w:color w:val="auto"/>
                <w:szCs w:val="21"/>
                <w:highlight w:val="none"/>
              </w:rPr>
              <w:t>（如有）</w:t>
            </w:r>
          </w:p>
        </w:tc>
        <w:tc>
          <w:tcPr>
            <w:tcW w:w="5670" w:type="dxa"/>
            <w:vAlign w:val="center"/>
          </w:tcPr>
          <w:p w14:paraId="5D48C7FD">
            <w:pPr>
              <w:spacing w:line="400" w:lineRule="exact"/>
              <w:jc w:val="center"/>
              <w:rPr>
                <w:color w:val="auto"/>
                <w:szCs w:val="21"/>
                <w:highlight w:val="none"/>
              </w:rPr>
            </w:pPr>
            <w:r>
              <w:rPr>
                <w:color w:val="auto"/>
                <w:szCs w:val="21"/>
                <w:highlight w:val="none"/>
              </w:rPr>
              <w:t>提交联合体协议书，并明确联合体牵头人</w:t>
            </w:r>
          </w:p>
        </w:tc>
      </w:tr>
      <w:tr w14:paraId="44C9E1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vMerge w:val="continue"/>
            <w:vAlign w:val="center"/>
          </w:tcPr>
          <w:p w14:paraId="32D88215">
            <w:pPr>
              <w:spacing w:line="380" w:lineRule="exact"/>
              <w:jc w:val="center"/>
              <w:rPr>
                <w:rFonts w:ascii="宋体" w:hAnsi="宋体" w:cs="宋体"/>
                <w:color w:val="auto"/>
                <w:sz w:val="22"/>
                <w:szCs w:val="22"/>
                <w:highlight w:val="none"/>
              </w:rPr>
            </w:pPr>
          </w:p>
        </w:tc>
        <w:tc>
          <w:tcPr>
            <w:tcW w:w="851" w:type="dxa"/>
            <w:vMerge w:val="continue"/>
            <w:vAlign w:val="center"/>
          </w:tcPr>
          <w:p w14:paraId="2ADBF5F0">
            <w:pPr>
              <w:spacing w:line="380" w:lineRule="exact"/>
              <w:jc w:val="center"/>
              <w:rPr>
                <w:rFonts w:ascii="宋体" w:hAnsi="宋体" w:cs="宋体"/>
                <w:color w:val="auto"/>
                <w:sz w:val="22"/>
                <w:szCs w:val="22"/>
                <w:highlight w:val="none"/>
              </w:rPr>
            </w:pPr>
          </w:p>
        </w:tc>
        <w:tc>
          <w:tcPr>
            <w:tcW w:w="2126" w:type="dxa"/>
            <w:vAlign w:val="center"/>
          </w:tcPr>
          <w:p w14:paraId="3582538D">
            <w:pPr>
              <w:spacing w:line="400" w:lineRule="exact"/>
              <w:jc w:val="center"/>
              <w:rPr>
                <w:color w:val="auto"/>
                <w:szCs w:val="21"/>
                <w:highlight w:val="none"/>
              </w:rPr>
            </w:pPr>
            <w:r>
              <w:rPr>
                <w:color w:val="auto"/>
                <w:szCs w:val="21"/>
                <w:highlight w:val="none"/>
              </w:rPr>
              <w:t>报价唯一</w:t>
            </w:r>
          </w:p>
        </w:tc>
        <w:tc>
          <w:tcPr>
            <w:tcW w:w="5670" w:type="dxa"/>
            <w:vAlign w:val="center"/>
          </w:tcPr>
          <w:p w14:paraId="0FAC4883">
            <w:pPr>
              <w:spacing w:line="400" w:lineRule="exact"/>
              <w:jc w:val="center"/>
              <w:rPr>
                <w:color w:val="auto"/>
                <w:szCs w:val="21"/>
                <w:highlight w:val="none"/>
              </w:rPr>
            </w:pPr>
            <w:r>
              <w:rPr>
                <w:color w:val="auto"/>
                <w:szCs w:val="21"/>
                <w:highlight w:val="none"/>
              </w:rPr>
              <w:t>只能有一个有效报价</w:t>
            </w:r>
          </w:p>
        </w:tc>
      </w:tr>
      <w:tr w14:paraId="65D5C3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vMerge w:val="restart"/>
            <w:vAlign w:val="center"/>
          </w:tcPr>
          <w:p w14:paraId="3CCF6046">
            <w:pPr>
              <w:spacing w:line="380" w:lineRule="exac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4</w:t>
            </w:r>
          </w:p>
        </w:tc>
        <w:tc>
          <w:tcPr>
            <w:tcW w:w="851" w:type="dxa"/>
            <w:vMerge w:val="restart"/>
            <w:vAlign w:val="center"/>
          </w:tcPr>
          <w:p w14:paraId="52B418A4">
            <w:pPr>
              <w:spacing w:line="3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响应性评审标准</w:t>
            </w:r>
          </w:p>
        </w:tc>
        <w:tc>
          <w:tcPr>
            <w:tcW w:w="2126" w:type="dxa"/>
            <w:vAlign w:val="center"/>
          </w:tcPr>
          <w:p w14:paraId="198C04D9">
            <w:pPr>
              <w:spacing w:line="400" w:lineRule="exact"/>
              <w:jc w:val="center"/>
              <w:rPr>
                <w:rFonts w:ascii="宋体" w:hAnsi="宋体" w:cs="宋体"/>
                <w:color w:val="auto"/>
                <w:sz w:val="22"/>
                <w:szCs w:val="22"/>
                <w:highlight w:val="none"/>
              </w:rPr>
            </w:pPr>
            <w:r>
              <w:rPr>
                <w:color w:val="auto"/>
                <w:szCs w:val="21"/>
                <w:highlight w:val="none"/>
              </w:rPr>
              <w:t>投标内容</w:t>
            </w:r>
          </w:p>
        </w:tc>
        <w:tc>
          <w:tcPr>
            <w:tcW w:w="5670" w:type="dxa"/>
            <w:vAlign w:val="center"/>
          </w:tcPr>
          <w:p w14:paraId="22AD1AF0">
            <w:pPr>
              <w:spacing w:line="400" w:lineRule="exact"/>
              <w:jc w:val="center"/>
              <w:rPr>
                <w:rFonts w:ascii="宋体" w:hAnsi="宋体" w:cs="宋体"/>
                <w:color w:val="auto"/>
                <w:sz w:val="22"/>
                <w:szCs w:val="22"/>
                <w:highlight w:val="none"/>
              </w:rPr>
            </w:pPr>
            <w:r>
              <w:rPr>
                <w:color w:val="auto"/>
                <w:szCs w:val="21"/>
                <w:highlight w:val="none"/>
              </w:rPr>
              <w:t>符合第二章“投标人须知”第1.3.1项规定</w:t>
            </w:r>
          </w:p>
        </w:tc>
      </w:tr>
      <w:tr w14:paraId="27EA55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vMerge w:val="continue"/>
            <w:vAlign w:val="center"/>
          </w:tcPr>
          <w:p w14:paraId="01097E79">
            <w:pPr>
              <w:spacing w:line="380" w:lineRule="exact"/>
              <w:jc w:val="center"/>
              <w:rPr>
                <w:rFonts w:ascii="宋体" w:hAnsi="宋体" w:cs="宋体"/>
                <w:color w:val="auto"/>
                <w:sz w:val="22"/>
                <w:szCs w:val="22"/>
                <w:highlight w:val="none"/>
              </w:rPr>
            </w:pPr>
          </w:p>
        </w:tc>
        <w:tc>
          <w:tcPr>
            <w:tcW w:w="851" w:type="dxa"/>
            <w:vMerge w:val="continue"/>
            <w:vAlign w:val="center"/>
          </w:tcPr>
          <w:p w14:paraId="3900D373">
            <w:pPr>
              <w:spacing w:line="380" w:lineRule="exact"/>
              <w:jc w:val="center"/>
              <w:rPr>
                <w:rFonts w:ascii="宋体" w:hAnsi="宋体" w:cs="宋体"/>
                <w:color w:val="auto"/>
                <w:sz w:val="22"/>
                <w:szCs w:val="22"/>
                <w:highlight w:val="none"/>
              </w:rPr>
            </w:pPr>
          </w:p>
        </w:tc>
        <w:tc>
          <w:tcPr>
            <w:tcW w:w="2126" w:type="dxa"/>
            <w:vAlign w:val="center"/>
          </w:tcPr>
          <w:p w14:paraId="4828EB14">
            <w:pPr>
              <w:spacing w:line="400" w:lineRule="exact"/>
              <w:jc w:val="center"/>
              <w:rPr>
                <w:rFonts w:ascii="宋体" w:hAnsi="宋体" w:cs="宋体"/>
                <w:color w:val="auto"/>
                <w:sz w:val="22"/>
                <w:szCs w:val="22"/>
                <w:highlight w:val="none"/>
              </w:rPr>
            </w:pPr>
            <w:r>
              <w:rPr>
                <w:rFonts w:hint="eastAsia"/>
                <w:color w:val="auto"/>
                <w:szCs w:val="21"/>
                <w:highlight w:val="none"/>
              </w:rPr>
              <w:t>监理服务阶段</w:t>
            </w:r>
          </w:p>
        </w:tc>
        <w:tc>
          <w:tcPr>
            <w:tcW w:w="5670" w:type="dxa"/>
            <w:vAlign w:val="center"/>
          </w:tcPr>
          <w:p w14:paraId="64403693">
            <w:pPr>
              <w:spacing w:line="400" w:lineRule="exact"/>
              <w:jc w:val="center"/>
              <w:rPr>
                <w:rFonts w:ascii="宋体" w:hAnsi="宋体" w:cs="宋体"/>
                <w:color w:val="auto"/>
                <w:sz w:val="22"/>
                <w:szCs w:val="22"/>
                <w:highlight w:val="none"/>
              </w:rPr>
            </w:pPr>
            <w:r>
              <w:rPr>
                <w:color w:val="auto"/>
                <w:szCs w:val="21"/>
                <w:highlight w:val="none"/>
              </w:rPr>
              <w:t>符合第二章“投标人须知”第1.3.2项规定</w:t>
            </w:r>
          </w:p>
        </w:tc>
      </w:tr>
      <w:tr w14:paraId="5CCF7F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vMerge w:val="continue"/>
            <w:vAlign w:val="center"/>
          </w:tcPr>
          <w:p w14:paraId="0288328F">
            <w:pPr>
              <w:spacing w:line="380" w:lineRule="exact"/>
              <w:jc w:val="center"/>
              <w:rPr>
                <w:rFonts w:ascii="宋体" w:hAnsi="宋体" w:cs="宋体"/>
                <w:color w:val="auto"/>
                <w:sz w:val="22"/>
                <w:szCs w:val="22"/>
                <w:highlight w:val="none"/>
              </w:rPr>
            </w:pPr>
          </w:p>
        </w:tc>
        <w:tc>
          <w:tcPr>
            <w:tcW w:w="851" w:type="dxa"/>
            <w:vMerge w:val="continue"/>
            <w:vAlign w:val="center"/>
          </w:tcPr>
          <w:p w14:paraId="77673C53">
            <w:pPr>
              <w:spacing w:line="380" w:lineRule="exact"/>
              <w:jc w:val="center"/>
              <w:rPr>
                <w:rFonts w:ascii="宋体" w:hAnsi="宋体" w:cs="宋体"/>
                <w:color w:val="auto"/>
                <w:sz w:val="22"/>
                <w:szCs w:val="22"/>
                <w:highlight w:val="none"/>
              </w:rPr>
            </w:pPr>
          </w:p>
        </w:tc>
        <w:tc>
          <w:tcPr>
            <w:tcW w:w="2126" w:type="dxa"/>
            <w:vAlign w:val="center"/>
          </w:tcPr>
          <w:p w14:paraId="21A1D4D3">
            <w:pPr>
              <w:spacing w:line="400" w:lineRule="exact"/>
              <w:jc w:val="center"/>
              <w:rPr>
                <w:rFonts w:ascii="宋体" w:hAnsi="宋体" w:cs="宋体"/>
                <w:color w:val="auto"/>
                <w:sz w:val="22"/>
                <w:szCs w:val="22"/>
                <w:highlight w:val="none"/>
              </w:rPr>
            </w:pPr>
            <w:r>
              <w:rPr>
                <w:rFonts w:hint="eastAsia"/>
                <w:color w:val="auto"/>
                <w:szCs w:val="21"/>
                <w:highlight w:val="none"/>
              </w:rPr>
              <w:t>监理工作范围</w:t>
            </w:r>
          </w:p>
        </w:tc>
        <w:tc>
          <w:tcPr>
            <w:tcW w:w="5670" w:type="dxa"/>
            <w:vAlign w:val="center"/>
          </w:tcPr>
          <w:p w14:paraId="03CDE8A1">
            <w:pPr>
              <w:spacing w:line="400" w:lineRule="exact"/>
              <w:jc w:val="center"/>
              <w:rPr>
                <w:rFonts w:ascii="宋体" w:hAnsi="宋体" w:cs="宋体"/>
                <w:color w:val="auto"/>
                <w:sz w:val="22"/>
                <w:szCs w:val="22"/>
                <w:highlight w:val="none"/>
              </w:rPr>
            </w:pPr>
            <w:r>
              <w:rPr>
                <w:color w:val="auto"/>
                <w:szCs w:val="21"/>
                <w:highlight w:val="none"/>
              </w:rPr>
              <w:t>符合第二章“投标人须知”第1.3.3项规定</w:t>
            </w:r>
          </w:p>
        </w:tc>
      </w:tr>
      <w:tr w14:paraId="640874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vMerge w:val="continue"/>
            <w:vAlign w:val="center"/>
          </w:tcPr>
          <w:p w14:paraId="44D16CC0">
            <w:pPr>
              <w:spacing w:line="380" w:lineRule="exact"/>
              <w:jc w:val="center"/>
              <w:rPr>
                <w:rFonts w:ascii="宋体" w:hAnsi="宋体" w:cs="宋体"/>
                <w:color w:val="auto"/>
                <w:sz w:val="22"/>
                <w:szCs w:val="22"/>
                <w:highlight w:val="none"/>
              </w:rPr>
            </w:pPr>
          </w:p>
        </w:tc>
        <w:tc>
          <w:tcPr>
            <w:tcW w:w="851" w:type="dxa"/>
            <w:vMerge w:val="continue"/>
            <w:vAlign w:val="center"/>
          </w:tcPr>
          <w:p w14:paraId="727BC83C">
            <w:pPr>
              <w:spacing w:line="380" w:lineRule="exact"/>
              <w:jc w:val="center"/>
              <w:rPr>
                <w:rFonts w:ascii="宋体" w:hAnsi="宋体" w:cs="宋体"/>
                <w:color w:val="auto"/>
                <w:sz w:val="22"/>
                <w:szCs w:val="22"/>
                <w:highlight w:val="none"/>
              </w:rPr>
            </w:pPr>
          </w:p>
        </w:tc>
        <w:tc>
          <w:tcPr>
            <w:tcW w:w="2126" w:type="dxa"/>
            <w:vAlign w:val="center"/>
          </w:tcPr>
          <w:p w14:paraId="0653B7F2">
            <w:pPr>
              <w:spacing w:line="400" w:lineRule="exact"/>
              <w:jc w:val="center"/>
              <w:rPr>
                <w:rFonts w:ascii="宋体" w:hAnsi="宋体" w:cs="宋体"/>
                <w:color w:val="auto"/>
                <w:sz w:val="22"/>
                <w:szCs w:val="22"/>
                <w:highlight w:val="none"/>
              </w:rPr>
            </w:pPr>
            <w:r>
              <w:rPr>
                <w:rFonts w:hint="eastAsia"/>
                <w:color w:val="auto"/>
                <w:szCs w:val="21"/>
                <w:highlight w:val="none"/>
              </w:rPr>
              <w:t>监理服务期</w:t>
            </w:r>
          </w:p>
        </w:tc>
        <w:tc>
          <w:tcPr>
            <w:tcW w:w="5670" w:type="dxa"/>
            <w:vAlign w:val="center"/>
          </w:tcPr>
          <w:p w14:paraId="20E47C7F">
            <w:pPr>
              <w:spacing w:line="400" w:lineRule="exact"/>
              <w:jc w:val="center"/>
              <w:rPr>
                <w:rFonts w:ascii="宋体" w:hAnsi="宋体" w:cs="宋体"/>
                <w:color w:val="auto"/>
                <w:sz w:val="22"/>
                <w:szCs w:val="22"/>
                <w:highlight w:val="none"/>
              </w:rPr>
            </w:pPr>
            <w:r>
              <w:rPr>
                <w:color w:val="auto"/>
                <w:szCs w:val="21"/>
                <w:highlight w:val="none"/>
              </w:rPr>
              <w:t>符合第二章“投标人须知”第1.3.</w:t>
            </w:r>
            <w:r>
              <w:rPr>
                <w:rFonts w:hint="eastAsia"/>
                <w:color w:val="auto"/>
                <w:szCs w:val="21"/>
                <w:highlight w:val="none"/>
              </w:rPr>
              <w:t>4</w:t>
            </w:r>
            <w:r>
              <w:rPr>
                <w:color w:val="auto"/>
                <w:szCs w:val="21"/>
                <w:highlight w:val="none"/>
              </w:rPr>
              <w:t>项规定</w:t>
            </w:r>
          </w:p>
        </w:tc>
      </w:tr>
      <w:tr w14:paraId="63DF2F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vMerge w:val="continue"/>
            <w:vAlign w:val="center"/>
          </w:tcPr>
          <w:p w14:paraId="07B4F463">
            <w:pPr>
              <w:spacing w:line="380" w:lineRule="exact"/>
              <w:jc w:val="center"/>
              <w:rPr>
                <w:rFonts w:ascii="宋体" w:hAnsi="宋体" w:cs="宋体"/>
                <w:color w:val="auto"/>
                <w:sz w:val="22"/>
                <w:szCs w:val="22"/>
                <w:highlight w:val="none"/>
              </w:rPr>
            </w:pPr>
          </w:p>
        </w:tc>
        <w:tc>
          <w:tcPr>
            <w:tcW w:w="851" w:type="dxa"/>
            <w:vMerge w:val="continue"/>
            <w:vAlign w:val="center"/>
          </w:tcPr>
          <w:p w14:paraId="4A5816B5">
            <w:pPr>
              <w:spacing w:line="380" w:lineRule="exact"/>
              <w:jc w:val="center"/>
              <w:rPr>
                <w:rFonts w:ascii="宋体" w:hAnsi="宋体" w:cs="宋体"/>
                <w:color w:val="auto"/>
                <w:sz w:val="22"/>
                <w:szCs w:val="22"/>
                <w:highlight w:val="none"/>
              </w:rPr>
            </w:pPr>
          </w:p>
        </w:tc>
        <w:tc>
          <w:tcPr>
            <w:tcW w:w="2126" w:type="dxa"/>
            <w:vAlign w:val="center"/>
          </w:tcPr>
          <w:p w14:paraId="1E3218D8">
            <w:pPr>
              <w:spacing w:line="400" w:lineRule="exact"/>
              <w:jc w:val="center"/>
              <w:rPr>
                <w:rFonts w:ascii="宋体" w:hAnsi="宋体" w:cs="宋体"/>
                <w:color w:val="auto"/>
                <w:sz w:val="22"/>
                <w:szCs w:val="22"/>
                <w:highlight w:val="none"/>
              </w:rPr>
            </w:pPr>
            <w:r>
              <w:rPr>
                <w:color w:val="auto"/>
                <w:szCs w:val="21"/>
                <w:highlight w:val="none"/>
              </w:rPr>
              <w:t>投标保证金</w:t>
            </w:r>
          </w:p>
        </w:tc>
        <w:tc>
          <w:tcPr>
            <w:tcW w:w="5670" w:type="dxa"/>
            <w:vAlign w:val="center"/>
          </w:tcPr>
          <w:p w14:paraId="13AD0792">
            <w:pPr>
              <w:spacing w:line="400" w:lineRule="exact"/>
              <w:jc w:val="center"/>
              <w:rPr>
                <w:rFonts w:ascii="宋体" w:hAnsi="宋体" w:cs="宋体"/>
                <w:color w:val="auto"/>
                <w:sz w:val="22"/>
                <w:szCs w:val="22"/>
                <w:highlight w:val="none"/>
              </w:rPr>
            </w:pPr>
            <w:r>
              <w:rPr>
                <w:color w:val="auto"/>
                <w:szCs w:val="21"/>
                <w:highlight w:val="none"/>
              </w:rPr>
              <w:t>符合第二章“投标人须知”第3.4</w:t>
            </w:r>
            <w:r>
              <w:rPr>
                <w:rFonts w:hint="eastAsia"/>
                <w:color w:val="auto"/>
                <w:szCs w:val="21"/>
                <w:highlight w:val="none"/>
              </w:rPr>
              <w:t>.1项</w:t>
            </w:r>
            <w:r>
              <w:rPr>
                <w:color w:val="auto"/>
                <w:szCs w:val="21"/>
                <w:highlight w:val="none"/>
              </w:rPr>
              <w:t>规定</w:t>
            </w:r>
          </w:p>
        </w:tc>
      </w:tr>
      <w:tr w14:paraId="3FFA16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vMerge w:val="continue"/>
            <w:vAlign w:val="center"/>
          </w:tcPr>
          <w:p w14:paraId="169AE1AC">
            <w:pPr>
              <w:spacing w:line="380" w:lineRule="exact"/>
              <w:jc w:val="center"/>
              <w:rPr>
                <w:rFonts w:ascii="宋体" w:hAnsi="宋体" w:cs="宋体"/>
                <w:color w:val="auto"/>
                <w:sz w:val="22"/>
                <w:szCs w:val="22"/>
                <w:highlight w:val="none"/>
              </w:rPr>
            </w:pPr>
          </w:p>
        </w:tc>
        <w:tc>
          <w:tcPr>
            <w:tcW w:w="851" w:type="dxa"/>
            <w:vMerge w:val="continue"/>
            <w:vAlign w:val="center"/>
          </w:tcPr>
          <w:p w14:paraId="64F5888D">
            <w:pPr>
              <w:spacing w:line="380" w:lineRule="exact"/>
              <w:jc w:val="center"/>
              <w:rPr>
                <w:rFonts w:ascii="宋体" w:hAnsi="宋体" w:cs="宋体"/>
                <w:color w:val="auto"/>
                <w:sz w:val="22"/>
                <w:szCs w:val="22"/>
                <w:highlight w:val="none"/>
              </w:rPr>
            </w:pPr>
          </w:p>
        </w:tc>
        <w:tc>
          <w:tcPr>
            <w:tcW w:w="2126" w:type="dxa"/>
            <w:vAlign w:val="center"/>
          </w:tcPr>
          <w:p w14:paraId="70557D1D">
            <w:pPr>
              <w:spacing w:line="400" w:lineRule="exact"/>
              <w:jc w:val="center"/>
              <w:rPr>
                <w:rFonts w:ascii="宋体" w:hAnsi="宋体" w:cs="宋体"/>
                <w:color w:val="auto"/>
                <w:sz w:val="22"/>
                <w:szCs w:val="22"/>
                <w:highlight w:val="none"/>
              </w:rPr>
            </w:pPr>
            <w:r>
              <w:rPr>
                <w:rFonts w:hint="eastAsia"/>
                <w:color w:val="auto"/>
                <w:szCs w:val="21"/>
                <w:highlight w:val="none"/>
              </w:rPr>
              <w:t>投标有效期</w:t>
            </w:r>
          </w:p>
        </w:tc>
        <w:tc>
          <w:tcPr>
            <w:tcW w:w="5670" w:type="dxa"/>
            <w:vAlign w:val="center"/>
          </w:tcPr>
          <w:p w14:paraId="7874C81E">
            <w:pPr>
              <w:spacing w:line="400" w:lineRule="exact"/>
              <w:jc w:val="center"/>
              <w:rPr>
                <w:rFonts w:ascii="宋体" w:hAnsi="宋体" w:cs="宋体"/>
                <w:color w:val="auto"/>
                <w:sz w:val="22"/>
                <w:szCs w:val="22"/>
                <w:highlight w:val="none"/>
              </w:rPr>
            </w:pPr>
            <w:r>
              <w:rPr>
                <w:color w:val="auto"/>
                <w:szCs w:val="21"/>
                <w:highlight w:val="none"/>
              </w:rPr>
              <w:t>符合第二章“投标人须知”第</w:t>
            </w:r>
            <w:r>
              <w:rPr>
                <w:rFonts w:hint="eastAsia"/>
                <w:color w:val="auto"/>
                <w:szCs w:val="21"/>
                <w:highlight w:val="none"/>
              </w:rPr>
              <w:t>3</w:t>
            </w:r>
            <w:r>
              <w:rPr>
                <w:color w:val="auto"/>
                <w:szCs w:val="21"/>
                <w:highlight w:val="none"/>
              </w:rPr>
              <w:t>.</w:t>
            </w:r>
            <w:r>
              <w:rPr>
                <w:rFonts w:hint="eastAsia"/>
                <w:color w:val="auto"/>
                <w:szCs w:val="21"/>
                <w:highlight w:val="none"/>
              </w:rPr>
              <w:t>3</w:t>
            </w:r>
            <w:r>
              <w:rPr>
                <w:color w:val="auto"/>
                <w:szCs w:val="21"/>
                <w:highlight w:val="none"/>
              </w:rPr>
              <w:t>.</w:t>
            </w:r>
            <w:r>
              <w:rPr>
                <w:rFonts w:hint="eastAsia"/>
                <w:color w:val="auto"/>
                <w:szCs w:val="21"/>
                <w:highlight w:val="none"/>
              </w:rPr>
              <w:t>1</w:t>
            </w:r>
            <w:r>
              <w:rPr>
                <w:color w:val="auto"/>
                <w:szCs w:val="21"/>
                <w:highlight w:val="none"/>
              </w:rPr>
              <w:t>项规定</w:t>
            </w:r>
          </w:p>
        </w:tc>
      </w:tr>
      <w:tr w14:paraId="0EC8E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vMerge w:val="continue"/>
            <w:vAlign w:val="center"/>
          </w:tcPr>
          <w:p w14:paraId="5CA7A78A">
            <w:pPr>
              <w:spacing w:line="380" w:lineRule="exact"/>
              <w:jc w:val="center"/>
              <w:rPr>
                <w:rFonts w:ascii="宋体" w:hAnsi="宋体" w:cs="宋体"/>
                <w:color w:val="auto"/>
                <w:sz w:val="22"/>
                <w:szCs w:val="22"/>
                <w:highlight w:val="none"/>
              </w:rPr>
            </w:pPr>
          </w:p>
        </w:tc>
        <w:tc>
          <w:tcPr>
            <w:tcW w:w="851" w:type="dxa"/>
            <w:vMerge w:val="continue"/>
            <w:vAlign w:val="center"/>
          </w:tcPr>
          <w:p w14:paraId="48AC05C1">
            <w:pPr>
              <w:spacing w:line="380" w:lineRule="exact"/>
              <w:jc w:val="center"/>
              <w:rPr>
                <w:rFonts w:ascii="宋体" w:hAnsi="宋体" w:cs="宋体"/>
                <w:color w:val="auto"/>
                <w:sz w:val="22"/>
                <w:szCs w:val="22"/>
                <w:highlight w:val="none"/>
              </w:rPr>
            </w:pPr>
          </w:p>
        </w:tc>
        <w:tc>
          <w:tcPr>
            <w:tcW w:w="2126" w:type="dxa"/>
            <w:vAlign w:val="center"/>
          </w:tcPr>
          <w:p w14:paraId="788E44D8">
            <w:pPr>
              <w:spacing w:line="400" w:lineRule="exact"/>
              <w:jc w:val="center"/>
              <w:rPr>
                <w:rFonts w:ascii="宋体" w:hAnsi="宋体" w:cs="宋体"/>
                <w:color w:val="auto"/>
                <w:sz w:val="22"/>
                <w:szCs w:val="22"/>
                <w:highlight w:val="none"/>
              </w:rPr>
            </w:pPr>
            <w:r>
              <w:rPr>
                <w:color w:val="auto"/>
                <w:szCs w:val="21"/>
                <w:highlight w:val="none"/>
              </w:rPr>
              <w:t>权利义务</w:t>
            </w:r>
          </w:p>
        </w:tc>
        <w:tc>
          <w:tcPr>
            <w:tcW w:w="5670" w:type="dxa"/>
            <w:vAlign w:val="center"/>
          </w:tcPr>
          <w:p w14:paraId="24966206">
            <w:pPr>
              <w:spacing w:line="400" w:lineRule="exact"/>
              <w:jc w:val="center"/>
              <w:rPr>
                <w:rFonts w:ascii="宋体" w:hAnsi="宋体" w:cs="宋体"/>
                <w:color w:val="auto"/>
                <w:sz w:val="22"/>
                <w:szCs w:val="22"/>
                <w:highlight w:val="none"/>
              </w:rPr>
            </w:pPr>
            <w:r>
              <w:rPr>
                <w:color w:val="auto"/>
                <w:szCs w:val="21"/>
                <w:highlight w:val="none"/>
              </w:rPr>
              <w:t>符合</w:t>
            </w:r>
            <w:r>
              <w:rPr>
                <w:rFonts w:hint="eastAsia"/>
                <w:color w:val="auto"/>
                <w:szCs w:val="21"/>
                <w:highlight w:val="none"/>
              </w:rPr>
              <w:t>招标文件</w:t>
            </w:r>
            <w:r>
              <w:rPr>
                <w:color w:val="auto"/>
                <w:szCs w:val="21"/>
                <w:highlight w:val="none"/>
              </w:rPr>
              <w:t>第</w:t>
            </w:r>
            <w:r>
              <w:rPr>
                <w:rFonts w:hint="eastAsia"/>
                <w:color w:val="auto"/>
                <w:szCs w:val="21"/>
                <w:highlight w:val="none"/>
              </w:rPr>
              <w:t>五</w:t>
            </w:r>
            <w:r>
              <w:rPr>
                <w:color w:val="auto"/>
                <w:szCs w:val="21"/>
                <w:highlight w:val="none"/>
              </w:rPr>
              <w:t>章</w:t>
            </w:r>
            <w:r>
              <w:rPr>
                <w:rFonts w:hint="eastAsia"/>
                <w:color w:val="auto"/>
                <w:szCs w:val="21"/>
                <w:highlight w:val="none"/>
              </w:rPr>
              <w:t>“监理合同条款及格式”</w:t>
            </w:r>
            <w:r>
              <w:rPr>
                <w:color w:val="auto"/>
                <w:szCs w:val="21"/>
                <w:highlight w:val="none"/>
              </w:rPr>
              <w:t>规定</w:t>
            </w:r>
          </w:p>
        </w:tc>
      </w:tr>
      <w:tr w14:paraId="175D60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vMerge w:val="continue"/>
            <w:vAlign w:val="center"/>
          </w:tcPr>
          <w:p w14:paraId="2F1B9695">
            <w:pPr>
              <w:spacing w:line="380" w:lineRule="exact"/>
              <w:jc w:val="center"/>
              <w:rPr>
                <w:rFonts w:ascii="宋体" w:hAnsi="宋体" w:cs="宋体"/>
                <w:color w:val="auto"/>
                <w:sz w:val="22"/>
                <w:szCs w:val="22"/>
                <w:highlight w:val="none"/>
              </w:rPr>
            </w:pPr>
          </w:p>
        </w:tc>
        <w:tc>
          <w:tcPr>
            <w:tcW w:w="851" w:type="dxa"/>
            <w:vMerge w:val="continue"/>
            <w:vAlign w:val="center"/>
          </w:tcPr>
          <w:p w14:paraId="51BE22C2">
            <w:pPr>
              <w:spacing w:line="380" w:lineRule="exact"/>
              <w:jc w:val="center"/>
              <w:rPr>
                <w:rFonts w:ascii="宋体" w:hAnsi="宋体" w:cs="宋体"/>
                <w:color w:val="auto"/>
                <w:sz w:val="22"/>
                <w:szCs w:val="22"/>
                <w:highlight w:val="none"/>
              </w:rPr>
            </w:pPr>
          </w:p>
        </w:tc>
        <w:tc>
          <w:tcPr>
            <w:tcW w:w="2126" w:type="dxa"/>
            <w:vAlign w:val="center"/>
          </w:tcPr>
          <w:p w14:paraId="6CC7DB05">
            <w:pPr>
              <w:spacing w:line="400" w:lineRule="exact"/>
              <w:jc w:val="center"/>
              <w:rPr>
                <w:color w:val="auto"/>
                <w:szCs w:val="21"/>
                <w:highlight w:val="none"/>
              </w:rPr>
            </w:pPr>
            <w:r>
              <w:rPr>
                <w:rFonts w:hint="eastAsia"/>
                <w:color w:val="auto"/>
                <w:szCs w:val="21"/>
                <w:highlight w:val="none"/>
              </w:rPr>
              <w:t>技术标准</w:t>
            </w:r>
          </w:p>
        </w:tc>
        <w:tc>
          <w:tcPr>
            <w:tcW w:w="5670" w:type="dxa"/>
            <w:vAlign w:val="center"/>
          </w:tcPr>
          <w:p w14:paraId="2A578AAB">
            <w:pPr>
              <w:spacing w:line="400" w:lineRule="exact"/>
              <w:jc w:val="center"/>
              <w:rPr>
                <w:color w:val="auto"/>
                <w:szCs w:val="21"/>
                <w:highlight w:val="none"/>
              </w:rPr>
            </w:pPr>
            <w:r>
              <w:rPr>
                <w:rFonts w:hint="eastAsia"/>
                <w:color w:val="auto"/>
                <w:szCs w:val="21"/>
                <w:highlight w:val="none"/>
              </w:rPr>
              <w:t xml:space="preserve">符合招标文件第八章“技术标准”规定 </w:t>
            </w:r>
          </w:p>
        </w:tc>
      </w:tr>
      <w:tr w14:paraId="215679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vMerge w:val="continue"/>
            <w:vAlign w:val="center"/>
          </w:tcPr>
          <w:p w14:paraId="3CB1554A">
            <w:pPr>
              <w:spacing w:line="380" w:lineRule="exact"/>
              <w:jc w:val="center"/>
              <w:rPr>
                <w:rFonts w:ascii="宋体" w:hAnsi="宋体" w:cs="宋体"/>
                <w:color w:val="auto"/>
                <w:sz w:val="22"/>
                <w:szCs w:val="22"/>
                <w:highlight w:val="none"/>
              </w:rPr>
            </w:pPr>
          </w:p>
        </w:tc>
        <w:tc>
          <w:tcPr>
            <w:tcW w:w="851" w:type="dxa"/>
            <w:vMerge w:val="continue"/>
            <w:vAlign w:val="center"/>
          </w:tcPr>
          <w:p w14:paraId="51F05212">
            <w:pPr>
              <w:spacing w:line="380" w:lineRule="exact"/>
              <w:jc w:val="center"/>
              <w:rPr>
                <w:rFonts w:ascii="宋体" w:hAnsi="宋体" w:cs="宋体"/>
                <w:color w:val="auto"/>
                <w:sz w:val="22"/>
                <w:szCs w:val="22"/>
                <w:highlight w:val="none"/>
              </w:rPr>
            </w:pPr>
          </w:p>
        </w:tc>
        <w:tc>
          <w:tcPr>
            <w:tcW w:w="2126" w:type="dxa"/>
            <w:vAlign w:val="center"/>
          </w:tcPr>
          <w:p w14:paraId="66714081">
            <w:pPr>
              <w:spacing w:line="400" w:lineRule="exact"/>
              <w:jc w:val="center"/>
              <w:rPr>
                <w:rFonts w:ascii="宋体" w:hAnsi="宋体" w:cs="宋体"/>
                <w:color w:val="auto"/>
                <w:sz w:val="22"/>
                <w:szCs w:val="22"/>
                <w:highlight w:val="none"/>
              </w:rPr>
            </w:pPr>
            <w:r>
              <w:rPr>
                <w:rFonts w:hint="eastAsia"/>
                <w:color w:val="auto"/>
                <w:szCs w:val="21"/>
                <w:highlight w:val="none"/>
              </w:rPr>
              <w:t>重大偏差</w:t>
            </w:r>
          </w:p>
        </w:tc>
        <w:tc>
          <w:tcPr>
            <w:tcW w:w="5670" w:type="dxa"/>
            <w:vAlign w:val="center"/>
          </w:tcPr>
          <w:p w14:paraId="4DE71A6C">
            <w:pPr>
              <w:spacing w:line="400" w:lineRule="exact"/>
              <w:jc w:val="center"/>
              <w:rPr>
                <w:rFonts w:ascii="宋体" w:hAnsi="宋体" w:cs="宋体"/>
                <w:color w:val="auto"/>
                <w:sz w:val="22"/>
                <w:szCs w:val="22"/>
                <w:highlight w:val="none"/>
              </w:rPr>
            </w:pPr>
            <w:r>
              <w:rPr>
                <w:rFonts w:hint="eastAsia"/>
                <w:color w:val="auto"/>
                <w:szCs w:val="21"/>
                <w:highlight w:val="none"/>
              </w:rPr>
              <w:t>见</w:t>
            </w:r>
            <w:r>
              <w:rPr>
                <w:color w:val="auto"/>
                <w:szCs w:val="21"/>
                <w:highlight w:val="none"/>
              </w:rPr>
              <w:t>第二章“投标人须知”第</w:t>
            </w:r>
            <w:r>
              <w:rPr>
                <w:rFonts w:hint="eastAsia"/>
                <w:color w:val="auto"/>
                <w:szCs w:val="21"/>
                <w:highlight w:val="none"/>
              </w:rPr>
              <w:t>1.12</w:t>
            </w:r>
            <w:r>
              <w:rPr>
                <w:color w:val="auto"/>
                <w:szCs w:val="21"/>
                <w:highlight w:val="none"/>
              </w:rPr>
              <w:t>项规定</w:t>
            </w:r>
          </w:p>
        </w:tc>
      </w:tr>
      <w:tr w14:paraId="0F88C2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02" w:type="dxa"/>
            <w:gridSpan w:val="2"/>
            <w:vAlign w:val="center"/>
          </w:tcPr>
          <w:p w14:paraId="2E50656A">
            <w:pPr>
              <w:wordWrap w:val="0"/>
              <w:spacing w:before="120" w:beforeLines="50" w:line="300" w:lineRule="auto"/>
              <w:jc w:val="center"/>
              <w:rPr>
                <w:rFonts w:hint="eastAsia" w:ascii="宋体" w:hAnsi="宋体" w:eastAsia="宋体" w:cs="宋体"/>
                <w:color w:val="auto"/>
                <w:sz w:val="22"/>
                <w:szCs w:val="22"/>
                <w:highlight w:val="none"/>
                <w:lang w:eastAsia="zh-CN"/>
              </w:rPr>
            </w:pPr>
            <w:bookmarkStart w:id="513" w:name="_Toc341805194"/>
            <w:bookmarkStart w:id="514" w:name="_Toc152045600"/>
            <w:bookmarkStart w:id="515" w:name="_Toc144974567"/>
            <w:bookmarkStart w:id="516" w:name="_Toc330384443"/>
            <w:bookmarkStart w:id="517" w:name="_Toc152042377"/>
            <w:r>
              <w:rPr>
                <w:rFonts w:hint="eastAsia" w:ascii="宋体" w:hAnsi="宋体" w:cs="宋体"/>
                <w:color w:val="auto"/>
                <w:szCs w:val="21"/>
                <w:highlight w:val="none"/>
                <w:lang w:val="en-US" w:eastAsia="zh-CN"/>
              </w:rPr>
              <w:t>5</w:t>
            </w:r>
          </w:p>
        </w:tc>
        <w:tc>
          <w:tcPr>
            <w:tcW w:w="2126" w:type="dxa"/>
            <w:vAlign w:val="center"/>
          </w:tcPr>
          <w:p w14:paraId="6C55627D">
            <w:pPr>
              <w:wordWrap w:val="0"/>
              <w:spacing w:before="120" w:beforeLines="50" w:line="300" w:lineRule="auto"/>
              <w:jc w:val="left"/>
              <w:rPr>
                <w:color w:val="auto"/>
                <w:szCs w:val="21"/>
                <w:highlight w:val="none"/>
              </w:rPr>
            </w:pPr>
            <w:r>
              <w:rPr>
                <w:rFonts w:hint="eastAsia" w:ascii="宋体" w:hAnsi="宋体" w:cs="宋体"/>
                <w:color w:val="auto"/>
                <w:szCs w:val="21"/>
                <w:highlight w:val="none"/>
              </w:rPr>
              <w:t>投标人回复澄清、说明、补正的时限</w:t>
            </w:r>
          </w:p>
        </w:tc>
        <w:tc>
          <w:tcPr>
            <w:tcW w:w="5670" w:type="dxa"/>
            <w:vAlign w:val="center"/>
          </w:tcPr>
          <w:p w14:paraId="48ED9C2E">
            <w:pPr>
              <w:wordWrap w:val="0"/>
              <w:spacing w:before="120" w:beforeLines="50" w:line="300" w:lineRule="auto"/>
              <w:ind w:firstLine="420" w:firstLineChars="200"/>
              <w:rPr>
                <w:color w:val="auto"/>
                <w:szCs w:val="21"/>
                <w:highlight w:val="none"/>
              </w:rPr>
            </w:pPr>
            <w:r>
              <w:rPr>
                <w:rFonts w:hint="eastAsia" w:ascii="宋体" w:hAnsi="宋体" w:cs="宋体"/>
                <w:color w:val="auto"/>
                <w:szCs w:val="21"/>
                <w:highlight w:val="none"/>
              </w:rPr>
              <w:t>评标委员会通过电子交易平台发出通知后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分钟内</w:t>
            </w:r>
          </w:p>
        </w:tc>
      </w:tr>
    </w:tbl>
    <w:p w14:paraId="62C141EF">
      <w:pPr>
        <w:spacing w:afterLines="0" w:line="300" w:lineRule="auto"/>
        <w:ind w:firstLine="3216" w:firstLineChars="1340"/>
        <w:rPr>
          <w:rFonts w:ascii="宋体" w:hAnsi="宋体" w:cs="宋体"/>
          <w:color w:val="auto"/>
          <w:sz w:val="24"/>
          <w:highlight w:val="none"/>
        </w:rPr>
      </w:pPr>
      <w:r>
        <w:rPr>
          <w:rFonts w:hint="eastAsia"/>
          <w:color w:val="auto"/>
          <w:sz w:val="24"/>
          <w:highlight w:val="none"/>
        </w:rPr>
        <w:br w:type="page"/>
      </w:r>
      <w:r>
        <w:rPr>
          <w:rFonts w:ascii="宋体" w:hAnsi="宋体" w:cs="宋体"/>
          <w:color w:val="auto"/>
          <w:sz w:val="24"/>
          <w:highlight w:val="none"/>
        </w:rPr>
        <w:t xml:space="preserve"> </w:t>
      </w:r>
    </w:p>
    <w:p w14:paraId="4211544F">
      <w:pPr>
        <w:pStyle w:val="5"/>
        <w:wordWrap w:val="0"/>
        <w:spacing w:before="0" w:after="0" w:afterLines="0" w:line="300" w:lineRule="auto"/>
        <w:jc w:val="center"/>
        <w:rPr>
          <w:color w:val="auto"/>
          <w:sz w:val="30"/>
          <w:szCs w:val="30"/>
          <w:highlight w:val="none"/>
        </w:rPr>
      </w:pPr>
      <w:bookmarkStart w:id="518" w:name="_Toc245379330"/>
      <w:bookmarkStart w:id="519" w:name="_Toc8201"/>
      <w:bookmarkStart w:id="520" w:name="_Toc368320231"/>
      <w:bookmarkStart w:id="521" w:name="_Toc6678"/>
      <w:bookmarkStart w:id="522" w:name="_Toc19593"/>
      <w:bookmarkStart w:id="523" w:name="_Toc3037"/>
      <w:bookmarkStart w:id="524" w:name="_Toc362613881"/>
      <w:bookmarkStart w:id="525" w:name="_Toc368338558"/>
      <w:bookmarkStart w:id="526" w:name="_Toc361993607"/>
      <w:bookmarkStart w:id="527" w:name="_Toc362617992"/>
      <w:bookmarkStart w:id="528" w:name="_Toc362614253"/>
      <w:bookmarkStart w:id="529" w:name="_Toc488650831"/>
      <w:bookmarkStart w:id="530" w:name="_Toc487619481"/>
      <w:bookmarkStart w:id="531" w:name="_Toc19484"/>
      <w:bookmarkStart w:id="532" w:name="_Toc487653399"/>
      <w:bookmarkStart w:id="533" w:name="_Toc487291510"/>
      <w:bookmarkStart w:id="534" w:name="_Toc10428"/>
      <w:bookmarkStart w:id="535" w:name="_Toc18371"/>
      <w:bookmarkStart w:id="536" w:name="_Toc503235807"/>
      <w:r>
        <w:rPr>
          <w:rFonts w:hint="eastAsia"/>
          <w:color w:val="auto"/>
          <w:sz w:val="30"/>
          <w:szCs w:val="30"/>
          <w:highlight w:val="none"/>
        </w:rPr>
        <w:t>评标办法正文</w:t>
      </w:r>
      <w:bookmarkEnd w:id="518"/>
      <w:bookmarkEnd w:id="519"/>
      <w:bookmarkEnd w:id="520"/>
      <w:bookmarkEnd w:id="521"/>
      <w:bookmarkEnd w:id="522"/>
      <w:bookmarkEnd w:id="523"/>
      <w:bookmarkEnd w:id="524"/>
      <w:bookmarkEnd w:id="525"/>
      <w:bookmarkEnd w:id="526"/>
      <w:bookmarkEnd w:id="527"/>
      <w:bookmarkEnd w:id="528"/>
    </w:p>
    <w:p w14:paraId="1DA8446A">
      <w:pPr>
        <w:wordWrap w:val="0"/>
        <w:adjustRightInd w:val="0"/>
        <w:snapToGrid w:val="0"/>
        <w:spacing w:afterLines="0" w:line="360" w:lineRule="auto"/>
        <w:ind w:firstLine="480" w:firstLineChars="200"/>
        <w:rPr>
          <w:rFonts w:ascii="宋体" w:hAnsi="宋体" w:cs="宋体"/>
          <w:color w:val="auto"/>
          <w:sz w:val="24"/>
          <w:highlight w:val="none"/>
        </w:rPr>
      </w:pPr>
      <w:bookmarkStart w:id="537" w:name="_评标办法正文"/>
      <w:bookmarkEnd w:id="537"/>
      <w:bookmarkStart w:id="538" w:name="_Toc7449"/>
      <w:bookmarkStart w:id="539" w:name="_Toc49"/>
      <w:bookmarkStart w:id="540" w:name="_Toc16608"/>
      <w:bookmarkStart w:id="541" w:name="_Toc26863"/>
      <w:bookmarkStart w:id="542" w:name="_Toc1888"/>
      <w:r>
        <w:rPr>
          <w:rFonts w:hint="eastAsia" w:ascii="宋体" w:hAnsi="宋体" w:cs="宋体"/>
          <w:color w:val="auto"/>
          <w:sz w:val="24"/>
          <w:highlight w:val="none"/>
        </w:rPr>
        <w:t>本评标办法正文若有与本范本评标办法前附表不一致之处，以评标办法前附表为准。</w:t>
      </w:r>
    </w:p>
    <w:p w14:paraId="444901BB">
      <w:pPr>
        <w:wordWrap w:val="0"/>
        <w:adjustRightInd w:val="0"/>
        <w:snapToGrid w:val="0"/>
        <w:spacing w:afterLines="0"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 评标方法</w:t>
      </w:r>
    </w:p>
    <w:p w14:paraId="184921D3">
      <w:pPr>
        <w:wordWrap w:val="0"/>
        <w:adjustRightInd w:val="0"/>
        <w:snapToGrid w:val="0"/>
        <w:spacing w:afterLines="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 本次评标采用定性评审法。</w:t>
      </w:r>
    </w:p>
    <w:p w14:paraId="62A00666">
      <w:pPr>
        <w:wordWrap w:val="0"/>
        <w:adjustRightInd w:val="0"/>
        <w:snapToGrid w:val="0"/>
        <w:spacing w:afterLines="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 评标委员会由招标人组建，负责资格审查、确定入围投标人、对入围投标人的投标文件进行定性评审，将未被否决投标的入围投标人</w:t>
      </w:r>
      <w:r>
        <w:rPr>
          <w:rFonts w:hint="eastAsia" w:ascii="宋体" w:hAnsi="宋体" w:cs="宋体"/>
          <w:color w:val="auto"/>
          <w:sz w:val="24"/>
          <w:highlight w:val="none"/>
          <w:lang w:val="en-US" w:eastAsia="zh-CN"/>
        </w:rPr>
        <w:t>推荐</w:t>
      </w:r>
      <w:r>
        <w:rPr>
          <w:rFonts w:hint="eastAsia" w:ascii="宋体" w:hAnsi="宋体" w:cs="宋体"/>
          <w:color w:val="auto"/>
          <w:sz w:val="24"/>
          <w:highlight w:val="none"/>
        </w:rPr>
        <w:t>为定标候选人。</w:t>
      </w:r>
    </w:p>
    <w:p w14:paraId="04520659">
      <w:pPr>
        <w:wordWrap w:val="0"/>
        <w:adjustRightInd w:val="0"/>
        <w:snapToGrid w:val="0"/>
        <w:spacing w:afterLines="0"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 评标程序和标准</w:t>
      </w:r>
    </w:p>
    <w:p w14:paraId="4043CE18">
      <w:pPr>
        <w:wordWrap w:val="0"/>
        <w:adjustRightInd w:val="0"/>
        <w:snapToGrid w:val="0"/>
        <w:spacing w:afterLines="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评标按以下程序进行。</w:t>
      </w:r>
    </w:p>
    <w:p w14:paraId="5159D646">
      <w:pPr>
        <w:wordWrap w:val="0"/>
        <w:adjustRightInd w:val="0"/>
        <w:snapToGrid w:val="0"/>
        <w:spacing w:afterLines="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2.1组建评标委员会</w:t>
      </w:r>
    </w:p>
    <w:p w14:paraId="6BEB01C3">
      <w:pPr>
        <w:wordWrap w:val="0"/>
        <w:adjustRightInd w:val="0"/>
        <w:snapToGrid w:val="0"/>
        <w:spacing w:afterLines="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2.2评标前的准备</w:t>
      </w:r>
    </w:p>
    <w:p w14:paraId="0AB20C51">
      <w:pPr>
        <w:wordWrap w:val="0"/>
        <w:adjustRightInd w:val="0"/>
        <w:snapToGrid w:val="0"/>
        <w:spacing w:afterLines="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2.3资格审查及确定入围投标人</w:t>
      </w:r>
    </w:p>
    <w:p w14:paraId="5DD76026">
      <w:pPr>
        <w:wordWrap w:val="0"/>
        <w:adjustRightInd w:val="0"/>
        <w:snapToGrid w:val="0"/>
        <w:spacing w:afterLines="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（1）确定入围投标人</w:t>
      </w:r>
    </w:p>
    <w:p w14:paraId="0F06348E">
      <w:pPr>
        <w:wordWrap w:val="0"/>
        <w:adjustRightInd w:val="0"/>
        <w:snapToGrid w:val="0"/>
        <w:spacing w:afterLines="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（2）资格审查</w:t>
      </w:r>
    </w:p>
    <w:p w14:paraId="13244772">
      <w:pPr>
        <w:wordWrap w:val="0"/>
        <w:adjustRightInd w:val="0"/>
        <w:snapToGrid w:val="0"/>
        <w:spacing w:afterLines="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（3）资格文件的澄清、说明和补正</w:t>
      </w:r>
    </w:p>
    <w:p w14:paraId="05962072">
      <w:pPr>
        <w:wordWrap w:val="0"/>
        <w:adjustRightInd w:val="0"/>
        <w:snapToGrid w:val="0"/>
        <w:spacing w:afterLines="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2.4定性评审</w:t>
      </w:r>
    </w:p>
    <w:p w14:paraId="0A61E83C">
      <w:pPr>
        <w:wordWrap w:val="0"/>
        <w:adjustRightInd w:val="0"/>
        <w:snapToGrid w:val="0"/>
        <w:spacing w:afterLines="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形式评审与响应性评审</w:t>
      </w:r>
    </w:p>
    <w:p w14:paraId="163B56D2">
      <w:pPr>
        <w:wordWrap w:val="0"/>
        <w:adjustRightInd w:val="0"/>
        <w:snapToGrid w:val="0"/>
        <w:spacing w:afterLines="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）投标文件的澄清、说明和补正</w:t>
      </w:r>
    </w:p>
    <w:p w14:paraId="5D57390F">
      <w:pPr>
        <w:wordWrap w:val="0"/>
        <w:adjustRightInd w:val="0"/>
        <w:snapToGrid w:val="0"/>
        <w:spacing w:afterLines="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）投标文件的修正</w:t>
      </w:r>
    </w:p>
    <w:p w14:paraId="7D3DEDC4">
      <w:pPr>
        <w:wordWrap w:val="0"/>
        <w:adjustRightInd w:val="0"/>
        <w:snapToGrid w:val="0"/>
        <w:spacing w:afterLines="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推荐</w:t>
      </w:r>
      <w:r>
        <w:rPr>
          <w:rFonts w:hint="eastAsia" w:ascii="宋体" w:hAnsi="宋体" w:cs="宋体"/>
          <w:color w:val="auto"/>
          <w:sz w:val="24"/>
          <w:highlight w:val="none"/>
        </w:rPr>
        <w:t>定标候选人</w:t>
      </w:r>
    </w:p>
    <w:p w14:paraId="01561CE7">
      <w:pPr>
        <w:wordWrap w:val="0"/>
        <w:adjustRightInd w:val="0"/>
        <w:snapToGrid w:val="0"/>
        <w:spacing w:afterLines="0"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 资格审查与确定入围投标人</w:t>
      </w:r>
    </w:p>
    <w:p w14:paraId="074FEF97">
      <w:pPr>
        <w:wordWrap w:val="0"/>
        <w:adjustRightInd w:val="0"/>
        <w:snapToGrid w:val="0"/>
        <w:spacing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确定入围投标人</w:t>
      </w:r>
    </w:p>
    <w:p w14:paraId="3881C89D">
      <w:pPr>
        <w:wordWrap w:val="0"/>
        <w:adjustRightInd w:val="0"/>
        <w:snapToGrid w:val="0"/>
        <w:spacing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评标委员会在投标人中，依据评标办法前附表第1项规定的标准</w:t>
      </w:r>
      <w:r>
        <w:rPr>
          <w:rFonts w:hint="eastAsia" w:ascii="宋体" w:hAnsi="宋体" w:eastAsia="宋体" w:cs="宋体"/>
          <w:color w:val="auto"/>
          <w:sz w:val="24"/>
          <w:szCs w:val="24"/>
          <w:highlight w:val="none"/>
          <w:lang w:val="en-US" w:eastAsia="zh-CN"/>
        </w:rPr>
        <w:t>复核并</w:t>
      </w:r>
      <w:r>
        <w:rPr>
          <w:rFonts w:hint="eastAsia" w:ascii="宋体" w:hAnsi="宋体" w:eastAsia="宋体" w:cs="宋体"/>
          <w:color w:val="auto"/>
          <w:sz w:val="24"/>
          <w:szCs w:val="24"/>
          <w:highlight w:val="none"/>
        </w:rPr>
        <w:t>确定入围投标人</w:t>
      </w:r>
      <w:r>
        <w:rPr>
          <w:rFonts w:hint="eastAsia" w:ascii="宋体" w:hAnsi="宋体" w:eastAsia="宋体" w:cs="宋体"/>
          <w:color w:val="auto"/>
          <w:sz w:val="24"/>
          <w:szCs w:val="24"/>
          <w:highlight w:val="none"/>
          <w:lang w:eastAsia="zh-CN"/>
        </w:rPr>
        <w:t>。</w:t>
      </w:r>
    </w:p>
    <w:p w14:paraId="066E1311">
      <w:pPr>
        <w:wordWrap w:val="0"/>
        <w:adjustRightInd w:val="0"/>
        <w:snapToGrid w:val="0"/>
        <w:spacing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资格审查</w:t>
      </w:r>
    </w:p>
    <w:p w14:paraId="02C2C755">
      <w:pPr>
        <w:wordWrap w:val="0"/>
        <w:adjustRightInd w:val="0"/>
        <w:snapToGrid w:val="0"/>
        <w:spacing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评标</w:t>
      </w:r>
      <w:r>
        <w:rPr>
          <w:rFonts w:hint="eastAsia" w:ascii="宋体" w:hAnsi="宋体" w:eastAsia="宋体" w:cs="宋体"/>
          <w:color w:val="auto"/>
          <w:sz w:val="24"/>
          <w:szCs w:val="24"/>
          <w:highlight w:val="none"/>
        </w:rPr>
        <w:t>委员会依据评标办法前附表第</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项规定的标准对</w:t>
      </w:r>
      <w:r>
        <w:rPr>
          <w:rFonts w:hint="eastAsia" w:ascii="宋体" w:hAnsi="宋体" w:eastAsia="宋体" w:cs="宋体"/>
          <w:color w:val="auto"/>
          <w:sz w:val="24"/>
          <w:szCs w:val="24"/>
          <w:highlight w:val="none"/>
          <w:lang w:val="en-US" w:eastAsia="zh-CN"/>
        </w:rPr>
        <w:t>入围</w:t>
      </w:r>
      <w:r>
        <w:rPr>
          <w:rFonts w:hint="eastAsia" w:ascii="宋体" w:hAnsi="宋体" w:eastAsia="宋体" w:cs="宋体"/>
          <w:color w:val="auto"/>
          <w:sz w:val="24"/>
          <w:szCs w:val="24"/>
          <w:highlight w:val="none"/>
        </w:rPr>
        <w:t>投标人进行资格审查，有一项不符合评审标准的，资格审查不合格，不得确定为定标候选人，且不再补充入围投标人。</w:t>
      </w:r>
    </w:p>
    <w:p w14:paraId="3B483732">
      <w:pPr>
        <w:wordWrap w:val="0"/>
        <w:adjustRightInd w:val="0"/>
        <w:snapToGrid w:val="0"/>
        <w:spacing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资格审查合格的投标人数量少于 3 家的，招标人应当重新招标。</w:t>
      </w:r>
    </w:p>
    <w:p w14:paraId="7C4472D8">
      <w:pPr>
        <w:wordWrap w:val="0"/>
        <w:adjustRightInd w:val="0"/>
        <w:snapToGrid w:val="0"/>
        <w:spacing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资格文件的澄清、说明和补正</w:t>
      </w:r>
    </w:p>
    <w:p w14:paraId="4CCACF20">
      <w:pPr>
        <w:wordWrap w:val="0"/>
        <w:adjustRightInd w:val="0"/>
        <w:snapToGrid w:val="0"/>
        <w:spacing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在资格审查过程中，评标委员会可以通过电子交易平台要求投标人对所提交的投标文件中不明确的内容进行书面澄清或说明，或者对细微偏差进行补正。投标人通过电子交易平台回复澄清、说明、补正，时限要求详见评标办法前附表第</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项，评标委员会不接受投标人主动提出的澄清、说明或补正。</w:t>
      </w:r>
    </w:p>
    <w:p w14:paraId="74B4FC1D">
      <w:pPr>
        <w:wordWrap w:val="0"/>
        <w:adjustRightInd w:val="0"/>
        <w:snapToGrid w:val="0"/>
        <w:spacing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细微偏差是指投标文件在实质上响应招标文件要求，但在个别地方存在漏项或者提供了不完整的技术信息和数据等情况，并且补正这些遗漏或者不完整不会对其他投标人造成不公平的结果。细微偏差不影响投标文件的有效性。</w:t>
      </w:r>
    </w:p>
    <w:p w14:paraId="37D4DCCE">
      <w:pPr>
        <w:wordWrap w:val="0"/>
        <w:adjustRightInd w:val="0"/>
        <w:snapToGrid w:val="0"/>
        <w:spacing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（2）澄清、说明和补正不得改变资格文件的实质性内容。投标人的书面澄清、说明和补正属于资格文件的组成部分。</w:t>
      </w:r>
    </w:p>
    <w:p w14:paraId="5C02F2BE">
      <w:pPr>
        <w:wordWrap w:val="0"/>
        <w:adjustRightInd w:val="0"/>
        <w:snapToGrid w:val="0"/>
        <w:spacing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（3）评标委员会对投标人提交的澄清、说明或补正有疑问的，可以要求投标人进一步澄清、说明或补正，直至满足评标委员会的要求。</w:t>
      </w:r>
    </w:p>
    <w:p w14:paraId="28F85789">
      <w:pPr>
        <w:wordWrap w:val="0"/>
        <w:adjustRightInd w:val="0"/>
        <w:snapToGrid w:val="0"/>
        <w:spacing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（4）投标人不按评标委员会要求对资格文件澄清、说明或补正的，评标委员会应当作出资格审查不合格的审查结论。</w:t>
      </w:r>
    </w:p>
    <w:p w14:paraId="671772E0">
      <w:pPr>
        <w:wordWrap w:val="0"/>
        <w:adjustRightInd w:val="0"/>
        <w:snapToGrid w:val="0"/>
        <w:spacing w:afterLines="0"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 定性评审</w:t>
      </w:r>
    </w:p>
    <w:p w14:paraId="4747FC4D">
      <w:pPr>
        <w:wordWrap w:val="0"/>
        <w:adjustRightInd w:val="0"/>
        <w:snapToGrid w:val="0"/>
        <w:spacing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4.1定性评审工作规则</w:t>
      </w:r>
    </w:p>
    <w:p w14:paraId="71C74BFA">
      <w:pPr>
        <w:wordWrap w:val="0"/>
        <w:adjustRightInd w:val="0"/>
        <w:snapToGrid w:val="0"/>
        <w:spacing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4.1.1评标委员会应当按照本章规定的方法、评审因素、标准和程序，客观、公正地对投标文件提出评审意见。本章没有规定的方法、评审因素和标准，不得作为评标的依据。</w:t>
      </w:r>
    </w:p>
    <w:p w14:paraId="420661F3">
      <w:pPr>
        <w:wordWrap w:val="0"/>
        <w:adjustRightInd w:val="0"/>
        <w:snapToGrid w:val="0"/>
        <w:spacing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4.1.2招标人应当根据项目规模和技术复杂程度等因素合理确定评标时间。超过三分之一的评标委员会成员认为评标时间不够的，招标人应当适当延长。</w:t>
      </w:r>
    </w:p>
    <w:p w14:paraId="7E0F999C">
      <w:pPr>
        <w:wordWrap w:val="0"/>
        <w:adjustRightInd w:val="0"/>
        <w:snapToGrid w:val="0"/>
        <w:spacing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4.1.3评标过程中，评标委员会成员有回避事由、擅离职守或者因健康等原因不能继续评标的，应当及时更换。被更换的评标委员会成员作出的评审结论无效，由更换后的评标委员会成员重新进行评审。</w:t>
      </w:r>
    </w:p>
    <w:p w14:paraId="6D0C1CCB">
      <w:pPr>
        <w:wordWrap w:val="0"/>
        <w:adjustRightInd w:val="0"/>
        <w:snapToGrid w:val="0"/>
        <w:spacing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4.1.4招标文件条款存在含义不清或者相互矛盾的，评标委员会应当针对相应条款作出有利于相应投标人的结论。</w:t>
      </w:r>
    </w:p>
    <w:p w14:paraId="5A7D560F">
      <w:pPr>
        <w:wordWrap w:val="0"/>
        <w:adjustRightInd w:val="0"/>
        <w:snapToGrid w:val="0"/>
        <w:spacing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4.1.5评标委员会成员的评审意见不一致时，应以表决方式并按照少数服从多数的原则处理。对评标结果有不同意见的，应当在评标报告说明其不同意见和理由。评标委员会成员拒绝在评标报告上签字（电子签名）又不在评标报告说明其不同意见和理由的，视为同意评标结果。</w:t>
      </w:r>
    </w:p>
    <w:p w14:paraId="769E9FD2">
      <w:pPr>
        <w:wordWrap w:val="0"/>
        <w:adjustRightInd w:val="0"/>
        <w:snapToGrid w:val="0"/>
        <w:spacing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4.1.6对否决的投标或不采信投标人说明的情况，评标委员会应当在评标报告中作详细说明。</w:t>
      </w:r>
    </w:p>
    <w:p w14:paraId="0E77B34F">
      <w:pPr>
        <w:wordWrap w:val="0"/>
        <w:adjustRightInd w:val="0"/>
        <w:snapToGrid w:val="0"/>
        <w:spacing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4.1.7评标报告应当由评标委员会全体成员签字（电子签名）。对评标结果有不同意见的评标委员会成员应当说明其不同意见和理由，评标报告应当注明该不同意见。评标委员会成员拒绝在评标报告上签字（电子签名）又不说明其不同意见和理由的，视为同意评标结果。</w:t>
      </w:r>
    </w:p>
    <w:p w14:paraId="77A76986">
      <w:pPr>
        <w:wordWrap w:val="0"/>
        <w:adjustRightInd w:val="0"/>
        <w:snapToGrid w:val="0"/>
        <w:spacing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4.1.8评标结束后，由招标人向评标委员会成员支付劳务费。除此之外，评标委员会成员不得接受该项目招投标相关单位和个人的任何其他礼物、现金或者有价证券等财物。</w:t>
      </w:r>
    </w:p>
    <w:p w14:paraId="18E248CF">
      <w:pPr>
        <w:wordWrap w:val="0"/>
        <w:adjustRightInd w:val="0"/>
        <w:snapToGrid w:val="0"/>
        <w:spacing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4.2组建评标委员会</w:t>
      </w:r>
    </w:p>
    <w:p w14:paraId="6B768BD8">
      <w:pPr>
        <w:wordWrap w:val="0"/>
        <w:adjustRightInd w:val="0"/>
        <w:snapToGrid w:val="0"/>
        <w:spacing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（1）评标委员会由有关技术、经济等方面的专家组成，成员人数见第二章“投标人须知”。技术、经济等方面专家全部从福建省综合性评标专家库中抽取。</w:t>
      </w:r>
    </w:p>
    <w:p w14:paraId="0C241F6F">
      <w:pPr>
        <w:wordWrap w:val="0"/>
        <w:adjustRightInd w:val="0"/>
        <w:snapToGrid w:val="0"/>
        <w:spacing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（2）评标委员会成员有下列情形之一的，应当回避：</w:t>
      </w:r>
    </w:p>
    <w:p w14:paraId="06FB33CB">
      <w:pPr>
        <w:wordWrap w:val="0"/>
        <w:adjustRightInd w:val="0"/>
        <w:snapToGrid w:val="0"/>
        <w:spacing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①招标人或投标人的主要负责人的近亲属；</w:t>
      </w:r>
    </w:p>
    <w:p w14:paraId="7AC04975">
      <w:pPr>
        <w:wordWrap w:val="0"/>
        <w:adjustRightInd w:val="0"/>
        <w:snapToGrid w:val="0"/>
        <w:spacing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②项目主管部门或者行政监督部门的人员；</w:t>
      </w:r>
    </w:p>
    <w:p w14:paraId="3FCFDB10">
      <w:pPr>
        <w:wordWrap w:val="0"/>
        <w:adjustRightInd w:val="0"/>
        <w:snapToGrid w:val="0"/>
        <w:spacing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③与投标人有利害关系的；</w:t>
      </w:r>
    </w:p>
    <w:p w14:paraId="3B1CC1D7">
      <w:pPr>
        <w:wordWrap w:val="0"/>
        <w:adjustRightInd w:val="0"/>
        <w:snapToGrid w:val="0"/>
        <w:spacing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④与投标人有经济利益关系，可能影响对投标公正评审的；</w:t>
      </w:r>
    </w:p>
    <w:p w14:paraId="63F43672">
      <w:pPr>
        <w:wordWrap w:val="0"/>
        <w:adjustRightInd w:val="0"/>
        <w:snapToGrid w:val="0"/>
        <w:spacing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⑤曾因在招标、评标以及其他与招标投标有关活动中从事违法行为而受过行政处罚或刑事处罚的。</w:t>
      </w:r>
    </w:p>
    <w:p w14:paraId="7F97945F">
      <w:pPr>
        <w:wordWrap w:val="0"/>
        <w:adjustRightInd w:val="0"/>
        <w:snapToGrid w:val="0"/>
        <w:spacing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（3）评标委员会采用推举或者随机抽取方式确定一名专家评委担任评标委员会负责人。评标委员会负责人负责组织开展评标活动，对在评标过程中产生的问题提请评标委员会讨论、表决，组织编写评标报告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评标委员会负责人与评标委员会的其他成员享有同等表决权。</w:t>
      </w:r>
    </w:p>
    <w:p w14:paraId="7C5F5BA9">
      <w:pPr>
        <w:wordWrap w:val="0"/>
        <w:adjustRightInd w:val="0"/>
        <w:snapToGrid w:val="0"/>
        <w:spacing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评</w:t>
      </w:r>
      <w:r>
        <w:rPr>
          <w:rFonts w:hint="eastAsia" w:ascii="宋体" w:hAnsi="宋体" w:cs="宋体"/>
          <w:color w:val="auto"/>
          <w:sz w:val="24"/>
          <w:szCs w:val="24"/>
          <w:highlight w:val="none"/>
          <w:lang w:val="en-US" w:eastAsia="zh-CN"/>
        </w:rPr>
        <w:t>标</w:t>
      </w:r>
      <w:r>
        <w:rPr>
          <w:rFonts w:hint="eastAsia" w:ascii="宋体" w:hAnsi="宋体" w:eastAsia="宋体" w:cs="宋体"/>
          <w:color w:val="auto"/>
          <w:sz w:val="24"/>
          <w:szCs w:val="24"/>
          <w:highlight w:val="none"/>
        </w:rPr>
        <w:t>前的准备</w:t>
      </w:r>
    </w:p>
    <w:p w14:paraId="622E1C32">
      <w:pPr>
        <w:wordWrap w:val="0"/>
        <w:adjustRightInd w:val="0"/>
        <w:snapToGrid w:val="0"/>
        <w:spacing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或者其委托的招标代理机构应当向评标委员会提供评标所需的信息和数据。评标委员会成员在评标前应当认真研究招标文件，至少应了解和熟悉本工程招标的目标、范围、性质、主要技术要求、标准以及评审程序、标准、工作规则和在评标过程中考虑的相关因素。</w:t>
      </w:r>
    </w:p>
    <w:p w14:paraId="56153F4F">
      <w:pPr>
        <w:wordWrap w:val="0"/>
        <w:adjustRightInd w:val="0"/>
        <w:snapToGrid w:val="0"/>
        <w:spacing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应当对电子招标投标交易平台提供的各项数据、分析结果进行审查、确认，核对交易平台按照招标文件设置的评标参数是否与招标文件（含招标文件的澄清、修改）规定的评标办法和标准一致。如有不一致，应要求招标人修正评标参数，经评标委员会核实无误后方可评标。</w:t>
      </w:r>
    </w:p>
    <w:p w14:paraId="4B60392C">
      <w:pPr>
        <w:wordWrap w:val="0"/>
        <w:adjustRightInd w:val="0"/>
        <w:snapToGrid w:val="0"/>
        <w:spacing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形式评审与响应性评审</w:t>
      </w:r>
    </w:p>
    <w:p w14:paraId="5416708D">
      <w:pPr>
        <w:wordWrap w:val="0"/>
        <w:adjustRightInd w:val="0"/>
        <w:snapToGrid w:val="0"/>
        <w:spacing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评标委员会依据评标办法前附表第</w:t>
      </w: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rPr>
        <w:t>项规定的标准对入围投标人的投标文件进行形式评审与响应性评审，有一项不符合评审标准的，评标委员会应当否决其投标。</w:t>
      </w:r>
    </w:p>
    <w:p w14:paraId="26BB341B">
      <w:pPr>
        <w:wordWrap w:val="0"/>
        <w:adjustRightInd w:val="0"/>
        <w:snapToGrid w:val="0"/>
        <w:spacing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 投标文件的澄清、说明和补正</w:t>
      </w:r>
    </w:p>
    <w:p w14:paraId="5CC71B2F">
      <w:pPr>
        <w:wordWrap w:val="0"/>
        <w:adjustRightInd w:val="0"/>
        <w:snapToGrid w:val="0"/>
        <w:spacing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评标过程中，评标委员会可以通过电子交易平台要求投标人对所提交的投标文件中不明确的内容进行书面澄清或说明，或者对细微偏差进行补正。投标人通过电子交易平台回复澄清、说明、补正，时限要求详见评标办法前附表第 4 项，评标委员会不接受投标人主动提出的澄清、说明或补正。</w:t>
      </w:r>
    </w:p>
    <w:p w14:paraId="7889D0C3">
      <w:pPr>
        <w:wordWrap w:val="0"/>
        <w:adjustRightInd w:val="0"/>
        <w:snapToGrid w:val="0"/>
        <w:spacing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细微偏差是指投标文件在实质上响应招标文件要求，但在个别地方存在漏项或者提供了不完整的技术信息和数据等情况，并且补正这些遗漏或者不完整不会对其他投标人造成不公平的结果。细微偏差不影响投标文件的有效性。评标委员会应当要求存在细微偏差的投标人在评标结束前予以补正。</w:t>
      </w:r>
    </w:p>
    <w:p w14:paraId="66E68762">
      <w:pPr>
        <w:wordWrap w:val="0"/>
        <w:adjustRightInd w:val="0"/>
        <w:snapToGrid w:val="0"/>
        <w:spacing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（2）澄清、说明和补正不得改变投标文件的实质性内容。投标人的书面澄清、说明和补正属于投标文件的组成部分。</w:t>
      </w:r>
    </w:p>
    <w:p w14:paraId="02EA70D2">
      <w:pPr>
        <w:wordWrap w:val="0"/>
        <w:adjustRightInd w:val="0"/>
        <w:snapToGrid w:val="0"/>
        <w:spacing w:after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（3）评标委员会对投标人提交的澄清、说明或补正有疑问的，可以要求投标人进一步澄清、说明或补正，直至满足评标委员会的要求。不按评标委员会要求澄清、说明或补正的，评标委员会应当否决其投标</w:t>
      </w:r>
      <w:r>
        <w:rPr>
          <w:rFonts w:hint="eastAsia" w:ascii="宋体" w:hAnsi="宋体" w:eastAsia="宋体" w:cs="宋体"/>
          <w:color w:val="auto"/>
          <w:sz w:val="24"/>
          <w:szCs w:val="24"/>
          <w:highlight w:val="none"/>
          <w:lang w:eastAsia="zh-CN"/>
        </w:rPr>
        <w:t>。</w:t>
      </w:r>
    </w:p>
    <w:p w14:paraId="094A7E9A">
      <w:pPr>
        <w:wordWrap w:val="0"/>
        <w:adjustRightInd w:val="0"/>
        <w:snapToGrid w:val="0"/>
        <w:spacing w:afterLines="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4.6 投标文件的修正</w:t>
      </w:r>
    </w:p>
    <w:p w14:paraId="66301669">
      <w:pPr>
        <w:wordWrap w:val="0"/>
        <w:adjustRightInd w:val="0"/>
        <w:snapToGrid w:val="0"/>
        <w:spacing w:after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投标报价有算术错误的，评标委员会按以下原则对投标报价进行修正，修正的价格经投标人书面确认后具有约束力。投标人不接受修正价格的，评标委员会应否决其投标。</w:t>
      </w:r>
    </w:p>
    <w:p w14:paraId="70F8A9BD">
      <w:pPr>
        <w:wordWrap w:val="0"/>
        <w:adjustRightInd w:val="0"/>
        <w:snapToGrid w:val="0"/>
        <w:spacing w:after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（1）投标文件中的大写金额与小写金额不一致的，以大写金额为准；</w:t>
      </w:r>
    </w:p>
    <w:p w14:paraId="226918EC">
      <w:pPr>
        <w:wordWrap w:val="0"/>
        <w:adjustRightInd w:val="0"/>
        <w:snapToGrid w:val="0"/>
        <w:spacing w:after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（2）总价金额与依据单价计算出的结果不一致的，以单价金额为准修正总价，但单价金额小数点有明显错误的除外；</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w:t>
      </w:r>
      <w:r>
        <w:rPr>
          <w:rFonts w:hint="eastAsia" w:ascii="宋体" w:hAnsi="宋体" w:cs="宋体"/>
          <w:color w:val="auto"/>
          <w:sz w:val="24"/>
          <w:szCs w:val="24"/>
          <w:highlight w:val="none"/>
          <w:lang w:eastAsia="zh-CN"/>
        </w:rPr>
        <w:t>）</w:t>
      </w:r>
    </w:p>
    <w:p w14:paraId="44CCD38D">
      <w:pPr>
        <w:wordWrap w:val="0"/>
        <w:adjustRightInd w:val="0"/>
        <w:snapToGrid w:val="0"/>
        <w:spacing w:after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（3）当单价与数量相乘不等于合价时，以单价计算为准，如果单价有明显的小数点位置差错，应以标出的合价为准，同时对单价予以修正；</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w:t>
      </w:r>
      <w:r>
        <w:rPr>
          <w:rFonts w:hint="eastAsia" w:ascii="宋体" w:hAnsi="宋体" w:cs="宋体"/>
          <w:color w:val="auto"/>
          <w:sz w:val="24"/>
          <w:szCs w:val="24"/>
          <w:highlight w:val="none"/>
          <w:lang w:eastAsia="zh-CN"/>
        </w:rPr>
        <w:t>）</w:t>
      </w:r>
    </w:p>
    <w:p w14:paraId="41C7148C">
      <w:pPr>
        <w:wordWrap w:val="0"/>
        <w:adjustRightInd w:val="0"/>
        <w:snapToGrid w:val="0"/>
        <w:spacing w:after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（4）当各子目的合价累计不等于总价时，应以各子目合价累计数为准，修正总价。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w:t>
      </w:r>
      <w:r>
        <w:rPr>
          <w:rFonts w:hint="eastAsia" w:ascii="宋体" w:hAnsi="宋体" w:cs="宋体"/>
          <w:color w:val="auto"/>
          <w:sz w:val="24"/>
          <w:szCs w:val="24"/>
          <w:highlight w:val="none"/>
          <w:lang w:eastAsia="zh-CN"/>
        </w:rPr>
        <w:t>）</w:t>
      </w:r>
    </w:p>
    <w:p w14:paraId="336E6BCC">
      <w:pPr>
        <w:wordWrap w:val="0"/>
        <w:adjustRightInd w:val="0"/>
        <w:snapToGrid w:val="0"/>
        <w:spacing w:after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修正后的最终投标报价若超过最高投标限价（如有），评标委员会应否决其投标。</w:t>
      </w:r>
    </w:p>
    <w:p w14:paraId="6611E9FD">
      <w:pPr>
        <w:wordWrap w:val="0"/>
        <w:adjustRightInd w:val="0"/>
        <w:snapToGrid w:val="0"/>
        <w:spacing w:after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highlight w:val="none"/>
          <w:lang w:val="en-US" w:eastAsia="zh-CN"/>
        </w:rPr>
        <w:t>修正后的最终投标报价作为签订合同的一个依据。</w:t>
      </w:r>
    </w:p>
    <w:p w14:paraId="0390CD30">
      <w:pPr>
        <w:pageBreakBefore w:val="0"/>
        <w:kinsoku/>
        <w:wordWrap w:val="0"/>
        <w:overflowPunct/>
        <w:bidi w:val="0"/>
        <w:adjustRightInd w:val="0"/>
        <w:snapToGrid w:val="0"/>
        <w:spacing w:before="0" w:after="0" w:afterLines="0" w:line="360" w:lineRule="auto"/>
        <w:ind w:firstLine="420" w:firstLineChars="175"/>
        <w:outlineLvl w:val="2"/>
        <w:rPr>
          <w:rFonts w:hint="eastAsia" w:ascii="宋体" w:hAnsi="宋体" w:eastAsia="宋体" w:cs="宋体"/>
          <w:color w:val="auto"/>
          <w:kern w:val="2"/>
          <w:sz w:val="24"/>
          <w:szCs w:val="24"/>
          <w:highlight w:val="none"/>
        </w:rPr>
      </w:pPr>
      <w:r>
        <w:rPr>
          <w:rFonts w:hint="eastAsia" w:ascii="宋体" w:hAnsi="宋体" w:eastAsia="宋体" w:cs="宋体"/>
          <w:b w:val="0"/>
          <w:bCs w:val="0"/>
          <w:color w:val="auto"/>
          <w:sz w:val="24"/>
          <w:szCs w:val="24"/>
          <w:highlight w:val="none"/>
          <w:lang w:val="en-US" w:eastAsia="zh-CN"/>
        </w:rPr>
        <w:t>4.7</w:t>
      </w:r>
      <w:r>
        <w:rPr>
          <w:rFonts w:hint="eastAsia" w:ascii="宋体" w:hAnsi="宋体" w:eastAsia="宋体" w:cs="宋体"/>
          <w:b w:val="0"/>
          <w:bCs w:val="0"/>
          <w:color w:val="auto"/>
          <w:sz w:val="24"/>
          <w:szCs w:val="24"/>
          <w:highlight w:val="none"/>
        </w:rPr>
        <w:t>投标文件相关信息的核查</w:t>
      </w:r>
    </w:p>
    <w:p w14:paraId="494FA32B">
      <w:pPr>
        <w:pageBreakBefore w:val="0"/>
        <w:kinsoku/>
        <w:wordWrap w:val="0"/>
        <w:overflowPunct/>
        <w:bidi w:val="0"/>
        <w:adjustRightInd w:val="0"/>
        <w:snapToGrid w:val="0"/>
        <w:spacing w:before="0" w:afterLines="0" w:line="360" w:lineRule="auto"/>
        <w:ind w:right="17"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4.7</w:t>
      </w:r>
      <w:r>
        <w:rPr>
          <w:rFonts w:hint="eastAsia" w:ascii="宋体" w:hAnsi="宋体" w:eastAsia="宋体" w:cs="宋体"/>
          <w:color w:val="auto"/>
          <w:sz w:val="24"/>
          <w:highlight w:val="none"/>
        </w:rPr>
        <w:t xml:space="preserve">.1 </w:t>
      </w:r>
      <w:r>
        <w:rPr>
          <w:rFonts w:hint="eastAsia" w:ascii="宋体" w:hAnsi="宋体" w:eastAsia="宋体" w:cs="宋体"/>
          <w:color w:val="auto"/>
          <w:sz w:val="24"/>
          <w:highlight w:val="none"/>
          <w:shd w:val="clear" w:color="auto" w:fill="auto"/>
        </w:rPr>
        <w:t>在评标过程中，评标委员会应查询交通运输部“全国水运建设市场信用信息管理系统”</w:t>
      </w:r>
      <w:r>
        <w:rPr>
          <w:rFonts w:hint="eastAsia" w:ascii="宋体" w:hAnsi="宋体" w:cs="宋体"/>
          <w:color w:val="auto"/>
          <w:sz w:val="24"/>
          <w:highlight w:val="none"/>
          <w:shd w:val="clear" w:color="auto" w:fill="auto"/>
          <w:lang w:val="en-US" w:eastAsia="zh-CN"/>
        </w:rPr>
        <w:t>或“福建省交通公路水运建设与运输市场信用信息管理系统（信用交通·福建）”</w:t>
      </w:r>
      <w:r>
        <w:rPr>
          <w:rFonts w:hint="eastAsia" w:ascii="宋体" w:hAnsi="宋体" w:eastAsia="宋体" w:cs="宋体"/>
          <w:color w:val="auto"/>
          <w:sz w:val="24"/>
          <w:highlight w:val="none"/>
          <w:shd w:val="clear" w:color="auto" w:fill="auto"/>
        </w:rPr>
        <w:t>，对投标人的资质、业绩、信用等级等信息进行核实。若投标文件载明的信息与</w:t>
      </w:r>
      <w:r>
        <w:rPr>
          <w:rFonts w:hint="eastAsia" w:ascii="宋体" w:hAnsi="宋体" w:cs="宋体"/>
          <w:color w:val="auto"/>
          <w:sz w:val="24"/>
          <w:highlight w:val="none"/>
          <w:shd w:val="clear" w:color="auto" w:fill="auto"/>
          <w:lang w:val="en-US" w:eastAsia="zh-CN"/>
        </w:rPr>
        <w:t>上述系统</w:t>
      </w:r>
      <w:r>
        <w:rPr>
          <w:rFonts w:hint="eastAsia" w:ascii="宋体" w:hAnsi="宋体" w:eastAsia="宋体" w:cs="宋体"/>
          <w:color w:val="auto"/>
          <w:sz w:val="24"/>
          <w:highlight w:val="none"/>
          <w:shd w:val="clear" w:color="auto" w:fill="auto"/>
        </w:rPr>
        <w:t>发布的信息不符，使得投标人的资格条件不符合招标文件规定的，评标委员会应否决其投标。</w:t>
      </w:r>
    </w:p>
    <w:p w14:paraId="118484DC">
      <w:pPr>
        <w:pageBreakBefore w:val="0"/>
        <w:kinsoku/>
        <w:wordWrap w:val="0"/>
        <w:overflowPunct/>
        <w:bidi w:val="0"/>
        <w:adjustRightInd w:val="0"/>
        <w:snapToGrid w:val="0"/>
        <w:spacing w:before="0" w:afterLines="0" w:line="360" w:lineRule="auto"/>
        <w:ind w:right="17"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4.7</w:t>
      </w:r>
      <w:r>
        <w:rPr>
          <w:rFonts w:hint="eastAsia" w:ascii="宋体" w:hAnsi="宋体" w:eastAsia="宋体" w:cs="宋体"/>
          <w:color w:val="auto"/>
          <w:sz w:val="24"/>
          <w:highlight w:val="none"/>
        </w:rPr>
        <w:t>.2 评标委员会应对在评标过程中发现的投标人与投标人之间、投标人与招标人之间存在的串通投标的情形进行评审和认定。投标人存在串通投标、弄虚作假、行贿等违法行为的，评标委员会应否决其投标。</w:t>
      </w:r>
    </w:p>
    <w:p w14:paraId="51BB4CD7">
      <w:pPr>
        <w:pStyle w:val="18"/>
        <w:pageBreakBefore w:val="0"/>
        <w:kinsoku/>
        <w:wordWrap w:val="0"/>
        <w:overflowPunct/>
        <w:bidi w:val="0"/>
        <w:adjustRightInd w:val="0"/>
        <w:snapToGrid w:val="0"/>
        <w:spacing w:before="0" w:after="0" w:afterLines="0" w:line="360" w:lineRule="auto"/>
        <w:ind w:right="17" w:firstLine="480" w:firstLineChars="200"/>
        <w:rPr>
          <w:rFonts w:hint="eastAsia"/>
          <w:color w:val="auto"/>
          <w:sz w:val="24"/>
          <w:highlight w:val="none"/>
        </w:rPr>
      </w:pPr>
      <w:r>
        <w:rPr>
          <w:rFonts w:hint="eastAsia"/>
          <w:color w:val="auto"/>
          <w:sz w:val="24"/>
          <w:highlight w:val="none"/>
        </w:rPr>
        <w:t>（1）有下列情形之一的，属于投标人相互串通投标：</w:t>
      </w:r>
    </w:p>
    <w:p w14:paraId="1C87A773">
      <w:pPr>
        <w:pStyle w:val="18"/>
        <w:pageBreakBefore w:val="0"/>
        <w:kinsoku/>
        <w:wordWrap w:val="0"/>
        <w:overflowPunct/>
        <w:bidi w:val="0"/>
        <w:adjustRightInd w:val="0"/>
        <w:snapToGrid w:val="0"/>
        <w:spacing w:before="0" w:after="0" w:afterLines="0" w:line="360" w:lineRule="auto"/>
        <w:ind w:right="17" w:firstLine="480" w:firstLineChars="200"/>
        <w:rPr>
          <w:rFonts w:hint="eastAsia"/>
          <w:color w:val="auto"/>
          <w:sz w:val="24"/>
          <w:highlight w:val="none"/>
        </w:rPr>
      </w:pPr>
      <w:r>
        <w:rPr>
          <w:rFonts w:hint="eastAsia"/>
          <w:color w:val="auto"/>
          <w:sz w:val="24"/>
          <w:highlight w:val="none"/>
        </w:rPr>
        <w:t>a.投标人之间协商投标报价等投标文件的实质性内容；</w:t>
      </w:r>
    </w:p>
    <w:p w14:paraId="3CC2F15F">
      <w:pPr>
        <w:pStyle w:val="18"/>
        <w:pageBreakBefore w:val="0"/>
        <w:kinsoku/>
        <w:wordWrap w:val="0"/>
        <w:overflowPunct/>
        <w:bidi w:val="0"/>
        <w:adjustRightInd w:val="0"/>
        <w:snapToGrid w:val="0"/>
        <w:spacing w:before="0" w:after="0" w:afterLines="0" w:line="360" w:lineRule="auto"/>
        <w:ind w:right="17" w:firstLine="480" w:firstLineChars="200"/>
        <w:rPr>
          <w:rFonts w:hint="eastAsia"/>
          <w:color w:val="auto"/>
          <w:sz w:val="24"/>
          <w:highlight w:val="none"/>
        </w:rPr>
      </w:pPr>
      <w:r>
        <w:rPr>
          <w:rFonts w:hint="eastAsia"/>
          <w:color w:val="auto"/>
          <w:sz w:val="24"/>
          <w:highlight w:val="none"/>
        </w:rPr>
        <w:t>b.投标人之间约定中标人；</w:t>
      </w:r>
    </w:p>
    <w:p w14:paraId="2B7F3C10">
      <w:pPr>
        <w:pStyle w:val="18"/>
        <w:pageBreakBefore w:val="0"/>
        <w:kinsoku/>
        <w:wordWrap w:val="0"/>
        <w:overflowPunct/>
        <w:bidi w:val="0"/>
        <w:adjustRightInd w:val="0"/>
        <w:snapToGrid w:val="0"/>
        <w:spacing w:before="0" w:after="0" w:afterLines="0" w:line="360" w:lineRule="auto"/>
        <w:ind w:right="17" w:firstLine="480" w:firstLineChars="200"/>
        <w:rPr>
          <w:rFonts w:hint="eastAsia"/>
          <w:color w:val="auto"/>
          <w:sz w:val="24"/>
          <w:highlight w:val="none"/>
        </w:rPr>
      </w:pPr>
      <w:r>
        <w:rPr>
          <w:rFonts w:hint="eastAsia"/>
          <w:color w:val="auto"/>
          <w:sz w:val="24"/>
          <w:highlight w:val="none"/>
        </w:rPr>
        <w:t>C.投标人之间约定部分投标人放弃投标或中标；</w:t>
      </w:r>
    </w:p>
    <w:p w14:paraId="0F44DBB9">
      <w:pPr>
        <w:pStyle w:val="18"/>
        <w:pageBreakBefore w:val="0"/>
        <w:kinsoku/>
        <w:wordWrap w:val="0"/>
        <w:overflowPunct/>
        <w:bidi w:val="0"/>
        <w:adjustRightInd w:val="0"/>
        <w:snapToGrid w:val="0"/>
        <w:spacing w:before="0" w:after="0" w:afterLines="0" w:line="360" w:lineRule="auto"/>
        <w:ind w:right="17" w:firstLine="480" w:firstLineChars="200"/>
        <w:rPr>
          <w:rFonts w:hint="eastAsia"/>
          <w:color w:val="auto"/>
          <w:sz w:val="24"/>
          <w:highlight w:val="none"/>
        </w:rPr>
      </w:pPr>
      <w:r>
        <w:rPr>
          <w:rFonts w:hint="eastAsia"/>
          <w:color w:val="auto"/>
          <w:sz w:val="24"/>
          <w:highlight w:val="none"/>
        </w:rPr>
        <w:t>d.属于同一集团、协会、商会等组织成员的投标人按照该组织要求协同投标；</w:t>
      </w:r>
    </w:p>
    <w:p w14:paraId="170CB23F">
      <w:pPr>
        <w:pStyle w:val="18"/>
        <w:pageBreakBefore w:val="0"/>
        <w:kinsoku/>
        <w:wordWrap w:val="0"/>
        <w:overflowPunct/>
        <w:bidi w:val="0"/>
        <w:adjustRightInd w:val="0"/>
        <w:snapToGrid w:val="0"/>
        <w:spacing w:before="0" w:after="0" w:afterLines="0" w:line="360" w:lineRule="auto"/>
        <w:ind w:right="17" w:firstLine="480" w:firstLineChars="200"/>
        <w:rPr>
          <w:rFonts w:hint="eastAsia"/>
          <w:color w:val="auto"/>
          <w:sz w:val="24"/>
          <w:highlight w:val="none"/>
        </w:rPr>
      </w:pPr>
      <w:r>
        <w:rPr>
          <w:rFonts w:hint="eastAsia"/>
          <w:color w:val="auto"/>
          <w:sz w:val="24"/>
          <w:highlight w:val="none"/>
        </w:rPr>
        <w:t>e.投标人之间为谋取中标或排斥特定投标人而采取的其他联合行动。</w:t>
      </w:r>
    </w:p>
    <w:p w14:paraId="7B1028E4">
      <w:pPr>
        <w:pStyle w:val="18"/>
        <w:pageBreakBefore w:val="0"/>
        <w:kinsoku/>
        <w:wordWrap w:val="0"/>
        <w:overflowPunct/>
        <w:bidi w:val="0"/>
        <w:adjustRightInd w:val="0"/>
        <w:snapToGrid w:val="0"/>
        <w:spacing w:before="0" w:after="0" w:afterLines="0" w:line="360" w:lineRule="auto"/>
        <w:ind w:right="17" w:firstLine="480" w:firstLineChars="200"/>
        <w:rPr>
          <w:rFonts w:hint="eastAsia"/>
          <w:color w:val="auto"/>
          <w:sz w:val="24"/>
          <w:highlight w:val="none"/>
        </w:rPr>
      </w:pPr>
      <w:r>
        <w:rPr>
          <w:rFonts w:hint="eastAsia"/>
          <w:color w:val="auto"/>
          <w:sz w:val="24"/>
          <w:highlight w:val="none"/>
        </w:rPr>
        <w:t>（2）有下列情形之一的，视为投标人相互串通投标；</w:t>
      </w:r>
    </w:p>
    <w:p w14:paraId="04799EED">
      <w:pPr>
        <w:pStyle w:val="18"/>
        <w:pageBreakBefore w:val="0"/>
        <w:kinsoku/>
        <w:wordWrap w:val="0"/>
        <w:overflowPunct/>
        <w:bidi w:val="0"/>
        <w:adjustRightInd w:val="0"/>
        <w:snapToGrid w:val="0"/>
        <w:spacing w:before="0" w:after="0" w:afterLines="0" w:line="360" w:lineRule="auto"/>
        <w:ind w:right="17" w:firstLine="480" w:firstLineChars="200"/>
        <w:rPr>
          <w:rFonts w:hint="eastAsia"/>
          <w:color w:val="auto"/>
          <w:sz w:val="24"/>
          <w:highlight w:val="none"/>
        </w:rPr>
      </w:pPr>
      <w:r>
        <w:rPr>
          <w:rFonts w:hint="eastAsia"/>
          <w:color w:val="auto"/>
          <w:sz w:val="24"/>
          <w:highlight w:val="none"/>
        </w:rPr>
        <w:t>a.不同投标人的投标文件由同一单位或个人编制；</w:t>
      </w:r>
    </w:p>
    <w:p w14:paraId="01BDF647">
      <w:pPr>
        <w:pStyle w:val="18"/>
        <w:pageBreakBefore w:val="0"/>
        <w:kinsoku/>
        <w:wordWrap w:val="0"/>
        <w:overflowPunct/>
        <w:bidi w:val="0"/>
        <w:adjustRightInd w:val="0"/>
        <w:snapToGrid w:val="0"/>
        <w:spacing w:before="0" w:after="0" w:afterLines="0" w:line="360" w:lineRule="auto"/>
        <w:ind w:right="17" w:firstLine="480" w:firstLineChars="200"/>
        <w:rPr>
          <w:rFonts w:hint="eastAsia"/>
          <w:color w:val="auto"/>
          <w:sz w:val="24"/>
          <w:highlight w:val="none"/>
        </w:rPr>
      </w:pPr>
      <w:r>
        <w:rPr>
          <w:rFonts w:hint="eastAsia"/>
          <w:color w:val="auto"/>
          <w:sz w:val="24"/>
          <w:highlight w:val="none"/>
        </w:rPr>
        <w:t>b.不同投标人委托同一单位或个人办理投标事宜；</w:t>
      </w:r>
    </w:p>
    <w:p w14:paraId="7D6F2745">
      <w:pPr>
        <w:pStyle w:val="18"/>
        <w:pageBreakBefore w:val="0"/>
        <w:kinsoku/>
        <w:wordWrap w:val="0"/>
        <w:overflowPunct/>
        <w:bidi w:val="0"/>
        <w:adjustRightInd w:val="0"/>
        <w:snapToGrid w:val="0"/>
        <w:spacing w:before="0" w:after="0" w:afterLines="0" w:line="360" w:lineRule="auto"/>
        <w:ind w:right="17" w:firstLine="480" w:firstLineChars="200"/>
        <w:rPr>
          <w:rFonts w:hint="eastAsia"/>
          <w:color w:val="auto"/>
          <w:sz w:val="24"/>
          <w:highlight w:val="none"/>
        </w:rPr>
      </w:pPr>
      <w:r>
        <w:rPr>
          <w:rFonts w:hint="eastAsia"/>
          <w:color w:val="auto"/>
          <w:sz w:val="24"/>
          <w:highlight w:val="none"/>
        </w:rPr>
        <w:t>C.不同投标人的投标文件载明的项目管理成员为同一人；</w:t>
      </w:r>
    </w:p>
    <w:p w14:paraId="1A97AB26">
      <w:pPr>
        <w:pStyle w:val="18"/>
        <w:pageBreakBefore w:val="0"/>
        <w:kinsoku/>
        <w:wordWrap w:val="0"/>
        <w:overflowPunct/>
        <w:bidi w:val="0"/>
        <w:adjustRightInd w:val="0"/>
        <w:snapToGrid w:val="0"/>
        <w:spacing w:before="0" w:after="0" w:afterLines="0" w:line="360" w:lineRule="auto"/>
        <w:ind w:right="17" w:firstLine="480" w:firstLineChars="200"/>
        <w:rPr>
          <w:rFonts w:hint="eastAsia"/>
          <w:color w:val="auto"/>
          <w:sz w:val="24"/>
          <w:highlight w:val="none"/>
        </w:rPr>
      </w:pPr>
      <w:r>
        <w:rPr>
          <w:rFonts w:hint="eastAsia"/>
          <w:color w:val="auto"/>
          <w:sz w:val="24"/>
          <w:highlight w:val="none"/>
        </w:rPr>
        <w:t>d.不同投标人的投标文件异常一致或投标报价呈规律性差异；</w:t>
      </w:r>
    </w:p>
    <w:p w14:paraId="4489A290">
      <w:pPr>
        <w:pStyle w:val="18"/>
        <w:pageBreakBefore w:val="0"/>
        <w:kinsoku/>
        <w:wordWrap w:val="0"/>
        <w:overflowPunct/>
        <w:bidi w:val="0"/>
        <w:adjustRightInd w:val="0"/>
        <w:snapToGrid w:val="0"/>
        <w:spacing w:before="0" w:after="0" w:afterLines="0" w:line="360" w:lineRule="auto"/>
        <w:ind w:right="17" w:firstLine="480" w:firstLineChars="200"/>
        <w:rPr>
          <w:rFonts w:hint="eastAsia"/>
          <w:color w:val="auto"/>
          <w:sz w:val="24"/>
          <w:highlight w:val="none"/>
        </w:rPr>
      </w:pPr>
      <w:r>
        <w:rPr>
          <w:rFonts w:hint="eastAsia"/>
          <w:color w:val="auto"/>
          <w:sz w:val="24"/>
          <w:highlight w:val="none"/>
        </w:rPr>
        <w:t>e.不同投标人的投标文件相互混装；</w:t>
      </w:r>
    </w:p>
    <w:p w14:paraId="599F4655">
      <w:pPr>
        <w:pStyle w:val="18"/>
        <w:pageBreakBefore w:val="0"/>
        <w:kinsoku/>
        <w:wordWrap w:val="0"/>
        <w:overflowPunct/>
        <w:bidi w:val="0"/>
        <w:adjustRightInd w:val="0"/>
        <w:snapToGrid w:val="0"/>
        <w:spacing w:before="0" w:after="0" w:afterLines="0" w:line="360" w:lineRule="auto"/>
        <w:ind w:right="17" w:firstLine="480" w:firstLineChars="200"/>
        <w:rPr>
          <w:rFonts w:hint="eastAsia"/>
          <w:color w:val="auto"/>
          <w:sz w:val="24"/>
          <w:highlight w:val="none"/>
        </w:rPr>
      </w:pPr>
      <w:r>
        <w:rPr>
          <w:rFonts w:hint="eastAsia"/>
          <w:color w:val="auto"/>
          <w:sz w:val="24"/>
          <w:highlight w:val="none"/>
        </w:rPr>
        <w:t>f.不同投标人的投标保证金从同一单位或个人的账户转出。</w:t>
      </w:r>
    </w:p>
    <w:p w14:paraId="1486C905">
      <w:pPr>
        <w:pStyle w:val="18"/>
        <w:pageBreakBefore w:val="0"/>
        <w:kinsoku/>
        <w:wordWrap w:val="0"/>
        <w:overflowPunct/>
        <w:bidi w:val="0"/>
        <w:adjustRightInd w:val="0"/>
        <w:snapToGrid w:val="0"/>
        <w:spacing w:before="0" w:after="0" w:afterLines="0" w:line="360" w:lineRule="auto"/>
        <w:ind w:right="17" w:firstLine="480" w:firstLineChars="200"/>
        <w:rPr>
          <w:rFonts w:hint="eastAsia"/>
          <w:color w:val="auto"/>
          <w:sz w:val="24"/>
          <w:highlight w:val="none"/>
        </w:rPr>
      </w:pPr>
      <w:r>
        <w:rPr>
          <w:rFonts w:hint="eastAsia"/>
          <w:color w:val="auto"/>
          <w:sz w:val="24"/>
          <w:highlight w:val="none"/>
        </w:rPr>
        <w:t>（3）有下列情形之一的 ，属于招标人与投标人串通投标：</w:t>
      </w:r>
    </w:p>
    <w:p w14:paraId="2842081D">
      <w:pPr>
        <w:pStyle w:val="18"/>
        <w:pageBreakBefore w:val="0"/>
        <w:kinsoku/>
        <w:wordWrap w:val="0"/>
        <w:overflowPunct/>
        <w:bidi w:val="0"/>
        <w:adjustRightInd w:val="0"/>
        <w:snapToGrid w:val="0"/>
        <w:spacing w:before="0" w:after="0" w:afterLines="0" w:line="360" w:lineRule="auto"/>
        <w:ind w:right="17" w:firstLine="480" w:firstLineChars="200"/>
        <w:rPr>
          <w:rFonts w:hint="eastAsia"/>
          <w:color w:val="auto"/>
          <w:sz w:val="24"/>
          <w:highlight w:val="none"/>
        </w:rPr>
      </w:pPr>
      <w:r>
        <w:rPr>
          <w:rFonts w:hint="eastAsia"/>
          <w:color w:val="auto"/>
          <w:sz w:val="24"/>
          <w:highlight w:val="none"/>
        </w:rPr>
        <w:t>a.招标人在开标前开启投标文件并将有关信息泄露给其他投标人；</w:t>
      </w:r>
    </w:p>
    <w:p w14:paraId="308B2AB8">
      <w:pPr>
        <w:pStyle w:val="18"/>
        <w:pageBreakBefore w:val="0"/>
        <w:kinsoku/>
        <w:wordWrap w:val="0"/>
        <w:overflowPunct/>
        <w:bidi w:val="0"/>
        <w:adjustRightInd w:val="0"/>
        <w:snapToGrid w:val="0"/>
        <w:spacing w:before="0" w:after="0" w:afterLines="0" w:line="360" w:lineRule="auto"/>
        <w:ind w:right="17" w:firstLine="480" w:firstLineChars="200"/>
        <w:rPr>
          <w:rFonts w:hint="eastAsia"/>
          <w:color w:val="auto"/>
          <w:sz w:val="24"/>
          <w:highlight w:val="none"/>
        </w:rPr>
      </w:pPr>
      <w:r>
        <w:rPr>
          <w:rFonts w:hint="eastAsia"/>
          <w:color w:val="auto"/>
          <w:sz w:val="24"/>
          <w:highlight w:val="none"/>
        </w:rPr>
        <w:t>b招标人直接或间接向投标人泄露标底、评标委员会成员等信息；</w:t>
      </w:r>
    </w:p>
    <w:p w14:paraId="12F877D6">
      <w:pPr>
        <w:pStyle w:val="18"/>
        <w:pageBreakBefore w:val="0"/>
        <w:kinsoku/>
        <w:wordWrap w:val="0"/>
        <w:overflowPunct/>
        <w:bidi w:val="0"/>
        <w:adjustRightInd w:val="0"/>
        <w:snapToGrid w:val="0"/>
        <w:spacing w:before="0" w:after="0" w:afterLines="0" w:line="360" w:lineRule="auto"/>
        <w:ind w:right="17" w:firstLine="480" w:firstLineChars="200"/>
        <w:rPr>
          <w:rFonts w:hint="eastAsia"/>
          <w:color w:val="auto"/>
          <w:sz w:val="24"/>
          <w:highlight w:val="none"/>
        </w:rPr>
      </w:pPr>
      <w:r>
        <w:rPr>
          <w:rFonts w:hint="eastAsia"/>
          <w:color w:val="auto"/>
          <w:sz w:val="24"/>
          <w:highlight w:val="none"/>
        </w:rPr>
        <w:t>c招标人明示或暗示投标人压低或抬高投标报价；</w:t>
      </w:r>
    </w:p>
    <w:p w14:paraId="21FC300A">
      <w:pPr>
        <w:pStyle w:val="18"/>
        <w:pageBreakBefore w:val="0"/>
        <w:kinsoku/>
        <w:wordWrap w:val="0"/>
        <w:overflowPunct/>
        <w:bidi w:val="0"/>
        <w:adjustRightInd w:val="0"/>
        <w:snapToGrid w:val="0"/>
        <w:spacing w:before="0" w:after="0" w:afterLines="0" w:line="360" w:lineRule="auto"/>
        <w:ind w:right="17" w:firstLine="480" w:firstLineChars="200"/>
        <w:rPr>
          <w:rFonts w:hint="eastAsia"/>
          <w:color w:val="auto"/>
          <w:sz w:val="24"/>
          <w:highlight w:val="none"/>
        </w:rPr>
      </w:pPr>
      <w:r>
        <w:rPr>
          <w:rFonts w:hint="eastAsia"/>
          <w:color w:val="auto"/>
          <w:sz w:val="24"/>
          <w:highlight w:val="none"/>
        </w:rPr>
        <w:t>d.招标人授意投标人撤换、修改投标文件；</w:t>
      </w:r>
    </w:p>
    <w:p w14:paraId="7E6C1FBE">
      <w:pPr>
        <w:pStyle w:val="18"/>
        <w:pageBreakBefore w:val="0"/>
        <w:kinsoku/>
        <w:wordWrap w:val="0"/>
        <w:overflowPunct/>
        <w:bidi w:val="0"/>
        <w:adjustRightInd w:val="0"/>
        <w:snapToGrid w:val="0"/>
        <w:spacing w:before="0" w:after="0" w:afterLines="0" w:line="360" w:lineRule="auto"/>
        <w:ind w:right="17" w:firstLine="480" w:firstLineChars="200"/>
        <w:rPr>
          <w:rFonts w:hint="eastAsia"/>
          <w:color w:val="auto"/>
          <w:sz w:val="24"/>
          <w:highlight w:val="none"/>
        </w:rPr>
      </w:pPr>
      <w:r>
        <w:rPr>
          <w:rFonts w:hint="eastAsia"/>
          <w:color w:val="auto"/>
          <w:sz w:val="24"/>
          <w:highlight w:val="none"/>
        </w:rPr>
        <w:t>e.招标人明示或暗示投标人为特定投标人中标提供方便；</w:t>
      </w:r>
    </w:p>
    <w:p w14:paraId="6D558BAF">
      <w:pPr>
        <w:pStyle w:val="18"/>
        <w:pageBreakBefore w:val="0"/>
        <w:kinsoku/>
        <w:wordWrap w:val="0"/>
        <w:overflowPunct/>
        <w:bidi w:val="0"/>
        <w:adjustRightInd w:val="0"/>
        <w:snapToGrid w:val="0"/>
        <w:spacing w:before="0" w:after="0" w:afterLines="0" w:line="360" w:lineRule="auto"/>
        <w:ind w:right="17" w:firstLine="480" w:firstLineChars="200"/>
        <w:rPr>
          <w:rFonts w:hint="eastAsia"/>
          <w:color w:val="auto"/>
          <w:sz w:val="24"/>
          <w:highlight w:val="none"/>
        </w:rPr>
      </w:pPr>
      <w:r>
        <w:rPr>
          <w:rFonts w:hint="eastAsia"/>
          <w:color w:val="auto"/>
          <w:sz w:val="24"/>
          <w:highlight w:val="none"/>
        </w:rPr>
        <w:t>f.招标人与投标人为谋求特定投标人中标而采取的其他串通行为。</w:t>
      </w:r>
    </w:p>
    <w:p w14:paraId="757BBA98">
      <w:pPr>
        <w:pStyle w:val="18"/>
        <w:pageBreakBefore w:val="0"/>
        <w:kinsoku/>
        <w:wordWrap w:val="0"/>
        <w:overflowPunct/>
        <w:bidi w:val="0"/>
        <w:adjustRightInd w:val="0"/>
        <w:snapToGrid w:val="0"/>
        <w:spacing w:before="0" w:after="0" w:afterLines="0" w:line="360" w:lineRule="auto"/>
        <w:ind w:right="17" w:firstLine="480" w:firstLineChars="200"/>
        <w:rPr>
          <w:rFonts w:hint="eastAsia"/>
          <w:color w:val="auto"/>
          <w:sz w:val="24"/>
          <w:highlight w:val="none"/>
        </w:rPr>
      </w:pPr>
      <w:r>
        <w:rPr>
          <w:rFonts w:hint="eastAsia"/>
          <w:color w:val="auto"/>
          <w:sz w:val="24"/>
          <w:highlight w:val="none"/>
        </w:rPr>
        <w:t>（4）投标人有下列情形之一的，属于弄虚作假的行为：</w:t>
      </w:r>
    </w:p>
    <w:p w14:paraId="4553CB1F">
      <w:pPr>
        <w:pStyle w:val="18"/>
        <w:pageBreakBefore w:val="0"/>
        <w:kinsoku/>
        <w:wordWrap w:val="0"/>
        <w:overflowPunct/>
        <w:bidi w:val="0"/>
        <w:adjustRightInd w:val="0"/>
        <w:snapToGrid w:val="0"/>
        <w:spacing w:before="0" w:after="0" w:afterLines="0" w:line="360" w:lineRule="auto"/>
        <w:ind w:right="17" w:firstLine="480" w:firstLineChars="200"/>
        <w:rPr>
          <w:rFonts w:hint="eastAsia"/>
          <w:color w:val="auto"/>
          <w:sz w:val="24"/>
          <w:highlight w:val="none"/>
        </w:rPr>
      </w:pPr>
      <w:r>
        <w:rPr>
          <w:rFonts w:hint="eastAsia"/>
          <w:color w:val="auto"/>
          <w:sz w:val="24"/>
          <w:highlight w:val="none"/>
        </w:rPr>
        <w:t>a.使用通过受让或租借等方式获取的资格、资质证书投标；</w:t>
      </w:r>
    </w:p>
    <w:p w14:paraId="4CEB15B5">
      <w:pPr>
        <w:pStyle w:val="18"/>
        <w:pageBreakBefore w:val="0"/>
        <w:kinsoku/>
        <w:wordWrap w:val="0"/>
        <w:overflowPunct/>
        <w:bidi w:val="0"/>
        <w:adjustRightInd w:val="0"/>
        <w:snapToGrid w:val="0"/>
        <w:spacing w:before="0" w:after="0" w:afterLines="0" w:line="360" w:lineRule="auto"/>
        <w:ind w:right="17" w:firstLine="480" w:firstLineChars="200"/>
        <w:rPr>
          <w:rFonts w:hint="eastAsia"/>
          <w:color w:val="auto"/>
          <w:sz w:val="24"/>
          <w:highlight w:val="none"/>
        </w:rPr>
      </w:pPr>
      <w:r>
        <w:rPr>
          <w:rFonts w:hint="eastAsia"/>
          <w:color w:val="auto"/>
          <w:sz w:val="24"/>
          <w:highlight w:val="none"/>
        </w:rPr>
        <w:t>b.使用伪造、变造的许可证件；</w:t>
      </w:r>
    </w:p>
    <w:p w14:paraId="7A732820">
      <w:pPr>
        <w:pStyle w:val="18"/>
        <w:pageBreakBefore w:val="0"/>
        <w:kinsoku/>
        <w:wordWrap w:val="0"/>
        <w:overflowPunct/>
        <w:bidi w:val="0"/>
        <w:adjustRightInd w:val="0"/>
        <w:snapToGrid w:val="0"/>
        <w:spacing w:before="0" w:after="0" w:afterLines="0" w:line="360" w:lineRule="auto"/>
        <w:ind w:right="17" w:firstLine="480" w:firstLineChars="200"/>
        <w:rPr>
          <w:rFonts w:hint="eastAsia"/>
          <w:color w:val="auto"/>
          <w:sz w:val="24"/>
          <w:highlight w:val="none"/>
        </w:rPr>
      </w:pPr>
      <w:r>
        <w:rPr>
          <w:rFonts w:hint="eastAsia"/>
          <w:color w:val="auto"/>
          <w:sz w:val="24"/>
          <w:highlight w:val="none"/>
        </w:rPr>
        <w:t>c.提供虚假的业绩；</w:t>
      </w:r>
    </w:p>
    <w:p w14:paraId="54F09C1A">
      <w:pPr>
        <w:pStyle w:val="18"/>
        <w:pageBreakBefore w:val="0"/>
        <w:kinsoku/>
        <w:wordWrap w:val="0"/>
        <w:overflowPunct/>
        <w:bidi w:val="0"/>
        <w:adjustRightInd w:val="0"/>
        <w:snapToGrid w:val="0"/>
        <w:spacing w:before="0" w:after="0" w:afterLines="0" w:line="360" w:lineRule="auto"/>
        <w:ind w:right="17" w:firstLine="480" w:firstLineChars="200"/>
        <w:rPr>
          <w:rFonts w:hint="eastAsia"/>
          <w:color w:val="auto"/>
          <w:sz w:val="24"/>
          <w:highlight w:val="none"/>
        </w:rPr>
      </w:pPr>
      <w:r>
        <w:rPr>
          <w:rFonts w:hint="eastAsia"/>
          <w:color w:val="auto"/>
          <w:sz w:val="24"/>
          <w:highlight w:val="none"/>
        </w:rPr>
        <w:t>d.提供虚假的项目负责人或主要技术人员简历、劳动关系证明；</w:t>
      </w:r>
    </w:p>
    <w:p w14:paraId="41C3CBE3">
      <w:pPr>
        <w:pStyle w:val="18"/>
        <w:pageBreakBefore w:val="0"/>
        <w:kinsoku/>
        <w:wordWrap w:val="0"/>
        <w:overflowPunct/>
        <w:bidi w:val="0"/>
        <w:adjustRightInd w:val="0"/>
        <w:snapToGrid w:val="0"/>
        <w:spacing w:before="0" w:after="0" w:afterLines="0" w:line="360" w:lineRule="auto"/>
        <w:ind w:right="17" w:firstLine="480" w:firstLineChars="200"/>
        <w:rPr>
          <w:rFonts w:hint="eastAsia"/>
          <w:color w:val="auto"/>
          <w:sz w:val="24"/>
          <w:highlight w:val="none"/>
        </w:rPr>
      </w:pPr>
      <w:r>
        <w:rPr>
          <w:rFonts w:hint="eastAsia"/>
          <w:color w:val="auto"/>
          <w:sz w:val="24"/>
          <w:highlight w:val="none"/>
        </w:rPr>
        <w:t>e.提供虚假的信用状况；</w:t>
      </w:r>
    </w:p>
    <w:p w14:paraId="1FEBE4D8">
      <w:pPr>
        <w:pStyle w:val="18"/>
        <w:pageBreakBefore w:val="0"/>
        <w:kinsoku/>
        <w:wordWrap w:val="0"/>
        <w:overflowPunct/>
        <w:bidi w:val="0"/>
        <w:adjustRightInd w:val="0"/>
        <w:snapToGrid w:val="0"/>
        <w:spacing w:before="0" w:after="0" w:afterLines="0" w:line="360" w:lineRule="auto"/>
        <w:ind w:right="17" w:firstLine="480" w:firstLineChars="200"/>
        <w:rPr>
          <w:rFonts w:cs="宋体"/>
          <w:color w:val="auto"/>
          <w:sz w:val="25"/>
          <w:szCs w:val="25"/>
          <w:highlight w:val="none"/>
        </w:rPr>
      </w:pPr>
      <w:r>
        <w:rPr>
          <w:rFonts w:hint="eastAsia"/>
          <w:color w:val="auto"/>
          <w:sz w:val="24"/>
          <w:highlight w:val="none"/>
        </w:rPr>
        <w:t>f.其他弄虚作假的行为。</w:t>
      </w:r>
    </w:p>
    <w:p w14:paraId="0E23123E">
      <w:pPr>
        <w:keepNext w:val="0"/>
        <w:keepLines w:val="0"/>
        <w:pageBreakBefore w:val="0"/>
        <w:widowControl/>
        <w:kinsoku/>
        <w:wordWrap/>
        <w:overflowPunct/>
        <w:topLinePunct w:val="0"/>
        <w:autoSpaceDE/>
        <w:autoSpaceDN/>
        <w:bidi w:val="0"/>
        <w:adjustRightInd w:val="0"/>
        <w:snapToGrid w:val="0"/>
        <w:spacing w:before="0" w:beforeLines="-2147483648" w:afterLines="0" w:line="360" w:lineRule="auto"/>
        <w:ind w:firstLine="422" w:firstLineChars="175"/>
        <w:textAlignment w:val="auto"/>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5.</w:t>
      </w:r>
      <w:r>
        <w:rPr>
          <w:rFonts w:hint="eastAsia" w:ascii="宋体" w:hAnsi="宋体" w:eastAsia="宋体" w:cs="宋体"/>
          <w:b/>
          <w:bCs/>
          <w:color w:val="auto"/>
          <w:sz w:val="24"/>
          <w:highlight w:val="none"/>
          <w:shd w:val="clear" w:color="auto" w:fill="auto"/>
          <w:lang w:val="en-US" w:eastAsia="zh-CN"/>
        </w:rPr>
        <w:t xml:space="preserve"> 推荐</w:t>
      </w:r>
      <w:r>
        <w:rPr>
          <w:rFonts w:hint="eastAsia" w:ascii="宋体" w:hAnsi="宋体" w:eastAsia="宋体" w:cs="宋体"/>
          <w:b/>
          <w:bCs/>
          <w:color w:val="auto"/>
          <w:sz w:val="24"/>
          <w:highlight w:val="none"/>
          <w:shd w:val="clear" w:color="auto" w:fill="auto"/>
        </w:rPr>
        <w:t>定标候选人</w:t>
      </w:r>
    </w:p>
    <w:p w14:paraId="03A9EBC2">
      <w:pPr>
        <w:keepNext w:val="0"/>
        <w:keepLines w:val="0"/>
        <w:pageBreakBefore w:val="0"/>
        <w:widowControl w:val="0"/>
        <w:kinsoku/>
        <w:wordWrap w:val="0"/>
        <w:overflowPunct/>
        <w:topLinePunct w:val="0"/>
        <w:autoSpaceDE/>
        <w:autoSpaceDN/>
        <w:bidi w:val="0"/>
        <w:adjustRightInd w:val="0"/>
        <w:snapToGrid w:val="0"/>
        <w:spacing w:afterLines="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评标委员会根据评标程序和标准完成评标后，将所有投标未被否决的入围投标人</w:t>
      </w:r>
      <w:r>
        <w:rPr>
          <w:rFonts w:hint="eastAsia" w:ascii="宋体" w:hAnsi="宋体" w:eastAsia="宋体" w:cs="宋体"/>
          <w:color w:val="auto"/>
          <w:sz w:val="24"/>
          <w:szCs w:val="24"/>
          <w:highlight w:val="none"/>
          <w:lang w:val="en-US" w:eastAsia="zh-CN"/>
        </w:rPr>
        <w:t>推荐</w:t>
      </w:r>
      <w:r>
        <w:rPr>
          <w:rFonts w:hint="eastAsia" w:ascii="宋体" w:hAnsi="宋体" w:eastAsia="宋体" w:cs="宋体"/>
          <w:color w:val="auto"/>
          <w:sz w:val="24"/>
          <w:szCs w:val="24"/>
          <w:highlight w:val="none"/>
        </w:rPr>
        <w:t>为定标候选人。投标未被否决的入围投标人少于3家，评标委员会认为投标明显缺乏竞争的，可以否决全部投标</w:t>
      </w:r>
      <w:r>
        <w:rPr>
          <w:rFonts w:hint="eastAsia" w:ascii="宋体" w:hAnsi="宋体" w:eastAsia="宋体" w:cs="宋体"/>
          <w:color w:val="auto"/>
          <w:sz w:val="24"/>
          <w:szCs w:val="24"/>
          <w:highlight w:val="none"/>
          <w:lang w:eastAsia="zh-CN"/>
        </w:rPr>
        <w:t>，招标人将重新招标。</w:t>
      </w:r>
    </w:p>
    <w:p w14:paraId="6AD8FA95">
      <w:pPr>
        <w:keepNext w:val="0"/>
        <w:keepLines w:val="0"/>
        <w:pageBreakBefore w:val="0"/>
        <w:widowControl/>
        <w:kinsoku/>
        <w:wordWrap/>
        <w:overflowPunct/>
        <w:topLinePunct w:val="0"/>
        <w:autoSpaceDE/>
        <w:autoSpaceDN/>
        <w:bidi w:val="0"/>
        <w:adjustRightInd w:val="0"/>
        <w:snapToGrid w:val="0"/>
        <w:spacing w:afterLines="0" w:line="360" w:lineRule="auto"/>
        <w:ind w:firstLine="422" w:firstLineChars="175"/>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eastAsia="zh-CN"/>
        </w:rPr>
        <w:t>. 提交评标报告</w:t>
      </w:r>
    </w:p>
    <w:p w14:paraId="033FB769">
      <w:pPr>
        <w:keepNext w:val="0"/>
        <w:keepLines w:val="0"/>
        <w:pageBreakBefore w:val="0"/>
        <w:widowControl w:val="0"/>
        <w:kinsoku/>
        <w:wordWrap w:val="0"/>
        <w:overflowPunct/>
        <w:topLinePunct w:val="0"/>
        <w:autoSpaceDE/>
        <w:autoSpaceDN/>
        <w:bidi w:val="0"/>
        <w:adjustRightInd w:val="0"/>
        <w:snapToGrid w:val="0"/>
        <w:spacing w:afterLines="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.1 评标委员会按照本章规定的程序和评审标准完成全部评审工作后，应当向招标人提交评标报告。</w:t>
      </w:r>
    </w:p>
    <w:p w14:paraId="71B900FD">
      <w:pPr>
        <w:keepNext w:val="0"/>
        <w:keepLines w:val="0"/>
        <w:pageBreakBefore w:val="0"/>
        <w:widowControl w:val="0"/>
        <w:kinsoku/>
        <w:wordWrap w:val="0"/>
        <w:overflowPunct/>
        <w:topLinePunct w:val="0"/>
        <w:autoSpaceDE/>
        <w:autoSpaceDN/>
        <w:bidi w:val="0"/>
        <w:adjustRightInd w:val="0"/>
        <w:snapToGrid w:val="0"/>
        <w:spacing w:afterLines="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.2 评标委员会决定否决所有投标的，应当在评标报告中说明具体理由。</w:t>
      </w:r>
    </w:p>
    <w:p w14:paraId="699122D0">
      <w:pPr>
        <w:keepNext w:val="0"/>
        <w:keepLines w:val="0"/>
        <w:pageBreakBefore w:val="0"/>
        <w:widowControl w:val="0"/>
        <w:kinsoku/>
        <w:wordWrap w:val="0"/>
        <w:overflowPunct/>
        <w:topLinePunct w:val="0"/>
        <w:autoSpaceDE/>
        <w:autoSpaceDN/>
        <w:bidi w:val="0"/>
        <w:adjustRightInd w:val="0"/>
        <w:snapToGrid w:val="0"/>
        <w:spacing w:afterLines="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.3 评标报告中应当列明投标文件雷同情况。</w:t>
      </w:r>
    </w:p>
    <w:p w14:paraId="3E8314BD">
      <w:pPr>
        <w:keepNext w:val="0"/>
        <w:keepLines w:val="0"/>
        <w:pageBreakBefore w:val="0"/>
        <w:widowControl/>
        <w:kinsoku/>
        <w:wordWrap/>
        <w:overflowPunct/>
        <w:topLinePunct w:val="0"/>
        <w:autoSpaceDE/>
        <w:autoSpaceDN/>
        <w:bidi w:val="0"/>
        <w:adjustRightInd w:val="0"/>
        <w:snapToGrid w:val="0"/>
        <w:spacing w:before="0" w:beforeLines="-2147483648" w:after="0" w:afterLines="0" w:line="360" w:lineRule="auto"/>
        <w:ind w:firstLine="422" w:firstLineChars="175"/>
        <w:textAlignment w:val="auto"/>
        <w:rPr>
          <w:rFonts w:hint="eastAsia" w:ascii="宋体" w:hAnsi="宋体" w:eastAsia="宋体" w:cs="宋体"/>
          <w:b/>
          <w:bCs/>
          <w:color w:val="auto"/>
          <w:sz w:val="24"/>
          <w:highlight w:val="none"/>
          <w:shd w:val="clear" w:color="auto" w:fill="auto"/>
          <w:lang w:val="en-US" w:eastAsia="zh-CN"/>
        </w:rPr>
      </w:pPr>
      <w:bookmarkStart w:id="543" w:name="_Toc27815"/>
      <w:r>
        <w:rPr>
          <w:rFonts w:hint="eastAsia" w:ascii="宋体" w:hAnsi="宋体" w:eastAsia="宋体" w:cs="宋体"/>
          <w:b/>
          <w:bCs/>
          <w:color w:val="auto"/>
          <w:sz w:val="24"/>
          <w:highlight w:val="none"/>
          <w:shd w:val="clear" w:color="auto" w:fill="auto"/>
          <w:lang w:val="en-US" w:eastAsia="zh-CN"/>
        </w:rPr>
        <w:t>7</w:t>
      </w:r>
      <w:r>
        <w:rPr>
          <w:rFonts w:hint="eastAsia" w:ascii="宋体" w:hAnsi="宋体" w:eastAsia="宋体" w:cs="宋体"/>
          <w:b/>
          <w:bCs/>
          <w:color w:val="auto"/>
          <w:sz w:val="24"/>
          <w:highlight w:val="none"/>
          <w:shd w:val="clear" w:color="auto" w:fill="auto"/>
        </w:rPr>
        <w:t xml:space="preserve">. </w:t>
      </w:r>
      <w:r>
        <w:rPr>
          <w:rFonts w:hint="eastAsia" w:ascii="宋体" w:hAnsi="宋体" w:eastAsia="宋体" w:cs="宋体"/>
          <w:b/>
          <w:bCs/>
          <w:color w:val="auto"/>
          <w:sz w:val="24"/>
          <w:highlight w:val="none"/>
          <w:shd w:val="clear" w:color="auto" w:fill="auto"/>
          <w:lang w:val="en-US" w:eastAsia="zh-CN"/>
        </w:rPr>
        <w:t>评标报告的审查</w:t>
      </w:r>
      <w:bookmarkEnd w:id="543"/>
    </w:p>
    <w:p w14:paraId="71828F3B">
      <w:pPr>
        <w:pStyle w:val="43"/>
        <w:adjustRightInd w:val="0"/>
        <w:snapToGrid w:val="0"/>
        <w:spacing w:after="0" w:afterLines="0" w:line="360" w:lineRule="auto"/>
        <w:ind w:left="0" w:leftChars="0"/>
        <w:rPr>
          <w:rFonts w:hint="eastAsia"/>
          <w:color w:val="auto"/>
          <w:highlight w:val="none"/>
        </w:rPr>
      </w:pPr>
      <w:r>
        <w:rPr>
          <w:rFonts w:hint="eastAsia" w:ascii="宋体" w:hAnsi="宋体" w:eastAsia="宋体" w:cs="宋体"/>
          <w:color w:val="auto"/>
          <w:kern w:val="2"/>
          <w:sz w:val="24"/>
          <w:szCs w:val="24"/>
          <w:highlight w:val="none"/>
          <w:lang w:val="en-US" w:eastAsia="zh-CN" w:bidi="ar-SA"/>
        </w:rPr>
        <w:t>招标人履行主体责任，有权审查评标委员会提交的评标报告，发现评标报告存在错误的，有权要求评标委员会依据本章规定复核纠正。</w:t>
      </w:r>
    </w:p>
    <w:p w14:paraId="6A9FB7E2">
      <w:pPr>
        <w:pStyle w:val="43"/>
        <w:rPr>
          <w:rFonts w:hint="eastAsia"/>
          <w:color w:val="auto"/>
          <w:highlight w:val="none"/>
        </w:rPr>
      </w:pPr>
    </w:p>
    <w:p w14:paraId="307F7B66">
      <w:pPr>
        <w:pStyle w:val="43"/>
        <w:rPr>
          <w:rFonts w:hint="eastAsia"/>
          <w:color w:val="auto"/>
          <w:highlight w:val="none"/>
        </w:rPr>
      </w:pPr>
    </w:p>
    <w:bookmarkEnd w:id="513"/>
    <w:bookmarkEnd w:id="514"/>
    <w:bookmarkEnd w:id="515"/>
    <w:bookmarkEnd w:id="516"/>
    <w:bookmarkEnd w:id="517"/>
    <w:bookmarkEnd w:id="529"/>
    <w:bookmarkEnd w:id="530"/>
    <w:bookmarkEnd w:id="531"/>
    <w:bookmarkEnd w:id="532"/>
    <w:bookmarkEnd w:id="533"/>
    <w:bookmarkEnd w:id="534"/>
    <w:bookmarkEnd w:id="535"/>
    <w:bookmarkEnd w:id="536"/>
    <w:bookmarkEnd w:id="538"/>
    <w:bookmarkEnd w:id="539"/>
    <w:bookmarkEnd w:id="540"/>
    <w:bookmarkEnd w:id="541"/>
    <w:bookmarkEnd w:id="542"/>
    <w:p w14:paraId="714B268B">
      <w:pPr>
        <w:rPr>
          <w:color w:val="auto"/>
          <w:highlight w:val="none"/>
        </w:rPr>
      </w:pPr>
    </w:p>
    <w:p w14:paraId="6823B836">
      <w:pPr>
        <w:rPr>
          <w:color w:val="auto"/>
          <w:highlight w:val="none"/>
        </w:rPr>
      </w:pPr>
    </w:p>
    <w:p w14:paraId="6BD3FFAD">
      <w:pPr>
        <w:pStyle w:val="4"/>
        <w:numPr>
          <w:ilvl w:val="0"/>
          <w:numId w:val="8"/>
        </w:numPr>
        <w:wordWrap w:val="0"/>
        <w:spacing w:before="400" w:after="400"/>
        <w:rPr>
          <w:color w:val="auto"/>
          <w:highlight w:val="none"/>
        </w:rPr>
      </w:pPr>
      <w:bookmarkStart w:id="544" w:name="_Toc6164"/>
      <w:bookmarkStart w:id="545" w:name="_Toc330384450"/>
      <w:bookmarkStart w:id="546" w:name="_Toc488650840"/>
      <w:bookmarkStart w:id="547" w:name="_Toc341805203"/>
      <w:bookmarkStart w:id="548" w:name="_Toc307991202"/>
      <w:bookmarkStart w:id="549" w:name="_Toc184635098"/>
      <w:r>
        <w:rPr>
          <w:rFonts w:hint="eastAsia"/>
          <w:color w:val="auto"/>
          <w:highlight w:val="none"/>
        </w:rPr>
        <w:t xml:space="preserve"> 定标方案</w:t>
      </w:r>
      <w:bookmarkEnd w:id="544"/>
    </w:p>
    <w:p w14:paraId="6170C012">
      <w:pPr>
        <w:rPr>
          <w:color w:val="auto"/>
          <w:highlight w:val="none"/>
        </w:rPr>
      </w:pPr>
    </w:p>
    <w:p w14:paraId="4E8DB77A">
      <w:pPr>
        <w:rPr>
          <w:color w:val="auto"/>
          <w:highlight w:val="none"/>
        </w:rPr>
      </w:pPr>
    </w:p>
    <w:p w14:paraId="12040984">
      <w:pPr>
        <w:rPr>
          <w:color w:val="auto"/>
          <w:highlight w:val="none"/>
        </w:rPr>
      </w:pPr>
    </w:p>
    <w:p w14:paraId="603546E2">
      <w:pPr>
        <w:rPr>
          <w:color w:val="auto"/>
          <w:highlight w:val="none"/>
        </w:rPr>
      </w:pPr>
    </w:p>
    <w:p w14:paraId="6385BFC9">
      <w:pPr>
        <w:rPr>
          <w:color w:val="auto"/>
          <w:highlight w:val="none"/>
        </w:rPr>
      </w:pPr>
    </w:p>
    <w:p w14:paraId="09C4450C">
      <w:pPr>
        <w:rPr>
          <w:color w:val="auto"/>
          <w:highlight w:val="none"/>
        </w:rPr>
      </w:pPr>
    </w:p>
    <w:p w14:paraId="4F3471AD">
      <w:pPr>
        <w:rPr>
          <w:color w:val="auto"/>
          <w:highlight w:val="none"/>
        </w:rPr>
      </w:pPr>
    </w:p>
    <w:p w14:paraId="053B7327">
      <w:pPr>
        <w:rPr>
          <w:color w:val="auto"/>
          <w:highlight w:val="none"/>
        </w:rPr>
      </w:pPr>
    </w:p>
    <w:p w14:paraId="6500D5CB">
      <w:pPr>
        <w:rPr>
          <w:color w:val="auto"/>
          <w:highlight w:val="none"/>
        </w:rPr>
      </w:pPr>
    </w:p>
    <w:p w14:paraId="504E3503">
      <w:pPr>
        <w:rPr>
          <w:color w:val="auto"/>
          <w:highlight w:val="none"/>
        </w:rPr>
      </w:pPr>
    </w:p>
    <w:p w14:paraId="174D8F33">
      <w:pPr>
        <w:rPr>
          <w:color w:val="auto"/>
          <w:highlight w:val="none"/>
        </w:rPr>
      </w:pPr>
    </w:p>
    <w:p w14:paraId="1D28446F">
      <w:pPr>
        <w:rPr>
          <w:color w:val="auto"/>
          <w:highlight w:val="none"/>
        </w:rPr>
      </w:pPr>
    </w:p>
    <w:p w14:paraId="21D2100F">
      <w:pPr>
        <w:rPr>
          <w:color w:val="auto"/>
          <w:highlight w:val="none"/>
        </w:rPr>
      </w:pPr>
    </w:p>
    <w:p w14:paraId="032E157E">
      <w:pPr>
        <w:rPr>
          <w:color w:val="auto"/>
          <w:highlight w:val="none"/>
        </w:rPr>
      </w:pPr>
    </w:p>
    <w:p w14:paraId="494A1D97">
      <w:pPr>
        <w:rPr>
          <w:color w:val="auto"/>
          <w:highlight w:val="none"/>
        </w:rPr>
      </w:pPr>
    </w:p>
    <w:p w14:paraId="66011DF9">
      <w:pPr>
        <w:rPr>
          <w:color w:val="auto"/>
          <w:highlight w:val="none"/>
        </w:rPr>
      </w:pPr>
    </w:p>
    <w:p w14:paraId="2C0A02C1">
      <w:pPr>
        <w:rPr>
          <w:color w:val="auto"/>
          <w:highlight w:val="none"/>
        </w:rPr>
      </w:pPr>
    </w:p>
    <w:p w14:paraId="087754F4">
      <w:pPr>
        <w:rPr>
          <w:color w:val="auto"/>
          <w:highlight w:val="none"/>
        </w:rPr>
      </w:pPr>
    </w:p>
    <w:p w14:paraId="00DF48D2">
      <w:pPr>
        <w:rPr>
          <w:color w:val="auto"/>
          <w:highlight w:val="none"/>
        </w:rPr>
      </w:pPr>
    </w:p>
    <w:p w14:paraId="73F00F7E">
      <w:pPr>
        <w:rPr>
          <w:color w:val="auto"/>
          <w:highlight w:val="none"/>
        </w:rPr>
      </w:pPr>
    </w:p>
    <w:p w14:paraId="7B4C3CA9">
      <w:pPr>
        <w:rPr>
          <w:color w:val="auto"/>
          <w:highlight w:val="none"/>
        </w:rPr>
      </w:pPr>
    </w:p>
    <w:p w14:paraId="582072FC">
      <w:pPr>
        <w:rPr>
          <w:color w:val="auto"/>
          <w:highlight w:val="none"/>
        </w:rPr>
      </w:pPr>
    </w:p>
    <w:p w14:paraId="2CB6E6B4">
      <w:pPr>
        <w:rPr>
          <w:color w:val="auto"/>
          <w:highlight w:val="none"/>
        </w:rPr>
      </w:pPr>
    </w:p>
    <w:p w14:paraId="375EB9FF">
      <w:pPr>
        <w:rPr>
          <w:color w:val="auto"/>
          <w:highlight w:val="none"/>
        </w:rPr>
      </w:pPr>
    </w:p>
    <w:p w14:paraId="0429AA02">
      <w:pPr>
        <w:rPr>
          <w:color w:val="auto"/>
          <w:highlight w:val="none"/>
        </w:rPr>
      </w:pPr>
    </w:p>
    <w:p w14:paraId="79EA5D62">
      <w:pPr>
        <w:rPr>
          <w:color w:val="auto"/>
          <w:highlight w:val="none"/>
        </w:rPr>
      </w:pPr>
    </w:p>
    <w:p w14:paraId="3541BA04">
      <w:pPr>
        <w:rPr>
          <w:color w:val="auto"/>
          <w:highlight w:val="none"/>
        </w:rPr>
      </w:pPr>
    </w:p>
    <w:p w14:paraId="5D33C1CE">
      <w:pPr>
        <w:rPr>
          <w:color w:val="auto"/>
          <w:highlight w:val="none"/>
        </w:rPr>
      </w:pPr>
    </w:p>
    <w:p w14:paraId="58DBE046">
      <w:pPr>
        <w:rPr>
          <w:color w:val="auto"/>
          <w:highlight w:val="none"/>
        </w:rPr>
      </w:pPr>
    </w:p>
    <w:p w14:paraId="182EDDBB">
      <w:pPr>
        <w:rPr>
          <w:color w:val="auto"/>
          <w:highlight w:val="none"/>
        </w:rPr>
      </w:pPr>
    </w:p>
    <w:p w14:paraId="2B9B129A">
      <w:pPr>
        <w:rPr>
          <w:color w:val="auto"/>
          <w:highlight w:val="none"/>
        </w:rPr>
      </w:pPr>
    </w:p>
    <w:p w14:paraId="53A6A9BE">
      <w:pPr>
        <w:rPr>
          <w:color w:val="auto"/>
          <w:highlight w:val="none"/>
        </w:rPr>
      </w:pPr>
    </w:p>
    <w:p w14:paraId="7D2DB6E6">
      <w:pPr>
        <w:rPr>
          <w:color w:val="auto"/>
          <w:highlight w:val="none"/>
        </w:rPr>
      </w:pPr>
    </w:p>
    <w:p w14:paraId="3A2DD70C">
      <w:pPr>
        <w:rPr>
          <w:color w:val="auto"/>
          <w:highlight w:val="none"/>
        </w:rPr>
      </w:pPr>
    </w:p>
    <w:p w14:paraId="560E685D">
      <w:pPr>
        <w:rPr>
          <w:color w:val="auto"/>
          <w:highlight w:val="none"/>
        </w:rPr>
      </w:pPr>
    </w:p>
    <w:p w14:paraId="4AA8408B">
      <w:pPr>
        <w:rPr>
          <w:color w:val="auto"/>
          <w:highlight w:val="none"/>
        </w:rPr>
      </w:pPr>
    </w:p>
    <w:p w14:paraId="65F46261">
      <w:pPr>
        <w:rPr>
          <w:color w:val="auto"/>
          <w:highlight w:val="none"/>
        </w:rPr>
      </w:pPr>
    </w:p>
    <w:p w14:paraId="494BA5C0">
      <w:pPr>
        <w:rPr>
          <w:color w:val="auto"/>
          <w:highlight w:val="none"/>
        </w:rPr>
      </w:pPr>
    </w:p>
    <w:p w14:paraId="16886E72">
      <w:pPr>
        <w:rPr>
          <w:color w:val="auto"/>
          <w:highlight w:val="none"/>
        </w:rPr>
      </w:pPr>
    </w:p>
    <w:p w14:paraId="6D8780D5">
      <w:pPr>
        <w:rPr>
          <w:color w:val="auto"/>
          <w:highlight w:val="none"/>
        </w:rPr>
      </w:pPr>
    </w:p>
    <w:p w14:paraId="060E77FD">
      <w:pPr>
        <w:rPr>
          <w:color w:val="auto"/>
          <w:highlight w:val="none"/>
        </w:rPr>
      </w:pPr>
    </w:p>
    <w:p w14:paraId="64797F1D">
      <w:pPr>
        <w:rPr>
          <w:color w:val="auto"/>
          <w:highlight w:val="none"/>
        </w:rPr>
      </w:pPr>
    </w:p>
    <w:p w14:paraId="1567783B">
      <w:pPr>
        <w:rPr>
          <w:color w:val="auto"/>
          <w:highlight w:val="none"/>
        </w:rPr>
      </w:pPr>
    </w:p>
    <w:p w14:paraId="1D20F9B7">
      <w:pPr>
        <w:rPr>
          <w:color w:val="auto"/>
          <w:highlight w:val="none"/>
        </w:rPr>
      </w:pPr>
    </w:p>
    <w:p w14:paraId="1A27903A">
      <w:pPr>
        <w:rPr>
          <w:color w:val="auto"/>
          <w:highlight w:val="none"/>
        </w:rPr>
        <w:sectPr>
          <w:footerReference r:id="rId14" w:type="default"/>
          <w:headerReference r:id="rId13" w:type="even"/>
          <w:footerReference r:id="rId15" w:type="even"/>
          <w:footnotePr>
            <w:numFmt w:val="decimalEnclosedCircleChinese"/>
          </w:footnotePr>
          <w:pgSz w:w="11907" w:h="16840"/>
          <w:pgMar w:top="1588" w:right="1588" w:bottom="1474" w:left="1644" w:header="851" w:footer="851" w:gutter="0"/>
          <w:cols w:space="720" w:num="1"/>
          <w:docGrid w:linePitch="312" w:charSpace="0"/>
        </w:sectPr>
      </w:pPr>
    </w:p>
    <w:p w14:paraId="522ADCB0">
      <w:pPr>
        <w:pStyle w:val="4"/>
        <w:spacing w:before="240" w:after="240"/>
        <w:rPr>
          <w:color w:val="auto"/>
          <w:highlight w:val="none"/>
          <w:lang w:bidi="zh-CN"/>
        </w:rPr>
      </w:pPr>
      <w:r>
        <w:rPr>
          <w:rFonts w:hint="eastAsia"/>
          <w:color w:val="auto"/>
          <w:highlight w:val="none"/>
          <w:lang w:bidi="zh-CN"/>
        </w:rPr>
        <w:t>第四章 定标方案</w:t>
      </w:r>
    </w:p>
    <w:p w14:paraId="3D6E8C27">
      <w:pPr>
        <w:pStyle w:val="5"/>
        <w:spacing w:after="120"/>
        <w:rPr>
          <w:color w:val="auto"/>
          <w:sz w:val="21"/>
          <w:szCs w:val="21"/>
          <w:highlight w:val="none"/>
        </w:rPr>
      </w:pPr>
      <w:bookmarkStart w:id="550" w:name="_Toc17250"/>
      <w:bookmarkStart w:id="551" w:name="_Toc52112968"/>
      <w:bookmarkStart w:id="552" w:name="_Toc5771"/>
      <w:bookmarkStart w:id="553" w:name="_Toc15158"/>
      <w:bookmarkStart w:id="554" w:name="_Toc61877311"/>
      <w:bookmarkStart w:id="555" w:name="_Toc27350"/>
      <w:bookmarkStart w:id="556" w:name="_Toc12143"/>
      <w:r>
        <w:rPr>
          <w:rFonts w:hint="eastAsia"/>
          <w:color w:val="auto"/>
          <w:sz w:val="21"/>
          <w:szCs w:val="21"/>
          <w:highlight w:val="none"/>
        </w:rPr>
        <w:t>定标方案前附表</w:t>
      </w:r>
      <w:bookmarkEnd w:id="550"/>
      <w:bookmarkEnd w:id="551"/>
      <w:bookmarkEnd w:id="552"/>
      <w:bookmarkEnd w:id="553"/>
      <w:bookmarkEnd w:id="554"/>
      <w:bookmarkEnd w:id="555"/>
      <w:bookmarkEnd w:id="556"/>
      <w:r>
        <w:rPr>
          <w:rStyle w:val="53"/>
          <w:rFonts w:hint="eastAsia"/>
          <w:color w:val="auto"/>
          <w:sz w:val="21"/>
          <w:szCs w:val="21"/>
          <w:highlight w:val="none"/>
        </w:rPr>
        <w:footnoteReference w:id="5"/>
      </w:r>
    </w:p>
    <w:tbl>
      <w:tblPr>
        <w:tblStyle w:val="44"/>
        <w:tblW w:w="0" w:type="auto"/>
        <w:tblInd w:w="108"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684"/>
        <w:gridCol w:w="905"/>
        <w:gridCol w:w="1510"/>
        <w:gridCol w:w="2097"/>
        <w:gridCol w:w="3373"/>
        <w:gridCol w:w="3654"/>
        <w:gridCol w:w="1793"/>
      </w:tblGrid>
      <w:tr w14:paraId="746D0E31">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79" w:hRule="atLeast"/>
        </w:trPr>
        <w:tc>
          <w:tcPr>
            <w:tcW w:w="684" w:type="dxa"/>
            <w:tcBorders>
              <w:bottom w:val="single" w:color="auto" w:sz="4" w:space="0"/>
            </w:tcBorders>
            <w:vAlign w:val="center"/>
          </w:tcPr>
          <w:p w14:paraId="25FD95CC">
            <w:pPr>
              <w:spacing w:line="300" w:lineRule="auto"/>
              <w:jc w:val="center"/>
              <w:rPr>
                <w:rFonts w:cs="宋体"/>
                <w:b/>
                <w:color w:val="auto"/>
                <w:kern w:val="1"/>
                <w:szCs w:val="21"/>
                <w:highlight w:val="none"/>
              </w:rPr>
            </w:pPr>
            <w:r>
              <w:rPr>
                <w:rFonts w:hint="eastAsia" w:cs="宋体"/>
                <w:b/>
                <w:color w:val="auto"/>
                <w:kern w:val="1"/>
                <w:szCs w:val="21"/>
                <w:highlight w:val="none"/>
              </w:rPr>
              <w:t>项</w:t>
            </w:r>
            <w:r>
              <w:rPr>
                <w:rFonts w:cs="宋体"/>
                <w:b/>
                <w:color w:val="auto"/>
                <w:kern w:val="1"/>
                <w:szCs w:val="21"/>
                <w:highlight w:val="none"/>
              </w:rPr>
              <w:t>号</w:t>
            </w:r>
          </w:p>
        </w:tc>
        <w:tc>
          <w:tcPr>
            <w:tcW w:w="905" w:type="dxa"/>
            <w:tcBorders>
              <w:bottom w:val="single" w:color="auto" w:sz="4" w:space="0"/>
            </w:tcBorders>
            <w:vAlign w:val="center"/>
          </w:tcPr>
          <w:p w14:paraId="782EE4F7">
            <w:pPr>
              <w:spacing w:line="300" w:lineRule="auto"/>
              <w:jc w:val="center"/>
              <w:rPr>
                <w:rFonts w:cs="宋体"/>
                <w:b/>
                <w:color w:val="auto"/>
                <w:kern w:val="1"/>
                <w:szCs w:val="21"/>
                <w:highlight w:val="none"/>
              </w:rPr>
            </w:pPr>
            <w:r>
              <w:rPr>
                <w:rFonts w:hint="eastAsia" w:cs="宋体"/>
                <w:b/>
                <w:color w:val="auto"/>
                <w:kern w:val="1"/>
                <w:szCs w:val="21"/>
                <w:highlight w:val="none"/>
              </w:rPr>
              <w:t>条款号</w:t>
            </w:r>
          </w:p>
        </w:tc>
        <w:tc>
          <w:tcPr>
            <w:tcW w:w="3607" w:type="dxa"/>
            <w:gridSpan w:val="2"/>
            <w:tcBorders>
              <w:bottom w:val="single" w:color="auto" w:sz="4" w:space="0"/>
              <w:right w:val="single" w:color="auto" w:sz="4" w:space="0"/>
            </w:tcBorders>
            <w:vAlign w:val="center"/>
          </w:tcPr>
          <w:p w14:paraId="34FC059D">
            <w:pPr>
              <w:spacing w:line="300" w:lineRule="auto"/>
              <w:ind w:firstLine="340"/>
              <w:jc w:val="center"/>
              <w:rPr>
                <w:rFonts w:cs="宋体"/>
                <w:b/>
                <w:color w:val="auto"/>
                <w:kern w:val="1"/>
                <w:szCs w:val="21"/>
                <w:highlight w:val="none"/>
              </w:rPr>
            </w:pPr>
            <w:r>
              <w:rPr>
                <w:rFonts w:hint="eastAsia" w:cs="宋体"/>
                <w:b/>
                <w:color w:val="auto"/>
                <w:kern w:val="1"/>
                <w:szCs w:val="21"/>
                <w:highlight w:val="none"/>
              </w:rPr>
              <w:t>定标要素</w:t>
            </w:r>
          </w:p>
        </w:tc>
        <w:tc>
          <w:tcPr>
            <w:tcW w:w="8815" w:type="dxa"/>
            <w:gridSpan w:val="3"/>
            <w:tcBorders>
              <w:left w:val="single" w:color="auto" w:sz="4" w:space="0"/>
            </w:tcBorders>
            <w:vAlign w:val="center"/>
          </w:tcPr>
          <w:p w14:paraId="6E6BC021">
            <w:pPr>
              <w:spacing w:line="300" w:lineRule="auto"/>
              <w:ind w:firstLine="340"/>
              <w:jc w:val="center"/>
              <w:rPr>
                <w:rFonts w:cs="宋体"/>
                <w:b/>
                <w:color w:val="auto"/>
                <w:kern w:val="1"/>
                <w:szCs w:val="21"/>
                <w:highlight w:val="none"/>
              </w:rPr>
            </w:pPr>
            <w:r>
              <w:rPr>
                <w:rFonts w:hint="eastAsia" w:cs="宋体"/>
                <w:b/>
                <w:color w:val="auto"/>
                <w:kern w:val="1"/>
                <w:szCs w:val="21"/>
                <w:highlight w:val="none"/>
              </w:rPr>
              <w:t>评审标准及权重</w:t>
            </w:r>
          </w:p>
        </w:tc>
      </w:tr>
      <w:tr w14:paraId="2FF66A7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61" w:hRule="atLeast"/>
        </w:trPr>
        <w:tc>
          <w:tcPr>
            <w:tcW w:w="684" w:type="dxa"/>
            <w:vMerge w:val="restart"/>
            <w:vAlign w:val="center"/>
          </w:tcPr>
          <w:p w14:paraId="196E291C">
            <w:pPr>
              <w:autoSpaceDE w:val="0"/>
              <w:autoSpaceDN w:val="0"/>
              <w:spacing w:line="300" w:lineRule="auto"/>
              <w:jc w:val="center"/>
              <w:rPr>
                <w:rFonts w:cs="宋体"/>
                <w:color w:val="auto"/>
                <w:kern w:val="1"/>
                <w:szCs w:val="21"/>
                <w:highlight w:val="none"/>
              </w:rPr>
            </w:pPr>
            <w:r>
              <w:rPr>
                <w:rFonts w:hint="eastAsia" w:cs="宋体"/>
                <w:color w:val="auto"/>
                <w:kern w:val="1"/>
                <w:szCs w:val="21"/>
                <w:highlight w:val="none"/>
              </w:rPr>
              <w:t>1</w:t>
            </w:r>
          </w:p>
        </w:tc>
        <w:tc>
          <w:tcPr>
            <w:tcW w:w="905" w:type="dxa"/>
            <w:vMerge w:val="restart"/>
            <w:vAlign w:val="center"/>
          </w:tcPr>
          <w:p w14:paraId="507F32D2">
            <w:pPr>
              <w:autoSpaceDE w:val="0"/>
              <w:autoSpaceDN w:val="0"/>
              <w:spacing w:line="300" w:lineRule="auto"/>
              <w:jc w:val="center"/>
              <w:rPr>
                <w:rFonts w:cs="宋体"/>
                <w:color w:val="auto"/>
                <w:kern w:val="1"/>
                <w:szCs w:val="21"/>
                <w:highlight w:val="none"/>
              </w:rPr>
            </w:pPr>
            <w:r>
              <w:rPr>
                <w:rFonts w:hint="eastAsia" w:cs="宋体"/>
                <w:color w:val="auto"/>
                <w:kern w:val="1"/>
                <w:szCs w:val="21"/>
                <w:highlight w:val="none"/>
              </w:rPr>
              <w:t>3.2.2</w:t>
            </w:r>
          </w:p>
        </w:tc>
        <w:tc>
          <w:tcPr>
            <w:tcW w:w="1510" w:type="dxa"/>
            <w:vMerge w:val="restart"/>
            <w:vAlign w:val="center"/>
          </w:tcPr>
          <w:p w14:paraId="6CCC262E">
            <w:pPr>
              <w:autoSpaceDE w:val="0"/>
              <w:autoSpaceDN w:val="0"/>
              <w:spacing w:line="300" w:lineRule="auto"/>
              <w:jc w:val="center"/>
              <w:rPr>
                <w:color w:val="auto"/>
                <w:szCs w:val="21"/>
                <w:highlight w:val="none"/>
              </w:rPr>
            </w:pPr>
            <w:r>
              <w:rPr>
                <w:rFonts w:hint="eastAsia" w:cs="宋体"/>
                <w:color w:val="auto"/>
                <w:kern w:val="1"/>
                <w:szCs w:val="21"/>
                <w:highlight w:val="none"/>
              </w:rPr>
              <w:t>信用</w:t>
            </w:r>
            <w:r>
              <w:rPr>
                <w:rFonts w:cs="宋体"/>
                <w:color w:val="auto"/>
                <w:kern w:val="1"/>
                <w:szCs w:val="21"/>
                <w:highlight w:val="none"/>
              </w:rPr>
              <w:t>要素</w:t>
            </w:r>
            <w:r>
              <w:rPr>
                <w:rStyle w:val="53"/>
                <w:rFonts w:cs="宋体"/>
                <w:color w:val="auto"/>
                <w:kern w:val="1"/>
                <w:szCs w:val="21"/>
                <w:highlight w:val="none"/>
              </w:rPr>
              <w:footnoteReference w:id="6"/>
            </w:r>
          </w:p>
        </w:tc>
        <w:tc>
          <w:tcPr>
            <w:tcW w:w="2097" w:type="dxa"/>
            <w:tcBorders>
              <w:bottom w:val="single" w:color="auto" w:sz="4" w:space="0"/>
              <w:right w:val="single" w:color="auto" w:sz="4" w:space="0"/>
            </w:tcBorders>
            <w:vAlign w:val="center"/>
          </w:tcPr>
          <w:p w14:paraId="0ED60028">
            <w:pPr>
              <w:autoSpaceDE w:val="0"/>
              <w:autoSpaceDN w:val="0"/>
              <w:spacing w:line="360" w:lineRule="auto"/>
              <w:jc w:val="center"/>
              <w:rPr>
                <w:color w:val="auto"/>
                <w:szCs w:val="21"/>
                <w:highlight w:val="none"/>
              </w:rPr>
            </w:pPr>
            <w:r>
              <w:rPr>
                <w:rFonts w:hint="eastAsia"/>
                <w:color w:val="auto"/>
                <w:szCs w:val="21"/>
                <w:highlight w:val="none"/>
              </w:rPr>
              <w:t>子要素内容</w:t>
            </w:r>
          </w:p>
        </w:tc>
        <w:tc>
          <w:tcPr>
            <w:tcW w:w="3373" w:type="dxa"/>
            <w:tcBorders>
              <w:left w:val="single" w:color="auto" w:sz="4" w:space="0"/>
              <w:bottom w:val="single" w:color="auto" w:sz="4" w:space="0"/>
              <w:right w:val="single" w:color="auto" w:sz="4" w:space="0"/>
            </w:tcBorders>
            <w:vAlign w:val="center"/>
          </w:tcPr>
          <w:p w14:paraId="11294067">
            <w:pPr>
              <w:autoSpaceDE w:val="0"/>
              <w:autoSpaceDN w:val="0"/>
              <w:spacing w:line="360" w:lineRule="auto"/>
              <w:jc w:val="center"/>
              <w:rPr>
                <w:color w:val="auto"/>
                <w:szCs w:val="21"/>
                <w:highlight w:val="none"/>
              </w:rPr>
            </w:pPr>
            <w:r>
              <w:rPr>
                <w:rFonts w:hint="eastAsia"/>
                <w:color w:val="auto"/>
                <w:szCs w:val="21"/>
                <w:highlight w:val="none"/>
              </w:rPr>
              <w:t>证明材料要求</w:t>
            </w:r>
          </w:p>
        </w:tc>
        <w:tc>
          <w:tcPr>
            <w:tcW w:w="3649" w:type="dxa"/>
            <w:tcBorders>
              <w:left w:val="single" w:color="auto" w:sz="4" w:space="0"/>
              <w:bottom w:val="single" w:color="auto" w:sz="4" w:space="0"/>
              <w:right w:val="single" w:color="auto" w:sz="4" w:space="0"/>
            </w:tcBorders>
            <w:vAlign w:val="center"/>
          </w:tcPr>
          <w:p w14:paraId="76919082">
            <w:pPr>
              <w:autoSpaceDE w:val="0"/>
              <w:autoSpaceDN w:val="0"/>
              <w:spacing w:line="360" w:lineRule="auto"/>
              <w:jc w:val="center"/>
              <w:rPr>
                <w:color w:val="auto"/>
                <w:szCs w:val="21"/>
                <w:highlight w:val="none"/>
              </w:rPr>
            </w:pPr>
            <w:r>
              <w:rPr>
                <w:rFonts w:hint="eastAsia"/>
                <w:color w:val="auto"/>
                <w:szCs w:val="21"/>
                <w:highlight w:val="none"/>
              </w:rPr>
              <w:t>评审标准</w:t>
            </w:r>
          </w:p>
        </w:tc>
        <w:tc>
          <w:tcPr>
            <w:tcW w:w="1793" w:type="dxa"/>
            <w:tcBorders>
              <w:left w:val="single" w:color="auto" w:sz="4" w:space="0"/>
              <w:bottom w:val="single" w:color="auto" w:sz="4" w:space="0"/>
            </w:tcBorders>
            <w:vAlign w:val="center"/>
          </w:tcPr>
          <w:p w14:paraId="4475100C">
            <w:pPr>
              <w:autoSpaceDE w:val="0"/>
              <w:autoSpaceDN w:val="0"/>
              <w:spacing w:line="360" w:lineRule="auto"/>
              <w:jc w:val="center"/>
              <w:rPr>
                <w:color w:val="auto"/>
                <w:szCs w:val="21"/>
                <w:highlight w:val="none"/>
              </w:rPr>
            </w:pPr>
            <w:r>
              <w:rPr>
                <w:rFonts w:hint="eastAsia"/>
                <w:color w:val="auto"/>
                <w:szCs w:val="21"/>
                <w:highlight w:val="none"/>
              </w:rPr>
              <w:t>权重</w:t>
            </w:r>
          </w:p>
        </w:tc>
      </w:tr>
      <w:tr w14:paraId="43026AA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81" w:hRule="atLeast"/>
        </w:trPr>
        <w:tc>
          <w:tcPr>
            <w:tcW w:w="684" w:type="dxa"/>
            <w:vMerge w:val="continue"/>
            <w:vAlign w:val="center"/>
          </w:tcPr>
          <w:p w14:paraId="509FBE88">
            <w:pPr>
              <w:autoSpaceDE w:val="0"/>
              <w:autoSpaceDN w:val="0"/>
              <w:spacing w:line="300" w:lineRule="auto"/>
              <w:jc w:val="center"/>
              <w:rPr>
                <w:rFonts w:cs="宋体"/>
                <w:color w:val="auto"/>
                <w:kern w:val="1"/>
                <w:szCs w:val="21"/>
                <w:highlight w:val="none"/>
              </w:rPr>
            </w:pPr>
          </w:p>
        </w:tc>
        <w:tc>
          <w:tcPr>
            <w:tcW w:w="905" w:type="dxa"/>
            <w:vMerge w:val="continue"/>
            <w:vAlign w:val="center"/>
          </w:tcPr>
          <w:p w14:paraId="0A2C9DE1">
            <w:pPr>
              <w:autoSpaceDE w:val="0"/>
              <w:autoSpaceDN w:val="0"/>
              <w:spacing w:line="300" w:lineRule="auto"/>
              <w:jc w:val="center"/>
              <w:rPr>
                <w:rFonts w:cs="宋体"/>
                <w:color w:val="auto"/>
                <w:kern w:val="1"/>
                <w:szCs w:val="21"/>
                <w:highlight w:val="none"/>
              </w:rPr>
            </w:pPr>
          </w:p>
        </w:tc>
        <w:tc>
          <w:tcPr>
            <w:tcW w:w="1510" w:type="dxa"/>
            <w:vMerge w:val="continue"/>
            <w:vAlign w:val="center"/>
          </w:tcPr>
          <w:p w14:paraId="75BF3275">
            <w:pPr>
              <w:autoSpaceDE w:val="0"/>
              <w:autoSpaceDN w:val="0"/>
              <w:spacing w:line="300" w:lineRule="auto"/>
              <w:jc w:val="center"/>
              <w:rPr>
                <w:rFonts w:cs="宋体"/>
                <w:color w:val="auto"/>
                <w:kern w:val="1"/>
                <w:szCs w:val="21"/>
                <w:highlight w:val="none"/>
              </w:rPr>
            </w:pPr>
          </w:p>
        </w:tc>
        <w:tc>
          <w:tcPr>
            <w:tcW w:w="2097" w:type="dxa"/>
            <w:tcBorders>
              <w:top w:val="single" w:color="auto" w:sz="4" w:space="0"/>
              <w:bottom w:val="single" w:color="auto" w:sz="4" w:space="0"/>
              <w:right w:val="single" w:color="auto" w:sz="4" w:space="0"/>
            </w:tcBorders>
            <w:vAlign w:val="center"/>
          </w:tcPr>
          <w:p w14:paraId="423031F1">
            <w:pPr>
              <w:autoSpaceDE w:val="0"/>
              <w:autoSpaceDN w:val="0"/>
              <w:spacing w:line="360" w:lineRule="auto"/>
              <w:jc w:val="center"/>
              <w:rPr>
                <w:color w:val="auto"/>
                <w:szCs w:val="21"/>
                <w:highlight w:val="none"/>
              </w:rPr>
            </w:pPr>
          </w:p>
        </w:tc>
        <w:tc>
          <w:tcPr>
            <w:tcW w:w="3373" w:type="dxa"/>
            <w:tcBorders>
              <w:top w:val="single" w:color="auto" w:sz="4" w:space="0"/>
              <w:left w:val="single" w:color="auto" w:sz="4" w:space="0"/>
              <w:bottom w:val="single" w:color="auto" w:sz="4" w:space="0"/>
              <w:right w:val="single" w:color="auto" w:sz="4" w:space="0"/>
            </w:tcBorders>
            <w:vAlign w:val="center"/>
          </w:tcPr>
          <w:p w14:paraId="147EC859">
            <w:pPr>
              <w:autoSpaceDE w:val="0"/>
              <w:autoSpaceDN w:val="0"/>
              <w:spacing w:line="360" w:lineRule="auto"/>
              <w:jc w:val="center"/>
              <w:rPr>
                <w:color w:val="auto"/>
                <w:szCs w:val="21"/>
                <w:highlight w:val="none"/>
              </w:rPr>
            </w:pPr>
          </w:p>
        </w:tc>
        <w:tc>
          <w:tcPr>
            <w:tcW w:w="3649" w:type="dxa"/>
            <w:tcBorders>
              <w:top w:val="single" w:color="auto" w:sz="4" w:space="0"/>
              <w:left w:val="single" w:color="auto" w:sz="4" w:space="0"/>
              <w:bottom w:val="single" w:color="auto" w:sz="4" w:space="0"/>
              <w:right w:val="single" w:color="auto" w:sz="4" w:space="0"/>
            </w:tcBorders>
            <w:vAlign w:val="center"/>
          </w:tcPr>
          <w:p w14:paraId="01D85A65">
            <w:pPr>
              <w:autoSpaceDE w:val="0"/>
              <w:autoSpaceDN w:val="0"/>
              <w:spacing w:line="360" w:lineRule="auto"/>
              <w:jc w:val="center"/>
              <w:rPr>
                <w:color w:val="auto"/>
                <w:szCs w:val="21"/>
                <w:highlight w:val="none"/>
              </w:rPr>
            </w:pPr>
          </w:p>
        </w:tc>
        <w:tc>
          <w:tcPr>
            <w:tcW w:w="1793" w:type="dxa"/>
            <w:tcBorders>
              <w:top w:val="single" w:color="auto" w:sz="4" w:space="0"/>
              <w:left w:val="single" w:color="auto" w:sz="4" w:space="0"/>
              <w:bottom w:val="single" w:color="auto" w:sz="4" w:space="0"/>
            </w:tcBorders>
            <w:vAlign w:val="center"/>
          </w:tcPr>
          <w:p w14:paraId="4D673C11">
            <w:pPr>
              <w:autoSpaceDE w:val="0"/>
              <w:autoSpaceDN w:val="0"/>
              <w:spacing w:line="360" w:lineRule="auto"/>
              <w:jc w:val="center"/>
              <w:rPr>
                <w:color w:val="auto"/>
                <w:szCs w:val="21"/>
                <w:highlight w:val="none"/>
                <w:u w:val="single"/>
              </w:rPr>
            </w:pPr>
            <w:r>
              <w:rPr>
                <w:rFonts w:hint="eastAsia"/>
                <w:color w:val="auto"/>
                <w:szCs w:val="21"/>
                <w:highlight w:val="none"/>
                <w:u w:val="single"/>
              </w:rPr>
              <w:t xml:space="preserve">   </w:t>
            </w:r>
            <w:r>
              <w:rPr>
                <w:rFonts w:hint="eastAsia"/>
                <w:color w:val="auto"/>
                <w:szCs w:val="21"/>
                <w:highlight w:val="none"/>
              </w:rPr>
              <w:t>%</w:t>
            </w:r>
          </w:p>
        </w:tc>
      </w:tr>
      <w:tr w14:paraId="1C8C66AE">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181" w:hRule="atLeast"/>
        </w:trPr>
        <w:tc>
          <w:tcPr>
            <w:tcW w:w="684" w:type="dxa"/>
            <w:vMerge w:val="continue"/>
            <w:vAlign w:val="center"/>
          </w:tcPr>
          <w:p w14:paraId="6295E7AC">
            <w:pPr>
              <w:autoSpaceDE w:val="0"/>
              <w:autoSpaceDN w:val="0"/>
              <w:spacing w:line="300" w:lineRule="auto"/>
              <w:jc w:val="center"/>
              <w:rPr>
                <w:rFonts w:cs="宋体"/>
                <w:color w:val="auto"/>
                <w:kern w:val="1"/>
                <w:szCs w:val="21"/>
                <w:highlight w:val="none"/>
              </w:rPr>
            </w:pPr>
          </w:p>
        </w:tc>
        <w:tc>
          <w:tcPr>
            <w:tcW w:w="905" w:type="dxa"/>
            <w:vMerge w:val="continue"/>
            <w:vAlign w:val="center"/>
          </w:tcPr>
          <w:p w14:paraId="60C3170B">
            <w:pPr>
              <w:autoSpaceDE w:val="0"/>
              <w:autoSpaceDN w:val="0"/>
              <w:spacing w:line="300" w:lineRule="auto"/>
              <w:jc w:val="center"/>
              <w:rPr>
                <w:rFonts w:cs="宋体"/>
                <w:color w:val="auto"/>
                <w:kern w:val="1"/>
                <w:szCs w:val="21"/>
                <w:highlight w:val="none"/>
              </w:rPr>
            </w:pPr>
          </w:p>
        </w:tc>
        <w:tc>
          <w:tcPr>
            <w:tcW w:w="1510" w:type="dxa"/>
            <w:vMerge w:val="continue"/>
            <w:vAlign w:val="center"/>
          </w:tcPr>
          <w:p w14:paraId="414F6379">
            <w:pPr>
              <w:autoSpaceDE w:val="0"/>
              <w:autoSpaceDN w:val="0"/>
              <w:spacing w:line="300" w:lineRule="auto"/>
              <w:jc w:val="center"/>
              <w:rPr>
                <w:rFonts w:cs="宋体"/>
                <w:color w:val="auto"/>
                <w:kern w:val="1"/>
                <w:szCs w:val="21"/>
                <w:highlight w:val="none"/>
              </w:rPr>
            </w:pPr>
          </w:p>
        </w:tc>
        <w:tc>
          <w:tcPr>
            <w:tcW w:w="2097" w:type="dxa"/>
            <w:tcBorders>
              <w:top w:val="single" w:color="auto" w:sz="4" w:space="0"/>
              <w:bottom w:val="single" w:color="auto" w:sz="4" w:space="0"/>
              <w:right w:val="single" w:color="auto" w:sz="4" w:space="0"/>
            </w:tcBorders>
            <w:vAlign w:val="center"/>
          </w:tcPr>
          <w:p w14:paraId="1487E45C">
            <w:pPr>
              <w:autoSpaceDE w:val="0"/>
              <w:autoSpaceDN w:val="0"/>
              <w:spacing w:line="360" w:lineRule="auto"/>
              <w:jc w:val="center"/>
              <w:rPr>
                <w:color w:val="auto"/>
                <w:szCs w:val="21"/>
                <w:highlight w:val="none"/>
              </w:rPr>
            </w:pPr>
            <w:r>
              <w:rPr>
                <w:rFonts w:hint="eastAsia"/>
                <w:color w:val="auto"/>
                <w:szCs w:val="21"/>
                <w:highlight w:val="none"/>
              </w:rPr>
              <w:t>……</w:t>
            </w:r>
          </w:p>
        </w:tc>
        <w:tc>
          <w:tcPr>
            <w:tcW w:w="3373" w:type="dxa"/>
            <w:tcBorders>
              <w:top w:val="single" w:color="auto" w:sz="4" w:space="0"/>
              <w:left w:val="single" w:color="auto" w:sz="4" w:space="0"/>
              <w:bottom w:val="single" w:color="auto" w:sz="4" w:space="0"/>
              <w:right w:val="single" w:color="auto" w:sz="4" w:space="0"/>
            </w:tcBorders>
            <w:vAlign w:val="center"/>
          </w:tcPr>
          <w:p w14:paraId="22DED09E">
            <w:pPr>
              <w:autoSpaceDE w:val="0"/>
              <w:autoSpaceDN w:val="0"/>
              <w:spacing w:line="360" w:lineRule="auto"/>
              <w:jc w:val="center"/>
              <w:rPr>
                <w:color w:val="auto"/>
                <w:szCs w:val="21"/>
                <w:highlight w:val="none"/>
              </w:rPr>
            </w:pPr>
          </w:p>
        </w:tc>
        <w:tc>
          <w:tcPr>
            <w:tcW w:w="3649" w:type="dxa"/>
            <w:tcBorders>
              <w:top w:val="single" w:color="auto" w:sz="4" w:space="0"/>
              <w:left w:val="single" w:color="auto" w:sz="4" w:space="0"/>
              <w:bottom w:val="single" w:color="auto" w:sz="4" w:space="0"/>
              <w:right w:val="single" w:color="auto" w:sz="4" w:space="0"/>
            </w:tcBorders>
            <w:vAlign w:val="center"/>
          </w:tcPr>
          <w:p w14:paraId="4A892BB5">
            <w:pPr>
              <w:autoSpaceDE w:val="0"/>
              <w:autoSpaceDN w:val="0"/>
              <w:spacing w:line="360" w:lineRule="auto"/>
              <w:jc w:val="center"/>
              <w:rPr>
                <w:color w:val="auto"/>
                <w:szCs w:val="21"/>
                <w:highlight w:val="none"/>
              </w:rPr>
            </w:pPr>
          </w:p>
        </w:tc>
        <w:tc>
          <w:tcPr>
            <w:tcW w:w="1793" w:type="dxa"/>
            <w:tcBorders>
              <w:top w:val="single" w:color="auto" w:sz="4" w:space="0"/>
              <w:left w:val="single" w:color="auto" w:sz="4" w:space="0"/>
              <w:bottom w:val="single" w:color="auto" w:sz="4" w:space="0"/>
            </w:tcBorders>
            <w:vAlign w:val="center"/>
          </w:tcPr>
          <w:p w14:paraId="6B1C9640">
            <w:pPr>
              <w:autoSpaceDE w:val="0"/>
              <w:autoSpaceDN w:val="0"/>
              <w:spacing w:line="360" w:lineRule="auto"/>
              <w:jc w:val="center"/>
              <w:rPr>
                <w:color w:val="auto"/>
                <w:szCs w:val="21"/>
                <w:highlight w:val="none"/>
              </w:rPr>
            </w:pPr>
            <w:r>
              <w:rPr>
                <w:rFonts w:hint="eastAsia"/>
                <w:color w:val="auto"/>
                <w:szCs w:val="21"/>
                <w:highlight w:val="none"/>
                <w:u w:val="single"/>
              </w:rPr>
              <w:t xml:space="preserve">   </w:t>
            </w:r>
            <w:r>
              <w:rPr>
                <w:rFonts w:hint="eastAsia"/>
                <w:color w:val="auto"/>
                <w:szCs w:val="21"/>
                <w:highlight w:val="none"/>
              </w:rPr>
              <w:t>%</w:t>
            </w:r>
          </w:p>
        </w:tc>
      </w:tr>
      <w:tr w14:paraId="20D8EDA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61" w:hRule="atLeast"/>
        </w:trPr>
        <w:tc>
          <w:tcPr>
            <w:tcW w:w="684" w:type="dxa"/>
            <w:vMerge w:val="restart"/>
            <w:vAlign w:val="center"/>
          </w:tcPr>
          <w:p w14:paraId="216811ED">
            <w:pPr>
              <w:autoSpaceDE w:val="0"/>
              <w:autoSpaceDN w:val="0"/>
              <w:spacing w:line="300" w:lineRule="auto"/>
              <w:jc w:val="center"/>
              <w:rPr>
                <w:rFonts w:cs="宋体"/>
                <w:color w:val="auto"/>
                <w:kern w:val="1"/>
                <w:szCs w:val="21"/>
                <w:highlight w:val="none"/>
              </w:rPr>
            </w:pPr>
            <w:r>
              <w:rPr>
                <w:rFonts w:hint="eastAsia" w:cs="宋体"/>
                <w:color w:val="auto"/>
                <w:kern w:val="1"/>
                <w:szCs w:val="21"/>
                <w:highlight w:val="none"/>
              </w:rPr>
              <w:t>2</w:t>
            </w:r>
          </w:p>
        </w:tc>
        <w:tc>
          <w:tcPr>
            <w:tcW w:w="905" w:type="dxa"/>
            <w:vMerge w:val="restart"/>
            <w:vAlign w:val="center"/>
          </w:tcPr>
          <w:p w14:paraId="3DCF5DE5">
            <w:pPr>
              <w:autoSpaceDE w:val="0"/>
              <w:autoSpaceDN w:val="0"/>
              <w:spacing w:line="300" w:lineRule="auto"/>
              <w:jc w:val="center"/>
              <w:rPr>
                <w:rFonts w:cs="宋体"/>
                <w:color w:val="auto"/>
                <w:kern w:val="1"/>
                <w:szCs w:val="21"/>
                <w:highlight w:val="none"/>
              </w:rPr>
            </w:pPr>
            <w:r>
              <w:rPr>
                <w:rFonts w:hint="eastAsia" w:cs="宋体"/>
                <w:color w:val="auto"/>
                <w:kern w:val="1"/>
                <w:szCs w:val="21"/>
                <w:highlight w:val="none"/>
              </w:rPr>
              <w:t>3.2.2</w:t>
            </w:r>
          </w:p>
        </w:tc>
        <w:tc>
          <w:tcPr>
            <w:tcW w:w="1510" w:type="dxa"/>
            <w:vMerge w:val="restart"/>
            <w:vAlign w:val="center"/>
          </w:tcPr>
          <w:p w14:paraId="056BC86B">
            <w:pPr>
              <w:autoSpaceDE w:val="0"/>
              <w:autoSpaceDN w:val="0"/>
              <w:spacing w:line="300" w:lineRule="auto"/>
              <w:jc w:val="center"/>
              <w:rPr>
                <w:rFonts w:cs="宋体"/>
                <w:color w:val="auto"/>
                <w:kern w:val="1"/>
                <w:szCs w:val="21"/>
                <w:highlight w:val="none"/>
              </w:rPr>
            </w:pPr>
            <w:r>
              <w:rPr>
                <w:rFonts w:hint="eastAsia" w:cs="宋体"/>
                <w:color w:val="auto"/>
                <w:kern w:val="1"/>
                <w:szCs w:val="21"/>
                <w:highlight w:val="none"/>
              </w:rPr>
              <w:t>实力要素</w:t>
            </w:r>
          </w:p>
        </w:tc>
        <w:tc>
          <w:tcPr>
            <w:tcW w:w="2097" w:type="dxa"/>
            <w:tcBorders>
              <w:bottom w:val="single" w:color="auto" w:sz="4" w:space="0"/>
              <w:right w:val="single" w:color="auto" w:sz="4" w:space="0"/>
            </w:tcBorders>
            <w:vAlign w:val="center"/>
          </w:tcPr>
          <w:p w14:paraId="0641900A">
            <w:pPr>
              <w:autoSpaceDE w:val="0"/>
              <w:autoSpaceDN w:val="0"/>
              <w:spacing w:line="360" w:lineRule="auto"/>
              <w:jc w:val="center"/>
              <w:rPr>
                <w:color w:val="auto"/>
                <w:szCs w:val="21"/>
                <w:highlight w:val="none"/>
              </w:rPr>
            </w:pPr>
            <w:r>
              <w:rPr>
                <w:rFonts w:hint="eastAsia"/>
                <w:color w:val="auto"/>
                <w:szCs w:val="21"/>
                <w:highlight w:val="none"/>
              </w:rPr>
              <w:t>子要素内容</w:t>
            </w:r>
          </w:p>
        </w:tc>
        <w:tc>
          <w:tcPr>
            <w:tcW w:w="3373" w:type="dxa"/>
            <w:tcBorders>
              <w:left w:val="single" w:color="auto" w:sz="4" w:space="0"/>
              <w:bottom w:val="single" w:color="auto" w:sz="4" w:space="0"/>
              <w:right w:val="single" w:color="auto" w:sz="4" w:space="0"/>
            </w:tcBorders>
            <w:vAlign w:val="center"/>
          </w:tcPr>
          <w:p w14:paraId="11D7E0F5">
            <w:pPr>
              <w:autoSpaceDE w:val="0"/>
              <w:autoSpaceDN w:val="0"/>
              <w:spacing w:line="360" w:lineRule="auto"/>
              <w:jc w:val="center"/>
              <w:rPr>
                <w:color w:val="auto"/>
                <w:szCs w:val="21"/>
                <w:highlight w:val="none"/>
              </w:rPr>
            </w:pPr>
            <w:r>
              <w:rPr>
                <w:rFonts w:hint="eastAsia"/>
                <w:color w:val="auto"/>
                <w:szCs w:val="21"/>
                <w:highlight w:val="none"/>
              </w:rPr>
              <w:t>证明材料要求</w:t>
            </w:r>
          </w:p>
        </w:tc>
        <w:tc>
          <w:tcPr>
            <w:tcW w:w="3649" w:type="dxa"/>
            <w:tcBorders>
              <w:left w:val="single" w:color="auto" w:sz="4" w:space="0"/>
              <w:bottom w:val="single" w:color="auto" w:sz="4" w:space="0"/>
              <w:right w:val="single" w:color="auto" w:sz="4" w:space="0"/>
            </w:tcBorders>
            <w:vAlign w:val="center"/>
          </w:tcPr>
          <w:p w14:paraId="4BC002AB">
            <w:pPr>
              <w:autoSpaceDE w:val="0"/>
              <w:autoSpaceDN w:val="0"/>
              <w:spacing w:line="360" w:lineRule="auto"/>
              <w:jc w:val="center"/>
              <w:rPr>
                <w:color w:val="auto"/>
                <w:szCs w:val="21"/>
                <w:highlight w:val="none"/>
              </w:rPr>
            </w:pPr>
            <w:r>
              <w:rPr>
                <w:rFonts w:hint="eastAsia"/>
                <w:color w:val="auto"/>
                <w:szCs w:val="21"/>
                <w:highlight w:val="none"/>
              </w:rPr>
              <w:t>评审标准</w:t>
            </w:r>
          </w:p>
        </w:tc>
        <w:tc>
          <w:tcPr>
            <w:tcW w:w="1793" w:type="dxa"/>
            <w:tcBorders>
              <w:left w:val="single" w:color="auto" w:sz="4" w:space="0"/>
              <w:bottom w:val="single" w:color="auto" w:sz="4" w:space="0"/>
            </w:tcBorders>
            <w:vAlign w:val="center"/>
          </w:tcPr>
          <w:p w14:paraId="115310DD">
            <w:pPr>
              <w:autoSpaceDE w:val="0"/>
              <w:autoSpaceDN w:val="0"/>
              <w:spacing w:line="360" w:lineRule="auto"/>
              <w:jc w:val="center"/>
              <w:rPr>
                <w:color w:val="auto"/>
                <w:szCs w:val="21"/>
                <w:highlight w:val="none"/>
              </w:rPr>
            </w:pPr>
            <w:r>
              <w:rPr>
                <w:rFonts w:hint="eastAsia"/>
                <w:color w:val="auto"/>
                <w:szCs w:val="21"/>
                <w:highlight w:val="none"/>
              </w:rPr>
              <w:t>权重</w:t>
            </w:r>
          </w:p>
        </w:tc>
      </w:tr>
      <w:tr w14:paraId="23B5FD42">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06" w:hRule="atLeast"/>
        </w:trPr>
        <w:tc>
          <w:tcPr>
            <w:tcW w:w="684" w:type="dxa"/>
            <w:vMerge w:val="continue"/>
            <w:vAlign w:val="center"/>
          </w:tcPr>
          <w:p w14:paraId="141E9474">
            <w:pPr>
              <w:autoSpaceDE w:val="0"/>
              <w:autoSpaceDN w:val="0"/>
              <w:spacing w:line="300" w:lineRule="auto"/>
              <w:jc w:val="center"/>
              <w:rPr>
                <w:rFonts w:cs="宋体"/>
                <w:color w:val="auto"/>
                <w:kern w:val="1"/>
                <w:szCs w:val="21"/>
                <w:highlight w:val="none"/>
              </w:rPr>
            </w:pPr>
          </w:p>
        </w:tc>
        <w:tc>
          <w:tcPr>
            <w:tcW w:w="905" w:type="dxa"/>
            <w:vMerge w:val="continue"/>
            <w:vAlign w:val="center"/>
          </w:tcPr>
          <w:p w14:paraId="4402F2F7">
            <w:pPr>
              <w:autoSpaceDE w:val="0"/>
              <w:autoSpaceDN w:val="0"/>
              <w:spacing w:line="300" w:lineRule="auto"/>
              <w:jc w:val="center"/>
              <w:rPr>
                <w:rFonts w:cs="宋体"/>
                <w:color w:val="auto"/>
                <w:kern w:val="1"/>
                <w:szCs w:val="21"/>
                <w:highlight w:val="none"/>
              </w:rPr>
            </w:pPr>
          </w:p>
        </w:tc>
        <w:tc>
          <w:tcPr>
            <w:tcW w:w="1510" w:type="dxa"/>
            <w:vMerge w:val="continue"/>
            <w:vAlign w:val="center"/>
          </w:tcPr>
          <w:p w14:paraId="461B4899">
            <w:pPr>
              <w:autoSpaceDE w:val="0"/>
              <w:autoSpaceDN w:val="0"/>
              <w:spacing w:line="300" w:lineRule="auto"/>
              <w:jc w:val="center"/>
              <w:rPr>
                <w:rFonts w:cs="宋体"/>
                <w:color w:val="auto"/>
                <w:kern w:val="1"/>
                <w:szCs w:val="21"/>
                <w:highlight w:val="none"/>
              </w:rPr>
            </w:pPr>
          </w:p>
        </w:tc>
        <w:tc>
          <w:tcPr>
            <w:tcW w:w="2097" w:type="dxa"/>
            <w:tcBorders>
              <w:top w:val="single" w:color="auto" w:sz="4" w:space="0"/>
              <w:bottom w:val="single" w:color="auto" w:sz="4" w:space="0"/>
              <w:right w:val="single" w:color="auto" w:sz="4" w:space="0"/>
            </w:tcBorders>
            <w:vAlign w:val="center"/>
          </w:tcPr>
          <w:p w14:paraId="777575B9">
            <w:pPr>
              <w:autoSpaceDE w:val="0"/>
              <w:autoSpaceDN w:val="0"/>
              <w:spacing w:line="360" w:lineRule="auto"/>
              <w:jc w:val="center"/>
              <w:rPr>
                <w:color w:val="auto"/>
                <w:szCs w:val="21"/>
                <w:highlight w:val="none"/>
              </w:rPr>
            </w:pPr>
          </w:p>
        </w:tc>
        <w:tc>
          <w:tcPr>
            <w:tcW w:w="3373" w:type="dxa"/>
            <w:tcBorders>
              <w:top w:val="single" w:color="auto" w:sz="4" w:space="0"/>
              <w:left w:val="single" w:color="auto" w:sz="4" w:space="0"/>
              <w:bottom w:val="single" w:color="auto" w:sz="4" w:space="0"/>
              <w:right w:val="single" w:color="auto" w:sz="4" w:space="0"/>
            </w:tcBorders>
            <w:vAlign w:val="center"/>
          </w:tcPr>
          <w:p w14:paraId="6BA3AE33">
            <w:pPr>
              <w:autoSpaceDE w:val="0"/>
              <w:autoSpaceDN w:val="0"/>
              <w:spacing w:line="360" w:lineRule="auto"/>
              <w:jc w:val="center"/>
              <w:rPr>
                <w:color w:val="auto"/>
                <w:szCs w:val="21"/>
                <w:highlight w:val="none"/>
              </w:rPr>
            </w:pPr>
          </w:p>
        </w:tc>
        <w:tc>
          <w:tcPr>
            <w:tcW w:w="3649" w:type="dxa"/>
            <w:tcBorders>
              <w:top w:val="single" w:color="auto" w:sz="4" w:space="0"/>
              <w:left w:val="single" w:color="auto" w:sz="4" w:space="0"/>
              <w:bottom w:val="single" w:color="auto" w:sz="4" w:space="0"/>
              <w:right w:val="single" w:color="auto" w:sz="4" w:space="0"/>
            </w:tcBorders>
            <w:vAlign w:val="center"/>
          </w:tcPr>
          <w:p w14:paraId="2498CBE6">
            <w:pPr>
              <w:autoSpaceDE w:val="0"/>
              <w:autoSpaceDN w:val="0"/>
              <w:spacing w:line="360" w:lineRule="auto"/>
              <w:jc w:val="center"/>
              <w:rPr>
                <w:color w:val="auto"/>
                <w:szCs w:val="21"/>
                <w:highlight w:val="none"/>
              </w:rPr>
            </w:pPr>
          </w:p>
        </w:tc>
        <w:tc>
          <w:tcPr>
            <w:tcW w:w="1793" w:type="dxa"/>
            <w:tcBorders>
              <w:top w:val="single" w:color="auto" w:sz="4" w:space="0"/>
              <w:left w:val="single" w:color="auto" w:sz="4" w:space="0"/>
              <w:bottom w:val="single" w:color="auto" w:sz="4" w:space="0"/>
            </w:tcBorders>
            <w:vAlign w:val="center"/>
          </w:tcPr>
          <w:p w14:paraId="438957FF">
            <w:pPr>
              <w:autoSpaceDE w:val="0"/>
              <w:autoSpaceDN w:val="0"/>
              <w:spacing w:line="360" w:lineRule="auto"/>
              <w:jc w:val="center"/>
              <w:rPr>
                <w:color w:val="auto"/>
                <w:szCs w:val="21"/>
                <w:highlight w:val="none"/>
              </w:rPr>
            </w:pPr>
            <w:r>
              <w:rPr>
                <w:rFonts w:hint="eastAsia"/>
                <w:color w:val="auto"/>
                <w:szCs w:val="21"/>
                <w:highlight w:val="none"/>
                <w:u w:val="single"/>
              </w:rPr>
              <w:t xml:space="preserve">   </w:t>
            </w:r>
            <w:r>
              <w:rPr>
                <w:rFonts w:hint="eastAsia"/>
                <w:color w:val="auto"/>
                <w:szCs w:val="21"/>
                <w:highlight w:val="none"/>
              </w:rPr>
              <w:t>%</w:t>
            </w:r>
          </w:p>
        </w:tc>
      </w:tr>
      <w:tr w14:paraId="199E70C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3" w:hRule="atLeast"/>
        </w:trPr>
        <w:tc>
          <w:tcPr>
            <w:tcW w:w="684" w:type="dxa"/>
            <w:vMerge w:val="continue"/>
            <w:vAlign w:val="center"/>
          </w:tcPr>
          <w:p w14:paraId="49E48658">
            <w:pPr>
              <w:autoSpaceDE w:val="0"/>
              <w:autoSpaceDN w:val="0"/>
              <w:spacing w:line="300" w:lineRule="auto"/>
              <w:jc w:val="center"/>
              <w:rPr>
                <w:rFonts w:cs="宋体"/>
                <w:color w:val="auto"/>
                <w:kern w:val="1"/>
                <w:szCs w:val="21"/>
                <w:highlight w:val="none"/>
              </w:rPr>
            </w:pPr>
          </w:p>
        </w:tc>
        <w:tc>
          <w:tcPr>
            <w:tcW w:w="905" w:type="dxa"/>
            <w:vMerge w:val="continue"/>
            <w:vAlign w:val="center"/>
          </w:tcPr>
          <w:p w14:paraId="1287E7EB">
            <w:pPr>
              <w:autoSpaceDE w:val="0"/>
              <w:autoSpaceDN w:val="0"/>
              <w:spacing w:line="300" w:lineRule="auto"/>
              <w:jc w:val="center"/>
              <w:rPr>
                <w:rFonts w:cs="宋体"/>
                <w:color w:val="auto"/>
                <w:kern w:val="1"/>
                <w:szCs w:val="21"/>
                <w:highlight w:val="none"/>
              </w:rPr>
            </w:pPr>
          </w:p>
        </w:tc>
        <w:tc>
          <w:tcPr>
            <w:tcW w:w="1510" w:type="dxa"/>
            <w:vMerge w:val="continue"/>
            <w:vAlign w:val="center"/>
          </w:tcPr>
          <w:p w14:paraId="2EB382C8">
            <w:pPr>
              <w:autoSpaceDE w:val="0"/>
              <w:autoSpaceDN w:val="0"/>
              <w:spacing w:line="300" w:lineRule="auto"/>
              <w:jc w:val="center"/>
              <w:rPr>
                <w:rFonts w:cs="宋体"/>
                <w:color w:val="auto"/>
                <w:kern w:val="1"/>
                <w:szCs w:val="21"/>
                <w:highlight w:val="none"/>
              </w:rPr>
            </w:pPr>
          </w:p>
        </w:tc>
        <w:tc>
          <w:tcPr>
            <w:tcW w:w="2097" w:type="dxa"/>
            <w:tcBorders>
              <w:top w:val="single" w:color="auto" w:sz="4" w:space="0"/>
              <w:bottom w:val="single" w:color="auto" w:sz="4" w:space="0"/>
              <w:right w:val="single" w:color="auto" w:sz="4" w:space="0"/>
            </w:tcBorders>
            <w:vAlign w:val="center"/>
          </w:tcPr>
          <w:p w14:paraId="5FCC45F0">
            <w:pPr>
              <w:autoSpaceDE w:val="0"/>
              <w:autoSpaceDN w:val="0"/>
              <w:spacing w:line="360" w:lineRule="auto"/>
              <w:jc w:val="center"/>
              <w:rPr>
                <w:color w:val="auto"/>
                <w:szCs w:val="21"/>
                <w:highlight w:val="none"/>
              </w:rPr>
            </w:pPr>
          </w:p>
        </w:tc>
        <w:tc>
          <w:tcPr>
            <w:tcW w:w="3373" w:type="dxa"/>
            <w:tcBorders>
              <w:top w:val="single" w:color="auto" w:sz="4" w:space="0"/>
              <w:left w:val="single" w:color="auto" w:sz="4" w:space="0"/>
              <w:bottom w:val="single" w:color="auto" w:sz="4" w:space="0"/>
              <w:right w:val="single" w:color="auto" w:sz="4" w:space="0"/>
            </w:tcBorders>
            <w:vAlign w:val="center"/>
          </w:tcPr>
          <w:p w14:paraId="723090E9">
            <w:pPr>
              <w:autoSpaceDE w:val="0"/>
              <w:autoSpaceDN w:val="0"/>
              <w:spacing w:line="360" w:lineRule="auto"/>
              <w:jc w:val="center"/>
              <w:rPr>
                <w:color w:val="auto"/>
                <w:szCs w:val="21"/>
                <w:highlight w:val="none"/>
              </w:rPr>
            </w:pPr>
          </w:p>
        </w:tc>
        <w:tc>
          <w:tcPr>
            <w:tcW w:w="3649" w:type="dxa"/>
            <w:tcBorders>
              <w:top w:val="single" w:color="auto" w:sz="4" w:space="0"/>
              <w:left w:val="single" w:color="auto" w:sz="4" w:space="0"/>
              <w:bottom w:val="single" w:color="auto" w:sz="4" w:space="0"/>
              <w:right w:val="single" w:color="auto" w:sz="4" w:space="0"/>
            </w:tcBorders>
            <w:vAlign w:val="center"/>
          </w:tcPr>
          <w:p w14:paraId="60141CB5">
            <w:pPr>
              <w:autoSpaceDE w:val="0"/>
              <w:autoSpaceDN w:val="0"/>
              <w:spacing w:line="360" w:lineRule="auto"/>
              <w:jc w:val="center"/>
              <w:rPr>
                <w:color w:val="auto"/>
                <w:szCs w:val="21"/>
                <w:highlight w:val="none"/>
              </w:rPr>
            </w:pPr>
          </w:p>
        </w:tc>
        <w:tc>
          <w:tcPr>
            <w:tcW w:w="1793" w:type="dxa"/>
            <w:tcBorders>
              <w:top w:val="single" w:color="auto" w:sz="4" w:space="0"/>
              <w:left w:val="single" w:color="auto" w:sz="4" w:space="0"/>
              <w:bottom w:val="single" w:color="auto" w:sz="4" w:space="0"/>
            </w:tcBorders>
            <w:vAlign w:val="center"/>
          </w:tcPr>
          <w:p w14:paraId="462FA150">
            <w:pPr>
              <w:autoSpaceDE w:val="0"/>
              <w:autoSpaceDN w:val="0"/>
              <w:spacing w:line="360" w:lineRule="auto"/>
              <w:jc w:val="center"/>
              <w:rPr>
                <w:color w:val="auto"/>
                <w:szCs w:val="21"/>
                <w:highlight w:val="none"/>
              </w:rPr>
            </w:pPr>
            <w:r>
              <w:rPr>
                <w:rFonts w:hint="eastAsia"/>
                <w:color w:val="auto"/>
                <w:szCs w:val="21"/>
                <w:highlight w:val="none"/>
                <w:u w:val="single"/>
              </w:rPr>
              <w:t xml:space="preserve">   </w:t>
            </w:r>
            <w:r>
              <w:rPr>
                <w:rFonts w:hint="eastAsia"/>
                <w:color w:val="auto"/>
                <w:szCs w:val="21"/>
                <w:highlight w:val="none"/>
              </w:rPr>
              <w:t>%</w:t>
            </w:r>
          </w:p>
        </w:tc>
      </w:tr>
      <w:tr w14:paraId="06CE3822">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31" w:hRule="atLeast"/>
        </w:trPr>
        <w:tc>
          <w:tcPr>
            <w:tcW w:w="684" w:type="dxa"/>
            <w:vMerge w:val="continue"/>
            <w:vAlign w:val="center"/>
          </w:tcPr>
          <w:p w14:paraId="7B6C491C">
            <w:pPr>
              <w:autoSpaceDE w:val="0"/>
              <w:autoSpaceDN w:val="0"/>
              <w:spacing w:line="300" w:lineRule="auto"/>
              <w:jc w:val="center"/>
              <w:rPr>
                <w:rFonts w:cs="宋体"/>
                <w:color w:val="auto"/>
                <w:kern w:val="1"/>
                <w:szCs w:val="21"/>
                <w:highlight w:val="none"/>
              </w:rPr>
            </w:pPr>
          </w:p>
        </w:tc>
        <w:tc>
          <w:tcPr>
            <w:tcW w:w="905" w:type="dxa"/>
            <w:vMerge w:val="continue"/>
            <w:vAlign w:val="center"/>
          </w:tcPr>
          <w:p w14:paraId="5CADF720">
            <w:pPr>
              <w:autoSpaceDE w:val="0"/>
              <w:autoSpaceDN w:val="0"/>
              <w:spacing w:line="300" w:lineRule="auto"/>
              <w:jc w:val="center"/>
              <w:rPr>
                <w:rFonts w:cs="宋体"/>
                <w:color w:val="auto"/>
                <w:kern w:val="1"/>
                <w:szCs w:val="21"/>
                <w:highlight w:val="none"/>
              </w:rPr>
            </w:pPr>
          </w:p>
        </w:tc>
        <w:tc>
          <w:tcPr>
            <w:tcW w:w="1510" w:type="dxa"/>
            <w:vMerge w:val="continue"/>
            <w:vAlign w:val="center"/>
          </w:tcPr>
          <w:p w14:paraId="00B3140E">
            <w:pPr>
              <w:autoSpaceDE w:val="0"/>
              <w:autoSpaceDN w:val="0"/>
              <w:spacing w:line="300" w:lineRule="auto"/>
              <w:jc w:val="center"/>
              <w:rPr>
                <w:rFonts w:cs="宋体"/>
                <w:color w:val="auto"/>
                <w:kern w:val="1"/>
                <w:szCs w:val="21"/>
                <w:highlight w:val="none"/>
              </w:rPr>
            </w:pPr>
          </w:p>
        </w:tc>
        <w:tc>
          <w:tcPr>
            <w:tcW w:w="2097" w:type="dxa"/>
            <w:tcBorders>
              <w:top w:val="single" w:color="auto" w:sz="4" w:space="0"/>
              <w:bottom w:val="single" w:color="auto" w:sz="4" w:space="0"/>
              <w:right w:val="single" w:color="auto" w:sz="4" w:space="0"/>
            </w:tcBorders>
            <w:vAlign w:val="center"/>
          </w:tcPr>
          <w:p w14:paraId="3863BD02">
            <w:pPr>
              <w:autoSpaceDE w:val="0"/>
              <w:autoSpaceDN w:val="0"/>
              <w:spacing w:line="360" w:lineRule="auto"/>
              <w:jc w:val="center"/>
              <w:rPr>
                <w:color w:val="auto"/>
                <w:szCs w:val="21"/>
                <w:highlight w:val="none"/>
              </w:rPr>
            </w:pPr>
            <w:r>
              <w:rPr>
                <w:rFonts w:hint="eastAsia"/>
                <w:color w:val="auto"/>
                <w:szCs w:val="21"/>
                <w:highlight w:val="none"/>
              </w:rPr>
              <w:t>……</w:t>
            </w:r>
          </w:p>
        </w:tc>
        <w:tc>
          <w:tcPr>
            <w:tcW w:w="3373" w:type="dxa"/>
            <w:tcBorders>
              <w:top w:val="single" w:color="auto" w:sz="4" w:space="0"/>
              <w:left w:val="single" w:color="auto" w:sz="4" w:space="0"/>
              <w:bottom w:val="single" w:color="auto" w:sz="4" w:space="0"/>
              <w:right w:val="single" w:color="auto" w:sz="4" w:space="0"/>
            </w:tcBorders>
            <w:vAlign w:val="center"/>
          </w:tcPr>
          <w:p w14:paraId="4D61A91F">
            <w:pPr>
              <w:autoSpaceDE w:val="0"/>
              <w:autoSpaceDN w:val="0"/>
              <w:spacing w:line="360" w:lineRule="auto"/>
              <w:jc w:val="center"/>
              <w:rPr>
                <w:color w:val="auto"/>
                <w:szCs w:val="21"/>
                <w:highlight w:val="none"/>
              </w:rPr>
            </w:pPr>
          </w:p>
        </w:tc>
        <w:tc>
          <w:tcPr>
            <w:tcW w:w="3649" w:type="dxa"/>
            <w:tcBorders>
              <w:top w:val="single" w:color="auto" w:sz="4" w:space="0"/>
              <w:left w:val="single" w:color="auto" w:sz="4" w:space="0"/>
              <w:bottom w:val="single" w:color="auto" w:sz="4" w:space="0"/>
              <w:right w:val="single" w:color="auto" w:sz="4" w:space="0"/>
            </w:tcBorders>
            <w:vAlign w:val="center"/>
          </w:tcPr>
          <w:p w14:paraId="6D012AB5">
            <w:pPr>
              <w:autoSpaceDE w:val="0"/>
              <w:autoSpaceDN w:val="0"/>
              <w:spacing w:line="360" w:lineRule="auto"/>
              <w:jc w:val="center"/>
              <w:rPr>
                <w:color w:val="auto"/>
                <w:szCs w:val="21"/>
                <w:highlight w:val="none"/>
              </w:rPr>
            </w:pPr>
          </w:p>
        </w:tc>
        <w:tc>
          <w:tcPr>
            <w:tcW w:w="1793" w:type="dxa"/>
            <w:tcBorders>
              <w:top w:val="single" w:color="auto" w:sz="4" w:space="0"/>
              <w:left w:val="single" w:color="auto" w:sz="4" w:space="0"/>
              <w:bottom w:val="single" w:color="auto" w:sz="4" w:space="0"/>
            </w:tcBorders>
            <w:vAlign w:val="center"/>
          </w:tcPr>
          <w:p w14:paraId="218D7D62">
            <w:pPr>
              <w:autoSpaceDE w:val="0"/>
              <w:autoSpaceDN w:val="0"/>
              <w:spacing w:line="360" w:lineRule="auto"/>
              <w:jc w:val="center"/>
              <w:rPr>
                <w:color w:val="auto"/>
                <w:szCs w:val="21"/>
                <w:highlight w:val="none"/>
              </w:rPr>
            </w:pPr>
            <w:r>
              <w:rPr>
                <w:rFonts w:hint="eastAsia"/>
                <w:color w:val="auto"/>
                <w:szCs w:val="21"/>
                <w:highlight w:val="none"/>
                <w:u w:val="single"/>
              </w:rPr>
              <w:t xml:space="preserve">   </w:t>
            </w:r>
            <w:r>
              <w:rPr>
                <w:rFonts w:hint="eastAsia"/>
                <w:color w:val="auto"/>
                <w:szCs w:val="21"/>
                <w:highlight w:val="none"/>
              </w:rPr>
              <w:t>%</w:t>
            </w:r>
          </w:p>
        </w:tc>
      </w:tr>
      <w:tr w14:paraId="7DB4A214">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1362" w:hRule="atLeast"/>
        </w:trPr>
        <w:tc>
          <w:tcPr>
            <w:tcW w:w="684" w:type="dxa"/>
            <w:vMerge w:val="continue"/>
            <w:tcBorders>
              <w:bottom w:val="single" w:color="auto" w:sz="4" w:space="0"/>
            </w:tcBorders>
            <w:vAlign w:val="center"/>
          </w:tcPr>
          <w:p w14:paraId="7108CECD">
            <w:pPr>
              <w:autoSpaceDE w:val="0"/>
              <w:autoSpaceDN w:val="0"/>
              <w:spacing w:line="300" w:lineRule="auto"/>
              <w:jc w:val="center"/>
              <w:rPr>
                <w:rFonts w:cs="宋体"/>
                <w:color w:val="auto"/>
                <w:kern w:val="1"/>
                <w:szCs w:val="21"/>
                <w:highlight w:val="none"/>
              </w:rPr>
            </w:pPr>
          </w:p>
        </w:tc>
        <w:tc>
          <w:tcPr>
            <w:tcW w:w="905" w:type="dxa"/>
            <w:vMerge w:val="continue"/>
            <w:tcBorders>
              <w:bottom w:val="single" w:color="auto" w:sz="4" w:space="0"/>
            </w:tcBorders>
            <w:vAlign w:val="center"/>
          </w:tcPr>
          <w:p w14:paraId="29CDD504">
            <w:pPr>
              <w:autoSpaceDE w:val="0"/>
              <w:autoSpaceDN w:val="0"/>
              <w:spacing w:line="300" w:lineRule="auto"/>
              <w:jc w:val="center"/>
              <w:rPr>
                <w:rFonts w:cs="宋体"/>
                <w:color w:val="auto"/>
                <w:kern w:val="1"/>
                <w:szCs w:val="21"/>
                <w:highlight w:val="none"/>
              </w:rPr>
            </w:pPr>
          </w:p>
        </w:tc>
        <w:tc>
          <w:tcPr>
            <w:tcW w:w="1510" w:type="dxa"/>
            <w:vMerge w:val="continue"/>
            <w:tcBorders>
              <w:bottom w:val="single" w:color="auto" w:sz="4" w:space="0"/>
            </w:tcBorders>
            <w:vAlign w:val="center"/>
          </w:tcPr>
          <w:p w14:paraId="56147D93">
            <w:pPr>
              <w:autoSpaceDE w:val="0"/>
              <w:autoSpaceDN w:val="0"/>
              <w:spacing w:line="300" w:lineRule="auto"/>
              <w:jc w:val="center"/>
              <w:rPr>
                <w:rFonts w:cs="宋体"/>
                <w:color w:val="auto"/>
                <w:kern w:val="1"/>
                <w:szCs w:val="21"/>
                <w:highlight w:val="none"/>
              </w:rPr>
            </w:pPr>
          </w:p>
        </w:tc>
        <w:tc>
          <w:tcPr>
            <w:tcW w:w="2097" w:type="dxa"/>
            <w:tcBorders>
              <w:top w:val="single" w:color="auto" w:sz="4" w:space="0"/>
              <w:right w:val="single" w:color="auto" w:sz="4" w:space="0"/>
            </w:tcBorders>
            <w:vAlign w:val="center"/>
          </w:tcPr>
          <w:p w14:paraId="06756EE2">
            <w:pPr>
              <w:pStyle w:val="116"/>
              <w:ind w:right="21" w:rightChars="10"/>
              <w:jc w:val="center"/>
              <w:rPr>
                <w:color w:val="auto"/>
                <w:szCs w:val="21"/>
                <w:highlight w:val="none"/>
              </w:rPr>
            </w:pPr>
            <w:r>
              <w:rPr>
                <w:rFonts w:hint="eastAsia"/>
                <w:color w:val="auto"/>
                <w:kern w:val="0"/>
                <w:szCs w:val="21"/>
                <w:highlight w:val="none"/>
              </w:rPr>
              <w:t>总监理工程师陈述答辩</w:t>
            </w:r>
          </w:p>
        </w:tc>
        <w:tc>
          <w:tcPr>
            <w:tcW w:w="7022" w:type="dxa"/>
            <w:gridSpan w:val="2"/>
            <w:tcBorders>
              <w:top w:val="single" w:color="auto" w:sz="4" w:space="0"/>
              <w:left w:val="single" w:color="auto" w:sz="4" w:space="0"/>
              <w:right w:val="single" w:color="auto" w:sz="4" w:space="0"/>
            </w:tcBorders>
            <w:vAlign w:val="center"/>
          </w:tcPr>
          <w:p w14:paraId="7CDE1FC8">
            <w:pPr>
              <w:pStyle w:val="119"/>
              <w:spacing w:line="300" w:lineRule="auto"/>
              <w:jc w:val="left"/>
              <w:rPr>
                <w:rFonts w:ascii="Calibri" w:hAnsi="Calibri" w:eastAsia="宋体" w:cs="Times New Roman"/>
                <w:color w:val="auto"/>
                <w:kern w:val="0"/>
                <w:sz w:val="21"/>
                <w:szCs w:val="21"/>
                <w:highlight w:val="none"/>
              </w:rPr>
            </w:pPr>
            <w:r>
              <w:rPr>
                <w:rFonts w:hint="eastAsia" w:ascii="Calibri" w:hAnsi="Calibri" w:eastAsia="宋体" w:cs="Times New Roman"/>
                <w:color w:val="auto"/>
                <w:kern w:val="0"/>
                <w:sz w:val="21"/>
                <w:szCs w:val="21"/>
                <w:highlight w:val="none"/>
                <w:lang w:val="zh-CN"/>
              </w:rPr>
              <w:t>□否；</w:t>
            </w:r>
          </w:p>
          <w:p w14:paraId="0808AA92">
            <w:pPr>
              <w:pStyle w:val="116"/>
              <w:spacing w:line="300" w:lineRule="auto"/>
              <w:ind w:right="21" w:rightChars="10"/>
              <w:rPr>
                <w:color w:val="auto"/>
                <w:kern w:val="0"/>
                <w:szCs w:val="21"/>
                <w:highlight w:val="none"/>
              </w:rPr>
            </w:pPr>
            <w:r>
              <w:rPr>
                <w:rFonts w:hint="eastAsia"/>
                <w:color w:val="auto"/>
                <w:kern w:val="0"/>
                <w:szCs w:val="21"/>
                <w:highlight w:val="none"/>
              </w:rPr>
              <w:t>□是：招标人选择总监理工程师陈述答辩的，有关标准和程序执行定标方案附件“</w:t>
            </w:r>
            <w:r>
              <w:rPr>
                <w:rFonts w:hint="eastAsia" w:cs="宋体"/>
                <w:color w:val="auto"/>
                <w:szCs w:val="21"/>
                <w:highlight w:val="none"/>
              </w:rPr>
              <w:t>总监理工程师</w:t>
            </w:r>
            <w:r>
              <w:rPr>
                <w:rFonts w:hint="eastAsia"/>
                <w:color w:val="auto"/>
                <w:kern w:val="0"/>
                <w:szCs w:val="21"/>
                <w:highlight w:val="none"/>
              </w:rPr>
              <w:t>陈述答辩工作方案”规定。</w:t>
            </w:r>
          </w:p>
        </w:tc>
        <w:tc>
          <w:tcPr>
            <w:tcW w:w="1793" w:type="dxa"/>
            <w:tcBorders>
              <w:top w:val="single" w:color="auto" w:sz="4" w:space="0"/>
              <w:left w:val="single" w:color="auto" w:sz="4" w:space="0"/>
            </w:tcBorders>
            <w:vAlign w:val="center"/>
          </w:tcPr>
          <w:p w14:paraId="21CB84E0">
            <w:pPr>
              <w:autoSpaceDE w:val="0"/>
              <w:autoSpaceDN w:val="0"/>
              <w:spacing w:line="360" w:lineRule="auto"/>
              <w:jc w:val="center"/>
              <w:rPr>
                <w:color w:val="auto"/>
                <w:szCs w:val="21"/>
                <w:highlight w:val="none"/>
              </w:rPr>
            </w:pPr>
            <w:r>
              <w:rPr>
                <w:rFonts w:hint="eastAsia"/>
                <w:color w:val="auto"/>
                <w:szCs w:val="21"/>
                <w:highlight w:val="none"/>
                <w:u w:val="single"/>
              </w:rPr>
              <w:t xml:space="preserve">   </w:t>
            </w:r>
            <w:r>
              <w:rPr>
                <w:rFonts w:hint="eastAsia"/>
                <w:color w:val="auto"/>
                <w:szCs w:val="21"/>
                <w:highlight w:val="none"/>
              </w:rPr>
              <w:t>%</w:t>
            </w:r>
          </w:p>
        </w:tc>
      </w:tr>
      <w:tr w14:paraId="6B13EC48">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58" w:hRule="atLeast"/>
        </w:trPr>
        <w:tc>
          <w:tcPr>
            <w:tcW w:w="684" w:type="dxa"/>
            <w:vMerge w:val="restart"/>
            <w:tcBorders>
              <w:top w:val="single" w:color="auto" w:sz="4" w:space="0"/>
            </w:tcBorders>
            <w:vAlign w:val="center"/>
          </w:tcPr>
          <w:p w14:paraId="77DF9B12">
            <w:pPr>
              <w:autoSpaceDE w:val="0"/>
              <w:autoSpaceDN w:val="0"/>
              <w:spacing w:line="300" w:lineRule="auto"/>
              <w:jc w:val="center"/>
              <w:rPr>
                <w:rFonts w:cs="宋体"/>
                <w:color w:val="auto"/>
                <w:kern w:val="1"/>
                <w:szCs w:val="21"/>
                <w:highlight w:val="none"/>
              </w:rPr>
            </w:pPr>
            <w:r>
              <w:rPr>
                <w:rFonts w:hint="eastAsia" w:cs="宋体"/>
                <w:color w:val="auto"/>
                <w:kern w:val="1"/>
                <w:szCs w:val="21"/>
                <w:highlight w:val="none"/>
              </w:rPr>
              <w:t>3</w:t>
            </w:r>
          </w:p>
        </w:tc>
        <w:tc>
          <w:tcPr>
            <w:tcW w:w="905" w:type="dxa"/>
            <w:vMerge w:val="restart"/>
            <w:tcBorders>
              <w:top w:val="single" w:color="auto" w:sz="4" w:space="0"/>
            </w:tcBorders>
            <w:vAlign w:val="center"/>
          </w:tcPr>
          <w:p w14:paraId="04456019">
            <w:pPr>
              <w:autoSpaceDE w:val="0"/>
              <w:autoSpaceDN w:val="0"/>
              <w:spacing w:line="300" w:lineRule="auto"/>
              <w:jc w:val="center"/>
              <w:rPr>
                <w:rFonts w:cs="宋体"/>
                <w:color w:val="auto"/>
                <w:kern w:val="1"/>
                <w:szCs w:val="21"/>
                <w:highlight w:val="none"/>
              </w:rPr>
            </w:pPr>
            <w:r>
              <w:rPr>
                <w:rFonts w:hint="eastAsia" w:cs="宋体"/>
                <w:color w:val="auto"/>
                <w:kern w:val="1"/>
                <w:szCs w:val="21"/>
                <w:highlight w:val="none"/>
              </w:rPr>
              <w:t>3.2.2</w:t>
            </w:r>
          </w:p>
        </w:tc>
        <w:tc>
          <w:tcPr>
            <w:tcW w:w="1510" w:type="dxa"/>
            <w:vMerge w:val="restart"/>
            <w:tcBorders>
              <w:top w:val="single" w:color="auto" w:sz="4" w:space="0"/>
              <w:right w:val="single" w:color="auto" w:sz="4" w:space="0"/>
            </w:tcBorders>
            <w:vAlign w:val="center"/>
          </w:tcPr>
          <w:p w14:paraId="2A444F8E">
            <w:pPr>
              <w:autoSpaceDE w:val="0"/>
              <w:autoSpaceDN w:val="0"/>
              <w:spacing w:line="360" w:lineRule="auto"/>
              <w:jc w:val="center"/>
              <w:rPr>
                <w:color w:val="auto"/>
                <w:szCs w:val="21"/>
                <w:highlight w:val="none"/>
              </w:rPr>
            </w:pPr>
            <w:r>
              <w:rPr>
                <w:rFonts w:hint="eastAsia" w:cs="宋体"/>
                <w:color w:val="auto"/>
                <w:kern w:val="1"/>
                <w:szCs w:val="21"/>
                <w:highlight w:val="none"/>
              </w:rPr>
              <w:t>报价要素</w:t>
            </w:r>
          </w:p>
        </w:tc>
        <w:tc>
          <w:tcPr>
            <w:tcW w:w="2092" w:type="dxa"/>
            <w:tcBorders>
              <w:top w:val="single" w:color="auto" w:sz="4" w:space="0"/>
              <w:left w:val="single" w:color="auto" w:sz="4" w:space="0"/>
              <w:bottom w:val="single" w:color="auto" w:sz="4" w:space="0"/>
              <w:right w:val="single" w:color="auto" w:sz="4" w:space="0"/>
            </w:tcBorders>
            <w:shd w:val="clear" w:color="auto" w:fill="auto"/>
            <w:vAlign w:val="center"/>
          </w:tcPr>
          <w:p w14:paraId="09520321">
            <w:pPr>
              <w:autoSpaceDE w:val="0"/>
              <w:autoSpaceDN w:val="0"/>
              <w:spacing w:line="360" w:lineRule="auto"/>
              <w:jc w:val="center"/>
              <w:rPr>
                <w:rFonts w:cs="宋体"/>
                <w:color w:val="auto"/>
                <w:kern w:val="1"/>
                <w:szCs w:val="21"/>
                <w:highlight w:val="none"/>
              </w:rPr>
            </w:pPr>
            <w:r>
              <w:rPr>
                <w:rFonts w:hint="eastAsia" w:cs="宋体"/>
                <w:color w:val="auto"/>
                <w:kern w:val="1"/>
                <w:szCs w:val="21"/>
                <w:highlight w:val="none"/>
              </w:rPr>
              <w:t>监理费报价</w:t>
            </w:r>
          </w:p>
        </w:tc>
        <w:tc>
          <w:tcPr>
            <w:tcW w:w="70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44FA36">
            <w:pPr>
              <w:autoSpaceDE w:val="0"/>
              <w:autoSpaceDN w:val="0"/>
              <w:spacing w:line="360" w:lineRule="auto"/>
              <w:jc w:val="left"/>
              <w:rPr>
                <w:color w:val="auto"/>
                <w:szCs w:val="21"/>
                <w:highlight w:val="none"/>
              </w:rPr>
            </w:pPr>
            <w:r>
              <w:rPr>
                <w:rFonts w:hint="eastAsia"/>
                <w:color w:val="auto"/>
                <w:szCs w:val="21"/>
                <w:highlight w:val="none"/>
              </w:rPr>
              <w:t>有关标准和程序执行定标方案附件“报价要素评审标准”规定。</w:t>
            </w:r>
          </w:p>
        </w:tc>
        <w:tc>
          <w:tcPr>
            <w:tcW w:w="1793" w:type="dxa"/>
            <w:tcBorders>
              <w:top w:val="single" w:color="auto" w:sz="4" w:space="0"/>
              <w:left w:val="single" w:color="auto" w:sz="4" w:space="0"/>
              <w:bottom w:val="single" w:color="auto" w:sz="4" w:space="0"/>
            </w:tcBorders>
            <w:shd w:val="clear" w:color="auto" w:fill="auto"/>
            <w:vAlign w:val="center"/>
          </w:tcPr>
          <w:p w14:paraId="7AD5B36C">
            <w:pPr>
              <w:autoSpaceDE w:val="0"/>
              <w:autoSpaceDN w:val="0"/>
              <w:spacing w:line="360" w:lineRule="auto"/>
              <w:jc w:val="center"/>
              <w:rPr>
                <w:color w:val="auto"/>
                <w:szCs w:val="21"/>
                <w:highlight w:val="none"/>
                <w:u w:val="single"/>
              </w:rPr>
            </w:pPr>
            <w:r>
              <w:rPr>
                <w:rFonts w:hint="eastAsia"/>
                <w:color w:val="auto"/>
                <w:szCs w:val="21"/>
                <w:highlight w:val="none"/>
                <w:u w:val="single"/>
              </w:rPr>
              <w:t xml:space="preserve">   </w:t>
            </w:r>
            <w:r>
              <w:rPr>
                <w:rFonts w:hint="eastAsia"/>
                <w:color w:val="auto"/>
                <w:szCs w:val="21"/>
                <w:highlight w:val="none"/>
              </w:rPr>
              <w:t>%</w:t>
            </w:r>
          </w:p>
        </w:tc>
      </w:tr>
      <w:tr w14:paraId="7B3F6829">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684" w:type="dxa"/>
            <w:vMerge w:val="continue"/>
            <w:tcBorders>
              <w:bottom w:val="single" w:color="auto" w:sz="4" w:space="0"/>
            </w:tcBorders>
            <w:vAlign w:val="center"/>
          </w:tcPr>
          <w:p w14:paraId="63C57483">
            <w:pPr>
              <w:autoSpaceDE w:val="0"/>
              <w:autoSpaceDN w:val="0"/>
              <w:spacing w:line="300" w:lineRule="auto"/>
              <w:jc w:val="center"/>
              <w:rPr>
                <w:rFonts w:cs="宋体"/>
                <w:color w:val="auto"/>
                <w:kern w:val="1"/>
                <w:szCs w:val="21"/>
                <w:highlight w:val="none"/>
              </w:rPr>
            </w:pPr>
          </w:p>
        </w:tc>
        <w:tc>
          <w:tcPr>
            <w:tcW w:w="905" w:type="dxa"/>
            <w:vMerge w:val="continue"/>
            <w:tcBorders>
              <w:bottom w:val="single" w:color="auto" w:sz="4" w:space="0"/>
            </w:tcBorders>
            <w:vAlign w:val="center"/>
          </w:tcPr>
          <w:p w14:paraId="2D7E1FA5">
            <w:pPr>
              <w:autoSpaceDE w:val="0"/>
              <w:autoSpaceDN w:val="0"/>
              <w:spacing w:line="300" w:lineRule="auto"/>
              <w:jc w:val="center"/>
              <w:rPr>
                <w:rFonts w:cs="宋体"/>
                <w:color w:val="auto"/>
                <w:kern w:val="1"/>
                <w:szCs w:val="21"/>
                <w:highlight w:val="none"/>
              </w:rPr>
            </w:pPr>
          </w:p>
        </w:tc>
        <w:tc>
          <w:tcPr>
            <w:tcW w:w="1510" w:type="dxa"/>
            <w:vMerge w:val="continue"/>
            <w:tcBorders>
              <w:bottom w:val="single" w:color="auto" w:sz="4" w:space="0"/>
              <w:right w:val="single" w:color="auto" w:sz="4" w:space="0"/>
            </w:tcBorders>
            <w:vAlign w:val="center"/>
          </w:tcPr>
          <w:p w14:paraId="557DDF18">
            <w:pPr>
              <w:autoSpaceDE w:val="0"/>
              <w:autoSpaceDN w:val="0"/>
              <w:spacing w:line="360" w:lineRule="auto"/>
              <w:jc w:val="left"/>
              <w:rPr>
                <w:rFonts w:cs="宋体"/>
                <w:color w:val="auto"/>
                <w:kern w:val="1"/>
                <w:szCs w:val="21"/>
                <w:highlight w:val="none"/>
              </w:rPr>
            </w:pPr>
          </w:p>
        </w:tc>
        <w:tc>
          <w:tcPr>
            <w:tcW w:w="2092" w:type="dxa"/>
            <w:tcBorders>
              <w:top w:val="single" w:color="auto" w:sz="4" w:space="0"/>
              <w:left w:val="single" w:color="auto" w:sz="4" w:space="0"/>
              <w:bottom w:val="single" w:color="auto" w:sz="4" w:space="0"/>
              <w:right w:val="single" w:color="auto" w:sz="4" w:space="0"/>
            </w:tcBorders>
            <w:vAlign w:val="center"/>
          </w:tcPr>
          <w:p w14:paraId="78D452A6">
            <w:pPr>
              <w:autoSpaceDE w:val="0"/>
              <w:autoSpaceDN w:val="0"/>
              <w:spacing w:line="360" w:lineRule="auto"/>
              <w:jc w:val="center"/>
              <w:rPr>
                <w:rFonts w:cs="宋体"/>
                <w:color w:val="auto"/>
                <w:kern w:val="1"/>
                <w:szCs w:val="21"/>
                <w:highlight w:val="none"/>
              </w:rPr>
            </w:pPr>
            <w:r>
              <w:rPr>
                <w:rFonts w:hint="eastAsia" w:cs="宋体"/>
                <w:color w:val="auto"/>
                <w:kern w:val="1"/>
                <w:szCs w:val="21"/>
                <w:highlight w:val="none"/>
              </w:rPr>
              <w:t>……</w:t>
            </w:r>
          </w:p>
        </w:tc>
        <w:tc>
          <w:tcPr>
            <w:tcW w:w="7027" w:type="dxa"/>
            <w:gridSpan w:val="2"/>
            <w:tcBorders>
              <w:top w:val="single" w:color="auto" w:sz="4" w:space="0"/>
              <w:left w:val="single" w:color="auto" w:sz="4" w:space="0"/>
              <w:bottom w:val="single" w:color="auto" w:sz="4" w:space="0"/>
              <w:right w:val="single" w:color="auto" w:sz="4" w:space="0"/>
            </w:tcBorders>
            <w:vAlign w:val="center"/>
          </w:tcPr>
          <w:p w14:paraId="4E3ACB5F">
            <w:pPr>
              <w:autoSpaceDE w:val="0"/>
              <w:autoSpaceDN w:val="0"/>
              <w:spacing w:line="360" w:lineRule="auto"/>
              <w:jc w:val="left"/>
              <w:rPr>
                <w:color w:val="auto"/>
                <w:szCs w:val="21"/>
                <w:highlight w:val="none"/>
              </w:rPr>
            </w:pPr>
            <w:r>
              <w:rPr>
                <w:rFonts w:hint="eastAsia"/>
                <w:color w:val="auto"/>
                <w:szCs w:val="21"/>
                <w:highlight w:val="none"/>
              </w:rPr>
              <w:t>……</w:t>
            </w:r>
          </w:p>
        </w:tc>
        <w:tc>
          <w:tcPr>
            <w:tcW w:w="1793" w:type="dxa"/>
            <w:tcBorders>
              <w:top w:val="single" w:color="auto" w:sz="4" w:space="0"/>
              <w:left w:val="single" w:color="auto" w:sz="4" w:space="0"/>
              <w:bottom w:val="single" w:color="auto" w:sz="4" w:space="0"/>
            </w:tcBorders>
            <w:vAlign w:val="center"/>
          </w:tcPr>
          <w:p w14:paraId="4E71C938">
            <w:pPr>
              <w:autoSpaceDE w:val="0"/>
              <w:autoSpaceDN w:val="0"/>
              <w:spacing w:line="360" w:lineRule="auto"/>
              <w:jc w:val="center"/>
              <w:rPr>
                <w:color w:val="auto"/>
                <w:szCs w:val="21"/>
                <w:highlight w:val="none"/>
                <w:u w:val="single"/>
              </w:rPr>
            </w:pPr>
          </w:p>
        </w:tc>
      </w:tr>
      <w:tr w14:paraId="5D9DBA04">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64" w:hRule="atLeast"/>
        </w:trPr>
        <w:tc>
          <w:tcPr>
            <w:tcW w:w="684" w:type="dxa"/>
            <w:tcBorders>
              <w:bottom w:val="single" w:color="auto" w:sz="4" w:space="0"/>
            </w:tcBorders>
            <w:vAlign w:val="center"/>
          </w:tcPr>
          <w:p w14:paraId="55867F91">
            <w:pPr>
              <w:spacing w:line="300" w:lineRule="auto"/>
              <w:jc w:val="center"/>
              <w:rPr>
                <w:rFonts w:cs="宋体"/>
                <w:b/>
                <w:color w:val="auto"/>
                <w:kern w:val="1"/>
                <w:szCs w:val="21"/>
                <w:highlight w:val="none"/>
              </w:rPr>
            </w:pPr>
            <w:r>
              <w:rPr>
                <w:rFonts w:hint="eastAsia" w:cs="宋体"/>
                <w:b/>
                <w:color w:val="auto"/>
                <w:kern w:val="1"/>
                <w:szCs w:val="21"/>
                <w:highlight w:val="none"/>
              </w:rPr>
              <w:t>项</w:t>
            </w:r>
            <w:r>
              <w:rPr>
                <w:rFonts w:cs="宋体"/>
                <w:b/>
                <w:color w:val="auto"/>
                <w:kern w:val="1"/>
                <w:szCs w:val="21"/>
                <w:highlight w:val="none"/>
              </w:rPr>
              <w:t>号</w:t>
            </w:r>
          </w:p>
        </w:tc>
        <w:tc>
          <w:tcPr>
            <w:tcW w:w="905" w:type="dxa"/>
            <w:tcBorders>
              <w:bottom w:val="single" w:color="auto" w:sz="4" w:space="0"/>
            </w:tcBorders>
            <w:vAlign w:val="center"/>
          </w:tcPr>
          <w:p w14:paraId="6AE772B5">
            <w:pPr>
              <w:spacing w:line="300" w:lineRule="auto"/>
              <w:jc w:val="center"/>
              <w:rPr>
                <w:rFonts w:cs="宋体"/>
                <w:b/>
                <w:color w:val="auto"/>
                <w:kern w:val="1"/>
                <w:szCs w:val="21"/>
                <w:highlight w:val="none"/>
              </w:rPr>
            </w:pPr>
            <w:r>
              <w:rPr>
                <w:rFonts w:hint="eastAsia" w:cs="宋体"/>
                <w:b/>
                <w:color w:val="auto"/>
                <w:kern w:val="1"/>
                <w:szCs w:val="21"/>
                <w:highlight w:val="none"/>
              </w:rPr>
              <w:t>条款号</w:t>
            </w:r>
          </w:p>
        </w:tc>
        <w:tc>
          <w:tcPr>
            <w:tcW w:w="1510" w:type="dxa"/>
            <w:tcBorders>
              <w:bottom w:val="single" w:color="auto" w:sz="4" w:space="0"/>
              <w:right w:val="single" w:color="auto" w:sz="4" w:space="0"/>
            </w:tcBorders>
            <w:vAlign w:val="center"/>
          </w:tcPr>
          <w:p w14:paraId="2EE18589">
            <w:pPr>
              <w:spacing w:line="300" w:lineRule="auto"/>
              <w:jc w:val="center"/>
              <w:rPr>
                <w:rFonts w:cs="宋体"/>
                <w:b/>
                <w:color w:val="auto"/>
                <w:kern w:val="1"/>
                <w:szCs w:val="21"/>
                <w:highlight w:val="none"/>
              </w:rPr>
            </w:pPr>
            <w:r>
              <w:rPr>
                <w:rFonts w:hint="eastAsia" w:cs="宋体"/>
                <w:b/>
                <w:color w:val="auto"/>
                <w:kern w:val="1"/>
                <w:szCs w:val="21"/>
                <w:highlight w:val="none"/>
              </w:rPr>
              <w:t>定标方法</w:t>
            </w:r>
            <w:r>
              <w:rPr>
                <w:rStyle w:val="53"/>
                <w:rFonts w:hint="eastAsia" w:cs="宋体"/>
                <w:b/>
                <w:color w:val="auto"/>
                <w:kern w:val="1"/>
                <w:szCs w:val="21"/>
                <w:highlight w:val="none"/>
              </w:rPr>
              <w:footnoteReference w:id="7"/>
            </w:r>
          </w:p>
        </w:tc>
        <w:tc>
          <w:tcPr>
            <w:tcW w:w="10912" w:type="dxa"/>
            <w:gridSpan w:val="4"/>
            <w:tcBorders>
              <w:left w:val="single" w:color="auto" w:sz="4" w:space="0"/>
            </w:tcBorders>
            <w:vAlign w:val="center"/>
          </w:tcPr>
          <w:p w14:paraId="1147A117">
            <w:pPr>
              <w:spacing w:line="300" w:lineRule="auto"/>
              <w:ind w:firstLine="340"/>
              <w:jc w:val="center"/>
              <w:rPr>
                <w:rFonts w:cs="宋体"/>
                <w:b/>
                <w:color w:val="auto"/>
                <w:kern w:val="1"/>
                <w:szCs w:val="21"/>
                <w:highlight w:val="none"/>
              </w:rPr>
            </w:pPr>
            <w:r>
              <w:rPr>
                <w:rFonts w:hint="eastAsia" w:cs="宋体"/>
                <w:b/>
                <w:color w:val="auto"/>
                <w:kern w:val="1"/>
                <w:szCs w:val="21"/>
                <w:highlight w:val="none"/>
              </w:rPr>
              <w:t>编列内容</w:t>
            </w:r>
          </w:p>
        </w:tc>
      </w:tr>
      <w:tr w14:paraId="6151EA6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25" w:hRule="atLeast"/>
        </w:trPr>
        <w:tc>
          <w:tcPr>
            <w:tcW w:w="684" w:type="dxa"/>
            <w:vMerge w:val="restart"/>
            <w:vAlign w:val="center"/>
          </w:tcPr>
          <w:p w14:paraId="52F72B2F">
            <w:pPr>
              <w:autoSpaceDE w:val="0"/>
              <w:autoSpaceDN w:val="0"/>
              <w:spacing w:line="300" w:lineRule="auto"/>
              <w:jc w:val="center"/>
              <w:rPr>
                <w:rFonts w:cs="宋体"/>
                <w:color w:val="auto"/>
                <w:kern w:val="1"/>
                <w:szCs w:val="21"/>
                <w:highlight w:val="none"/>
              </w:rPr>
            </w:pPr>
            <w:r>
              <w:rPr>
                <w:rFonts w:hint="eastAsia" w:cs="宋体"/>
                <w:color w:val="auto"/>
                <w:kern w:val="1"/>
                <w:szCs w:val="21"/>
                <w:highlight w:val="none"/>
              </w:rPr>
              <w:t>4</w:t>
            </w:r>
          </w:p>
        </w:tc>
        <w:tc>
          <w:tcPr>
            <w:tcW w:w="905" w:type="dxa"/>
            <w:vMerge w:val="restart"/>
            <w:vAlign w:val="center"/>
          </w:tcPr>
          <w:p w14:paraId="7CB38F1A">
            <w:pPr>
              <w:autoSpaceDE w:val="0"/>
              <w:autoSpaceDN w:val="0"/>
              <w:spacing w:line="300" w:lineRule="auto"/>
              <w:jc w:val="center"/>
              <w:rPr>
                <w:rFonts w:cs="宋体"/>
                <w:color w:val="auto"/>
                <w:kern w:val="1"/>
                <w:szCs w:val="21"/>
                <w:highlight w:val="none"/>
              </w:rPr>
            </w:pPr>
            <w:r>
              <w:rPr>
                <w:rFonts w:hint="eastAsia" w:cs="宋体"/>
                <w:color w:val="auto"/>
                <w:kern w:val="1"/>
                <w:szCs w:val="21"/>
                <w:highlight w:val="none"/>
              </w:rPr>
              <w:t>4.3.2</w:t>
            </w:r>
          </w:p>
        </w:tc>
        <w:tc>
          <w:tcPr>
            <w:tcW w:w="1510" w:type="dxa"/>
            <w:vAlign w:val="center"/>
          </w:tcPr>
          <w:p w14:paraId="7E2E80A2">
            <w:pPr>
              <w:autoSpaceDE w:val="0"/>
              <w:autoSpaceDN w:val="0"/>
              <w:spacing w:line="300" w:lineRule="auto"/>
              <w:jc w:val="center"/>
              <w:rPr>
                <w:color w:val="auto"/>
                <w:szCs w:val="21"/>
                <w:highlight w:val="none"/>
              </w:rPr>
            </w:pPr>
            <w:r>
              <w:rPr>
                <w:rFonts w:hint="eastAsia"/>
                <w:color w:val="auto"/>
                <w:kern w:val="0"/>
                <w:szCs w:val="21"/>
                <w:highlight w:val="none"/>
                <w:lang w:val="zh-CN"/>
              </w:rPr>
              <w:t>□</w:t>
            </w:r>
            <w:r>
              <w:rPr>
                <w:rFonts w:hint="eastAsia" w:cs="宋体"/>
                <w:color w:val="auto"/>
                <w:kern w:val="1"/>
                <w:szCs w:val="21"/>
                <w:highlight w:val="none"/>
              </w:rPr>
              <w:t>高分低价法</w:t>
            </w:r>
          </w:p>
        </w:tc>
        <w:tc>
          <w:tcPr>
            <w:tcW w:w="10912" w:type="dxa"/>
            <w:gridSpan w:val="4"/>
            <w:vAlign w:val="center"/>
          </w:tcPr>
          <w:p w14:paraId="0C044AE3">
            <w:pPr>
              <w:autoSpaceDE w:val="0"/>
              <w:autoSpaceDN w:val="0"/>
              <w:spacing w:line="30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1.确定中标候选人</w:t>
            </w:r>
          </w:p>
          <w:p w14:paraId="7F5D680D">
            <w:pPr>
              <w:autoSpaceDE w:val="0"/>
              <w:autoSpaceDN w:val="0"/>
              <w:spacing w:line="300" w:lineRule="auto"/>
              <w:ind w:firstLine="420" w:firstLineChars="200"/>
              <w:jc w:val="left"/>
              <w:rPr>
                <w:rFonts w:ascii="宋体" w:hAnsi="宋体" w:cs="宋体"/>
                <w:color w:val="auto"/>
                <w:kern w:val="1"/>
                <w:szCs w:val="21"/>
                <w:highlight w:val="none"/>
              </w:rPr>
            </w:pPr>
            <w:r>
              <w:rPr>
                <w:rFonts w:hint="eastAsia" w:ascii="宋体" w:hAnsi="宋体" w:cs="宋体"/>
                <w:color w:val="auto"/>
                <w:kern w:val="1"/>
                <w:szCs w:val="21"/>
                <w:highlight w:val="none"/>
              </w:rPr>
              <w:t>（1）</w:t>
            </w:r>
            <w:r>
              <w:rPr>
                <w:rFonts w:hint="eastAsia" w:ascii="宋体" w:hAnsi="宋体" w:cs="宋体"/>
                <w:color w:val="auto"/>
                <w:kern w:val="1"/>
                <w:szCs w:val="21"/>
                <w:highlight w:val="none"/>
                <w:lang w:val="en-US" w:eastAsia="zh-CN"/>
              </w:rPr>
              <w:t>在评标委员会推荐的定标候选人中，定标委员会按照综合得分由高往低进行排序，确定排序在前的3家定标候选人为中标候选人。</w:t>
            </w:r>
          </w:p>
          <w:p w14:paraId="68609A77">
            <w:pPr>
              <w:pStyle w:val="2"/>
              <w:spacing w:line="300" w:lineRule="auto"/>
              <w:ind w:firstLine="420" w:firstLineChars="200"/>
              <w:rPr>
                <w:rFonts w:ascii="宋体" w:hAnsi="宋体" w:eastAsia="宋体" w:cs="宋体"/>
                <w:color w:val="auto"/>
                <w:kern w:val="1"/>
                <w:szCs w:val="21"/>
                <w:highlight w:val="none"/>
              </w:rPr>
            </w:pPr>
            <w:r>
              <w:rPr>
                <w:rFonts w:hint="eastAsia" w:ascii="宋体" w:hAnsi="宋体" w:eastAsia="宋体" w:cs="宋体"/>
                <w:color w:val="auto"/>
                <w:kern w:val="1"/>
                <w:szCs w:val="21"/>
                <w:highlight w:val="none"/>
              </w:rPr>
              <w:t>（2）当两个或两个以上定标候选人的综合得分相同时且影响中标候选人数量的确定时，在此类定标候选人范围中依次按下列规则确定中标候选人：</w:t>
            </w:r>
          </w:p>
          <w:p w14:paraId="1D8EF482">
            <w:pPr>
              <w:pStyle w:val="2"/>
              <w:spacing w:line="300" w:lineRule="auto"/>
              <w:ind w:firstLine="420" w:firstLineChars="200"/>
              <w:rPr>
                <w:rFonts w:ascii="宋体" w:hAnsi="宋体" w:eastAsia="宋体" w:cs="宋体"/>
                <w:color w:val="auto"/>
                <w:kern w:val="1"/>
                <w:szCs w:val="21"/>
                <w:highlight w:val="none"/>
              </w:rPr>
            </w:pPr>
            <w:r>
              <w:rPr>
                <w:rFonts w:hint="eastAsia" w:ascii="宋体" w:hAnsi="宋体" w:eastAsia="宋体" w:cs="宋体"/>
                <w:color w:val="auto"/>
                <w:kern w:val="1"/>
                <w:szCs w:val="21"/>
                <w:highlight w:val="none"/>
              </w:rPr>
              <w:t>①投标报价低的定标候选人优先；</w:t>
            </w:r>
          </w:p>
          <w:p w14:paraId="212290A3">
            <w:pPr>
              <w:autoSpaceDE w:val="0"/>
              <w:autoSpaceDN w:val="0"/>
              <w:spacing w:line="300" w:lineRule="auto"/>
              <w:ind w:firstLine="420" w:firstLineChars="200"/>
              <w:jc w:val="left"/>
              <w:rPr>
                <w:rFonts w:cs="宋体"/>
                <w:b/>
                <w:color w:val="auto"/>
                <w:szCs w:val="21"/>
                <w:highlight w:val="none"/>
              </w:rPr>
            </w:pPr>
            <w:r>
              <w:rPr>
                <w:rFonts w:hint="eastAsia" w:ascii="宋体" w:hAnsi="宋体" w:cs="宋体"/>
                <w:color w:val="auto"/>
                <w:kern w:val="1"/>
                <w:szCs w:val="21"/>
                <w:highlight w:val="none"/>
              </w:rPr>
              <w:t>②投标报价相同时，随机抽取确定，随机抽取工作</w:t>
            </w:r>
            <w:r>
              <w:rPr>
                <w:rFonts w:hint="eastAsia" w:cs="宋体"/>
                <w:color w:val="auto"/>
                <w:szCs w:val="21"/>
                <w:highlight w:val="none"/>
              </w:rPr>
              <w:t>规则如下：</w:t>
            </w:r>
          </w:p>
          <w:p w14:paraId="210D2365">
            <w:pPr>
              <w:autoSpaceDE w:val="0"/>
              <w:autoSpaceDN w:val="0"/>
              <w:spacing w:line="300" w:lineRule="auto"/>
              <w:ind w:firstLine="420" w:firstLineChars="200"/>
              <w:jc w:val="left"/>
              <w:rPr>
                <w:rFonts w:ascii="宋体" w:hAnsi="宋体" w:cs="宋体"/>
                <w:color w:val="auto"/>
                <w:kern w:val="1"/>
                <w:szCs w:val="21"/>
                <w:highlight w:val="none"/>
                <w:lang w:val="zh-CN"/>
              </w:rPr>
            </w:pPr>
            <w:r>
              <w:rPr>
                <w:rFonts w:hint="eastAsia" w:ascii="宋体" w:hAnsi="宋体" w:cs="宋体"/>
                <w:color w:val="auto"/>
                <w:kern w:val="1"/>
                <w:szCs w:val="21"/>
                <w:highlight w:val="none"/>
              </w:rPr>
              <w:t>定标</w:t>
            </w:r>
            <w:r>
              <w:rPr>
                <w:rFonts w:hint="eastAsia" w:ascii="宋体" w:hAnsi="宋体" w:cs="宋体"/>
                <w:color w:val="auto"/>
                <w:kern w:val="1"/>
                <w:szCs w:val="21"/>
                <w:highlight w:val="none"/>
                <w:lang w:val="zh-CN"/>
              </w:rPr>
              <w:t>候选人的投标人代表号即为代表球号；</w:t>
            </w:r>
          </w:p>
          <w:p w14:paraId="350AA864">
            <w:pPr>
              <w:autoSpaceDE w:val="0"/>
              <w:autoSpaceDN w:val="0"/>
              <w:spacing w:line="300" w:lineRule="auto"/>
              <w:ind w:firstLine="420" w:firstLineChars="200"/>
              <w:jc w:val="left"/>
              <w:rPr>
                <w:rFonts w:ascii="宋体" w:hAnsi="宋体" w:cs="宋体"/>
                <w:color w:val="auto"/>
                <w:kern w:val="1"/>
                <w:szCs w:val="21"/>
                <w:highlight w:val="none"/>
                <w:lang w:val="zh-CN"/>
              </w:rPr>
            </w:pPr>
            <w:r>
              <w:rPr>
                <w:rFonts w:hint="eastAsia" w:ascii="宋体" w:hAnsi="宋体" w:cs="宋体"/>
                <w:color w:val="auto"/>
                <w:kern w:val="1"/>
                <w:szCs w:val="21"/>
                <w:highlight w:val="none"/>
                <w:lang w:val="zh-CN"/>
              </w:rPr>
              <w:t>由</w:t>
            </w:r>
            <w:r>
              <w:rPr>
                <w:rFonts w:hint="eastAsia" w:ascii="宋体" w:hAnsi="宋体" w:cs="宋体"/>
                <w:color w:val="auto"/>
                <w:kern w:val="1"/>
                <w:szCs w:val="21"/>
                <w:highlight w:val="none"/>
              </w:rPr>
              <w:t>建设单位代表（除定标委员会成员以外）或代建单位代表</w:t>
            </w:r>
            <w:r>
              <w:rPr>
                <w:rFonts w:hint="eastAsia" w:ascii="宋体" w:hAnsi="宋体" w:cs="宋体"/>
                <w:color w:val="auto"/>
                <w:kern w:val="1"/>
                <w:szCs w:val="21"/>
                <w:highlight w:val="none"/>
                <w:lang w:val="zh-CN"/>
              </w:rPr>
              <w:t>在市公共资源交易中心开标区抽取机中放入所有代表球号，</w:t>
            </w:r>
            <w:r>
              <w:rPr>
                <w:rFonts w:hint="eastAsia" w:ascii="宋体" w:hAnsi="宋体" w:cs="宋体"/>
                <w:color w:val="auto"/>
                <w:kern w:val="1"/>
                <w:szCs w:val="21"/>
                <w:highlight w:val="none"/>
              </w:rPr>
              <w:t>根据需要确定的中标候选人数量依次</w:t>
            </w:r>
            <w:r>
              <w:rPr>
                <w:rFonts w:hint="eastAsia" w:ascii="宋体" w:hAnsi="宋体" w:cs="宋体"/>
                <w:color w:val="auto"/>
                <w:kern w:val="1"/>
                <w:szCs w:val="21"/>
                <w:highlight w:val="none"/>
                <w:lang w:val="zh-CN"/>
              </w:rPr>
              <w:t>抽取球号，</w:t>
            </w:r>
            <w:r>
              <w:rPr>
                <w:rFonts w:hint="eastAsia" w:ascii="宋体" w:hAnsi="宋体" w:cs="宋体"/>
                <w:color w:val="auto"/>
                <w:kern w:val="1"/>
                <w:szCs w:val="21"/>
                <w:highlight w:val="none"/>
              </w:rPr>
              <w:t>所抽取球号</w:t>
            </w:r>
            <w:r>
              <w:rPr>
                <w:rFonts w:hint="eastAsia" w:ascii="宋体" w:hAnsi="宋体" w:cs="宋体"/>
                <w:color w:val="auto"/>
                <w:kern w:val="1"/>
                <w:szCs w:val="21"/>
                <w:highlight w:val="none"/>
                <w:lang w:val="zh-CN"/>
              </w:rPr>
              <w:t>对应的</w:t>
            </w:r>
            <w:r>
              <w:rPr>
                <w:rFonts w:hint="eastAsia" w:ascii="宋体" w:hAnsi="宋体" w:cs="宋体"/>
                <w:color w:val="auto"/>
                <w:kern w:val="1"/>
                <w:szCs w:val="21"/>
                <w:highlight w:val="none"/>
              </w:rPr>
              <w:t>定标</w:t>
            </w:r>
            <w:r>
              <w:rPr>
                <w:rFonts w:hint="eastAsia" w:ascii="宋体" w:hAnsi="宋体" w:cs="宋体"/>
                <w:color w:val="auto"/>
                <w:kern w:val="1"/>
                <w:szCs w:val="21"/>
                <w:highlight w:val="none"/>
                <w:lang w:val="zh-CN"/>
              </w:rPr>
              <w:t>候选人为</w:t>
            </w:r>
            <w:r>
              <w:rPr>
                <w:rFonts w:hint="eastAsia" w:ascii="宋体" w:hAnsi="宋体" w:cs="宋体"/>
                <w:color w:val="auto"/>
                <w:kern w:val="1"/>
                <w:szCs w:val="21"/>
                <w:highlight w:val="none"/>
              </w:rPr>
              <w:t>中标候选人</w:t>
            </w:r>
            <w:r>
              <w:rPr>
                <w:rFonts w:hint="eastAsia" w:ascii="宋体" w:hAnsi="宋体" w:cs="宋体"/>
                <w:color w:val="auto"/>
                <w:kern w:val="1"/>
                <w:szCs w:val="21"/>
                <w:highlight w:val="none"/>
                <w:lang w:val="zh-CN"/>
              </w:rPr>
              <w:t>；</w:t>
            </w:r>
          </w:p>
          <w:p w14:paraId="6F85E387">
            <w:pPr>
              <w:pStyle w:val="2"/>
              <w:spacing w:line="300" w:lineRule="auto"/>
              <w:ind w:firstLine="420" w:firstLineChars="200"/>
              <w:rPr>
                <w:rFonts w:ascii="宋体" w:hAnsi="宋体" w:eastAsia="宋体" w:cs="宋体"/>
                <w:color w:val="auto"/>
                <w:kern w:val="1"/>
                <w:szCs w:val="21"/>
                <w:highlight w:val="none"/>
              </w:rPr>
            </w:pPr>
            <w:r>
              <w:rPr>
                <w:rFonts w:hint="eastAsia" w:ascii="宋体" w:hAnsi="宋体" w:eastAsia="宋体" w:cs="宋体"/>
                <w:color w:val="auto"/>
                <w:kern w:val="1"/>
                <w:szCs w:val="21"/>
                <w:highlight w:val="none"/>
                <w:lang w:val="zh-CN"/>
              </w:rPr>
              <w:t>在抽取过程中，如出现由于工作失误或设备故障影响抽取结果的，抽取</w:t>
            </w:r>
            <w:r>
              <w:rPr>
                <w:rFonts w:hint="eastAsia" w:ascii="宋体" w:hAnsi="宋体" w:eastAsia="宋体" w:cs="宋体"/>
                <w:color w:val="auto"/>
                <w:kern w:val="1"/>
                <w:szCs w:val="21"/>
                <w:highlight w:val="none"/>
              </w:rPr>
              <w:t>结果</w:t>
            </w:r>
            <w:r>
              <w:rPr>
                <w:rFonts w:hint="eastAsia" w:ascii="宋体" w:hAnsi="宋体" w:eastAsia="宋体" w:cs="宋体"/>
                <w:color w:val="auto"/>
                <w:kern w:val="1"/>
                <w:szCs w:val="21"/>
                <w:highlight w:val="none"/>
                <w:lang w:val="zh-CN"/>
              </w:rPr>
              <w:t>无效，应当重新抽取。所有抽球过程实行全程录音录像监控</w:t>
            </w:r>
            <w:r>
              <w:rPr>
                <w:rFonts w:hint="eastAsia" w:ascii="宋体" w:hAnsi="宋体" w:eastAsia="宋体" w:cs="宋体"/>
                <w:color w:val="auto"/>
                <w:kern w:val="1"/>
                <w:szCs w:val="21"/>
                <w:highlight w:val="none"/>
              </w:rPr>
              <w:t>。</w:t>
            </w:r>
          </w:p>
          <w:p w14:paraId="5878D8DD">
            <w:pPr>
              <w:autoSpaceDE w:val="0"/>
              <w:autoSpaceDN w:val="0"/>
              <w:spacing w:line="30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2.推荐中标人</w:t>
            </w:r>
          </w:p>
          <w:p w14:paraId="6D7EB447">
            <w:pPr>
              <w:autoSpaceDE w:val="0"/>
              <w:autoSpaceDN w:val="0"/>
              <w:spacing w:line="300" w:lineRule="auto"/>
              <w:ind w:firstLine="420" w:firstLineChars="200"/>
              <w:jc w:val="left"/>
              <w:rPr>
                <w:rFonts w:ascii="宋体" w:hAnsi="宋体" w:cs="宋体"/>
                <w:color w:val="auto"/>
                <w:kern w:val="1"/>
                <w:szCs w:val="21"/>
                <w:highlight w:val="none"/>
              </w:rPr>
            </w:pPr>
            <w:r>
              <w:rPr>
                <w:rFonts w:hint="eastAsia" w:ascii="宋体" w:hAnsi="宋体" w:cs="宋体"/>
                <w:color w:val="auto"/>
                <w:kern w:val="1"/>
                <w:szCs w:val="21"/>
                <w:highlight w:val="none"/>
              </w:rPr>
              <w:t>定标委员会推荐投标报价最低</w:t>
            </w:r>
            <w:r>
              <w:rPr>
                <w:rFonts w:hint="eastAsia" w:cs="宋体"/>
                <w:color w:val="auto"/>
                <w:szCs w:val="21"/>
                <w:highlight w:val="none"/>
              </w:rPr>
              <w:t>（投标报价如有修正，以修正后投标报价为准）</w:t>
            </w:r>
            <w:r>
              <w:rPr>
                <w:rFonts w:hint="eastAsia" w:ascii="宋体" w:hAnsi="宋体" w:cs="宋体"/>
                <w:color w:val="auto"/>
                <w:kern w:val="1"/>
                <w:szCs w:val="21"/>
                <w:highlight w:val="none"/>
              </w:rPr>
              <w:t>的中标候选人为中标人。</w:t>
            </w:r>
          </w:p>
          <w:p w14:paraId="13E3A79C">
            <w:pPr>
              <w:autoSpaceDE w:val="0"/>
              <w:autoSpaceDN w:val="0"/>
              <w:spacing w:line="300" w:lineRule="auto"/>
              <w:ind w:firstLine="420" w:firstLineChars="200"/>
              <w:jc w:val="left"/>
              <w:rPr>
                <w:rFonts w:cs="宋体"/>
                <w:b/>
                <w:color w:val="auto"/>
                <w:szCs w:val="21"/>
                <w:highlight w:val="none"/>
              </w:rPr>
            </w:pPr>
            <w:r>
              <w:rPr>
                <w:rFonts w:hint="eastAsia" w:ascii="宋体" w:hAnsi="宋体" w:cs="宋体"/>
                <w:color w:val="auto"/>
                <w:kern w:val="1"/>
                <w:szCs w:val="21"/>
                <w:highlight w:val="none"/>
              </w:rPr>
              <w:t>出现最低投标报价相同情形时，在最低投标报价相同的投标人中，采用随机抽取方式</w:t>
            </w:r>
            <w:r>
              <w:rPr>
                <w:rFonts w:hint="eastAsia" w:cs="宋体"/>
                <w:color w:val="auto"/>
                <w:kern w:val="1"/>
                <w:szCs w:val="21"/>
                <w:highlight w:val="none"/>
              </w:rPr>
              <w:t>推荐</w:t>
            </w:r>
            <w:r>
              <w:rPr>
                <w:rFonts w:hint="eastAsia" w:ascii="宋体" w:hAnsi="宋体" w:cs="宋体"/>
                <w:color w:val="auto"/>
                <w:kern w:val="1"/>
                <w:szCs w:val="21"/>
                <w:highlight w:val="none"/>
              </w:rPr>
              <w:t>中标人。随机抽取工作</w:t>
            </w:r>
            <w:r>
              <w:rPr>
                <w:rFonts w:hint="eastAsia" w:cs="宋体"/>
                <w:color w:val="auto"/>
                <w:szCs w:val="21"/>
                <w:highlight w:val="none"/>
              </w:rPr>
              <w:t>规则如下：</w:t>
            </w:r>
          </w:p>
          <w:p w14:paraId="210E0AB0">
            <w:pPr>
              <w:autoSpaceDE w:val="0"/>
              <w:autoSpaceDN w:val="0"/>
              <w:spacing w:line="300" w:lineRule="auto"/>
              <w:ind w:firstLine="420" w:firstLineChars="200"/>
              <w:jc w:val="left"/>
              <w:rPr>
                <w:rFonts w:cs="宋体"/>
                <w:color w:val="auto"/>
                <w:kern w:val="1"/>
                <w:szCs w:val="21"/>
                <w:highlight w:val="none"/>
                <w:lang w:val="zh-CN"/>
              </w:rPr>
            </w:pPr>
            <w:r>
              <w:rPr>
                <w:rFonts w:hint="eastAsia" w:ascii="宋体" w:hAnsi="宋体" w:cs="宋体"/>
                <w:color w:val="auto"/>
                <w:kern w:val="1"/>
                <w:szCs w:val="21"/>
                <w:highlight w:val="none"/>
                <w:lang w:val="zh-CN"/>
              </w:rPr>
              <w:t>（</w:t>
            </w:r>
            <w:r>
              <w:rPr>
                <w:rFonts w:hint="eastAsia" w:cs="宋体"/>
                <w:color w:val="auto"/>
                <w:kern w:val="1"/>
                <w:szCs w:val="21"/>
                <w:highlight w:val="none"/>
              </w:rPr>
              <w:t>1</w:t>
            </w:r>
            <w:r>
              <w:rPr>
                <w:rFonts w:hint="eastAsia" w:ascii="宋体" w:hAnsi="宋体" w:cs="宋体"/>
                <w:color w:val="auto"/>
                <w:kern w:val="1"/>
                <w:szCs w:val="21"/>
                <w:highlight w:val="none"/>
                <w:lang w:val="zh-CN"/>
              </w:rPr>
              <w:t>）</w:t>
            </w:r>
            <w:r>
              <w:rPr>
                <w:rFonts w:hint="eastAsia" w:cs="宋体"/>
                <w:color w:val="auto"/>
                <w:kern w:val="1"/>
                <w:szCs w:val="21"/>
                <w:highlight w:val="none"/>
              </w:rPr>
              <w:t>中标</w:t>
            </w:r>
            <w:r>
              <w:rPr>
                <w:rFonts w:hint="eastAsia" w:cs="宋体"/>
                <w:color w:val="auto"/>
                <w:kern w:val="1"/>
                <w:szCs w:val="21"/>
                <w:highlight w:val="none"/>
                <w:lang w:val="zh-CN"/>
              </w:rPr>
              <w:t>候选人的投标人代表号即为候选人代表球号；</w:t>
            </w:r>
          </w:p>
          <w:p w14:paraId="32C1DAB6">
            <w:pPr>
              <w:autoSpaceDE w:val="0"/>
              <w:autoSpaceDN w:val="0"/>
              <w:spacing w:line="300" w:lineRule="auto"/>
              <w:ind w:firstLine="420" w:firstLineChars="200"/>
              <w:jc w:val="left"/>
              <w:rPr>
                <w:rFonts w:cs="宋体"/>
                <w:color w:val="auto"/>
                <w:kern w:val="1"/>
                <w:szCs w:val="21"/>
                <w:highlight w:val="none"/>
                <w:lang w:val="zh-CN"/>
              </w:rPr>
            </w:pPr>
            <w:r>
              <w:rPr>
                <w:rFonts w:hint="eastAsia" w:ascii="宋体" w:hAnsi="宋体" w:cs="宋体"/>
                <w:color w:val="auto"/>
                <w:kern w:val="1"/>
                <w:szCs w:val="21"/>
                <w:highlight w:val="none"/>
                <w:lang w:val="zh-CN"/>
              </w:rPr>
              <w:t>（</w:t>
            </w:r>
            <w:r>
              <w:rPr>
                <w:rFonts w:hint="eastAsia" w:cs="宋体"/>
                <w:color w:val="auto"/>
                <w:kern w:val="1"/>
                <w:szCs w:val="21"/>
                <w:highlight w:val="none"/>
              </w:rPr>
              <w:t>2</w:t>
            </w:r>
            <w:r>
              <w:rPr>
                <w:rFonts w:hint="eastAsia" w:ascii="宋体" w:hAnsi="宋体" w:cs="宋体"/>
                <w:color w:val="auto"/>
                <w:kern w:val="1"/>
                <w:szCs w:val="21"/>
                <w:highlight w:val="none"/>
                <w:lang w:val="zh-CN"/>
              </w:rPr>
              <w:t>）</w:t>
            </w:r>
            <w:r>
              <w:rPr>
                <w:rFonts w:hint="eastAsia" w:cs="宋体"/>
                <w:color w:val="auto"/>
                <w:kern w:val="1"/>
                <w:szCs w:val="21"/>
                <w:highlight w:val="none"/>
                <w:lang w:val="zh-CN"/>
              </w:rPr>
              <w:t>由</w:t>
            </w:r>
            <w:r>
              <w:rPr>
                <w:rFonts w:hint="eastAsia" w:ascii="宋体" w:hAnsi="宋体" w:cs="宋体"/>
                <w:color w:val="auto"/>
                <w:kern w:val="1"/>
                <w:szCs w:val="21"/>
                <w:highlight w:val="none"/>
              </w:rPr>
              <w:t>建设单位代表（除定标委员会成员以外）或代建单位代表</w:t>
            </w:r>
            <w:r>
              <w:rPr>
                <w:rFonts w:hint="eastAsia" w:cs="宋体"/>
                <w:color w:val="auto"/>
                <w:kern w:val="1"/>
                <w:szCs w:val="21"/>
                <w:highlight w:val="none"/>
                <w:lang w:val="zh-CN"/>
              </w:rPr>
              <w:t>在市公共资源交易中心开标区抽取机中放入所有</w:t>
            </w:r>
            <w:r>
              <w:rPr>
                <w:rFonts w:hint="eastAsia" w:cs="宋体"/>
                <w:color w:val="auto"/>
                <w:kern w:val="1"/>
                <w:szCs w:val="21"/>
                <w:highlight w:val="none"/>
              </w:rPr>
              <w:t>中标</w:t>
            </w:r>
            <w:r>
              <w:rPr>
                <w:rFonts w:hint="eastAsia" w:cs="宋体"/>
                <w:color w:val="auto"/>
                <w:kern w:val="1"/>
                <w:szCs w:val="21"/>
                <w:highlight w:val="none"/>
                <w:lang w:val="zh-CN"/>
              </w:rPr>
              <w:t>候选人代表球号，第1次抽取出的球号对应的</w:t>
            </w:r>
            <w:r>
              <w:rPr>
                <w:rFonts w:hint="eastAsia" w:cs="宋体"/>
                <w:color w:val="auto"/>
                <w:kern w:val="1"/>
                <w:szCs w:val="21"/>
                <w:highlight w:val="none"/>
              </w:rPr>
              <w:t>中标</w:t>
            </w:r>
            <w:r>
              <w:rPr>
                <w:rFonts w:hint="eastAsia" w:cs="宋体"/>
                <w:color w:val="auto"/>
                <w:kern w:val="1"/>
                <w:szCs w:val="21"/>
                <w:highlight w:val="none"/>
                <w:lang w:val="zh-CN"/>
              </w:rPr>
              <w:t>候选人</w:t>
            </w:r>
            <w:r>
              <w:rPr>
                <w:rFonts w:hint="eastAsia" w:cs="宋体"/>
                <w:color w:val="auto"/>
                <w:kern w:val="1"/>
                <w:szCs w:val="21"/>
                <w:highlight w:val="none"/>
              </w:rPr>
              <w:t>推荐</w:t>
            </w:r>
            <w:r>
              <w:rPr>
                <w:rFonts w:hint="eastAsia" w:cs="宋体"/>
                <w:color w:val="auto"/>
                <w:kern w:val="1"/>
                <w:szCs w:val="21"/>
                <w:highlight w:val="none"/>
                <w:lang w:val="zh-CN"/>
              </w:rPr>
              <w:t>为中标人；</w:t>
            </w:r>
          </w:p>
          <w:p w14:paraId="4B93C9F7">
            <w:pPr>
              <w:autoSpaceDE w:val="0"/>
              <w:autoSpaceDN w:val="0"/>
              <w:spacing w:line="320" w:lineRule="exact"/>
              <w:ind w:firstLine="420" w:firstLineChars="200"/>
              <w:jc w:val="left"/>
              <w:rPr>
                <w:color w:val="auto"/>
                <w:szCs w:val="21"/>
                <w:highlight w:val="none"/>
              </w:rPr>
            </w:pPr>
            <w:r>
              <w:rPr>
                <w:rFonts w:hint="eastAsia" w:cs="宋体"/>
                <w:color w:val="auto"/>
                <w:kern w:val="1"/>
                <w:szCs w:val="21"/>
                <w:highlight w:val="none"/>
                <w:lang w:val="zh-CN"/>
              </w:rPr>
              <w:t>（</w:t>
            </w:r>
            <w:r>
              <w:rPr>
                <w:rFonts w:hint="eastAsia" w:cs="宋体"/>
                <w:color w:val="auto"/>
                <w:kern w:val="1"/>
                <w:szCs w:val="21"/>
                <w:highlight w:val="none"/>
              </w:rPr>
              <w:t>3</w:t>
            </w:r>
            <w:r>
              <w:rPr>
                <w:rFonts w:hint="eastAsia" w:cs="宋体"/>
                <w:color w:val="auto"/>
                <w:kern w:val="1"/>
                <w:szCs w:val="21"/>
                <w:highlight w:val="none"/>
                <w:lang w:val="zh-CN"/>
              </w:rPr>
              <w:t>）在抽取过程中，如出现由于工作失误或设备故障影响抽取结果的，抽取</w:t>
            </w:r>
            <w:r>
              <w:rPr>
                <w:rFonts w:hint="eastAsia" w:cs="宋体"/>
                <w:color w:val="auto"/>
                <w:kern w:val="1"/>
                <w:szCs w:val="21"/>
                <w:highlight w:val="none"/>
              </w:rPr>
              <w:t>结果</w:t>
            </w:r>
            <w:r>
              <w:rPr>
                <w:rFonts w:hint="eastAsia" w:cs="宋体"/>
                <w:color w:val="auto"/>
                <w:kern w:val="1"/>
                <w:szCs w:val="21"/>
                <w:highlight w:val="none"/>
                <w:lang w:val="zh-CN"/>
              </w:rPr>
              <w:t>无效，应当重新抽取。所有抽球过程实行全程录音录像监控。</w:t>
            </w:r>
          </w:p>
        </w:tc>
      </w:tr>
      <w:tr w14:paraId="65628846">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1663" w:hRule="atLeast"/>
        </w:trPr>
        <w:tc>
          <w:tcPr>
            <w:tcW w:w="684" w:type="dxa"/>
            <w:vMerge w:val="continue"/>
            <w:vAlign w:val="center"/>
          </w:tcPr>
          <w:p w14:paraId="54A20187">
            <w:pPr>
              <w:autoSpaceDE w:val="0"/>
              <w:autoSpaceDN w:val="0"/>
              <w:spacing w:line="300" w:lineRule="auto"/>
              <w:jc w:val="center"/>
              <w:rPr>
                <w:rFonts w:cs="宋体"/>
                <w:color w:val="auto"/>
                <w:kern w:val="1"/>
                <w:szCs w:val="21"/>
                <w:highlight w:val="none"/>
              </w:rPr>
            </w:pPr>
          </w:p>
        </w:tc>
        <w:tc>
          <w:tcPr>
            <w:tcW w:w="905" w:type="dxa"/>
            <w:vMerge w:val="continue"/>
            <w:vAlign w:val="center"/>
          </w:tcPr>
          <w:p w14:paraId="3B04E4B2">
            <w:pPr>
              <w:autoSpaceDE w:val="0"/>
              <w:autoSpaceDN w:val="0"/>
              <w:spacing w:line="300" w:lineRule="auto"/>
              <w:jc w:val="center"/>
              <w:rPr>
                <w:rFonts w:cs="宋体"/>
                <w:color w:val="auto"/>
                <w:kern w:val="1"/>
                <w:szCs w:val="21"/>
                <w:highlight w:val="none"/>
              </w:rPr>
            </w:pPr>
          </w:p>
        </w:tc>
        <w:tc>
          <w:tcPr>
            <w:tcW w:w="1510" w:type="dxa"/>
            <w:vAlign w:val="center"/>
          </w:tcPr>
          <w:p w14:paraId="5F8278DF">
            <w:pPr>
              <w:autoSpaceDE w:val="0"/>
              <w:autoSpaceDN w:val="0"/>
              <w:spacing w:line="300" w:lineRule="auto"/>
              <w:jc w:val="center"/>
              <w:rPr>
                <w:color w:val="auto"/>
                <w:kern w:val="0"/>
                <w:szCs w:val="21"/>
                <w:highlight w:val="none"/>
                <w:lang w:val="zh-CN"/>
              </w:rPr>
            </w:pPr>
            <w:r>
              <w:rPr>
                <w:rFonts w:hint="eastAsia"/>
                <w:color w:val="auto"/>
                <w:kern w:val="0"/>
                <w:szCs w:val="21"/>
                <w:highlight w:val="none"/>
                <w:lang w:val="zh-CN"/>
              </w:rPr>
              <w:t>□</w:t>
            </w:r>
            <w:r>
              <w:rPr>
                <w:rFonts w:hint="eastAsia" w:cs="宋体"/>
                <w:color w:val="auto"/>
                <w:kern w:val="1"/>
                <w:szCs w:val="21"/>
                <w:highlight w:val="none"/>
              </w:rPr>
              <w:t>高分随机法</w:t>
            </w:r>
          </w:p>
        </w:tc>
        <w:tc>
          <w:tcPr>
            <w:tcW w:w="10912" w:type="dxa"/>
            <w:gridSpan w:val="4"/>
            <w:vAlign w:val="center"/>
          </w:tcPr>
          <w:p w14:paraId="2A269B90">
            <w:pPr>
              <w:autoSpaceDE w:val="0"/>
              <w:autoSpaceDN w:val="0"/>
              <w:spacing w:line="30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1.确定中标候选人</w:t>
            </w:r>
          </w:p>
          <w:p w14:paraId="3A92BF7F">
            <w:pPr>
              <w:autoSpaceDE w:val="0"/>
              <w:autoSpaceDN w:val="0"/>
              <w:spacing w:line="300" w:lineRule="auto"/>
              <w:ind w:firstLine="420" w:firstLineChars="200"/>
              <w:jc w:val="left"/>
              <w:rPr>
                <w:rFonts w:ascii="宋体" w:hAnsi="宋体" w:cs="宋体"/>
                <w:color w:val="auto"/>
                <w:kern w:val="1"/>
                <w:szCs w:val="21"/>
                <w:highlight w:val="none"/>
              </w:rPr>
            </w:pPr>
            <w:r>
              <w:rPr>
                <w:rFonts w:hint="eastAsia" w:ascii="宋体" w:hAnsi="宋体" w:cs="宋体"/>
                <w:color w:val="auto"/>
                <w:kern w:val="1"/>
                <w:szCs w:val="21"/>
                <w:highlight w:val="none"/>
              </w:rPr>
              <w:t>（1）</w:t>
            </w:r>
            <w:r>
              <w:rPr>
                <w:rFonts w:hint="eastAsia" w:ascii="宋体" w:hAnsi="宋体" w:eastAsia="宋体" w:cs="宋体"/>
                <w:color w:val="auto"/>
                <w:kern w:val="0"/>
                <w:sz w:val="21"/>
                <w:szCs w:val="21"/>
                <w:highlight w:val="none"/>
                <w:u w:val="none"/>
                <w:lang w:val="en-US" w:eastAsia="zh-CN"/>
              </w:rPr>
              <w:t>在评标委员会推荐的定标候选人中，</w:t>
            </w:r>
            <w:r>
              <w:rPr>
                <w:rFonts w:hint="eastAsia" w:ascii="宋体" w:hAnsi="宋体" w:eastAsia="宋体" w:cs="宋体"/>
                <w:color w:val="auto"/>
                <w:kern w:val="1"/>
                <w:sz w:val="21"/>
                <w:szCs w:val="21"/>
                <w:highlight w:val="none"/>
                <w:lang w:val="en-US" w:eastAsia="zh-CN"/>
              </w:rPr>
              <w:t>定标委员会确定综合得分由高往低排序在前的3家定标候选人为中标候选人。</w:t>
            </w:r>
          </w:p>
          <w:p w14:paraId="146C432C">
            <w:pPr>
              <w:pStyle w:val="2"/>
              <w:spacing w:line="300" w:lineRule="auto"/>
              <w:ind w:firstLine="420" w:firstLineChars="200"/>
              <w:rPr>
                <w:rFonts w:ascii="宋体" w:hAnsi="宋体" w:eastAsia="宋体" w:cs="宋体"/>
                <w:color w:val="auto"/>
                <w:kern w:val="1"/>
                <w:szCs w:val="21"/>
                <w:highlight w:val="none"/>
              </w:rPr>
            </w:pPr>
            <w:r>
              <w:rPr>
                <w:rFonts w:hint="eastAsia" w:ascii="宋体" w:hAnsi="宋体" w:eastAsia="宋体" w:cs="宋体"/>
                <w:color w:val="auto"/>
                <w:kern w:val="1"/>
                <w:szCs w:val="21"/>
                <w:highlight w:val="none"/>
              </w:rPr>
              <w:t>（2）当两个或两个以上定标候选人的综合得分相同时且影响中标候选人数量的确定时，在此类定标候选人范围中依次按下列规则确定中标候选人：</w:t>
            </w:r>
          </w:p>
          <w:p w14:paraId="2118D20B">
            <w:pPr>
              <w:pStyle w:val="2"/>
              <w:spacing w:line="300" w:lineRule="auto"/>
              <w:ind w:firstLine="420" w:firstLineChars="200"/>
              <w:rPr>
                <w:rFonts w:ascii="宋体" w:hAnsi="宋体" w:eastAsia="宋体" w:cs="宋体"/>
                <w:color w:val="auto"/>
                <w:kern w:val="1"/>
                <w:szCs w:val="21"/>
                <w:highlight w:val="none"/>
              </w:rPr>
            </w:pPr>
            <w:r>
              <w:rPr>
                <w:rFonts w:hint="eastAsia" w:ascii="宋体" w:hAnsi="宋体" w:eastAsia="宋体" w:cs="宋体"/>
                <w:color w:val="auto"/>
                <w:kern w:val="1"/>
                <w:szCs w:val="21"/>
                <w:highlight w:val="none"/>
              </w:rPr>
              <w:t>①投标报价低的定标候选人优先；</w:t>
            </w:r>
          </w:p>
          <w:p w14:paraId="00B8B4F9">
            <w:pPr>
              <w:autoSpaceDE w:val="0"/>
              <w:autoSpaceDN w:val="0"/>
              <w:spacing w:line="300" w:lineRule="auto"/>
              <w:ind w:firstLine="420" w:firstLineChars="200"/>
              <w:jc w:val="left"/>
              <w:rPr>
                <w:rFonts w:cs="宋体"/>
                <w:b/>
                <w:color w:val="auto"/>
                <w:szCs w:val="21"/>
                <w:highlight w:val="none"/>
              </w:rPr>
            </w:pPr>
            <w:r>
              <w:rPr>
                <w:rFonts w:hint="eastAsia" w:ascii="宋体" w:hAnsi="宋体" w:cs="宋体"/>
                <w:color w:val="auto"/>
                <w:kern w:val="1"/>
                <w:szCs w:val="21"/>
                <w:highlight w:val="none"/>
              </w:rPr>
              <w:t>②投标报价相同时，随机抽取确定，随机抽取工作</w:t>
            </w:r>
            <w:r>
              <w:rPr>
                <w:rFonts w:hint="eastAsia" w:cs="宋体"/>
                <w:color w:val="auto"/>
                <w:szCs w:val="21"/>
                <w:highlight w:val="none"/>
              </w:rPr>
              <w:t>规则如下：</w:t>
            </w:r>
          </w:p>
          <w:p w14:paraId="37A0EE08">
            <w:pPr>
              <w:autoSpaceDE w:val="0"/>
              <w:autoSpaceDN w:val="0"/>
              <w:spacing w:line="300" w:lineRule="auto"/>
              <w:ind w:firstLine="420" w:firstLineChars="200"/>
              <w:jc w:val="left"/>
              <w:rPr>
                <w:rFonts w:ascii="宋体" w:hAnsi="宋体" w:cs="宋体"/>
                <w:color w:val="auto"/>
                <w:kern w:val="1"/>
                <w:szCs w:val="21"/>
                <w:highlight w:val="none"/>
                <w:lang w:val="zh-CN"/>
              </w:rPr>
            </w:pPr>
            <w:r>
              <w:rPr>
                <w:rFonts w:hint="eastAsia" w:ascii="宋体" w:hAnsi="宋体" w:cs="宋体"/>
                <w:color w:val="auto"/>
                <w:kern w:val="1"/>
                <w:szCs w:val="21"/>
                <w:highlight w:val="none"/>
              </w:rPr>
              <w:t>定标</w:t>
            </w:r>
            <w:r>
              <w:rPr>
                <w:rFonts w:hint="eastAsia" w:ascii="宋体" w:hAnsi="宋体" w:cs="宋体"/>
                <w:color w:val="auto"/>
                <w:kern w:val="1"/>
                <w:szCs w:val="21"/>
                <w:highlight w:val="none"/>
                <w:lang w:val="zh-CN"/>
              </w:rPr>
              <w:t>候选人的投标人代表号即为代表球号；</w:t>
            </w:r>
          </w:p>
          <w:p w14:paraId="3ED2DC94">
            <w:pPr>
              <w:autoSpaceDE w:val="0"/>
              <w:autoSpaceDN w:val="0"/>
              <w:spacing w:line="300" w:lineRule="auto"/>
              <w:ind w:firstLine="420" w:firstLineChars="200"/>
              <w:jc w:val="left"/>
              <w:rPr>
                <w:rFonts w:ascii="宋体" w:hAnsi="宋体" w:cs="宋体"/>
                <w:color w:val="auto"/>
                <w:kern w:val="1"/>
                <w:szCs w:val="21"/>
                <w:highlight w:val="none"/>
                <w:lang w:val="zh-CN"/>
              </w:rPr>
            </w:pPr>
            <w:r>
              <w:rPr>
                <w:rFonts w:hint="eastAsia" w:ascii="宋体" w:hAnsi="宋体" w:cs="宋体"/>
                <w:color w:val="auto"/>
                <w:kern w:val="1"/>
                <w:szCs w:val="21"/>
                <w:highlight w:val="none"/>
                <w:lang w:val="zh-CN"/>
              </w:rPr>
              <w:t>由</w:t>
            </w:r>
            <w:r>
              <w:rPr>
                <w:rFonts w:hint="eastAsia" w:ascii="宋体" w:hAnsi="宋体" w:cs="宋体"/>
                <w:color w:val="auto"/>
                <w:kern w:val="1"/>
                <w:szCs w:val="21"/>
                <w:highlight w:val="none"/>
              </w:rPr>
              <w:t>建设单位代表（除定标委员会成员以外）或代建单位代表</w:t>
            </w:r>
            <w:r>
              <w:rPr>
                <w:rFonts w:hint="eastAsia" w:ascii="宋体" w:hAnsi="宋体" w:cs="宋体"/>
                <w:color w:val="auto"/>
                <w:kern w:val="1"/>
                <w:szCs w:val="21"/>
                <w:highlight w:val="none"/>
                <w:lang w:val="zh-CN"/>
              </w:rPr>
              <w:t>在市公共资源交易中心开标区抽取机中放入所有代表球号，</w:t>
            </w:r>
            <w:r>
              <w:rPr>
                <w:rFonts w:hint="eastAsia" w:ascii="宋体" w:hAnsi="宋体" w:cs="宋体"/>
                <w:color w:val="auto"/>
                <w:kern w:val="1"/>
                <w:szCs w:val="21"/>
                <w:highlight w:val="none"/>
              </w:rPr>
              <w:t>根据需要确定的中标候选人数量依次</w:t>
            </w:r>
            <w:r>
              <w:rPr>
                <w:rFonts w:hint="eastAsia" w:ascii="宋体" w:hAnsi="宋体" w:cs="宋体"/>
                <w:color w:val="auto"/>
                <w:kern w:val="1"/>
                <w:szCs w:val="21"/>
                <w:highlight w:val="none"/>
                <w:lang w:val="zh-CN"/>
              </w:rPr>
              <w:t>抽取球号，</w:t>
            </w:r>
            <w:r>
              <w:rPr>
                <w:rFonts w:hint="eastAsia" w:ascii="宋体" w:hAnsi="宋体" w:cs="宋体"/>
                <w:color w:val="auto"/>
                <w:kern w:val="1"/>
                <w:szCs w:val="21"/>
                <w:highlight w:val="none"/>
              </w:rPr>
              <w:t>所抽取球号</w:t>
            </w:r>
            <w:r>
              <w:rPr>
                <w:rFonts w:hint="eastAsia" w:ascii="宋体" w:hAnsi="宋体" w:cs="宋体"/>
                <w:color w:val="auto"/>
                <w:kern w:val="1"/>
                <w:szCs w:val="21"/>
                <w:highlight w:val="none"/>
                <w:lang w:val="zh-CN"/>
              </w:rPr>
              <w:t>对应的</w:t>
            </w:r>
            <w:r>
              <w:rPr>
                <w:rFonts w:hint="eastAsia" w:ascii="宋体" w:hAnsi="宋体" w:cs="宋体"/>
                <w:color w:val="auto"/>
                <w:kern w:val="1"/>
                <w:szCs w:val="21"/>
                <w:highlight w:val="none"/>
              </w:rPr>
              <w:t>定标</w:t>
            </w:r>
            <w:r>
              <w:rPr>
                <w:rFonts w:hint="eastAsia" w:ascii="宋体" w:hAnsi="宋体" w:cs="宋体"/>
                <w:color w:val="auto"/>
                <w:kern w:val="1"/>
                <w:szCs w:val="21"/>
                <w:highlight w:val="none"/>
                <w:lang w:val="zh-CN"/>
              </w:rPr>
              <w:t>候选人为</w:t>
            </w:r>
            <w:r>
              <w:rPr>
                <w:rFonts w:hint="eastAsia" w:ascii="宋体" w:hAnsi="宋体" w:cs="宋体"/>
                <w:color w:val="auto"/>
                <w:kern w:val="1"/>
                <w:szCs w:val="21"/>
                <w:highlight w:val="none"/>
              </w:rPr>
              <w:t>中标候选人</w:t>
            </w:r>
            <w:r>
              <w:rPr>
                <w:rFonts w:hint="eastAsia" w:ascii="宋体" w:hAnsi="宋体" w:cs="宋体"/>
                <w:color w:val="auto"/>
                <w:kern w:val="1"/>
                <w:szCs w:val="21"/>
                <w:highlight w:val="none"/>
                <w:lang w:val="zh-CN"/>
              </w:rPr>
              <w:t>；</w:t>
            </w:r>
          </w:p>
          <w:p w14:paraId="68167D5A">
            <w:pPr>
              <w:pStyle w:val="2"/>
              <w:spacing w:line="300" w:lineRule="auto"/>
              <w:ind w:firstLine="420" w:firstLineChars="200"/>
              <w:rPr>
                <w:rFonts w:ascii="宋体" w:hAnsi="宋体" w:eastAsia="宋体" w:cs="宋体"/>
                <w:color w:val="auto"/>
                <w:kern w:val="1"/>
                <w:szCs w:val="21"/>
                <w:highlight w:val="none"/>
              </w:rPr>
            </w:pPr>
            <w:r>
              <w:rPr>
                <w:rFonts w:hint="eastAsia" w:ascii="宋体" w:hAnsi="宋体" w:eastAsia="宋体" w:cs="宋体"/>
                <w:color w:val="auto"/>
                <w:kern w:val="1"/>
                <w:szCs w:val="21"/>
                <w:highlight w:val="none"/>
                <w:lang w:val="zh-CN"/>
              </w:rPr>
              <w:t>在抽取过程中，如出现由于工作失误或设备故障影响抽取结果的，抽取</w:t>
            </w:r>
            <w:r>
              <w:rPr>
                <w:rFonts w:hint="eastAsia" w:ascii="宋体" w:hAnsi="宋体" w:eastAsia="宋体" w:cs="宋体"/>
                <w:color w:val="auto"/>
                <w:kern w:val="1"/>
                <w:szCs w:val="21"/>
                <w:highlight w:val="none"/>
              </w:rPr>
              <w:t>结果</w:t>
            </w:r>
            <w:r>
              <w:rPr>
                <w:rFonts w:hint="eastAsia" w:ascii="宋体" w:hAnsi="宋体" w:eastAsia="宋体" w:cs="宋体"/>
                <w:color w:val="auto"/>
                <w:kern w:val="1"/>
                <w:szCs w:val="21"/>
                <w:highlight w:val="none"/>
                <w:lang w:val="zh-CN"/>
              </w:rPr>
              <w:t>无效，应当重新抽取。所有抽球过程实行全程录音录像监控</w:t>
            </w:r>
            <w:r>
              <w:rPr>
                <w:rFonts w:hint="eastAsia" w:ascii="宋体" w:hAnsi="宋体" w:eastAsia="宋体" w:cs="宋体"/>
                <w:color w:val="auto"/>
                <w:kern w:val="1"/>
                <w:szCs w:val="21"/>
                <w:highlight w:val="none"/>
              </w:rPr>
              <w:t>。</w:t>
            </w:r>
          </w:p>
          <w:p w14:paraId="1104DB70">
            <w:pPr>
              <w:autoSpaceDE w:val="0"/>
              <w:autoSpaceDN w:val="0"/>
              <w:spacing w:line="30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2.推荐中标人</w:t>
            </w:r>
          </w:p>
          <w:p w14:paraId="51BD7F84">
            <w:pPr>
              <w:autoSpaceDE w:val="0"/>
              <w:autoSpaceDN w:val="0"/>
              <w:spacing w:line="300" w:lineRule="auto"/>
              <w:ind w:firstLine="420" w:firstLineChars="200"/>
              <w:jc w:val="left"/>
              <w:rPr>
                <w:rFonts w:ascii="宋体" w:hAnsi="宋体" w:cs="宋体"/>
                <w:color w:val="auto"/>
                <w:kern w:val="1"/>
                <w:szCs w:val="21"/>
                <w:highlight w:val="none"/>
              </w:rPr>
            </w:pPr>
            <w:r>
              <w:rPr>
                <w:rFonts w:hint="eastAsia" w:ascii="宋体" w:hAnsi="宋体" w:cs="宋体"/>
                <w:color w:val="auto"/>
                <w:kern w:val="1"/>
                <w:szCs w:val="21"/>
                <w:highlight w:val="none"/>
              </w:rPr>
              <w:t>定标委员会在中标候选人范围中，根据随机抽取结果推荐中标人。</w:t>
            </w:r>
          </w:p>
          <w:p w14:paraId="6CC0A2CD">
            <w:pPr>
              <w:autoSpaceDE w:val="0"/>
              <w:autoSpaceDN w:val="0"/>
              <w:spacing w:line="300" w:lineRule="auto"/>
              <w:ind w:firstLine="420" w:firstLineChars="200"/>
              <w:jc w:val="left"/>
              <w:rPr>
                <w:rFonts w:cs="宋体"/>
                <w:b/>
                <w:color w:val="auto"/>
                <w:szCs w:val="21"/>
                <w:highlight w:val="none"/>
              </w:rPr>
            </w:pPr>
            <w:r>
              <w:rPr>
                <w:rFonts w:hint="eastAsia" w:ascii="宋体" w:hAnsi="宋体" w:cs="宋体"/>
                <w:color w:val="auto"/>
                <w:kern w:val="1"/>
                <w:szCs w:val="21"/>
                <w:highlight w:val="none"/>
              </w:rPr>
              <w:t>随机抽取工作</w:t>
            </w:r>
            <w:r>
              <w:rPr>
                <w:rFonts w:hint="eastAsia" w:cs="宋体"/>
                <w:color w:val="auto"/>
                <w:szCs w:val="21"/>
                <w:highlight w:val="none"/>
              </w:rPr>
              <w:t>规则如下：</w:t>
            </w:r>
          </w:p>
          <w:p w14:paraId="12AA58D8">
            <w:pPr>
              <w:autoSpaceDE w:val="0"/>
              <w:autoSpaceDN w:val="0"/>
              <w:spacing w:line="300" w:lineRule="auto"/>
              <w:ind w:firstLine="420" w:firstLineChars="200"/>
              <w:jc w:val="left"/>
              <w:rPr>
                <w:rFonts w:cs="宋体"/>
                <w:color w:val="auto"/>
                <w:kern w:val="1"/>
                <w:szCs w:val="21"/>
                <w:highlight w:val="none"/>
                <w:lang w:val="zh-CN"/>
              </w:rPr>
            </w:pPr>
            <w:r>
              <w:rPr>
                <w:rFonts w:hint="eastAsia" w:ascii="宋体" w:hAnsi="宋体" w:cs="宋体"/>
                <w:color w:val="auto"/>
                <w:kern w:val="1"/>
                <w:szCs w:val="21"/>
                <w:highlight w:val="none"/>
                <w:lang w:val="zh-CN"/>
              </w:rPr>
              <w:t>（</w:t>
            </w:r>
            <w:r>
              <w:rPr>
                <w:rFonts w:hint="eastAsia" w:ascii="宋体" w:hAnsi="宋体" w:cs="宋体"/>
                <w:color w:val="auto"/>
                <w:kern w:val="1"/>
                <w:szCs w:val="21"/>
                <w:highlight w:val="none"/>
              </w:rPr>
              <w:t>1</w:t>
            </w:r>
            <w:r>
              <w:rPr>
                <w:rFonts w:hint="eastAsia" w:ascii="宋体" w:hAnsi="宋体" w:cs="宋体"/>
                <w:color w:val="auto"/>
                <w:kern w:val="1"/>
                <w:szCs w:val="21"/>
                <w:highlight w:val="none"/>
                <w:lang w:val="zh-CN"/>
              </w:rPr>
              <w:t>）</w:t>
            </w:r>
            <w:r>
              <w:rPr>
                <w:rFonts w:hint="eastAsia" w:cs="宋体"/>
                <w:color w:val="auto"/>
                <w:kern w:val="1"/>
                <w:szCs w:val="21"/>
                <w:highlight w:val="none"/>
              </w:rPr>
              <w:t>中标</w:t>
            </w:r>
            <w:r>
              <w:rPr>
                <w:rFonts w:hint="eastAsia" w:cs="宋体"/>
                <w:color w:val="auto"/>
                <w:kern w:val="1"/>
                <w:szCs w:val="21"/>
                <w:highlight w:val="none"/>
                <w:lang w:val="zh-CN"/>
              </w:rPr>
              <w:t>候选人的投标人代表号即为候选人代表球号；</w:t>
            </w:r>
          </w:p>
          <w:p w14:paraId="41950DBA">
            <w:pPr>
              <w:autoSpaceDE w:val="0"/>
              <w:autoSpaceDN w:val="0"/>
              <w:spacing w:line="300" w:lineRule="auto"/>
              <w:ind w:firstLine="420" w:firstLineChars="200"/>
              <w:jc w:val="left"/>
              <w:rPr>
                <w:rFonts w:cs="宋体"/>
                <w:color w:val="auto"/>
                <w:kern w:val="1"/>
                <w:szCs w:val="21"/>
                <w:highlight w:val="none"/>
                <w:lang w:val="zh-CN"/>
              </w:rPr>
            </w:pPr>
            <w:r>
              <w:rPr>
                <w:rFonts w:hint="eastAsia" w:ascii="宋体" w:hAnsi="宋体" w:cs="宋体"/>
                <w:color w:val="auto"/>
                <w:kern w:val="1"/>
                <w:szCs w:val="21"/>
                <w:highlight w:val="none"/>
                <w:lang w:val="zh-CN"/>
              </w:rPr>
              <w:t>（</w:t>
            </w:r>
            <w:r>
              <w:rPr>
                <w:rFonts w:hint="eastAsia" w:ascii="宋体" w:hAnsi="宋体" w:cs="宋体"/>
                <w:color w:val="auto"/>
                <w:kern w:val="1"/>
                <w:szCs w:val="21"/>
                <w:highlight w:val="none"/>
              </w:rPr>
              <w:t>2</w:t>
            </w:r>
            <w:r>
              <w:rPr>
                <w:rFonts w:hint="eastAsia" w:ascii="宋体" w:hAnsi="宋体" w:cs="宋体"/>
                <w:color w:val="auto"/>
                <w:kern w:val="1"/>
                <w:szCs w:val="21"/>
                <w:highlight w:val="none"/>
                <w:lang w:val="zh-CN"/>
              </w:rPr>
              <w:t>）</w:t>
            </w:r>
            <w:r>
              <w:rPr>
                <w:rFonts w:hint="eastAsia" w:cs="宋体"/>
                <w:color w:val="auto"/>
                <w:kern w:val="1"/>
                <w:szCs w:val="21"/>
                <w:highlight w:val="none"/>
                <w:lang w:val="zh-CN"/>
              </w:rPr>
              <w:t>由</w:t>
            </w:r>
            <w:r>
              <w:rPr>
                <w:rFonts w:hint="eastAsia" w:ascii="宋体" w:hAnsi="宋体" w:cs="宋体"/>
                <w:color w:val="auto"/>
                <w:kern w:val="1"/>
                <w:szCs w:val="21"/>
                <w:highlight w:val="none"/>
              </w:rPr>
              <w:t>建设单位代表（除定标委员会成员以外）或代建单位代表</w:t>
            </w:r>
            <w:r>
              <w:rPr>
                <w:rFonts w:hint="eastAsia" w:cs="宋体"/>
                <w:color w:val="auto"/>
                <w:kern w:val="1"/>
                <w:szCs w:val="21"/>
                <w:highlight w:val="none"/>
                <w:lang w:val="zh-CN"/>
              </w:rPr>
              <w:t>在市公共资源交易中心开标区抽取机中放入所有</w:t>
            </w:r>
            <w:r>
              <w:rPr>
                <w:rFonts w:hint="eastAsia" w:cs="宋体"/>
                <w:color w:val="auto"/>
                <w:kern w:val="1"/>
                <w:szCs w:val="21"/>
                <w:highlight w:val="none"/>
              </w:rPr>
              <w:t>中标</w:t>
            </w:r>
            <w:r>
              <w:rPr>
                <w:rFonts w:hint="eastAsia" w:cs="宋体"/>
                <w:color w:val="auto"/>
                <w:kern w:val="1"/>
                <w:szCs w:val="21"/>
                <w:highlight w:val="none"/>
                <w:lang w:val="zh-CN"/>
              </w:rPr>
              <w:t>候选人代表球号，第1次抽取出的球号对应的</w:t>
            </w:r>
            <w:r>
              <w:rPr>
                <w:rFonts w:hint="eastAsia" w:cs="宋体"/>
                <w:color w:val="auto"/>
                <w:kern w:val="1"/>
                <w:szCs w:val="21"/>
                <w:highlight w:val="none"/>
              </w:rPr>
              <w:t>中标</w:t>
            </w:r>
            <w:r>
              <w:rPr>
                <w:rFonts w:hint="eastAsia" w:cs="宋体"/>
                <w:color w:val="auto"/>
                <w:kern w:val="1"/>
                <w:szCs w:val="21"/>
                <w:highlight w:val="none"/>
                <w:lang w:val="zh-CN"/>
              </w:rPr>
              <w:t>候选人</w:t>
            </w:r>
            <w:r>
              <w:rPr>
                <w:rFonts w:hint="eastAsia" w:cs="宋体"/>
                <w:color w:val="auto"/>
                <w:kern w:val="1"/>
                <w:szCs w:val="21"/>
                <w:highlight w:val="none"/>
              </w:rPr>
              <w:t>推荐</w:t>
            </w:r>
            <w:r>
              <w:rPr>
                <w:rFonts w:hint="eastAsia" w:cs="宋体"/>
                <w:color w:val="auto"/>
                <w:kern w:val="1"/>
                <w:szCs w:val="21"/>
                <w:highlight w:val="none"/>
                <w:lang w:val="zh-CN"/>
              </w:rPr>
              <w:t>为中标人；</w:t>
            </w:r>
          </w:p>
          <w:p w14:paraId="0A6B5CA3">
            <w:pPr>
              <w:autoSpaceDE w:val="0"/>
              <w:autoSpaceDN w:val="0"/>
              <w:spacing w:line="300" w:lineRule="auto"/>
              <w:ind w:firstLine="420" w:firstLineChars="200"/>
              <w:jc w:val="left"/>
              <w:rPr>
                <w:rFonts w:ascii="宋体" w:hAnsi="宋体" w:cs="宋体"/>
                <w:color w:val="auto"/>
                <w:kern w:val="1"/>
                <w:szCs w:val="21"/>
                <w:highlight w:val="none"/>
              </w:rPr>
            </w:pPr>
            <w:r>
              <w:rPr>
                <w:rFonts w:hint="eastAsia" w:cs="宋体"/>
                <w:color w:val="auto"/>
                <w:kern w:val="1"/>
                <w:szCs w:val="21"/>
                <w:highlight w:val="none"/>
                <w:lang w:val="zh-CN"/>
              </w:rPr>
              <w:t>（</w:t>
            </w:r>
            <w:r>
              <w:rPr>
                <w:rFonts w:hint="eastAsia" w:cs="宋体"/>
                <w:color w:val="auto"/>
                <w:kern w:val="1"/>
                <w:szCs w:val="21"/>
                <w:highlight w:val="none"/>
              </w:rPr>
              <w:t>3</w:t>
            </w:r>
            <w:r>
              <w:rPr>
                <w:rFonts w:hint="eastAsia" w:cs="宋体"/>
                <w:color w:val="auto"/>
                <w:kern w:val="1"/>
                <w:szCs w:val="21"/>
                <w:highlight w:val="none"/>
                <w:lang w:val="zh-CN"/>
              </w:rPr>
              <w:t>）在抽取过程中，如出现由于工作失误或设备故障影响抽取结果的，抽取</w:t>
            </w:r>
            <w:r>
              <w:rPr>
                <w:rFonts w:hint="eastAsia" w:cs="宋体"/>
                <w:color w:val="auto"/>
                <w:kern w:val="1"/>
                <w:szCs w:val="21"/>
                <w:highlight w:val="none"/>
              </w:rPr>
              <w:t>结果</w:t>
            </w:r>
            <w:r>
              <w:rPr>
                <w:rFonts w:hint="eastAsia" w:cs="宋体"/>
                <w:color w:val="auto"/>
                <w:kern w:val="1"/>
                <w:szCs w:val="21"/>
                <w:highlight w:val="none"/>
                <w:lang w:val="zh-CN"/>
              </w:rPr>
              <w:t>无效，应当重新抽取。所有抽球过程实行全程录音录像监控。</w:t>
            </w:r>
          </w:p>
        </w:tc>
      </w:tr>
      <w:tr w14:paraId="6D994EAB">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1663" w:hRule="atLeast"/>
        </w:trPr>
        <w:tc>
          <w:tcPr>
            <w:tcW w:w="684" w:type="dxa"/>
            <w:vMerge w:val="restart"/>
            <w:vAlign w:val="center"/>
          </w:tcPr>
          <w:p w14:paraId="32C56438">
            <w:pPr>
              <w:autoSpaceDE w:val="0"/>
              <w:autoSpaceDN w:val="0"/>
              <w:spacing w:line="300" w:lineRule="auto"/>
              <w:jc w:val="center"/>
              <w:rPr>
                <w:rFonts w:cs="宋体"/>
                <w:color w:val="auto"/>
                <w:kern w:val="1"/>
                <w:szCs w:val="21"/>
                <w:highlight w:val="none"/>
              </w:rPr>
            </w:pPr>
          </w:p>
        </w:tc>
        <w:tc>
          <w:tcPr>
            <w:tcW w:w="905" w:type="dxa"/>
            <w:vMerge w:val="restart"/>
            <w:vAlign w:val="center"/>
          </w:tcPr>
          <w:p w14:paraId="6E93A0B7">
            <w:pPr>
              <w:autoSpaceDE w:val="0"/>
              <w:autoSpaceDN w:val="0"/>
              <w:spacing w:line="300" w:lineRule="auto"/>
              <w:jc w:val="center"/>
              <w:rPr>
                <w:rFonts w:cs="宋体"/>
                <w:color w:val="auto"/>
                <w:kern w:val="1"/>
                <w:szCs w:val="21"/>
                <w:highlight w:val="none"/>
              </w:rPr>
            </w:pPr>
          </w:p>
        </w:tc>
        <w:tc>
          <w:tcPr>
            <w:tcW w:w="1510" w:type="dxa"/>
            <w:vAlign w:val="center"/>
          </w:tcPr>
          <w:p w14:paraId="5E020EFC">
            <w:pPr>
              <w:autoSpaceDE w:val="0"/>
              <w:autoSpaceDN w:val="0"/>
              <w:spacing w:line="300" w:lineRule="auto"/>
              <w:jc w:val="center"/>
              <w:rPr>
                <w:color w:val="auto"/>
                <w:kern w:val="0"/>
                <w:szCs w:val="21"/>
                <w:highlight w:val="none"/>
                <w:lang w:val="zh-CN"/>
              </w:rPr>
            </w:pPr>
            <w:r>
              <w:rPr>
                <w:rFonts w:hint="eastAsia"/>
                <w:color w:val="auto"/>
                <w:kern w:val="0"/>
                <w:szCs w:val="21"/>
                <w:highlight w:val="none"/>
                <w:lang w:val="zh-CN"/>
              </w:rPr>
              <w:t>□</w:t>
            </w:r>
            <w:r>
              <w:rPr>
                <w:rFonts w:hint="eastAsia" w:cs="宋体"/>
                <w:color w:val="auto"/>
                <w:kern w:val="1"/>
                <w:szCs w:val="21"/>
                <w:highlight w:val="none"/>
              </w:rPr>
              <w:t>低价随机法</w:t>
            </w:r>
          </w:p>
        </w:tc>
        <w:tc>
          <w:tcPr>
            <w:tcW w:w="10912" w:type="dxa"/>
            <w:gridSpan w:val="4"/>
            <w:vAlign w:val="center"/>
          </w:tcPr>
          <w:p w14:paraId="08FF0B56">
            <w:pPr>
              <w:widowControl/>
              <w:autoSpaceDE w:val="0"/>
              <w:autoSpaceDN w:val="0"/>
              <w:spacing w:line="30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1.确定定标范围</w:t>
            </w:r>
          </w:p>
          <w:p w14:paraId="30CF169D">
            <w:pPr>
              <w:autoSpaceDE w:val="0"/>
              <w:autoSpaceDN w:val="0"/>
              <w:spacing w:line="300" w:lineRule="auto"/>
              <w:ind w:firstLine="420" w:firstLineChars="200"/>
              <w:jc w:val="left"/>
              <w:rPr>
                <w:rFonts w:ascii="宋体" w:hAnsi="宋体" w:cs="宋体"/>
                <w:color w:val="auto"/>
                <w:kern w:val="1"/>
                <w:szCs w:val="21"/>
                <w:highlight w:val="none"/>
              </w:rPr>
            </w:pPr>
            <w:r>
              <w:rPr>
                <w:rFonts w:hint="eastAsia" w:ascii="宋体" w:hAnsi="宋体" w:cs="宋体"/>
                <w:color w:val="auto"/>
                <w:kern w:val="1"/>
                <w:szCs w:val="21"/>
                <w:highlight w:val="none"/>
              </w:rPr>
              <w:t>按定标候选人综合得分从高往低排序，定标委员会确定综合得分靠前30%（具体家数四舍五入后取整）且不少于3家定标候选人入围定标范围（定标候选人数量少于3家的，按实际入围）。与定标范围内排名最后一家的综合得分相同的定标候选人均入围定标范围。</w:t>
            </w:r>
          </w:p>
          <w:p w14:paraId="1A63EB99">
            <w:pPr>
              <w:widowControl/>
              <w:autoSpaceDE w:val="0"/>
              <w:autoSpaceDN w:val="0"/>
              <w:spacing w:line="30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2.确定中标候选人</w:t>
            </w:r>
          </w:p>
          <w:p w14:paraId="77CC2DA1">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定标委员会确定</w:t>
            </w:r>
            <w:r>
              <w:rPr>
                <w:rFonts w:hint="eastAsia" w:ascii="宋体" w:hAnsi="宋体" w:eastAsia="宋体" w:cs="宋体"/>
                <w:color w:val="auto"/>
                <w:kern w:val="1"/>
                <w:sz w:val="21"/>
                <w:szCs w:val="21"/>
                <w:highlight w:val="none"/>
                <w:u w:val="none"/>
                <w:lang w:val="en-US" w:eastAsia="zh-CN"/>
              </w:rPr>
              <w:t>在定标范围内</w:t>
            </w:r>
            <w:r>
              <w:rPr>
                <w:rFonts w:hint="eastAsia" w:ascii="宋体" w:hAnsi="宋体" w:eastAsia="宋体" w:cs="宋体"/>
                <w:color w:val="auto"/>
                <w:kern w:val="1"/>
                <w:sz w:val="21"/>
                <w:szCs w:val="21"/>
                <w:highlight w:val="none"/>
                <w:lang w:val="en-US" w:eastAsia="zh-CN" w:bidi="ar-SA"/>
              </w:rPr>
              <w:t>投标报价</w:t>
            </w:r>
            <w:r>
              <w:rPr>
                <w:rFonts w:hint="eastAsia" w:ascii="宋体" w:hAnsi="宋体" w:eastAsia="宋体" w:cs="宋体"/>
                <w:color w:val="auto"/>
                <w:kern w:val="1"/>
                <w:sz w:val="21"/>
                <w:szCs w:val="21"/>
                <w:highlight w:val="none"/>
                <w:lang w:val="en-US" w:eastAsia="zh-CN"/>
              </w:rPr>
              <w:t>由低往高排序在前的3家定标候选人为中标候选人。</w:t>
            </w:r>
          </w:p>
          <w:p w14:paraId="4545ECCA">
            <w:pPr>
              <w:autoSpaceDE w:val="0"/>
              <w:autoSpaceDN w:val="0"/>
              <w:spacing w:line="300" w:lineRule="auto"/>
              <w:ind w:firstLine="420" w:firstLineChars="200"/>
              <w:jc w:val="left"/>
              <w:rPr>
                <w:rFonts w:ascii="宋体" w:hAnsi="宋体" w:cs="宋体"/>
                <w:color w:val="auto"/>
                <w:kern w:val="1"/>
                <w:szCs w:val="21"/>
                <w:highlight w:val="none"/>
              </w:rPr>
            </w:pPr>
            <w:r>
              <w:rPr>
                <w:rFonts w:hint="eastAsia" w:ascii="宋体" w:hAnsi="宋体" w:cs="宋体"/>
                <w:color w:val="auto"/>
                <w:kern w:val="1"/>
                <w:szCs w:val="21"/>
                <w:highlight w:val="none"/>
              </w:rPr>
              <w:t>当两个或两个以上定标候选人的</w:t>
            </w:r>
            <w:r>
              <w:rPr>
                <w:rFonts w:hint="eastAsia" w:ascii="宋体" w:hAnsi="宋体" w:cs="宋体"/>
                <w:color w:val="auto"/>
                <w:kern w:val="1"/>
                <w:szCs w:val="21"/>
                <w:highlight w:val="none"/>
                <w:lang w:val="en-US" w:eastAsia="zh-CN"/>
              </w:rPr>
              <w:t>投标</w:t>
            </w:r>
            <w:r>
              <w:rPr>
                <w:rFonts w:hint="eastAsia" w:ascii="宋体" w:hAnsi="宋体" w:cs="宋体"/>
                <w:color w:val="auto"/>
                <w:kern w:val="1"/>
                <w:szCs w:val="21"/>
                <w:highlight w:val="none"/>
              </w:rPr>
              <w:t>报价相同时且影响中标候选人数量的确定时，在此类定标候选人范围中依次按下列规则确定中标候选人：</w:t>
            </w:r>
          </w:p>
          <w:p w14:paraId="4A61A1A9">
            <w:pPr>
              <w:autoSpaceDE w:val="0"/>
              <w:autoSpaceDN w:val="0"/>
              <w:spacing w:line="300" w:lineRule="auto"/>
              <w:ind w:firstLine="420" w:firstLineChars="200"/>
              <w:jc w:val="left"/>
              <w:rPr>
                <w:rFonts w:ascii="宋体" w:hAnsi="宋体" w:cs="宋体"/>
                <w:color w:val="auto"/>
                <w:kern w:val="1"/>
                <w:szCs w:val="21"/>
                <w:highlight w:val="none"/>
              </w:rPr>
            </w:pPr>
            <w:r>
              <w:rPr>
                <w:rFonts w:hint="eastAsia" w:ascii="宋体" w:hAnsi="宋体" w:cs="宋体"/>
                <w:color w:val="auto"/>
                <w:kern w:val="1"/>
                <w:szCs w:val="21"/>
                <w:highlight w:val="none"/>
              </w:rPr>
              <w:t>①综合得分高的定标候选人优先；</w:t>
            </w:r>
          </w:p>
          <w:p w14:paraId="1DC8E21A">
            <w:pPr>
              <w:widowControl/>
              <w:autoSpaceDE w:val="0"/>
              <w:autoSpaceDN w:val="0"/>
              <w:spacing w:line="300" w:lineRule="auto"/>
              <w:ind w:firstLine="420" w:firstLineChars="200"/>
              <w:jc w:val="left"/>
              <w:rPr>
                <w:rFonts w:cs="宋体"/>
                <w:b/>
                <w:color w:val="auto"/>
                <w:szCs w:val="21"/>
                <w:highlight w:val="none"/>
              </w:rPr>
            </w:pPr>
            <w:r>
              <w:rPr>
                <w:rFonts w:hint="eastAsia" w:ascii="宋体" w:hAnsi="宋体" w:cs="宋体"/>
                <w:color w:val="auto"/>
                <w:kern w:val="1"/>
                <w:szCs w:val="21"/>
                <w:highlight w:val="none"/>
              </w:rPr>
              <w:t>②综合得分相同时，随机抽取确定，随机抽取工作</w:t>
            </w:r>
            <w:r>
              <w:rPr>
                <w:rFonts w:hint="eastAsia" w:cs="宋体"/>
                <w:color w:val="auto"/>
                <w:szCs w:val="21"/>
                <w:highlight w:val="none"/>
              </w:rPr>
              <w:t>规则如下：</w:t>
            </w:r>
          </w:p>
          <w:p w14:paraId="45569E1F">
            <w:pPr>
              <w:widowControl/>
              <w:autoSpaceDE w:val="0"/>
              <w:autoSpaceDN w:val="0"/>
              <w:spacing w:line="300" w:lineRule="auto"/>
              <w:ind w:firstLine="420" w:firstLineChars="200"/>
              <w:jc w:val="left"/>
              <w:rPr>
                <w:rFonts w:ascii="宋体" w:hAnsi="宋体" w:cs="宋体"/>
                <w:color w:val="auto"/>
                <w:kern w:val="1"/>
                <w:szCs w:val="21"/>
                <w:highlight w:val="none"/>
                <w:lang w:val="zh-CN"/>
              </w:rPr>
            </w:pPr>
            <w:r>
              <w:rPr>
                <w:rFonts w:hint="eastAsia" w:ascii="宋体" w:hAnsi="宋体" w:cs="宋体"/>
                <w:color w:val="auto"/>
                <w:kern w:val="1"/>
                <w:szCs w:val="21"/>
                <w:highlight w:val="none"/>
              </w:rPr>
              <w:t>定标</w:t>
            </w:r>
            <w:r>
              <w:rPr>
                <w:rFonts w:hint="eastAsia" w:ascii="宋体" w:hAnsi="宋体" w:cs="宋体"/>
                <w:color w:val="auto"/>
                <w:kern w:val="1"/>
                <w:szCs w:val="21"/>
                <w:highlight w:val="none"/>
                <w:lang w:val="zh-CN"/>
              </w:rPr>
              <w:t>候选人的投标人代表号即为代表球号；</w:t>
            </w:r>
          </w:p>
          <w:p w14:paraId="18C7D46B">
            <w:pPr>
              <w:widowControl/>
              <w:autoSpaceDE w:val="0"/>
              <w:autoSpaceDN w:val="0"/>
              <w:spacing w:line="300" w:lineRule="auto"/>
              <w:ind w:firstLine="420" w:firstLineChars="200"/>
              <w:jc w:val="left"/>
              <w:rPr>
                <w:rFonts w:ascii="宋体" w:hAnsi="宋体" w:cs="宋体"/>
                <w:color w:val="auto"/>
                <w:kern w:val="1"/>
                <w:szCs w:val="21"/>
                <w:highlight w:val="none"/>
                <w:lang w:val="zh-CN"/>
              </w:rPr>
            </w:pPr>
            <w:r>
              <w:rPr>
                <w:rFonts w:hint="eastAsia" w:ascii="宋体" w:hAnsi="宋体" w:cs="宋体"/>
                <w:color w:val="auto"/>
                <w:kern w:val="1"/>
                <w:szCs w:val="21"/>
                <w:highlight w:val="none"/>
                <w:lang w:val="zh-CN"/>
              </w:rPr>
              <w:t>由</w:t>
            </w:r>
            <w:r>
              <w:rPr>
                <w:rFonts w:hint="eastAsia" w:ascii="宋体" w:hAnsi="宋体" w:cs="宋体"/>
                <w:color w:val="auto"/>
                <w:kern w:val="1"/>
                <w:szCs w:val="21"/>
                <w:highlight w:val="none"/>
              </w:rPr>
              <w:t>建设单位代表（除定标委员会成员以外）或代建单位代表</w:t>
            </w:r>
            <w:r>
              <w:rPr>
                <w:rFonts w:hint="eastAsia" w:ascii="宋体" w:hAnsi="宋体" w:cs="宋体"/>
                <w:color w:val="auto"/>
                <w:kern w:val="1"/>
                <w:szCs w:val="21"/>
                <w:highlight w:val="none"/>
                <w:lang w:val="zh-CN"/>
              </w:rPr>
              <w:t>在市公共资源交易中心开标区抽取机中放入所有代表球号，</w:t>
            </w:r>
            <w:r>
              <w:rPr>
                <w:rFonts w:hint="eastAsia" w:ascii="宋体" w:hAnsi="宋体" w:cs="宋体"/>
                <w:color w:val="auto"/>
                <w:kern w:val="1"/>
                <w:szCs w:val="21"/>
                <w:highlight w:val="none"/>
              </w:rPr>
              <w:t>根据需要确定的中标候选人数量依次</w:t>
            </w:r>
            <w:r>
              <w:rPr>
                <w:rFonts w:hint="eastAsia" w:ascii="宋体" w:hAnsi="宋体" w:cs="宋体"/>
                <w:color w:val="auto"/>
                <w:kern w:val="1"/>
                <w:szCs w:val="21"/>
                <w:highlight w:val="none"/>
                <w:lang w:val="zh-CN"/>
              </w:rPr>
              <w:t>抽取球号，</w:t>
            </w:r>
            <w:r>
              <w:rPr>
                <w:rFonts w:hint="eastAsia" w:ascii="宋体" w:hAnsi="宋体" w:cs="宋体"/>
                <w:color w:val="auto"/>
                <w:kern w:val="1"/>
                <w:szCs w:val="21"/>
                <w:highlight w:val="none"/>
              </w:rPr>
              <w:t>所抽取球号</w:t>
            </w:r>
            <w:r>
              <w:rPr>
                <w:rFonts w:hint="eastAsia" w:ascii="宋体" w:hAnsi="宋体" w:cs="宋体"/>
                <w:color w:val="auto"/>
                <w:kern w:val="1"/>
                <w:szCs w:val="21"/>
                <w:highlight w:val="none"/>
                <w:lang w:val="zh-CN"/>
              </w:rPr>
              <w:t>对应的</w:t>
            </w:r>
            <w:r>
              <w:rPr>
                <w:rFonts w:hint="eastAsia" w:ascii="宋体" w:hAnsi="宋体" w:cs="宋体"/>
                <w:color w:val="auto"/>
                <w:kern w:val="1"/>
                <w:szCs w:val="21"/>
                <w:highlight w:val="none"/>
              </w:rPr>
              <w:t>定标</w:t>
            </w:r>
            <w:r>
              <w:rPr>
                <w:rFonts w:hint="eastAsia" w:ascii="宋体" w:hAnsi="宋体" w:cs="宋体"/>
                <w:color w:val="auto"/>
                <w:kern w:val="1"/>
                <w:szCs w:val="21"/>
                <w:highlight w:val="none"/>
                <w:lang w:val="zh-CN"/>
              </w:rPr>
              <w:t>候选人为</w:t>
            </w:r>
            <w:r>
              <w:rPr>
                <w:rFonts w:hint="eastAsia" w:ascii="宋体" w:hAnsi="宋体" w:cs="宋体"/>
                <w:color w:val="auto"/>
                <w:kern w:val="1"/>
                <w:szCs w:val="21"/>
                <w:highlight w:val="none"/>
              </w:rPr>
              <w:t>中标候选人</w:t>
            </w:r>
            <w:r>
              <w:rPr>
                <w:rFonts w:hint="eastAsia" w:ascii="宋体" w:hAnsi="宋体" w:cs="宋体"/>
                <w:color w:val="auto"/>
                <w:kern w:val="1"/>
                <w:szCs w:val="21"/>
                <w:highlight w:val="none"/>
                <w:lang w:val="zh-CN"/>
              </w:rPr>
              <w:t>；</w:t>
            </w:r>
          </w:p>
          <w:p w14:paraId="40D711B1">
            <w:pPr>
              <w:widowControl/>
              <w:autoSpaceDE w:val="0"/>
              <w:autoSpaceDN w:val="0"/>
              <w:spacing w:line="300" w:lineRule="auto"/>
              <w:ind w:firstLine="420" w:firstLineChars="200"/>
              <w:jc w:val="left"/>
              <w:rPr>
                <w:rFonts w:ascii="宋体" w:hAnsi="宋体" w:cs="宋体"/>
                <w:color w:val="auto"/>
                <w:kern w:val="1"/>
                <w:szCs w:val="21"/>
                <w:highlight w:val="none"/>
              </w:rPr>
            </w:pPr>
            <w:r>
              <w:rPr>
                <w:rFonts w:hint="eastAsia" w:ascii="宋体" w:hAnsi="宋体" w:cs="宋体"/>
                <w:color w:val="auto"/>
                <w:kern w:val="1"/>
                <w:szCs w:val="21"/>
                <w:highlight w:val="none"/>
                <w:lang w:val="zh-CN"/>
              </w:rPr>
              <w:t>在抽取过程中，如出现由于工作失误或设备故障影响抽取结果的，抽取</w:t>
            </w:r>
            <w:r>
              <w:rPr>
                <w:rFonts w:hint="eastAsia" w:ascii="宋体" w:hAnsi="宋体" w:cs="宋体"/>
                <w:color w:val="auto"/>
                <w:kern w:val="1"/>
                <w:szCs w:val="21"/>
                <w:highlight w:val="none"/>
              </w:rPr>
              <w:t>结果</w:t>
            </w:r>
            <w:r>
              <w:rPr>
                <w:rFonts w:hint="eastAsia" w:ascii="宋体" w:hAnsi="宋体" w:cs="宋体"/>
                <w:color w:val="auto"/>
                <w:kern w:val="1"/>
                <w:szCs w:val="21"/>
                <w:highlight w:val="none"/>
                <w:lang w:val="zh-CN"/>
              </w:rPr>
              <w:t>无效，应当重新抽取。所有抽球过程实行全程录音录像监控</w:t>
            </w:r>
            <w:r>
              <w:rPr>
                <w:rFonts w:hint="eastAsia" w:ascii="宋体" w:hAnsi="宋体" w:cs="宋体"/>
                <w:color w:val="auto"/>
                <w:kern w:val="1"/>
                <w:szCs w:val="21"/>
                <w:highlight w:val="none"/>
              </w:rPr>
              <w:t>。</w:t>
            </w:r>
          </w:p>
          <w:p w14:paraId="6551AFF5">
            <w:pPr>
              <w:widowControl/>
              <w:autoSpaceDE w:val="0"/>
              <w:autoSpaceDN w:val="0"/>
              <w:spacing w:line="30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3.推荐中标人</w:t>
            </w:r>
          </w:p>
          <w:p w14:paraId="5CDB4ECA">
            <w:pPr>
              <w:widowControl/>
              <w:autoSpaceDE w:val="0"/>
              <w:autoSpaceDN w:val="0"/>
              <w:spacing w:line="300" w:lineRule="auto"/>
              <w:ind w:firstLine="420" w:firstLineChars="200"/>
              <w:jc w:val="left"/>
              <w:rPr>
                <w:rFonts w:ascii="宋体" w:hAnsi="宋体" w:cs="宋体"/>
                <w:color w:val="auto"/>
                <w:kern w:val="1"/>
                <w:szCs w:val="21"/>
                <w:highlight w:val="none"/>
              </w:rPr>
            </w:pPr>
            <w:r>
              <w:rPr>
                <w:rFonts w:hint="eastAsia" w:ascii="宋体" w:hAnsi="宋体" w:cs="宋体"/>
                <w:color w:val="auto"/>
                <w:kern w:val="1"/>
                <w:szCs w:val="21"/>
                <w:highlight w:val="none"/>
              </w:rPr>
              <w:t>定标委员会在中标候选人范围中，根据随机抽取结果推荐中标人。</w:t>
            </w:r>
          </w:p>
          <w:p w14:paraId="07A2DDDF">
            <w:pPr>
              <w:widowControl/>
              <w:autoSpaceDE w:val="0"/>
              <w:autoSpaceDN w:val="0"/>
              <w:spacing w:line="300" w:lineRule="auto"/>
              <w:ind w:firstLine="420" w:firstLineChars="200"/>
              <w:jc w:val="left"/>
              <w:rPr>
                <w:rFonts w:cs="宋体"/>
                <w:b/>
                <w:color w:val="auto"/>
                <w:szCs w:val="21"/>
                <w:highlight w:val="none"/>
              </w:rPr>
            </w:pPr>
            <w:r>
              <w:rPr>
                <w:rFonts w:hint="eastAsia" w:ascii="宋体" w:hAnsi="宋体" w:cs="宋体"/>
                <w:color w:val="auto"/>
                <w:kern w:val="1"/>
                <w:szCs w:val="21"/>
                <w:highlight w:val="none"/>
              </w:rPr>
              <w:t>随机抽取工作</w:t>
            </w:r>
            <w:r>
              <w:rPr>
                <w:rFonts w:hint="eastAsia" w:cs="宋体"/>
                <w:color w:val="auto"/>
                <w:szCs w:val="21"/>
                <w:highlight w:val="none"/>
              </w:rPr>
              <w:t>规则如下：</w:t>
            </w:r>
          </w:p>
          <w:p w14:paraId="09BD0B2B">
            <w:pPr>
              <w:widowControl/>
              <w:autoSpaceDE w:val="0"/>
              <w:autoSpaceDN w:val="0"/>
              <w:spacing w:line="300" w:lineRule="auto"/>
              <w:ind w:firstLine="420" w:firstLineChars="200"/>
              <w:jc w:val="left"/>
              <w:rPr>
                <w:rFonts w:ascii="宋体" w:hAnsi="宋体" w:cs="宋体"/>
                <w:color w:val="auto"/>
                <w:kern w:val="1"/>
                <w:szCs w:val="21"/>
                <w:highlight w:val="none"/>
                <w:lang w:val="zh-CN"/>
              </w:rPr>
            </w:pPr>
            <w:r>
              <w:rPr>
                <w:rFonts w:hint="eastAsia" w:ascii="宋体" w:hAnsi="宋体" w:cs="宋体"/>
                <w:color w:val="auto"/>
                <w:kern w:val="1"/>
                <w:szCs w:val="21"/>
                <w:highlight w:val="none"/>
                <w:lang w:val="zh-CN"/>
              </w:rPr>
              <w:t>（</w:t>
            </w:r>
            <w:r>
              <w:rPr>
                <w:rFonts w:hint="eastAsia" w:ascii="宋体" w:hAnsi="宋体" w:cs="宋体"/>
                <w:color w:val="auto"/>
                <w:kern w:val="1"/>
                <w:szCs w:val="21"/>
                <w:highlight w:val="none"/>
              </w:rPr>
              <w:t>1</w:t>
            </w:r>
            <w:r>
              <w:rPr>
                <w:rFonts w:hint="eastAsia" w:ascii="宋体" w:hAnsi="宋体" w:cs="宋体"/>
                <w:color w:val="auto"/>
                <w:kern w:val="1"/>
                <w:szCs w:val="21"/>
                <w:highlight w:val="none"/>
                <w:lang w:val="zh-CN"/>
              </w:rPr>
              <w:t>）</w:t>
            </w:r>
            <w:r>
              <w:rPr>
                <w:rFonts w:hint="eastAsia" w:ascii="宋体" w:hAnsi="宋体" w:cs="宋体"/>
                <w:color w:val="auto"/>
                <w:kern w:val="1"/>
                <w:szCs w:val="21"/>
                <w:highlight w:val="none"/>
              </w:rPr>
              <w:t>中标</w:t>
            </w:r>
            <w:r>
              <w:rPr>
                <w:rFonts w:hint="eastAsia" w:ascii="宋体" w:hAnsi="宋体" w:cs="宋体"/>
                <w:color w:val="auto"/>
                <w:kern w:val="1"/>
                <w:szCs w:val="21"/>
                <w:highlight w:val="none"/>
                <w:lang w:val="zh-CN"/>
              </w:rPr>
              <w:t>候选人的投标人代表号即为候选人代表球号；</w:t>
            </w:r>
          </w:p>
          <w:p w14:paraId="4A8C7289">
            <w:pPr>
              <w:widowControl/>
              <w:autoSpaceDE w:val="0"/>
              <w:autoSpaceDN w:val="0"/>
              <w:spacing w:line="300" w:lineRule="auto"/>
              <w:ind w:firstLine="420" w:firstLineChars="200"/>
              <w:jc w:val="left"/>
              <w:rPr>
                <w:rFonts w:ascii="宋体" w:hAnsi="宋体" w:cs="宋体"/>
                <w:color w:val="auto"/>
                <w:kern w:val="1"/>
                <w:szCs w:val="21"/>
                <w:highlight w:val="none"/>
              </w:rPr>
            </w:pPr>
            <w:r>
              <w:rPr>
                <w:rFonts w:hint="eastAsia" w:ascii="宋体" w:hAnsi="宋体" w:cs="宋体"/>
                <w:color w:val="auto"/>
                <w:kern w:val="1"/>
                <w:szCs w:val="21"/>
                <w:highlight w:val="none"/>
              </w:rPr>
              <w:t>（2）由建设单位代表（除定标委员会成员以外）或代建单位代表在市公共资源交易中心开标区抽取机中放入所有中标候选人代表球号，第1次抽取出的球号对应的中标候选人为中标人；</w:t>
            </w:r>
          </w:p>
          <w:p w14:paraId="1F65B74D">
            <w:pPr>
              <w:widowControl/>
              <w:autoSpaceDE w:val="0"/>
              <w:autoSpaceDN w:val="0"/>
              <w:spacing w:line="300" w:lineRule="auto"/>
              <w:ind w:firstLine="420" w:firstLineChars="200"/>
              <w:jc w:val="left"/>
              <w:rPr>
                <w:color w:val="auto"/>
                <w:highlight w:val="none"/>
              </w:rPr>
            </w:pPr>
            <w:r>
              <w:rPr>
                <w:rFonts w:hint="eastAsia" w:ascii="宋体" w:hAnsi="宋体" w:cs="宋体"/>
                <w:color w:val="auto"/>
                <w:kern w:val="1"/>
                <w:szCs w:val="21"/>
                <w:highlight w:val="none"/>
              </w:rPr>
              <w:t>（3）在抽取过程中，如出现由于工作失误或设备故障影响抽取结果的，抽取结果无效，应当重新抽取。所有抽球过程实行全程录音录像监控。</w:t>
            </w:r>
          </w:p>
        </w:tc>
      </w:tr>
      <w:tr w14:paraId="4BB294F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1663" w:hRule="atLeast"/>
        </w:trPr>
        <w:tc>
          <w:tcPr>
            <w:tcW w:w="684" w:type="dxa"/>
            <w:vMerge w:val="continue"/>
            <w:vAlign w:val="center"/>
          </w:tcPr>
          <w:p w14:paraId="7B739AB2">
            <w:pPr>
              <w:autoSpaceDE w:val="0"/>
              <w:autoSpaceDN w:val="0"/>
              <w:spacing w:line="300" w:lineRule="auto"/>
              <w:jc w:val="center"/>
              <w:rPr>
                <w:rFonts w:cs="宋体"/>
                <w:color w:val="auto"/>
                <w:kern w:val="1"/>
                <w:szCs w:val="21"/>
                <w:highlight w:val="none"/>
              </w:rPr>
            </w:pPr>
          </w:p>
        </w:tc>
        <w:tc>
          <w:tcPr>
            <w:tcW w:w="905" w:type="dxa"/>
            <w:vMerge w:val="continue"/>
            <w:vAlign w:val="center"/>
          </w:tcPr>
          <w:p w14:paraId="3355FEEB">
            <w:pPr>
              <w:autoSpaceDE w:val="0"/>
              <w:autoSpaceDN w:val="0"/>
              <w:spacing w:line="300" w:lineRule="auto"/>
              <w:jc w:val="center"/>
              <w:rPr>
                <w:rFonts w:cs="宋体"/>
                <w:color w:val="auto"/>
                <w:kern w:val="1"/>
                <w:szCs w:val="21"/>
                <w:highlight w:val="none"/>
              </w:rPr>
            </w:pPr>
          </w:p>
        </w:tc>
        <w:tc>
          <w:tcPr>
            <w:tcW w:w="1510" w:type="dxa"/>
            <w:vAlign w:val="center"/>
          </w:tcPr>
          <w:p w14:paraId="7FDB0161">
            <w:pPr>
              <w:autoSpaceDE w:val="0"/>
              <w:autoSpaceDN w:val="0"/>
              <w:spacing w:line="300" w:lineRule="auto"/>
              <w:jc w:val="center"/>
              <w:rPr>
                <w:color w:val="auto"/>
                <w:kern w:val="0"/>
                <w:szCs w:val="21"/>
                <w:highlight w:val="none"/>
                <w:lang w:val="zh-CN"/>
              </w:rPr>
            </w:pPr>
            <w:r>
              <w:rPr>
                <w:rFonts w:hint="eastAsia" w:ascii="宋体" w:hAnsi="宋体" w:cs="宋体"/>
                <w:color w:val="auto"/>
                <w:szCs w:val="21"/>
                <w:highlight w:val="none"/>
                <w:lang w:val="zh-CN" w:bidi="zh-CN"/>
              </w:rPr>
              <w:t>□</w:t>
            </w:r>
            <w:r>
              <w:rPr>
                <w:rFonts w:hint="eastAsia" w:cs="宋体"/>
                <w:color w:val="auto"/>
                <w:szCs w:val="21"/>
                <w:highlight w:val="none"/>
                <w:lang w:bidi="zh-CN"/>
              </w:rPr>
              <w:t>在“</w:t>
            </w:r>
            <w:r>
              <w:rPr>
                <w:rFonts w:hint="eastAsia" w:ascii="宋体" w:hAnsi="宋体" w:cs="宋体"/>
                <w:color w:val="auto"/>
                <w:szCs w:val="21"/>
                <w:highlight w:val="none"/>
              </w:rPr>
              <w:t>高分低价法</w:t>
            </w:r>
            <w:r>
              <w:rPr>
                <w:rFonts w:hint="eastAsia" w:cs="宋体"/>
                <w:color w:val="auto"/>
                <w:szCs w:val="21"/>
                <w:highlight w:val="none"/>
                <w:lang w:bidi="zh-CN"/>
              </w:rPr>
              <w:t>”、“</w:t>
            </w:r>
            <w:r>
              <w:rPr>
                <w:rFonts w:hint="eastAsia" w:ascii="宋体" w:hAnsi="宋体" w:cs="宋体"/>
                <w:color w:val="auto"/>
                <w:szCs w:val="21"/>
                <w:highlight w:val="none"/>
              </w:rPr>
              <w:t>高分随机法</w:t>
            </w:r>
            <w:r>
              <w:rPr>
                <w:rFonts w:hint="eastAsia" w:cs="宋体"/>
                <w:color w:val="auto"/>
                <w:szCs w:val="21"/>
                <w:highlight w:val="none"/>
                <w:lang w:bidi="zh-CN"/>
              </w:rPr>
              <w:t>”、“</w:t>
            </w:r>
            <w:r>
              <w:rPr>
                <w:rFonts w:hint="eastAsia" w:ascii="宋体" w:hAnsi="宋体" w:cs="宋体"/>
                <w:color w:val="auto"/>
                <w:szCs w:val="21"/>
                <w:highlight w:val="none"/>
              </w:rPr>
              <w:t>低价随机法</w:t>
            </w:r>
            <w:r>
              <w:rPr>
                <w:rFonts w:hint="eastAsia" w:cs="宋体"/>
                <w:color w:val="auto"/>
                <w:szCs w:val="21"/>
                <w:highlight w:val="none"/>
                <w:lang w:bidi="zh-CN"/>
              </w:rPr>
              <w:t>”</w:t>
            </w:r>
            <w:r>
              <w:rPr>
                <w:rFonts w:hint="eastAsia" w:cs="宋体"/>
                <w:color w:val="auto"/>
                <w:szCs w:val="21"/>
                <w:highlight w:val="none"/>
              </w:rPr>
              <w:t>中</w:t>
            </w:r>
            <w:r>
              <w:rPr>
                <w:rFonts w:hint="eastAsia" w:ascii="宋体" w:hAnsi="宋体" w:cs="宋体"/>
                <w:color w:val="auto"/>
                <w:szCs w:val="21"/>
                <w:highlight w:val="none"/>
              </w:rPr>
              <w:t>随机抽取</w:t>
            </w:r>
          </w:p>
        </w:tc>
        <w:tc>
          <w:tcPr>
            <w:tcW w:w="10912" w:type="dxa"/>
            <w:gridSpan w:val="4"/>
            <w:tcBorders>
              <w:bottom w:val="single" w:color="auto" w:sz="4" w:space="0"/>
            </w:tcBorders>
            <w:vAlign w:val="center"/>
          </w:tcPr>
          <w:p w14:paraId="55664689">
            <w:pPr>
              <w:autoSpaceDE w:val="0"/>
              <w:autoSpaceDN w:val="0"/>
              <w:spacing w:line="30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随机抽取工作规则如下：</w:t>
            </w:r>
          </w:p>
          <w:p w14:paraId="79E0D95A">
            <w:pPr>
              <w:autoSpaceDE w:val="0"/>
              <w:autoSpaceDN w:val="0"/>
              <w:spacing w:line="300" w:lineRule="auto"/>
              <w:ind w:firstLine="420" w:firstLineChars="200"/>
              <w:jc w:val="left"/>
              <w:rPr>
                <w:rFonts w:ascii="宋体" w:hAnsi="宋体" w:cs="宋体"/>
                <w:color w:val="auto"/>
                <w:szCs w:val="21"/>
                <w:highlight w:val="none"/>
                <w:lang w:val="zh-CN"/>
              </w:rPr>
            </w:pPr>
            <w:r>
              <w:rPr>
                <w:rFonts w:hint="eastAsia" w:ascii="宋体" w:hAnsi="宋体" w:cs="宋体"/>
                <w:color w:val="auto"/>
                <w:szCs w:val="21"/>
                <w:highlight w:val="none"/>
                <w:lang w:val="zh-CN"/>
              </w:rPr>
              <w:t>（</w:t>
            </w:r>
            <w:r>
              <w:rPr>
                <w:rFonts w:hint="eastAsia" w:ascii="宋体" w:hAnsi="宋体" w:cs="宋体"/>
                <w:color w:val="auto"/>
                <w:szCs w:val="21"/>
                <w:highlight w:val="none"/>
              </w:rPr>
              <w:t>1</w:t>
            </w:r>
            <w:r>
              <w:rPr>
                <w:rFonts w:hint="eastAsia" w:ascii="宋体" w:hAnsi="宋体" w:cs="宋体"/>
                <w:color w:val="auto"/>
                <w:szCs w:val="21"/>
                <w:highlight w:val="none"/>
                <w:lang w:val="zh-CN"/>
              </w:rPr>
              <w:t>）</w:t>
            </w:r>
            <w:r>
              <w:rPr>
                <w:rFonts w:hint="eastAsia" w:ascii="宋体" w:hAnsi="宋体" w:cs="宋体"/>
                <w:color w:val="auto"/>
                <w:szCs w:val="21"/>
                <w:highlight w:val="none"/>
              </w:rPr>
              <w:t>“高分低价法”、“高分随机法”、“低价随机法”</w:t>
            </w:r>
            <w:r>
              <w:rPr>
                <w:rFonts w:hint="eastAsia" w:ascii="宋体" w:hAnsi="宋体" w:cs="宋体"/>
                <w:color w:val="auto"/>
                <w:szCs w:val="21"/>
                <w:highlight w:val="none"/>
                <w:lang w:val="zh-CN"/>
              </w:rPr>
              <w:t>代表球号</w:t>
            </w:r>
            <w:r>
              <w:rPr>
                <w:rFonts w:hint="eastAsia" w:ascii="宋体" w:hAnsi="宋体" w:cs="宋体"/>
                <w:color w:val="auto"/>
                <w:szCs w:val="21"/>
                <w:highlight w:val="none"/>
              </w:rPr>
              <w:t>分别为1、2、3</w:t>
            </w:r>
            <w:r>
              <w:rPr>
                <w:rFonts w:hint="eastAsia" w:ascii="宋体" w:hAnsi="宋体" w:cs="宋体"/>
                <w:color w:val="auto"/>
                <w:szCs w:val="21"/>
                <w:highlight w:val="none"/>
                <w:lang w:val="zh-CN"/>
              </w:rPr>
              <w:t>；</w:t>
            </w:r>
          </w:p>
          <w:p w14:paraId="1037C0D5">
            <w:pPr>
              <w:autoSpaceDE w:val="0"/>
              <w:autoSpaceDN w:val="0"/>
              <w:spacing w:line="300" w:lineRule="auto"/>
              <w:ind w:firstLine="420" w:firstLineChars="200"/>
              <w:jc w:val="left"/>
              <w:rPr>
                <w:rFonts w:ascii="宋体" w:hAnsi="宋体" w:cs="宋体"/>
                <w:color w:val="auto"/>
                <w:szCs w:val="21"/>
                <w:highlight w:val="none"/>
                <w:lang w:val="zh-CN"/>
              </w:rPr>
            </w:pPr>
            <w:r>
              <w:rPr>
                <w:rFonts w:hint="eastAsia" w:ascii="宋体" w:hAnsi="宋体" w:cs="宋体"/>
                <w:color w:val="auto"/>
                <w:szCs w:val="21"/>
                <w:highlight w:val="none"/>
                <w:lang w:val="zh-CN"/>
              </w:rPr>
              <w:t>（</w:t>
            </w:r>
            <w:r>
              <w:rPr>
                <w:rFonts w:hint="eastAsia" w:ascii="宋体" w:hAnsi="宋体" w:cs="宋体"/>
                <w:color w:val="auto"/>
                <w:szCs w:val="21"/>
                <w:highlight w:val="none"/>
              </w:rPr>
              <w:t>2</w:t>
            </w:r>
            <w:r>
              <w:rPr>
                <w:rFonts w:hint="eastAsia" w:ascii="宋体" w:hAnsi="宋体" w:cs="宋体"/>
                <w:color w:val="auto"/>
                <w:szCs w:val="21"/>
                <w:highlight w:val="none"/>
                <w:lang w:val="zh-CN"/>
              </w:rPr>
              <w:t>）由</w:t>
            </w:r>
            <w:r>
              <w:rPr>
                <w:rFonts w:hint="eastAsia" w:ascii="宋体" w:hAnsi="宋体" w:cs="宋体"/>
                <w:color w:val="auto"/>
                <w:szCs w:val="21"/>
                <w:highlight w:val="none"/>
              </w:rPr>
              <w:t>建设单位代表（除定标委员会成员以外）或代建单位代表</w:t>
            </w:r>
            <w:r>
              <w:rPr>
                <w:rFonts w:hint="eastAsia" w:ascii="宋体" w:hAnsi="宋体" w:cs="宋体"/>
                <w:color w:val="auto"/>
                <w:szCs w:val="21"/>
                <w:highlight w:val="none"/>
                <w:lang w:val="zh-CN"/>
              </w:rPr>
              <w:t>在市公共资源交易中心开标区抽取机中放入所有</w:t>
            </w:r>
            <w:r>
              <w:rPr>
                <w:rFonts w:hint="eastAsia" w:ascii="宋体" w:hAnsi="宋体" w:cs="宋体"/>
                <w:color w:val="auto"/>
                <w:szCs w:val="21"/>
                <w:highlight w:val="none"/>
              </w:rPr>
              <w:t>定标方法</w:t>
            </w:r>
            <w:r>
              <w:rPr>
                <w:rFonts w:hint="eastAsia" w:ascii="宋体" w:hAnsi="宋体" w:cs="宋体"/>
                <w:color w:val="auto"/>
                <w:szCs w:val="21"/>
                <w:highlight w:val="none"/>
                <w:lang w:val="zh-CN"/>
              </w:rPr>
              <w:t>代表球号，第1次抽取出的球号对应的</w:t>
            </w:r>
            <w:r>
              <w:rPr>
                <w:rFonts w:hint="eastAsia" w:ascii="宋体" w:hAnsi="宋体" w:cs="宋体"/>
                <w:color w:val="auto"/>
                <w:szCs w:val="21"/>
                <w:highlight w:val="none"/>
              </w:rPr>
              <w:t>定标方法即为定标委员会应当使用的定标方法</w:t>
            </w:r>
            <w:r>
              <w:rPr>
                <w:rFonts w:hint="eastAsia" w:ascii="宋体" w:hAnsi="宋体" w:cs="宋体"/>
                <w:color w:val="auto"/>
                <w:szCs w:val="21"/>
                <w:highlight w:val="none"/>
                <w:lang w:val="zh-CN"/>
              </w:rPr>
              <w:t>；</w:t>
            </w:r>
          </w:p>
          <w:p w14:paraId="6C86971B">
            <w:pPr>
              <w:autoSpaceDE w:val="0"/>
              <w:autoSpaceDN w:val="0"/>
              <w:spacing w:line="300" w:lineRule="auto"/>
              <w:ind w:firstLine="420" w:firstLineChars="200"/>
              <w:jc w:val="left"/>
              <w:rPr>
                <w:rFonts w:ascii="宋体" w:hAnsi="宋体" w:cs="宋体"/>
                <w:color w:val="auto"/>
                <w:szCs w:val="21"/>
                <w:highlight w:val="none"/>
                <w:lang w:val="zh-CN"/>
              </w:rPr>
            </w:pPr>
            <w:r>
              <w:rPr>
                <w:rFonts w:hint="eastAsia" w:ascii="宋体" w:hAnsi="宋体" w:cs="宋体"/>
                <w:color w:val="auto"/>
                <w:szCs w:val="21"/>
                <w:highlight w:val="none"/>
                <w:lang w:val="zh-CN"/>
              </w:rPr>
              <w:t>（</w:t>
            </w:r>
            <w:r>
              <w:rPr>
                <w:rFonts w:hint="eastAsia" w:ascii="宋体" w:hAnsi="宋体" w:cs="宋体"/>
                <w:color w:val="auto"/>
                <w:szCs w:val="21"/>
                <w:highlight w:val="none"/>
              </w:rPr>
              <w:t>3</w:t>
            </w:r>
            <w:r>
              <w:rPr>
                <w:rFonts w:hint="eastAsia" w:ascii="宋体" w:hAnsi="宋体" w:cs="宋体"/>
                <w:color w:val="auto"/>
                <w:szCs w:val="21"/>
                <w:highlight w:val="none"/>
                <w:lang w:val="zh-CN"/>
              </w:rPr>
              <w:t>）在抽取过程中，如出现由于工作失误或设备故障影响抽取结果的，抽取</w:t>
            </w:r>
            <w:r>
              <w:rPr>
                <w:rFonts w:hint="eastAsia" w:ascii="宋体" w:hAnsi="宋体" w:cs="宋体"/>
                <w:color w:val="auto"/>
                <w:szCs w:val="21"/>
                <w:highlight w:val="none"/>
              </w:rPr>
              <w:t>结果</w:t>
            </w:r>
            <w:r>
              <w:rPr>
                <w:rFonts w:hint="eastAsia" w:ascii="宋体" w:hAnsi="宋体" w:cs="宋体"/>
                <w:color w:val="auto"/>
                <w:szCs w:val="21"/>
                <w:highlight w:val="none"/>
                <w:lang w:val="zh-CN"/>
              </w:rPr>
              <w:t>无效，应当重新抽取。所有抽球过程实行全程录音录像监控。</w:t>
            </w:r>
          </w:p>
          <w:p w14:paraId="1C56BD02">
            <w:pPr>
              <w:pStyle w:val="2"/>
              <w:rPr>
                <w:color w:val="auto"/>
                <w:highlight w:val="none"/>
              </w:rPr>
            </w:pPr>
            <w:r>
              <w:rPr>
                <w:rFonts w:hint="eastAsia" w:ascii="宋体" w:hAnsi="宋体" w:eastAsia="宋体" w:cs="宋体"/>
                <w:color w:val="auto"/>
                <w:szCs w:val="21"/>
                <w:highlight w:val="none"/>
              </w:rPr>
              <w:t xml:space="preserve">    （4）“高分低价法”、“高分随机法”、“低价随机法”具体内容详见定标方案前附表第4项规定。</w:t>
            </w:r>
          </w:p>
        </w:tc>
      </w:tr>
    </w:tbl>
    <w:p w14:paraId="353AFD55">
      <w:pPr>
        <w:keepNext/>
        <w:keepLines/>
        <w:widowControl/>
        <w:spacing w:before="317" w:beforeLines="100" w:after="317" w:afterLines="100" w:line="360" w:lineRule="auto"/>
        <w:outlineLvl w:val="1"/>
        <w:rPr>
          <w:rFonts w:ascii="黑体" w:hAnsi="黑体" w:eastAsia="黑体"/>
          <w:color w:val="auto"/>
          <w:kern w:val="1"/>
          <w:szCs w:val="21"/>
          <w:highlight w:val="none"/>
        </w:rPr>
        <w:sectPr>
          <w:pgSz w:w="16838" w:h="11905" w:orient="landscape"/>
          <w:pgMar w:top="1417" w:right="1440" w:bottom="1417" w:left="1440" w:header="850" w:footer="992" w:gutter="0"/>
          <w:cols w:space="720" w:num="1"/>
          <w:docGrid w:type="lines" w:linePitch="317" w:charSpace="0"/>
        </w:sectPr>
      </w:pPr>
    </w:p>
    <w:p w14:paraId="52EE2C28">
      <w:pPr>
        <w:pStyle w:val="43"/>
        <w:rPr>
          <w:color w:val="auto"/>
          <w:highlight w:val="none"/>
        </w:rPr>
      </w:pPr>
    </w:p>
    <w:p w14:paraId="5041B549">
      <w:pPr>
        <w:keepNext/>
        <w:keepLines/>
        <w:widowControl/>
        <w:spacing w:before="240" w:beforeLines="100" w:after="240" w:afterLines="100" w:line="360" w:lineRule="auto"/>
        <w:outlineLvl w:val="1"/>
        <w:rPr>
          <w:rFonts w:cs="宋体"/>
          <w:b/>
          <w:color w:val="auto"/>
          <w:highlight w:val="none"/>
        </w:rPr>
      </w:pPr>
      <w:bookmarkStart w:id="557" w:name="_Toc22027"/>
      <w:r>
        <w:rPr>
          <w:rFonts w:hint="eastAsia" w:ascii="黑体" w:hAnsi="黑体" w:eastAsia="黑体"/>
          <w:color w:val="auto"/>
          <w:kern w:val="1"/>
          <w:szCs w:val="21"/>
          <w:highlight w:val="none"/>
        </w:rPr>
        <w:t>定标方案附件：</w:t>
      </w:r>
      <w:r>
        <w:rPr>
          <w:rFonts w:hint="eastAsia" w:cs="宋体"/>
          <w:color w:val="auto"/>
          <w:szCs w:val="21"/>
          <w:highlight w:val="none"/>
        </w:rPr>
        <w:t>报价要素评审标准</w:t>
      </w:r>
      <w:bookmarkEnd w:id="557"/>
    </w:p>
    <w:tbl>
      <w:tblPr>
        <w:tblStyle w:val="44"/>
        <w:tblW w:w="0" w:type="auto"/>
        <w:tblInd w:w="108"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955"/>
        <w:gridCol w:w="1359"/>
        <w:gridCol w:w="1503"/>
        <w:gridCol w:w="7300"/>
        <w:gridCol w:w="2822"/>
      </w:tblGrid>
      <w:tr w14:paraId="327F58E1">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32" w:hRule="atLeast"/>
        </w:trPr>
        <w:tc>
          <w:tcPr>
            <w:tcW w:w="955" w:type="dxa"/>
            <w:tcBorders>
              <w:bottom w:val="single" w:color="auto" w:sz="4" w:space="0"/>
            </w:tcBorders>
            <w:vAlign w:val="center"/>
          </w:tcPr>
          <w:p w14:paraId="309D69EF">
            <w:pPr>
              <w:spacing w:line="300" w:lineRule="auto"/>
              <w:jc w:val="center"/>
              <w:rPr>
                <w:rFonts w:cs="宋体"/>
                <w:b/>
                <w:color w:val="auto"/>
                <w:kern w:val="1"/>
                <w:szCs w:val="21"/>
                <w:highlight w:val="none"/>
              </w:rPr>
            </w:pPr>
            <w:r>
              <w:rPr>
                <w:rFonts w:hint="eastAsia" w:cs="宋体"/>
                <w:b/>
                <w:color w:val="auto"/>
                <w:kern w:val="1"/>
                <w:szCs w:val="21"/>
                <w:highlight w:val="none"/>
              </w:rPr>
              <w:t>条款号</w:t>
            </w:r>
          </w:p>
        </w:tc>
        <w:tc>
          <w:tcPr>
            <w:tcW w:w="1359" w:type="dxa"/>
            <w:tcBorders>
              <w:bottom w:val="single" w:color="auto" w:sz="4" w:space="0"/>
            </w:tcBorders>
            <w:vAlign w:val="center"/>
          </w:tcPr>
          <w:p w14:paraId="0C9CAE12">
            <w:pPr>
              <w:spacing w:line="300" w:lineRule="auto"/>
              <w:jc w:val="center"/>
              <w:rPr>
                <w:rFonts w:cs="宋体"/>
                <w:b/>
                <w:color w:val="auto"/>
                <w:kern w:val="1"/>
                <w:szCs w:val="21"/>
                <w:highlight w:val="none"/>
              </w:rPr>
            </w:pPr>
            <w:r>
              <w:rPr>
                <w:rFonts w:hint="eastAsia" w:cs="宋体"/>
                <w:b/>
                <w:color w:val="auto"/>
                <w:kern w:val="1"/>
                <w:szCs w:val="21"/>
                <w:highlight w:val="none"/>
              </w:rPr>
              <w:t>定标要素</w:t>
            </w:r>
          </w:p>
        </w:tc>
        <w:tc>
          <w:tcPr>
            <w:tcW w:w="1503" w:type="dxa"/>
            <w:tcBorders>
              <w:right w:val="single" w:color="auto" w:sz="4" w:space="0"/>
            </w:tcBorders>
            <w:vAlign w:val="center"/>
          </w:tcPr>
          <w:p w14:paraId="1070870E">
            <w:pPr>
              <w:spacing w:line="300" w:lineRule="auto"/>
              <w:jc w:val="center"/>
              <w:rPr>
                <w:rFonts w:cs="宋体"/>
                <w:b/>
                <w:color w:val="auto"/>
                <w:kern w:val="1"/>
                <w:szCs w:val="21"/>
                <w:highlight w:val="none"/>
              </w:rPr>
            </w:pPr>
            <w:r>
              <w:rPr>
                <w:rFonts w:hint="eastAsia" w:cs="宋体"/>
                <w:b/>
                <w:color w:val="auto"/>
                <w:kern w:val="1"/>
                <w:szCs w:val="21"/>
                <w:highlight w:val="none"/>
              </w:rPr>
              <w:t>子要素内容</w:t>
            </w:r>
          </w:p>
        </w:tc>
        <w:tc>
          <w:tcPr>
            <w:tcW w:w="7300" w:type="dxa"/>
            <w:tcBorders>
              <w:left w:val="single" w:color="auto" w:sz="4" w:space="0"/>
              <w:right w:val="single" w:color="auto" w:sz="4" w:space="0"/>
            </w:tcBorders>
            <w:vAlign w:val="center"/>
          </w:tcPr>
          <w:p w14:paraId="5C751B5D">
            <w:pPr>
              <w:spacing w:line="300" w:lineRule="auto"/>
              <w:ind w:firstLine="340"/>
              <w:jc w:val="center"/>
              <w:rPr>
                <w:rFonts w:cs="宋体"/>
                <w:b/>
                <w:color w:val="auto"/>
                <w:kern w:val="1"/>
                <w:szCs w:val="21"/>
                <w:highlight w:val="none"/>
              </w:rPr>
            </w:pPr>
            <w:r>
              <w:rPr>
                <w:rFonts w:hint="eastAsia" w:cs="宋体"/>
                <w:b/>
                <w:color w:val="auto"/>
                <w:kern w:val="1"/>
                <w:szCs w:val="21"/>
                <w:highlight w:val="none"/>
              </w:rPr>
              <w:t>评审标准</w:t>
            </w:r>
          </w:p>
        </w:tc>
        <w:tc>
          <w:tcPr>
            <w:tcW w:w="2822" w:type="dxa"/>
            <w:tcBorders>
              <w:left w:val="single" w:color="auto" w:sz="4" w:space="0"/>
            </w:tcBorders>
            <w:vAlign w:val="center"/>
          </w:tcPr>
          <w:p w14:paraId="3031C70A">
            <w:pPr>
              <w:spacing w:line="300" w:lineRule="auto"/>
              <w:jc w:val="center"/>
              <w:rPr>
                <w:rFonts w:cs="宋体"/>
                <w:b/>
                <w:color w:val="auto"/>
                <w:kern w:val="1"/>
                <w:szCs w:val="21"/>
                <w:highlight w:val="none"/>
              </w:rPr>
            </w:pPr>
            <w:r>
              <w:rPr>
                <w:rFonts w:hint="eastAsia" w:ascii="宋体" w:hAnsi="宋体" w:cs="宋体"/>
                <w:b/>
                <w:color w:val="auto"/>
                <w:kern w:val="1"/>
                <w:szCs w:val="21"/>
                <w:highlight w:val="none"/>
              </w:rPr>
              <w:t>设置理由</w:t>
            </w:r>
          </w:p>
        </w:tc>
      </w:tr>
      <w:tr w14:paraId="302CAAE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482" w:hRule="atLeast"/>
        </w:trPr>
        <w:tc>
          <w:tcPr>
            <w:tcW w:w="955" w:type="dxa"/>
            <w:vMerge w:val="restart"/>
            <w:vAlign w:val="center"/>
          </w:tcPr>
          <w:p w14:paraId="3522BD44">
            <w:pPr>
              <w:autoSpaceDE w:val="0"/>
              <w:autoSpaceDN w:val="0"/>
              <w:spacing w:line="300" w:lineRule="auto"/>
              <w:jc w:val="center"/>
              <w:rPr>
                <w:rFonts w:cs="宋体"/>
                <w:color w:val="auto"/>
                <w:kern w:val="1"/>
                <w:szCs w:val="21"/>
                <w:highlight w:val="none"/>
              </w:rPr>
            </w:pPr>
            <w:r>
              <w:rPr>
                <w:rFonts w:hint="eastAsia" w:cs="宋体"/>
                <w:color w:val="auto"/>
                <w:kern w:val="1"/>
                <w:szCs w:val="21"/>
                <w:highlight w:val="none"/>
              </w:rPr>
              <w:t>3.2.2</w:t>
            </w:r>
          </w:p>
        </w:tc>
        <w:tc>
          <w:tcPr>
            <w:tcW w:w="1359" w:type="dxa"/>
            <w:vMerge w:val="restart"/>
            <w:vAlign w:val="center"/>
          </w:tcPr>
          <w:p w14:paraId="54AD8DC2">
            <w:pPr>
              <w:autoSpaceDE w:val="0"/>
              <w:autoSpaceDN w:val="0"/>
              <w:spacing w:line="300" w:lineRule="auto"/>
              <w:jc w:val="center"/>
              <w:rPr>
                <w:rFonts w:cs="宋体"/>
                <w:color w:val="auto"/>
                <w:kern w:val="1"/>
                <w:szCs w:val="21"/>
                <w:highlight w:val="none"/>
              </w:rPr>
            </w:pPr>
            <w:r>
              <w:rPr>
                <w:rFonts w:hint="eastAsia" w:cs="宋体"/>
                <w:color w:val="auto"/>
                <w:kern w:val="1"/>
                <w:szCs w:val="21"/>
                <w:highlight w:val="none"/>
              </w:rPr>
              <w:t>报价要素</w:t>
            </w:r>
          </w:p>
        </w:tc>
        <w:tc>
          <w:tcPr>
            <w:tcW w:w="1503" w:type="dxa"/>
            <w:tcBorders>
              <w:bottom w:val="single" w:color="auto" w:sz="4" w:space="0"/>
              <w:right w:val="single" w:color="auto" w:sz="4" w:space="0"/>
            </w:tcBorders>
            <w:vAlign w:val="center"/>
          </w:tcPr>
          <w:p w14:paraId="180C0470">
            <w:pPr>
              <w:autoSpaceDE w:val="0"/>
              <w:autoSpaceDN w:val="0"/>
              <w:spacing w:line="360" w:lineRule="auto"/>
              <w:jc w:val="center"/>
              <w:rPr>
                <w:color w:val="auto"/>
                <w:szCs w:val="21"/>
                <w:highlight w:val="none"/>
              </w:rPr>
            </w:pPr>
            <w:r>
              <w:rPr>
                <w:rFonts w:hint="eastAsia" w:ascii="宋体"/>
                <w:color w:val="auto"/>
                <w:szCs w:val="21"/>
                <w:highlight w:val="none"/>
              </w:rPr>
              <w:t>监理费报价</w:t>
            </w:r>
          </w:p>
        </w:tc>
        <w:tc>
          <w:tcPr>
            <w:tcW w:w="7300" w:type="dxa"/>
            <w:tcBorders>
              <w:left w:val="single" w:color="auto" w:sz="4" w:space="0"/>
              <w:bottom w:val="single" w:color="auto" w:sz="4" w:space="0"/>
              <w:right w:val="single" w:color="auto" w:sz="4" w:space="0"/>
            </w:tcBorders>
            <w:vAlign w:val="center"/>
          </w:tcPr>
          <w:p w14:paraId="405505F5">
            <w:pPr>
              <w:autoSpaceDE w:val="0"/>
              <w:autoSpaceDN w:val="0"/>
              <w:ind w:firstLine="420" w:firstLineChars="200"/>
              <w:jc w:val="left"/>
              <w:rPr>
                <w:color w:val="auto"/>
                <w:szCs w:val="21"/>
                <w:highlight w:val="none"/>
              </w:rPr>
            </w:pPr>
          </w:p>
        </w:tc>
        <w:tc>
          <w:tcPr>
            <w:tcW w:w="2822" w:type="dxa"/>
            <w:tcBorders>
              <w:left w:val="single" w:color="auto" w:sz="4" w:space="0"/>
              <w:bottom w:val="single" w:color="auto" w:sz="4" w:space="0"/>
            </w:tcBorders>
            <w:vAlign w:val="center"/>
          </w:tcPr>
          <w:p w14:paraId="4858AD77">
            <w:pPr>
              <w:autoSpaceDE w:val="0"/>
              <w:autoSpaceDN w:val="0"/>
              <w:spacing w:line="360" w:lineRule="auto"/>
              <w:jc w:val="center"/>
              <w:rPr>
                <w:color w:val="auto"/>
                <w:szCs w:val="21"/>
                <w:highlight w:val="none"/>
              </w:rPr>
            </w:pPr>
          </w:p>
        </w:tc>
      </w:tr>
      <w:tr w14:paraId="6580A5EA">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2189" w:hRule="atLeast"/>
        </w:trPr>
        <w:tc>
          <w:tcPr>
            <w:tcW w:w="955" w:type="dxa"/>
            <w:vMerge w:val="continue"/>
            <w:vAlign w:val="center"/>
          </w:tcPr>
          <w:p w14:paraId="7B46EAA5">
            <w:pPr>
              <w:autoSpaceDE w:val="0"/>
              <w:autoSpaceDN w:val="0"/>
              <w:spacing w:line="300" w:lineRule="auto"/>
              <w:jc w:val="center"/>
              <w:rPr>
                <w:rFonts w:cs="宋体"/>
                <w:color w:val="auto"/>
                <w:kern w:val="1"/>
                <w:szCs w:val="21"/>
                <w:highlight w:val="none"/>
              </w:rPr>
            </w:pPr>
          </w:p>
        </w:tc>
        <w:tc>
          <w:tcPr>
            <w:tcW w:w="1359" w:type="dxa"/>
            <w:vMerge w:val="continue"/>
            <w:vAlign w:val="center"/>
          </w:tcPr>
          <w:p w14:paraId="445A1CF9">
            <w:pPr>
              <w:autoSpaceDE w:val="0"/>
              <w:autoSpaceDN w:val="0"/>
              <w:spacing w:line="300" w:lineRule="auto"/>
              <w:jc w:val="center"/>
              <w:rPr>
                <w:rFonts w:cs="宋体"/>
                <w:color w:val="auto"/>
                <w:kern w:val="1"/>
                <w:szCs w:val="21"/>
                <w:highlight w:val="none"/>
              </w:rPr>
            </w:pPr>
          </w:p>
        </w:tc>
        <w:tc>
          <w:tcPr>
            <w:tcW w:w="1503" w:type="dxa"/>
            <w:tcBorders>
              <w:top w:val="single" w:color="auto" w:sz="4" w:space="0"/>
              <w:bottom w:val="single" w:color="auto" w:sz="4" w:space="0"/>
              <w:right w:val="single" w:color="auto" w:sz="4" w:space="0"/>
            </w:tcBorders>
            <w:vAlign w:val="center"/>
          </w:tcPr>
          <w:p w14:paraId="1067D293">
            <w:pPr>
              <w:autoSpaceDE w:val="0"/>
              <w:autoSpaceDN w:val="0"/>
              <w:spacing w:line="360" w:lineRule="auto"/>
              <w:jc w:val="center"/>
              <w:rPr>
                <w:color w:val="auto"/>
                <w:sz w:val="18"/>
                <w:szCs w:val="18"/>
                <w:highlight w:val="none"/>
              </w:rPr>
            </w:pPr>
            <w:r>
              <w:rPr>
                <w:rFonts w:hint="eastAsia"/>
                <w:color w:val="auto"/>
                <w:sz w:val="18"/>
                <w:szCs w:val="18"/>
                <w:highlight w:val="none"/>
              </w:rPr>
              <w:t>……</w:t>
            </w:r>
          </w:p>
        </w:tc>
        <w:tc>
          <w:tcPr>
            <w:tcW w:w="7300" w:type="dxa"/>
            <w:tcBorders>
              <w:top w:val="single" w:color="auto" w:sz="4" w:space="0"/>
              <w:left w:val="single" w:color="auto" w:sz="4" w:space="0"/>
              <w:bottom w:val="single" w:color="auto" w:sz="4" w:space="0"/>
              <w:right w:val="single" w:color="auto" w:sz="4" w:space="0"/>
            </w:tcBorders>
            <w:vAlign w:val="center"/>
          </w:tcPr>
          <w:p w14:paraId="796A893D">
            <w:pPr>
              <w:autoSpaceDE w:val="0"/>
              <w:autoSpaceDN w:val="0"/>
              <w:spacing w:line="360" w:lineRule="auto"/>
              <w:jc w:val="center"/>
              <w:rPr>
                <w:color w:val="auto"/>
                <w:sz w:val="18"/>
                <w:szCs w:val="18"/>
                <w:highlight w:val="none"/>
              </w:rPr>
            </w:pPr>
            <w:r>
              <w:rPr>
                <w:rFonts w:hint="eastAsia"/>
                <w:color w:val="auto"/>
                <w:sz w:val="18"/>
                <w:szCs w:val="18"/>
                <w:highlight w:val="none"/>
              </w:rPr>
              <w:t>……</w:t>
            </w:r>
          </w:p>
        </w:tc>
        <w:tc>
          <w:tcPr>
            <w:tcW w:w="2822" w:type="dxa"/>
            <w:tcBorders>
              <w:top w:val="single" w:color="auto" w:sz="4" w:space="0"/>
              <w:left w:val="single" w:color="auto" w:sz="4" w:space="0"/>
              <w:bottom w:val="single" w:color="auto" w:sz="4" w:space="0"/>
            </w:tcBorders>
            <w:vAlign w:val="center"/>
          </w:tcPr>
          <w:p w14:paraId="322C276C">
            <w:pPr>
              <w:autoSpaceDE w:val="0"/>
              <w:autoSpaceDN w:val="0"/>
              <w:spacing w:line="360" w:lineRule="auto"/>
              <w:jc w:val="center"/>
              <w:rPr>
                <w:color w:val="auto"/>
                <w:sz w:val="18"/>
                <w:szCs w:val="18"/>
                <w:highlight w:val="none"/>
              </w:rPr>
            </w:pPr>
            <w:r>
              <w:rPr>
                <w:rFonts w:hint="eastAsia"/>
                <w:color w:val="auto"/>
                <w:sz w:val="18"/>
                <w:szCs w:val="18"/>
                <w:highlight w:val="none"/>
              </w:rPr>
              <w:t>……</w:t>
            </w:r>
          </w:p>
        </w:tc>
      </w:tr>
    </w:tbl>
    <w:p w14:paraId="2CC5CA0B">
      <w:pPr>
        <w:keepNext w:val="0"/>
        <w:keepLines w:val="0"/>
        <w:widowControl/>
        <w:spacing w:beforeLines="-2147483648" w:afterLines="-2147483648" w:line="240" w:lineRule="auto"/>
        <w:outlineLvl w:val="9"/>
        <w:rPr>
          <w:rFonts w:hint="eastAsia" w:ascii="黑体" w:hAnsi="黑体" w:eastAsia="黑体"/>
          <w:color w:val="auto"/>
          <w:kern w:val="1"/>
          <w:szCs w:val="21"/>
          <w:highlight w:val="none"/>
        </w:rPr>
        <w:sectPr>
          <w:footnotePr>
            <w:numFmt w:val="decimalEnclosedCircleChinese"/>
          </w:footnotePr>
          <w:pgSz w:w="16838" w:h="11906" w:orient="landscape"/>
          <w:pgMar w:top="1134" w:right="1440" w:bottom="992" w:left="1440" w:header="850" w:footer="992" w:gutter="0"/>
          <w:cols w:space="0" w:num="1"/>
          <w:docGrid w:linePitch="312" w:charSpace="0"/>
        </w:sectPr>
      </w:pPr>
    </w:p>
    <w:p w14:paraId="2CE669BB">
      <w:pPr>
        <w:keepNext w:val="0"/>
        <w:keepLines w:val="0"/>
        <w:widowControl/>
        <w:spacing w:beforeLines="-2147483648" w:afterLines="-2147483648" w:line="240" w:lineRule="auto"/>
        <w:outlineLvl w:val="9"/>
        <w:rPr>
          <w:rFonts w:hint="eastAsia" w:ascii="黑体" w:hAnsi="黑体" w:eastAsia="黑体"/>
          <w:color w:val="auto"/>
          <w:kern w:val="1"/>
          <w:szCs w:val="21"/>
          <w:highlight w:val="none"/>
        </w:rPr>
      </w:pPr>
    </w:p>
    <w:p w14:paraId="0A27CC48">
      <w:pPr>
        <w:keepNext/>
        <w:keepLines/>
        <w:widowControl/>
        <w:spacing w:before="317" w:beforeLines="100" w:after="317" w:afterLines="100" w:line="360" w:lineRule="auto"/>
        <w:outlineLvl w:val="1"/>
        <w:rPr>
          <w:rFonts w:cs="宋体"/>
          <w:b/>
          <w:color w:val="auto"/>
          <w:highlight w:val="none"/>
        </w:rPr>
      </w:pPr>
      <w:r>
        <w:rPr>
          <w:rFonts w:hint="eastAsia" w:ascii="黑体" w:hAnsi="黑体" w:eastAsia="黑体"/>
          <w:color w:val="auto"/>
          <w:kern w:val="1"/>
          <w:szCs w:val="21"/>
          <w:highlight w:val="none"/>
        </w:rPr>
        <w:t>定标方案附件</w:t>
      </w:r>
      <w:r>
        <w:rPr>
          <w:rFonts w:hint="eastAsia" w:ascii="宋体" w:hAnsi="宋体" w:cs="宋体"/>
          <w:color w:val="auto"/>
          <w:szCs w:val="21"/>
          <w:highlight w:val="none"/>
        </w:rPr>
        <w:t>：陈述答辩</w:t>
      </w:r>
      <w:r>
        <w:rPr>
          <w:rFonts w:hint="eastAsia" w:ascii="宋体" w:hAnsi="宋体" w:cs="宋体"/>
          <w:color w:val="auto"/>
          <w:szCs w:val="21"/>
          <w:highlight w:val="none"/>
          <w:lang w:val="en-US" w:eastAsia="zh-CN"/>
        </w:rPr>
        <w:t>考核方案</w:t>
      </w:r>
    </w:p>
    <w:tbl>
      <w:tblPr>
        <w:tblStyle w:val="44"/>
        <w:tblW w:w="9311" w:type="dxa"/>
        <w:tblInd w:w="108"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945"/>
        <w:gridCol w:w="1426"/>
        <w:gridCol w:w="5352"/>
        <w:gridCol w:w="1588"/>
      </w:tblGrid>
      <w:tr w14:paraId="43A353E2">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02" w:hRule="atLeast"/>
        </w:trPr>
        <w:tc>
          <w:tcPr>
            <w:tcW w:w="945" w:type="dxa"/>
            <w:tcBorders>
              <w:bottom w:val="single" w:color="auto" w:sz="4" w:space="0"/>
            </w:tcBorders>
            <w:vAlign w:val="center"/>
          </w:tcPr>
          <w:p w14:paraId="483A527C">
            <w:pPr>
              <w:spacing w:line="300" w:lineRule="auto"/>
              <w:jc w:val="center"/>
              <w:rPr>
                <w:rFonts w:cs="宋体"/>
                <w:b/>
                <w:color w:val="auto"/>
                <w:kern w:val="1"/>
                <w:szCs w:val="21"/>
                <w:highlight w:val="none"/>
              </w:rPr>
            </w:pPr>
            <w:r>
              <w:rPr>
                <w:rFonts w:hint="eastAsia" w:cs="宋体"/>
                <w:b/>
                <w:color w:val="auto"/>
                <w:kern w:val="1"/>
                <w:szCs w:val="21"/>
                <w:highlight w:val="none"/>
              </w:rPr>
              <w:t>条款号</w:t>
            </w:r>
          </w:p>
        </w:tc>
        <w:tc>
          <w:tcPr>
            <w:tcW w:w="1426" w:type="dxa"/>
            <w:tcBorders>
              <w:bottom w:val="single" w:color="auto" w:sz="4" w:space="0"/>
            </w:tcBorders>
            <w:vAlign w:val="center"/>
          </w:tcPr>
          <w:p w14:paraId="67CCA165">
            <w:pPr>
              <w:spacing w:line="300" w:lineRule="auto"/>
              <w:jc w:val="center"/>
              <w:rPr>
                <w:rFonts w:cs="宋体"/>
                <w:b/>
                <w:color w:val="auto"/>
                <w:kern w:val="1"/>
                <w:szCs w:val="21"/>
                <w:highlight w:val="none"/>
              </w:rPr>
            </w:pPr>
            <w:r>
              <w:rPr>
                <w:rFonts w:hint="eastAsia" w:cs="宋体"/>
                <w:b/>
                <w:color w:val="auto"/>
                <w:kern w:val="1"/>
                <w:szCs w:val="21"/>
                <w:highlight w:val="none"/>
              </w:rPr>
              <w:t>定标要素</w:t>
            </w:r>
          </w:p>
        </w:tc>
        <w:tc>
          <w:tcPr>
            <w:tcW w:w="5352" w:type="dxa"/>
            <w:tcBorders>
              <w:left w:val="single" w:color="auto" w:sz="4" w:space="0"/>
              <w:right w:val="single" w:color="auto" w:sz="4" w:space="0"/>
            </w:tcBorders>
            <w:vAlign w:val="center"/>
          </w:tcPr>
          <w:p w14:paraId="04D358F0">
            <w:pPr>
              <w:spacing w:line="300" w:lineRule="auto"/>
              <w:ind w:firstLine="340"/>
              <w:jc w:val="center"/>
              <w:rPr>
                <w:rFonts w:cs="宋体"/>
                <w:b/>
                <w:color w:val="auto"/>
                <w:kern w:val="1"/>
                <w:szCs w:val="21"/>
                <w:highlight w:val="none"/>
              </w:rPr>
            </w:pPr>
            <w:r>
              <w:rPr>
                <w:rFonts w:hint="eastAsia" w:cs="宋体"/>
                <w:b/>
                <w:color w:val="auto"/>
                <w:kern w:val="1"/>
                <w:szCs w:val="21"/>
                <w:highlight w:val="none"/>
              </w:rPr>
              <w:t>评审标准</w:t>
            </w:r>
          </w:p>
        </w:tc>
        <w:tc>
          <w:tcPr>
            <w:tcW w:w="1588" w:type="dxa"/>
            <w:tcBorders>
              <w:left w:val="single" w:color="auto" w:sz="4" w:space="0"/>
              <w:right w:val="single" w:color="auto" w:sz="4" w:space="0"/>
            </w:tcBorders>
            <w:vAlign w:val="center"/>
          </w:tcPr>
          <w:p w14:paraId="4AE16F5E">
            <w:pPr>
              <w:spacing w:line="300" w:lineRule="auto"/>
              <w:jc w:val="center"/>
              <w:rPr>
                <w:rFonts w:cs="宋体"/>
                <w:b/>
                <w:color w:val="auto"/>
                <w:kern w:val="1"/>
                <w:szCs w:val="21"/>
                <w:highlight w:val="none"/>
              </w:rPr>
            </w:pPr>
            <w:r>
              <w:rPr>
                <w:rFonts w:hint="eastAsia" w:cs="宋体"/>
                <w:b/>
                <w:color w:val="auto"/>
                <w:kern w:val="1"/>
                <w:szCs w:val="21"/>
                <w:highlight w:val="none"/>
              </w:rPr>
              <w:t>权重</w:t>
            </w:r>
            <w:r>
              <w:rPr>
                <w:rStyle w:val="53"/>
                <w:rFonts w:hint="eastAsia" w:cs="宋体"/>
                <w:b/>
                <w:color w:val="auto"/>
                <w:kern w:val="1"/>
                <w:szCs w:val="21"/>
                <w:highlight w:val="none"/>
              </w:rPr>
              <w:footnoteReference w:id="8"/>
            </w:r>
          </w:p>
        </w:tc>
      </w:tr>
      <w:tr w14:paraId="2E60AF0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1408" w:hRule="atLeast"/>
        </w:trPr>
        <w:tc>
          <w:tcPr>
            <w:tcW w:w="945" w:type="dxa"/>
            <w:vMerge w:val="restart"/>
            <w:vAlign w:val="center"/>
          </w:tcPr>
          <w:p w14:paraId="2028A0AB">
            <w:pPr>
              <w:autoSpaceDE w:val="0"/>
              <w:autoSpaceDN w:val="0"/>
              <w:spacing w:line="300" w:lineRule="auto"/>
              <w:jc w:val="center"/>
              <w:rPr>
                <w:rFonts w:cs="宋体"/>
                <w:color w:val="auto"/>
                <w:kern w:val="1"/>
                <w:szCs w:val="21"/>
                <w:highlight w:val="none"/>
              </w:rPr>
            </w:pPr>
            <w:r>
              <w:rPr>
                <w:rFonts w:hint="eastAsia" w:cs="宋体"/>
                <w:color w:val="auto"/>
                <w:kern w:val="1"/>
                <w:szCs w:val="21"/>
                <w:highlight w:val="none"/>
              </w:rPr>
              <w:t>3.2.2</w:t>
            </w:r>
          </w:p>
        </w:tc>
        <w:tc>
          <w:tcPr>
            <w:tcW w:w="1426" w:type="dxa"/>
            <w:vMerge w:val="restart"/>
            <w:vAlign w:val="center"/>
          </w:tcPr>
          <w:p w14:paraId="4BEDC66E">
            <w:pPr>
              <w:autoSpaceDE w:val="0"/>
              <w:autoSpaceDN w:val="0"/>
              <w:spacing w:line="300" w:lineRule="auto"/>
              <w:jc w:val="center"/>
              <w:rPr>
                <w:rFonts w:cs="宋体"/>
                <w:color w:val="auto"/>
                <w:kern w:val="1"/>
                <w:szCs w:val="21"/>
                <w:highlight w:val="none"/>
              </w:rPr>
            </w:pPr>
            <w:r>
              <w:rPr>
                <w:rFonts w:hint="eastAsia" w:cs="宋体"/>
                <w:color w:val="auto"/>
                <w:kern w:val="1"/>
                <w:szCs w:val="21"/>
                <w:highlight w:val="none"/>
                <w:lang w:val="en-US" w:eastAsia="zh-CN"/>
              </w:rPr>
              <w:t>总监理工程师</w:t>
            </w:r>
            <w:r>
              <w:rPr>
                <w:rFonts w:hint="eastAsia" w:cs="宋体"/>
                <w:color w:val="auto"/>
                <w:kern w:val="1"/>
                <w:szCs w:val="21"/>
                <w:highlight w:val="none"/>
              </w:rPr>
              <w:t>陈述答辩</w:t>
            </w:r>
          </w:p>
        </w:tc>
        <w:tc>
          <w:tcPr>
            <w:tcW w:w="5352" w:type="dxa"/>
            <w:tcBorders>
              <w:left w:val="single" w:color="auto" w:sz="4" w:space="0"/>
              <w:right w:val="single" w:color="auto" w:sz="4" w:space="0"/>
            </w:tcBorders>
            <w:vAlign w:val="center"/>
          </w:tcPr>
          <w:p w14:paraId="2F4C1725">
            <w:pPr>
              <w:autoSpaceDE w:val="0"/>
              <w:autoSpaceDN w:val="0"/>
              <w:spacing w:before="158" w:beforeLines="50" w:after="158" w:afterLines="50"/>
              <w:ind w:firstLine="420" w:firstLineChars="200"/>
              <w:jc w:val="left"/>
              <w:rPr>
                <w:rFonts w:ascii="宋体" w:hAnsi="宋体" w:cs="宋体"/>
                <w:color w:val="auto"/>
                <w:kern w:val="0"/>
                <w:szCs w:val="21"/>
                <w:highlight w:val="none"/>
              </w:rPr>
            </w:pPr>
            <w:r>
              <w:rPr>
                <w:rFonts w:hint="eastAsia" w:ascii="黑体" w:hAnsi="黑体" w:eastAsia="黑体" w:cs="黑体"/>
                <w:color w:val="auto"/>
                <w:kern w:val="0"/>
                <w:szCs w:val="21"/>
                <w:highlight w:val="none"/>
              </w:rPr>
              <w:t>1.重难点的把握及解决方案陈述</w:t>
            </w:r>
          </w:p>
          <w:p w14:paraId="60A78BB2">
            <w:pPr>
              <w:pStyle w:val="29"/>
              <w:tabs>
                <w:tab w:val="right" w:pos="8305"/>
                <w:tab w:val="clear" w:pos="8306"/>
              </w:tabs>
              <w:jc w:val="both"/>
              <w:rPr>
                <w:rFonts w:ascii="宋体" w:hAnsi="宋体" w:cs="宋体"/>
                <w:color w:val="auto"/>
                <w:kern w:val="0"/>
                <w:sz w:val="21"/>
                <w:szCs w:val="21"/>
                <w:highlight w:val="none"/>
                <w:u w:val="single"/>
              </w:rPr>
            </w:pPr>
            <w:r>
              <w:rPr>
                <w:rFonts w:hint="eastAsia" w:ascii="宋体" w:hAnsi="宋体" w:cs="宋体"/>
                <w:color w:val="auto"/>
                <w:kern w:val="0"/>
                <w:sz w:val="21"/>
                <w:szCs w:val="21"/>
                <w:highlight w:val="none"/>
              </w:rPr>
              <w:t>评审标准：</w:t>
            </w:r>
            <w:r>
              <w:rPr>
                <w:rFonts w:hint="eastAsia" w:ascii="宋体" w:hAnsi="宋体" w:cs="宋体"/>
                <w:color w:val="auto"/>
                <w:kern w:val="0"/>
                <w:sz w:val="21"/>
                <w:szCs w:val="21"/>
                <w:highlight w:val="none"/>
                <w:u w:val="single"/>
              </w:rPr>
              <w:t xml:space="preserve">                                                                                      </w:t>
            </w:r>
          </w:p>
          <w:p w14:paraId="3BC903BC">
            <w:pPr>
              <w:pStyle w:val="29"/>
              <w:tabs>
                <w:tab w:val="right" w:pos="8305"/>
                <w:tab w:val="clear" w:pos="8306"/>
              </w:tabs>
              <w:jc w:val="both"/>
              <w:rPr>
                <w:rFonts w:ascii="宋体" w:hAnsi="宋体" w:cs="宋体"/>
                <w:color w:val="auto"/>
                <w:kern w:val="0"/>
                <w:sz w:val="21"/>
                <w:szCs w:val="21"/>
                <w:highlight w:val="none"/>
                <w:u w:val="single"/>
              </w:rPr>
            </w:pPr>
            <w:r>
              <w:rPr>
                <w:rFonts w:hint="eastAsia" w:ascii="宋体" w:hAnsi="宋体" w:cs="宋体"/>
                <w:color w:val="auto"/>
                <w:kern w:val="0"/>
                <w:sz w:val="21"/>
                <w:szCs w:val="21"/>
                <w:highlight w:val="none"/>
                <w:u w:val="single"/>
              </w:rPr>
              <w:t xml:space="preserve">                                                                                              </w:t>
            </w:r>
          </w:p>
          <w:p w14:paraId="502A128D">
            <w:pPr>
              <w:autoSpaceDE w:val="0"/>
              <w:autoSpaceDN w:val="0"/>
              <w:spacing w:line="360" w:lineRule="auto"/>
              <w:jc w:val="left"/>
              <w:rPr>
                <w:color w:val="auto"/>
                <w:sz w:val="18"/>
                <w:szCs w:val="18"/>
                <w:highlight w:val="none"/>
              </w:rPr>
            </w:pPr>
          </w:p>
        </w:tc>
        <w:tc>
          <w:tcPr>
            <w:tcW w:w="1588" w:type="dxa"/>
            <w:tcBorders>
              <w:left w:val="single" w:color="auto" w:sz="4" w:space="0"/>
              <w:right w:val="single" w:color="auto" w:sz="4" w:space="0"/>
            </w:tcBorders>
            <w:vAlign w:val="center"/>
          </w:tcPr>
          <w:p w14:paraId="649E8D0D">
            <w:pPr>
              <w:autoSpaceDE w:val="0"/>
              <w:autoSpaceDN w:val="0"/>
              <w:spacing w:line="360" w:lineRule="auto"/>
              <w:jc w:val="right"/>
              <w:rPr>
                <w:rFonts w:ascii="黑体" w:hAnsi="黑体" w:eastAsia="黑体" w:cs="黑体"/>
                <w:color w:val="auto"/>
                <w:kern w:val="0"/>
                <w:szCs w:val="21"/>
                <w:highlight w:val="none"/>
              </w:rPr>
            </w:pPr>
            <w:r>
              <w:rPr>
                <w:rFonts w:hint="eastAsia" w:hAnsi="宋体" w:cs="宋体"/>
                <w:color w:val="auto"/>
                <w:szCs w:val="21"/>
                <w:highlight w:val="none"/>
                <w:u w:val="single"/>
              </w:rPr>
              <w:t xml:space="preserve">   </w:t>
            </w:r>
            <w:r>
              <w:rPr>
                <w:rFonts w:hint="eastAsia" w:hAnsi="宋体" w:cs="宋体"/>
                <w:color w:val="auto"/>
                <w:szCs w:val="21"/>
                <w:highlight w:val="none"/>
              </w:rPr>
              <w:t>%</w:t>
            </w:r>
          </w:p>
        </w:tc>
      </w:tr>
      <w:tr w14:paraId="7C69FBB8">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1958" w:hRule="atLeast"/>
        </w:trPr>
        <w:tc>
          <w:tcPr>
            <w:tcW w:w="945" w:type="dxa"/>
            <w:vMerge w:val="continue"/>
            <w:vAlign w:val="center"/>
          </w:tcPr>
          <w:p w14:paraId="47F14BF0">
            <w:pPr>
              <w:autoSpaceDE w:val="0"/>
              <w:autoSpaceDN w:val="0"/>
              <w:spacing w:line="300" w:lineRule="auto"/>
              <w:jc w:val="center"/>
              <w:rPr>
                <w:rFonts w:cs="宋体"/>
                <w:color w:val="auto"/>
                <w:kern w:val="1"/>
                <w:szCs w:val="21"/>
                <w:highlight w:val="none"/>
              </w:rPr>
            </w:pPr>
          </w:p>
        </w:tc>
        <w:tc>
          <w:tcPr>
            <w:tcW w:w="1426" w:type="dxa"/>
            <w:vMerge w:val="continue"/>
            <w:vAlign w:val="center"/>
          </w:tcPr>
          <w:p w14:paraId="0119210E">
            <w:pPr>
              <w:autoSpaceDE w:val="0"/>
              <w:autoSpaceDN w:val="0"/>
              <w:spacing w:line="300" w:lineRule="auto"/>
              <w:jc w:val="center"/>
              <w:rPr>
                <w:rFonts w:cs="宋体"/>
                <w:color w:val="auto"/>
                <w:kern w:val="1"/>
                <w:szCs w:val="21"/>
                <w:highlight w:val="none"/>
              </w:rPr>
            </w:pPr>
          </w:p>
        </w:tc>
        <w:tc>
          <w:tcPr>
            <w:tcW w:w="5352" w:type="dxa"/>
            <w:tcBorders>
              <w:left w:val="single" w:color="auto" w:sz="4" w:space="0"/>
              <w:right w:val="single" w:color="auto" w:sz="4" w:space="0"/>
            </w:tcBorders>
            <w:vAlign w:val="center"/>
          </w:tcPr>
          <w:p w14:paraId="1E69AD70">
            <w:pPr>
              <w:autoSpaceDE w:val="0"/>
              <w:autoSpaceDN w:val="0"/>
              <w:spacing w:before="158" w:beforeLines="50" w:after="158" w:afterLines="50"/>
              <w:ind w:firstLine="420" w:firstLineChars="20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2.项目应急保障能力陈述</w:t>
            </w:r>
          </w:p>
          <w:p w14:paraId="583AFE5E">
            <w:pPr>
              <w:pStyle w:val="2"/>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评审标准：</w:t>
            </w:r>
            <w:r>
              <w:rPr>
                <w:rFonts w:hint="eastAsia" w:ascii="宋体" w:hAnsi="宋体" w:eastAsia="宋体" w:cs="宋体"/>
                <w:color w:val="auto"/>
                <w:kern w:val="0"/>
                <w:szCs w:val="21"/>
                <w:highlight w:val="none"/>
                <w:u w:val="single"/>
              </w:rPr>
              <w:t xml:space="preserve">                                                                                                      </w:t>
            </w:r>
          </w:p>
          <w:p w14:paraId="6A8049D4">
            <w:pPr>
              <w:pStyle w:val="29"/>
              <w:tabs>
                <w:tab w:val="right" w:pos="8305"/>
                <w:tab w:val="clear" w:pos="8306"/>
              </w:tabs>
              <w:jc w:val="both"/>
              <w:rPr>
                <w:rFonts w:ascii="宋体" w:hAnsi="宋体" w:cs="宋体"/>
                <w:color w:val="auto"/>
                <w:kern w:val="0"/>
                <w:sz w:val="21"/>
                <w:szCs w:val="21"/>
                <w:highlight w:val="none"/>
                <w:u w:val="single"/>
              </w:rPr>
            </w:pPr>
            <w:r>
              <w:rPr>
                <w:rFonts w:hint="eastAsia" w:ascii="宋体" w:hAnsi="宋体" w:cs="宋体"/>
                <w:color w:val="auto"/>
                <w:kern w:val="0"/>
                <w:sz w:val="21"/>
                <w:szCs w:val="21"/>
                <w:highlight w:val="none"/>
                <w:u w:val="single"/>
              </w:rPr>
              <w:t xml:space="preserve">                                                                                                      </w:t>
            </w:r>
          </w:p>
          <w:p w14:paraId="4DE679F6">
            <w:pPr>
              <w:autoSpaceDE w:val="0"/>
              <w:autoSpaceDN w:val="0"/>
              <w:spacing w:line="360" w:lineRule="auto"/>
              <w:jc w:val="left"/>
              <w:rPr>
                <w:rFonts w:ascii="黑体" w:hAnsi="黑体" w:eastAsia="黑体" w:cs="黑体"/>
                <w:color w:val="auto"/>
                <w:kern w:val="0"/>
                <w:szCs w:val="21"/>
                <w:highlight w:val="none"/>
              </w:rPr>
            </w:pPr>
            <w:r>
              <w:rPr>
                <w:rFonts w:hint="eastAsia" w:ascii="宋体" w:hAnsi="宋体" w:cs="宋体"/>
                <w:color w:val="auto"/>
                <w:kern w:val="0"/>
                <w:szCs w:val="21"/>
                <w:highlight w:val="none"/>
                <w:u w:val="single"/>
              </w:rPr>
              <w:t xml:space="preserve">                                                 </w:t>
            </w:r>
          </w:p>
        </w:tc>
        <w:tc>
          <w:tcPr>
            <w:tcW w:w="1588" w:type="dxa"/>
            <w:tcBorders>
              <w:left w:val="single" w:color="auto" w:sz="4" w:space="0"/>
              <w:right w:val="single" w:color="auto" w:sz="4" w:space="0"/>
            </w:tcBorders>
            <w:vAlign w:val="center"/>
          </w:tcPr>
          <w:p w14:paraId="40CA5115">
            <w:pPr>
              <w:autoSpaceDE w:val="0"/>
              <w:autoSpaceDN w:val="0"/>
              <w:spacing w:line="360" w:lineRule="auto"/>
              <w:jc w:val="right"/>
              <w:rPr>
                <w:rFonts w:ascii="黑体" w:hAnsi="黑体" w:eastAsia="黑体" w:cs="黑体"/>
                <w:color w:val="auto"/>
                <w:kern w:val="0"/>
                <w:szCs w:val="21"/>
                <w:highlight w:val="none"/>
              </w:rPr>
            </w:pPr>
            <w:r>
              <w:rPr>
                <w:rFonts w:hint="eastAsia" w:hAnsi="宋体" w:cs="宋体"/>
                <w:color w:val="auto"/>
                <w:szCs w:val="21"/>
                <w:highlight w:val="none"/>
                <w:u w:val="single"/>
              </w:rPr>
              <w:t xml:space="preserve">   </w:t>
            </w:r>
            <w:r>
              <w:rPr>
                <w:rFonts w:hint="eastAsia" w:hAnsi="宋体" w:cs="宋体"/>
                <w:color w:val="auto"/>
                <w:szCs w:val="21"/>
                <w:highlight w:val="none"/>
              </w:rPr>
              <w:t>%</w:t>
            </w:r>
            <w:r>
              <w:rPr>
                <w:rStyle w:val="53"/>
                <w:rFonts w:hint="eastAsia" w:hAnsi="宋体" w:cs="宋体"/>
                <w:color w:val="auto"/>
                <w:szCs w:val="21"/>
                <w:highlight w:val="none"/>
              </w:rPr>
              <w:footnoteReference w:id="9"/>
            </w:r>
          </w:p>
        </w:tc>
      </w:tr>
      <w:tr w14:paraId="3438C6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1527" w:hRule="atLeast"/>
        </w:trPr>
        <w:tc>
          <w:tcPr>
            <w:tcW w:w="945" w:type="dxa"/>
            <w:vMerge w:val="continue"/>
            <w:tcBorders>
              <w:bottom w:val="single" w:color="auto" w:sz="4" w:space="0"/>
            </w:tcBorders>
            <w:vAlign w:val="center"/>
          </w:tcPr>
          <w:p w14:paraId="3322747F">
            <w:pPr>
              <w:autoSpaceDE w:val="0"/>
              <w:autoSpaceDN w:val="0"/>
              <w:spacing w:line="300" w:lineRule="auto"/>
              <w:jc w:val="center"/>
              <w:rPr>
                <w:rFonts w:cs="宋体"/>
                <w:color w:val="auto"/>
                <w:kern w:val="1"/>
                <w:szCs w:val="21"/>
                <w:highlight w:val="none"/>
              </w:rPr>
            </w:pPr>
          </w:p>
        </w:tc>
        <w:tc>
          <w:tcPr>
            <w:tcW w:w="1426" w:type="dxa"/>
            <w:vMerge w:val="continue"/>
            <w:tcBorders>
              <w:bottom w:val="single" w:color="auto" w:sz="4" w:space="0"/>
            </w:tcBorders>
            <w:vAlign w:val="center"/>
          </w:tcPr>
          <w:p w14:paraId="0BF666C3">
            <w:pPr>
              <w:autoSpaceDE w:val="0"/>
              <w:autoSpaceDN w:val="0"/>
              <w:spacing w:line="300" w:lineRule="auto"/>
              <w:jc w:val="center"/>
              <w:rPr>
                <w:rFonts w:cs="宋体"/>
                <w:color w:val="auto"/>
                <w:kern w:val="1"/>
                <w:szCs w:val="21"/>
                <w:highlight w:val="none"/>
              </w:rPr>
            </w:pPr>
          </w:p>
        </w:tc>
        <w:tc>
          <w:tcPr>
            <w:tcW w:w="5352" w:type="dxa"/>
            <w:tcBorders>
              <w:left w:val="single" w:color="auto" w:sz="4" w:space="0"/>
              <w:bottom w:val="single" w:color="auto" w:sz="4" w:space="0"/>
              <w:right w:val="single" w:color="auto" w:sz="4" w:space="0"/>
            </w:tcBorders>
            <w:vAlign w:val="center"/>
          </w:tcPr>
          <w:p w14:paraId="5F86EA6B">
            <w:pPr>
              <w:autoSpaceDE w:val="0"/>
              <w:autoSpaceDN w:val="0"/>
              <w:spacing w:before="158" w:beforeLines="50" w:after="158" w:afterLines="50"/>
              <w:ind w:firstLine="420" w:firstLineChars="20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3.答辩</w:t>
            </w:r>
          </w:p>
          <w:p w14:paraId="1E6FA7BC">
            <w:pPr>
              <w:pStyle w:val="2"/>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评审标准：</w:t>
            </w:r>
            <w:r>
              <w:rPr>
                <w:rFonts w:hint="eastAsia" w:ascii="宋体" w:hAnsi="宋体" w:eastAsia="宋体" w:cs="宋体"/>
                <w:color w:val="auto"/>
                <w:kern w:val="0"/>
                <w:szCs w:val="21"/>
                <w:highlight w:val="none"/>
                <w:u w:val="single"/>
              </w:rPr>
              <w:t xml:space="preserve">                                                                                                     </w:t>
            </w:r>
          </w:p>
          <w:p w14:paraId="74698CCB">
            <w:pPr>
              <w:pStyle w:val="29"/>
              <w:tabs>
                <w:tab w:val="right" w:pos="8305"/>
                <w:tab w:val="clear" w:pos="8306"/>
              </w:tabs>
              <w:jc w:val="both"/>
              <w:rPr>
                <w:rFonts w:ascii="宋体" w:hAnsi="宋体" w:cs="宋体"/>
                <w:color w:val="auto"/>
                <w:kern w:val="0"/>
                <w:sz w:val="21"/>
                <w:szCs w:val="21"/>
                <w:highlight w:val="none"/>
                <w:u w:val="single"/>
              </w:rPr>
            </w:pPr>
            <w:r>
              <w:rPr>
                <w:rFonts w:hint="eastAsia" w:ascii="宋体" w:hAnsi="宋体" w:cs="宋体"/>
                <w:color w:val="auto"/>
                <w:kern w:val="0"/>
                <w:sz w:val="21"/>
                <w:szCs w:val="21"/>
                <w:highlight w:val="none"/>
                <w:u w:val="single"/>
              </w:rPr>
              <w:t xml:space="preserve">                                                                                                      </w:t>
            </w:r>
          </w:p>
          <w:p w14:paraId="4194849B">
            <w:pPr>
              <w:autoSpaceDE w:val="0"/>
              <w:autoSpaceDN w:val="0"/>
              <w:spacing w:line="360" w:lineRule="auto"/>
              <w:jc w:val="left"/>
              <w:rPr>
                <w:rFonts w:ascii="黑体" w:hAnsi="黑体" w:eastAsia="黑体" w:cs="黑体"/>
                <w:color w:val="auto"/>
                <w:kern w:val="0"/>
                <w:szCs w:val="21"/>
                <w:highlight w:val="none"/>
              </w:rPr>
            </w:pPr>
          </w:p>
          <w:p w14:paraId="088F9944">
            <w:pPr>
              <w:autoSpaceDE w:val="0"/>
              <w:autoSpaceDN w:val="0"/>
              <w:spacing w:line="360" w:lineRule="auto"/>
              <w:jc w:val="left"/>
              <w:rPr>
                <w:rFonts w:ascii="宋体" w:hAnsi="宋体" w:cs="宋体"/>
                <w:color w:val="auto"/>
                <w:kern w:val="0"/>
                <w:szCs w:val="21"/>
                <w:highlight w:val="none"/>
                <w:u w:val="single"/>
              </w:rPr>
            </w:pPr>
          </w:p>
        </w:tc>
        <w:tc>
          <w:tcPr>
            <w:tcW w:w="1588" w:type="dxa"/>
            <w:tcBorders>
              <w:left w:val="single" w:color="auto" w:sz="4" w:space="0"/>
              <w:right w:val="single" w:color="auto" w:sz="4" w:space="0"/>
            </w:tcBorders>
            <w:vAlign w:val="center"/>
          </w:tcPr>
          <w:p w14:paraId="6E084EF4">
            <w:pPr>
              <w:autoSpaceDE w:val="0"/>
              <w:autoSpaceDN w:val="0"/>
              <w:spacing w:line="360" w:lineRule="auto"/>
              <w:jc w:val="right"/>
              <w:rPr>
                <w:rFonts w:ascii="黑体" w:hAnsi="黑体" w:eastAsia="黑体" w:cs="黑体"/>
                <w:color w:val="auto"/>
                <w:kern w:val="0"/>
                <w:szCs w:val="21"/>
                <w:highlight w:val="none"/>
              </w:rPr>
            </w:pPr>
            <w:r>
              <w:rPr>
                <w:rFonts w:hint="eastAsia" w:hAnsi="宋体" w:cs="宋体"/>
                <w:color w:val="auto"/>
                <w:szCs w:val="21"/>
                <w:highlight w:val="none"/>
                <w:u w:val="single"/>
              </w:rPr>
              <w:t xml:space="preserve">   </w:t>
            </w:r>
            <w:r>
              <w:rPr>
                <w:rFonts w:hint="eastAsia" w:hAnsi="宋体" w:cs="宋体"/>
                <w:color w:val="auto"/>
                <w:szCs w:val="21"/>
                <w:highlight w:val="none"/>
              </w:rPr>
              <w:t>%</w:t>
            </w:r>
          </w:p>
        </w:tc>
      </w:tr>
      <w:tr w14:paraId="61F5B6E8">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1155" w:hRule="atLeast"/>
        </w:trPr>
        <w:tc>
          <w:tcPr>
            <w:tcW w:w="9311" w:type="dxa"/>
            <w:gridSpan w:val="4"/>
            <w:tcBorders>
              <w:top w:val="single" w:color="auto" w:sz="4" w:space="0"/>
              <w:right w:val="single" w:color="auto" w:sz="4" w:space="0"/>
            </w:tcBorders>
            <w:vAlign w:val="center"/>
          </w:tcPr>
          <w:p w14:paraId="6062CF1C">
            <w:pPr>
              <w:autoSpaceDE w:val="0"/>
              <w:autoSpaceDN w:val="0"/>
              <w:spacing w:line="360" w:lineRule="auto"/>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注：</w:t>
            </w:r>
          </w:p>
          <w:p w14:paraId="0C272A73">
            <w:pPr>
              <w:autoSpaceDE w:val="0"/>
              <w:autoSpaceDN w:val="0"/>
              <w:spacing w:line="276"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1.陈述答辩考核工作方案详见投标人须知前附表，定标委员会不得以任何形式询问</w:t>
            </w:r>
            <w:r>
              <w:rPr>
                <w:rFonts w:hint="eastAsia" w:cs="宋体"/>
                <w:color w:val="auto"/>
                <w:kern w:val="1"/>
                <w:szCs w:val="21"/>
                <w:highlight w:val="none"/>
                <w:lang w:val="en-US" w:eastAsia="zh-CN"/>
              </w:rPr>
              <w:t>总监理工程师</w:t>
            </w:r>
            <w:r>
              <w:rPr>
                <w:rFonts w:hint="eastAsia" w:ascii="宋体" w:hAnsi="宋体" w:cs="宋体"/>
                <w:color w:val="auto"/>
                <w:kern w:val="0"/>
                <w:szCs w:val="21"/>
                <w:highlight w:val="none"/>
              </w:rPr>
              <w:t>姓名以及投标人名称。</w:t>
            </w:r>
          </w:p>
          <w:p w14:paraId="27A0D6C3">
            <w:pPr>
              <w:autoSpaceDE w:val="0"/>
              <w:autoSpaceDN w:val="0"/>
              <w:spacing w:line="276"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2.“重难点的把握及解决方案陈述”、“项目应急保障能力陈述”、“答辩”评审标准均采用“百分制评分”进行评审。</w:t>
            </w:r>
          </w:p>
          <w:p w14:paraId="70A84494">
            <w:pPr>
              <w:autoSpaceDE w:val="0"/>
              <w:autoSpaceDN w:val="0"/>
              <w:spacing w:line="276" w:lineRule="auto"/>
              <w:ind w:firstLine="420" w:firstLineChars="200"/>
              <w:jc w:val="left"/>
              <w:rPr>
                <w:rFonts w:ascii="宋体" w:hAnsi="宋体" w:cs="宋体"/>
                <w:color w:val="auto"/>
                <w:szCs w:val="21"/>
                <w:highlight w:val="none"/>
                <w:lang w:bidi="zh-CN"/>
              </w:rPr>
            </w:pPr>
            <w:r>
              <w:rPr>
                <w:rFonts w:hint="eastAsia" w:ascii="宋体" w:hAnsi="宋体" w:cs="宋体"/>
                <w:color w:val="auto"/>
                <w:kern w:val="0"/>
                <w:szCs w:val="21"/>
                <w:highlight w:val="none"/>
              </w:rPr>
              <w:t>3.定标委员会对某定标候选人陈述、答辩评分高于满分标准的90%（含）或低于50%（不含）时，必须详细阐述具体理由（字数不少于50字）。</w:t>
            </w:r>
            <w:r>
              <w:rPr>
                <w:rFonts w:hint="eastAsia" w:ascii="宋体" w:hAnsi="宋体" w:cs="宋体"/>
                <w:color w:val="auto"/>
                <w:szCs w:val="21"/>
                <w:highlight w:val="none"/>
                <w:lang w:bidi="zh-CN"/>
              </w:rPr>
              <w:t>陈述答辩人员不得以任何形式向定标委员会透露姓名以及所属投标人名称，否则陈述答辩不得分。</w:t>
            </w:r>
          </w:p>
          <w:p w14:paraId="056E485C">
            <w:pPr>
              <w:autoSpaceDE w:val="0"/>
              <w:autoSpaceDN w:val="0"/>
              <w:spacing w:line="360" w:lineRule="auto"/>
              <w:ind w:firstLine="420" w:firstLineChars="200"/>
              <w:jc w:val="left"/>
              <w:rPr>
                <w:rFonts w:ascii="黑体" w:hAnsi="黑体" w:eastAsia="黑体" w:cs="黑体"/>
                <w:color w:val="auto"/>
                <w:kern w:val="0"/>
                <w:szCs w:val="21"/>
                <w:highlight w:val="none"/>
              </w:rPr>
            </w:pPr>
            <w:r>
              <w:rPr>
                <w:rFonts w:hint="eastAsia" w:ascii="宋体" w:hAnsi="宋体" w:cs="宋体"/>
                <w:color w:val="auto"/>
                <w:szCs w:val="21"/>
                <w:highlight w:val="none"/>
                <w:lang w:bidi="zh-CN"/>
              </w:rPr>
              <w:t>4.为保障招投标交易顺利进行，鼓励制定备选答辩评审标准，供重新陈述答辩考核时使用。</w:t>
            </w:r>
          </w:p>
        </w:tc>
      </w:tr>
    </w:tbl>
    <w:p w14:paraId="04DFC1F3">
      <w:pPr>
        <w:keepNext/>
        <w:keepLines/>
        <w:widowControl/>
        <w:spacing w:before="240" w:beforeLines="100" w:after="240" w:afterLines="100" w:line="360" w:lineRule="auto"/>
        <w:outlineLvl w:val="1"/>
        <w:rPr>
          <w:rFonts w:hint="eastAsia" w:ascii="黑体" w:eastAsia="黑体" w:cs="黑体"/>
          <w:color w:val="auto"/>
          <w:kern w:val="1"/>
          <w:sz w:val="28"/>
          <w:szCs w:val="28"/>
          <w:highlight w:val="none"/>
          <w:lang w:val="zh-CN"/>
        </w:rPr>
        <w:sectPr>
          <w:footnotePr>
            <w:numFmt w:val="decimalEnclosedCircleChinese"/>
          </w:footnotePr>
          <w:pgSz w:w="11906" w:h="16838"/>
          <w:pgMar w:top="1440" w:right="992" w:bottom="1440" w:left="1134" w:header="850" w:footer="992" w:gutter="0"/>
          <w:cols w:space="0" w:num="1"/>
          <w:docGrid w:linePitch="312" w:charSpace="0"/>
        </w:sectPr>
      </w:pPr>
    </w:p>
    <w:p w14:paraId="499DF6DC">
      <w:pPr>
        <w:keepNext/>
        <w:keepLines/>
        <w:widowControl/>
        <w:spacing w:before="240" w:beforeLines="100" w:after="240" w:afterLines="100" w:line="360" w:lineRule="auto"/>
        <w:outlineLvl w:val="1"/>
        <w:rPr>
          <w:rFonts w:eastAsia="黑体" w:cs="黑体"/>
          <w:b/>
          <w:color w:val="auto"/>
          <w:kern w:val="1"/>
          <w:sz w:val="28"/>
          <w:szCs w:val="28"/>
          <w:highlight w:val="none"/>
          <w:lang w:val="zh-CN"/>
        </w:rPr>
      </w:pPr>
      <w:r>
        <w:rPr>
          <w:rFonts w:hint="eastAsia" w:ascii="黑体" w:eastAsia="黑体" w:cs="黑体"/>
          <w:color w:val="auto"/>
          <w:kern w:val="1"/>
          <w:sz w:val="28"/>
          <w:szCs w:val="28"/>
          <w:highlight w:val="none"/>
          <w:lang w:val="zh-CN"/>
        </w:rPr>
        <w:t>定标</w:t>
      </w:r>
      <w:r>
        <w:rPr>
          <w:rFonts w:hint="eastAsia" w:ascii="黑体" w:eastAsia="黑体" w:cs="黑体"/>
          <w:color w:val="auto"/>
          <w:kern w:val="1"/>
          <w:sz w:val="28"/>
          <w:szCs w:val="28"/>
          <w:highlight w:val="none"/>
        </w:rPr>
        <w:t>方案</w:t>
      </w:r>
      <w:r>
        <w:rPr>
          <w:rFonts w:hint="eastAsia" w:ascii="黑体" w:eastAsia="黑体" w:cs="黑体"/>
          <w:color w:val="auto"/>
          <w:kern w:val="1"/>
          <w:sz w:val="28"/>
          <w:szCs w:val="28"/>
          <w:highlight w:val="none"/>
          <w:lang w:val="zh-CN"/>
        </w:rPr>
        <w:t>正文</w:t>
      </w:r>
    </w:p>
    <w:p w14:paraId="1478136D">
      <w:pPr>
        <w:keepNext/>
        <w:keepLines/>
        <w:widowControl/>
        <w:adjustRightInd w:val="0"/>
        <w:snapToGrid w:val="0"/>
        <w:spacing w:before="0" w:beforeLines="0" w:after="0" w:afterLines="0" w:line="360" w:lineRule="auto"/>
        <w:outlineLvl w:val="1"/>
        <w:rPr>
          <w:rFonts w:ascii="黑体" w:eastAsia="黑体" w:cs="黑体"/>
          <w:color w:val="auto"/>
          <w:kern w:val="1"/>
          <w:sz w:val="28"/>
          <w:szCs w:val="28"/>
          <w:highlight w:val="none"/>
          <w:lang w:val="zh-CN"/>
        </w:rPr>
      </w:pPr>
      <w:bookmarkStart w:id="558" w:name="_Toc29213"/>
      <w:r>
        <w:rPr>
          <w:rFonts w:hint="eastAsia" w:ascii="黑体" w:eastAsia="黑体" w:cs="黑体"/>
          <w:color w:val="auto"/>
          <w:kern w:val="1"/>
          <w:sz w:val="28"/>
          <w:szCs w:val="28"/>
          <w:highlight w:val="none"/>
          <w:lang w:val="zh-CN"/>
        </w:rPr>
        <w:t>1.</w:t>
      </w:r>
      <w:r>
        <w:rPr>
          <w:rFonts w:hint="eastAsia" w:ascii="黑体" w:eastAsia="黑体" w:cs="黑体"/>
          <w:color w:val="auto"/>
          <w:kern w:val="1"/>
          <w:sz w:val="28"/>
          <w:szCs w:val="28"/>
          <w:highlight w:val="none"/>
        </w:rPr>
        <w:t>总则</w:t>
      </w:r>
      <w:bookmarkEnd w:id="558"/>
    </w:p>
    <w:p w14:paraId="142139FB">
      <w:pPr>
        <w:autoSpaceDE w:val="0"/>
        <w:autoSpaceDN w:val="0"/>
        <w:adjustRightInd w:val="0"/>
        <w:snapToGrid w:val="0"/>
        <w:spacing w:beforeLines="0" w:afterLines="0" w:line="360" w:lineRule="auto"/>
        <w:ind w:firstLine="394" w:firstLineChars="188"/>
        <w:jc w:val="left"/>
        <w:rPr>
          <w:rFonts w:ascii="方正公文小标宋" w:hAnsi="方正公文小标宋" w:eastAsia="方正公文小标宋" w:cs="方正公文小标宋"/>
          <w:color w:val="auto"/>
          <w:szCs w:val="21"/>
          <w:highlight w:val="none"/>
        </w:rPr>
      </w:pPr>
      <w:r>
        <w:rPr>
          <w:rFonts w:hint="eastAsia" w:cs="宋体"/>
          <w:color w:val="auto"/>
          <w:szCs w:val="21"/>
          <w:highlight w:val="none"/>
        </w:rPr>
        <w:t>1.1 定标方案以科学、择优为基本原则，由建设单位结合招标项目具体情况编制定标方案。招标人为代建单位的，建设单位可委托代建单位编制定标方案。定标方案是清标小组进行清标工作和定标委员会进行定标工作的唯一依据，应严格按照定标方案执行，不得临时改变既定定标方案。</w:t>
      </w:r>
    </w:p>
    <w:p w14:paraId="6F9E2E76">
      <w:pPr>
        <w:autoSpaceDE w:val="0"/>
        <w:autoSpaceDN w:val="0"/>
        <w:adjustRightInd w:val="0"/>
        <w:snapToGrid w:val="0"/>
        <w:spacing w:beforeLines="0" w:afterLines="0" w:line="360" w:lineRule="auto"/>
        <w:ind w:firstLine="394" w:firstLineChars="188"/>
        <w:jc w:val="left"/>
        <w:rPr>
          <w:rFonts w:cs="宋体"/>
          <w:color w:val="auto"/>
          <w:szCs w:val="21"/>
          <w:highlight w:val="none"/>
        </w:rPr>
      </w:pPr>
      <w:r>
        <w:rPr>
          <w:rFonts w:hint="eastAsia" w:cs="宋体"/>
          <w:color w:val="auto"/>
          <w:szCs w:val="21"/>
          <w:highlight w:val="none"/>
        </w:rPr>
        <w:t>1.2 定标方案由正文、前附表以及附件组成。定标方案附件共二个独立附件，分别为报价</w:t>
      </w:r>
      <w:r>
        <w:rPr>
          <w:rFonts w:hint="eastAsia" w:cs="宋体"/>
          <w:color w:val="auto"/>
          <w:szCs w:val="21"/>
          <w:highlight w:val="none"/>
          <w:lang w:val="en-US" w:eastAsia="zh-CN"/>
        </w:rPr>
        <w:t>要素评审标准</w:t>
      </w:r>
      <w:r>
        <w:rPr>
          <w:rFonts w:hint="eastAsia" w:cs="宋体"/>
          <w:color w:val="auto"/>
          <w:szCs w:val="21"/>
          <w:highlight w:val="none"/>
        </w:rPr>
        <w:t>附件和陈述答辩考核方案附件，前述二个定标方案附件均由建设单位在投标截止时间前使用CA证书加密上传</w:t>
      </w:r>
      <w:r>
        <w:rPr>
          <w:rFonts w:hint="eastAsia" w:cs="宋体"/>
          <w:color w:val="auto"/>
          <w:kern w:val="0"/>
          <w:szCs w:val="21"/>
          <w:highlight w:val="none"/>
        </w:rPr>
        <w:t>公共资源</w:t>
      </w:r>
      <w:r>
        <w:rPr>
          <w:rFonts w:hint="eastAsia" w:cs="宋体"/>
          <w:color w:val="auto"/>
          <w:szCs w:val="21"/>
          <w:highlight w:val="none"/>
        </w:rPr>
        <w:t>电子交易平台。</w:t>
      </w:r>
    </w:p>
    <w:p w14:paraId="0530156C">
      <w:pPr>
        <w:autoSpaceDE w:val="0"/>
        <w:autoSpaceDN w:val="0"/>
        <w:adjustRightInd w:val="0"/>
        <w:snapToGrid w:val="0"/>
        <w:spacing w:beforeLines="0" w:afterLines="0" w:line="360" w:lineRule="auto"/>
        <w:ind w:firstLine="394" w:firstLineChars="188"/>
        <w:jc w:val="left"/>
        <w:rPr>
          <w:color w:val="auto"/>
          <w:highlight w:val="none"/>
        </w:rPr>
      </w:pPr>
      <w:r>
        <w:rPr>
          <w:rFonts w:hint="eastAsia" w:cs="宋体"/>
          <w:color w:val="auto"/>
          <w:szCs w:val="21"/>
          <w:highlight w:val="none"/>
        </w:rPr>
        <w:t>1.3 自评标工作结束后5日内（如遇法定节假日，可顺延至节后第二个工作日），建设单位组织清标小组和标定标委员会进入市公共资源交易中心进行清标、定标工作。不能按时定标的，应当通过市公共资源交易网公示延期原因和定标时间。</w:t>
      </w:r>
    </w:p>
    <w:p w14:paraId="0DC0586D">
      <w:pPr>
        <w:keepNext/>
        <w:keepLines/>
        <w:widowControl/>
        <w:adjustRightInd w:val="0"/>
        <w:snapToGrid w:val="0"/>
        <w:spacing w:before="0" w:beforeLines="0" w:after="0" w:afterLines="0" w:line="360" w:lineRule="auto"/>
        <w:outlineLvl w:val="1"/>
        <w:rPr>
          <w:rFonts w:ascii="黑体" w:eastAsia="黑体" w:cs="黑体"/>
          <w:color w:val="auto"/>
          <w:kern w:val="1"/>
          <w:sz w:val="28"/>
          <w:szCs w:val="28"/>
          <w:highlight w:val="none"/>
          <w:lang w:val="zh-CN"/>
        </w:rPr>
      </w:pPr>
      <w:bookmarkStart w:id="559" w:name="_Toc25914"/>
      <w:bookmarkStart w:id="560" w:name="_Toc25223"/>
      <w:r>
        <w:rPr>
          <w:rFonts w:hint="eastAsia" w:ascii="黑体" w:eastAsia="黑体" w:cs="黑体"/>
          <w:color w:val="auto"/>
          <w:kern w:val="1"/>
          <w:sz w:val="28"/>
          <w:szCs w:val="28"/>
          <w:highlight w:val="none"/>
          <w:lang w:val="zh-CN"/>
        </w:rPr>
        <w:t>2.定标程序</w:t>
      </w:r>
      <w:bookmarkEnd w:id="559"/>
      <w:bookmarkEnd w:id="560"/>
    </w:p>
    <w:p w14:paraId="68DB0E68">
      <w:pPr>
        <w:adjustRightInd w:val="0"/>
        <w:snapToGrid w:val="0"/>
        <w:spacing w:before="0" w:beforeLines="0" w:after="0" w:afterLines="0" w:line="360" w:lineRule="auto"/>
        <w:ind w:firstLine="420" w:firstLineChars="200"/>
        <w:rPr>
          <w:rFonts w:cs="宋体"/>
          <w:color w:val="auto"/>
          <w:szCs w:val="21"/>
          <w:highlight w:val="none"/>
        </w:rPr>
      </w:pPr>
      <w:r>
        <w:rPr>
          <w:rFonts w:hint="eastAsia" w:cs="宋体"/>
          <w:color w:val="auto"/>
          <w:szCs w:val="21"/>
          <w:highlight w:val="none"/>
        </w:rPr>
        <w:t>定标按以下程序进行。</w:t>
      </w:r>
    </w:p>
    <w:p w14:paraId="2EC1371E">
      <w:pPr>
        <w:adjustRightInd w:val="0"/>
        <w:snapToGrid w:val="0"/>
        <w:spacing w:beforeLines="0" w:afterLines="0" w:line="360" w:lineRule="auto"/>
        <w:ind w:firstLine="420" w:firstLineChars="200"/>
        <w:rPr>
          <w:rFonts w:cs="宋体"/>
          <w:color w:val="auto"/>
          <w:szCs w:val="21"/>
          <w:highlight w:val="none"/>
        </w:rPr>
      </w:pPr>
      <w:r>
        <w:rPr>
          <w:rFonts w:hint="eastAsia" w:cs="宋体"/>
          <w:color w:val="auto"/>
          <w:szCs w:val="21"/>
          <w:highlight w:val="none"/>
        </w:rPr>
        <w:t>2.1清标</w:t>
      </w:r>
    </w:p>
    <w:p w14:paraId="1A7BA5DE">
      <w:pPr>
        <w:adjustRightInd w:val="0"/>
        <w:snapToGrid w:val="0"/>
        <w:spacing w:beforeLines="0" w:afterLines="0" w:line="360" w:lineRule="auto"/>
        <w:ind w:firstLine="420" w:firstLineChars="200"/>
        <w:rPr>
          <w:rFonts w:cs="宋体"/>
          <w:color w:val="auto"/>
          <w:szCs w:val="21"/>
          <w:highlight w:val="none"/>
        </w:rPr>
      </w:pPr>
      <w:r>
        <w:rPr>
          <w:rFonts w:hint="eastAsia" w:cs="宋体"/>
          <w:color w:val="auto"/>
          <w:szCs w:val="21"/>
          <w:highlight w:val="none"/>
        </w:rPr>
        <w:t>（1）</w:t>
      </w:r>
      <w:r>
        <w:rPr>
          <w:rFonts w:hint="eastAsia" w:cs="宋体"/>
          <w:color w:val="auto"/>
          <w:kern w:val="1"/>
          <w:szCs w:val="21"/>
          <w:highlight w:val="none"/>
        </w:rPr>
        <w:t>组建清标小组</w:t>
      </w:r>
    </w:p>
    <w:p w14:paraId="3D380AE5">
      <w:pPr>
        <w:adjustRightInd w:val="0"/>
        <w:snapToGrid w:val="0"/>
        <w:spacing w:beforeLines="0" w:afterLines="0" w:line="360" w:lineRule="auto"/>
        <w:ind w:firstLine="420" w:firstLineChars="200"/>
        <w:rPr>
          <w:rFonts w:cs="宋体"/>
          <w:color w:val="auto"/>
          <w:szCs w:val="21"/>
          <w:highlight w:val="none"/>
        </w:rPr>
      </w:pPr>
      <w:r>
        <w:rPr>
          <w:rFonts w:hint="eastAsia" w:cs="宋体"/>
          <w:color w:val="auto"/>
          <w:szCs w:val="21"/>
          <w:highlight w:val="none"/>
        </w:rPr>
        <w:t>（2）清标</w:t>
      </w:r>
    </w:p>
    <w:p w14:paraId="11261B40">
      <w:pPr>
        <w:adjustRightInd w:val="0"/>
        <w:snapToGrid w:val="0"/>
        <w:spacing w:beforeLines="0" w:afterLines="0" w:line="360" w:lineRule="auto"/>
        <w:ind w:firstLine="420" w:firstLineChars="200"/>
        <w:rPr>
          <w:rFonts w:cs="宋体"/>
          <w:color w:val="auto"/>
          <w:szCs w:val="21"/>
          <w:highlight w:val="none"/>
        </w:rPr>
      </w:pPr>
      <w:r>
        <w:rPr>
          <w:rFonts w:hint="eastAsia" w:cs="宋体"/>
          <w:color w:val="auto"/>
          <w:szCs w:val="21"/>
          <w:highlight w:val="none"/>
        </w:rPr>
        <w:t>（3）编制清标报告</w:t>
      </w:r>
    </w:p>
    <w:p w14:paraId="0C79FABC">
      <w:pPr>
        <w:adjustRightInd w:val="0"/>
        <w:snapToGrid w:val="0"/>
        <w:spacing w:beforeLines="0" w:afterLines="0" w:line="360" w:lineRule="auto"/>
        <w:ind w:firstLine="420" w:firstLineChars="200"/>
        <w:rPr>
          <w:rFonts w:cs="宋体"/>
          <w:color w:val="auto"/>
          <w:szCs w:val="21"/>
          <w:highlight w:val="none"/>
        </w:rPr>
      </w:pPr>
      <w:r>
        <w:rPr>
          <w:rFonts w:hint="eastAsia" w:cs="宋体"/>
          <w:color w:val="auto"/>
          <w:szCs w:val="21"/>
          <w:highlight w:val="none"/>
        </w:rPr>
        <w:t>2.2定标</w:t>
      </w:r>
    </w:p>
    <w:p w14:paraId="0509BFF8">
      <w:pPr>
        <w:adjustRightInd w:val="0"/>
        <w:snapToGrid w:val="0"/>
        <w:spacing w:beforeLines="0" w:afterLines="0" w:line="360" w:lineRule="auto"/>
        <w:ind w:firstLine="420" w:firstLineChars="200"/>
        <w:rPr>
          <w:rFonts w:cs="宋体"/>
          <w:color w:val="auto"/>
          <w:szCs w:val="21"/>
          <w:highlight w:val="none"/>
        </w:rPr>
      </w:pPr>
      <w:r>
        <w:rPr>
          <w:rFonts w:hint="eastAsia" w:cs="宋体"/>
          <w:color w:val="auto"/>
          <w:szCs w:val="21"/>
          <w:highlight w:val="none"/>
        </w:rPr>
        <w:t>（1）</w:t>
      </w:r>
      <w:r>
        <w:rPr>
          <w:rFonts w:hint="eastAsia" w:cs="宋体"/>
          <w:color w:val="auto"/>
          <w:kern w:val="1"/>
          <w:szCs w:val="21"/>
          <w:highlight w:val="none"/>
        </w:rPr>
        <w:t>组建定标委员会</w:t>
      </w:r>
    </w:p>
    <w:p w14:paraId="7860084B">
      <w:pPr>
        <w:adjustRightInd w:val="0"/>
        <w:snapToGrid w:val="0"/>
        <w:spacing w:beforeLines="0" w:afterLines="0" w:line="360" w:lineRule="auto"/>
        <w:ind w:firstLine="420" w:firstLineChars="200"/>
        <w:rPr>
          <w:rFonts w:cs="宋体"/>
          <w:color w:val="auto"/>
          <w:szCs w:val="21"/>
          <w:highlight w:val="none"/>
        </w:rPr>
      </w:pPr>
      <w:r>
        <w:rPr>
          <w:rFonts w:hint="eastAsia" w:cs="宋体"/>
          <w:color w:val="auto"/>
          <w:szCs w:val="21"/>
          <w:highlight w:val="none"/>
        </w:rPr>
        <w:t>（2）总监理工程师陈述答辩考核（如有）</w:t>
      </w:r>
    </w:p>
    <w:p w14:paraId="5907396A">
      <w:pPr>
        <w:adjustRightInd w:val="0"/>
        <w:snapToGrid w:val="0"/>
        <w:spacing w:beforeLines="0" w:afterLines="0" w:line="360" w:lineRule="auto"/>
        <w:ind w:firstLine="420" w:firstLineChars="200"/>
        <w:rPr>
          <w:color w:val="auto"/>
          <w:highlight w:val="none"/>
        </w:rPr>
      </w:pPr>
      <w:r>
        <w:rPr>
          <w:rFonts w:hint="eastAsia" w:cs="宋体"/>
          <w:color w:val="auto"/>
          <w:szCs w:val="21"/>
          <w:highlight w:val="none"/>
        </w:rPr>
        <w:t>（3）定标，推荐中标人</w:t>
      </w:r>
    </w:p>
    <w:p w14:paraId="07D94B6D">
      <w:pPr>
        <w:keepNext/>
        <w:keepLines/>
        <w:widowControl/>
        <w:adjustRightInd w:val="0"/>
        <w:snapToGrid w:val="0"/>
        <w:spacing w:before="0" w:beforeLines="0" w:after="0" w:afterLines="0" w:line="360" w:lineRule="auto"/>
        <w:outlineLvl w:val="1"/>
        <w:rPr>
          <w:rFonts w:ascii="黑体" w:eastAsia="黑体" w:cs="黑体"/>
          <w:color w:val="auto"/>
          <w:kern w:val="1"/>
          <w:sz w:val="28"/>
          <w:szCs w:val="28"/>
          <w:highlight w:val="none"/>
        </w:rPr>
      </w:pPr>
      <w:bookmarkStart w:id="561" w:name="_Toc22229"/>
      <w:r>
        <w:rPr>
          <w:rFonts w:hint="eastAsia" w:ascii="黑体" w:eastAsia="黑体" w:cs="黑体"/>
          <w:color w:val="auto"/>
          <w:kern w:val="1"/>
          <w:sz w:val="28"/>
          <w:szCs w:val="28"/>
          <w:highlight w:val="none"/>
          <w:lang w:val="zh-CN"/>
        </w:rPr>
        <w:t>3.</w:t>
      </w:r>
      <w:r>
        <w:rPr>
          <w:rFonts w:hint="eastAsia" w:ascii="黑体" w:eastAsia="黑体" w:cs="黑体"/>
          <w:color w:val="auto"/>
          <w:kern w:val="1"/>
          <w:sz w:val="28"/>
          <w:szCs w:val="28"/>
          <w:highlight w:val="none"/>
        </w:rPr>
        <w:t>清标</w:t>
      </w:r>
      <w:bookmarkEnd w:id="561"/>
    </w:p>
    <w:p w14:paraId="494AA16C">
      <w:pPr>
        <w:autoSpaceDE w:val="0"/>
        <w:autoSpaceDN w:val="0"/>
        <w:adjustRightInd w:val="0"/>
        <w:snapToGrid w:val="0"/>
        <w:spacing w:before="0" w:beforeLines="0" w:after="0" w:afterLines="0" w:line="360" w:lineRule="auto"/>
        <w:ind w:firstLine="394" w:firstLineChars="188"/>
        <w:jc w:val="left"/>
        <w:rPr>
          <w:rFonts w:cs="宋体"/>
          <w:color w:val="auto"/>
          <w:szCs w:val="21"/>
          <w:highlight w:val="none"/>
        </w:rPr>
      </w:pPr>
      <w:r>
        <w:rPr>
          <w:rFonts w:hint="eastAsia" w:cs="宋体"/>
          <w:color w:val="auto"/>
          <w:szCs w:val="21"/>
          <w:highlight w:val="none"/>
        </w:rPr>
        <w:t>3.1 组建清标小组</w:t>
      </w:r>
    </w:p>
    <w:p w14:paraId="2EF547CE">
      <w:pPr>
        <w:autoSpaceDE w:val="0"/>
        <w:autoSpaceDN w:val="0"/>
        <w:adjustRightInd w:val="0"/>
        <w:snapToGrid w:val="0"/>
        <w:spacing w:before="0" w:beforeLines="0" w:after="0" w:afterLines="0" w:line="360" w:lineRule="auto"/>
        <w:ind w:firstLine="394" w:firstLineChars="188"/>
        <w:jc w:val="left"/>
        <w:rPr>
          <w:rFonts w:cs="宋体"/>
          <w:color w:val="auto"/>
          <w:szCs w:val="21"/>
          <w:highlight w:val="none"/>
        </w:rPr>
      </w:pPr>
      <w:r>
        <w:rPr>
          <w:rFonts w:hint="eastAsia" w:cs="宋体"/>
          <w:color w:val="auto"/>
          <w:szCs w:val="21"/>
          <w:highlight w:val="none"/>
        </w:rPr>
        <w:t>清标小组由建设单位组建，主要由建设单位、代建单位和招标代理机构具备工程建设类中级及以上技术职称或相关注册执业资格的人员组成，成员人数为3人或以上单数。若满足上述要求的人员确实不足的，经招投标监管部门同意，也可委托其他具备丰富评定分离项目招标代理经验的招标代理单位中满足上述资格要求的人员。</w:t>
      </w:r>
    </w:p>
    <w:p w14:paraId="562DF127">
      <w:pPr>
        <w:autoSpaceDE w:val="0"/>
        <w:autoSpaceDN w:val="0"/>
        <w:adjustRightInd w:val="0"/>
        <w:snapToGrid w:val="0"/>
        <w:spacing w:before="0" w:beforeLines="0" w:after="0" w:afterLines="0" w:line="360" w:lineRule="auto"/>
        <w:ind w:firstLine="394" w:firstLineChars="188"/>
        <w:jc w:val="left"/>
        <w:rPr>
          <w:rFonts w:cs="宋体"/>
          <w:color w:val="auto"/>
          <w:szCs w:val="21"/>
          <w:highlight w:val="none"/>
        </w:rPr>
      </w:pPr>
      <w:r>
        <w:rPr>
          <w:rFonts w:hint="eastAsia" w:cs="宋体"/>
          <w:color w:val="auto"/>
          <w:szCs w:val="21"/>
          <w:highlight w:val="none"/>
        </w:rPr>
        <w:t>3.2 清标</w:t>
      </w:r>
    </w:p>
    <w:p w14:paraId="11AF6738">
      <w:pPr>
        <w:autoSpaceDE w:val="0"/>
        <w:autoSpaceDN w:val="0"/>
        <w:adjustRightInd w:val="0"/>
        <w:snapToGrid w:val="0"/>
        <w:spacing w:beforeLines="0" w:afterLines="0" w:line="360" w:lineRule="auto"/>
        <w:ind w:firstLine="394" w:firstLineChars="188"/>
        <w:jc w:val="left"/>
        <w:rPr>
          <w:rFonts w:cs="宋体"/>
          <w:color w:val="auto"/>
          <w:szCs w:val="21"/>
          <w:highlight w:val="none"/>
        </w:rPr>
      </w:pPr>
      <w:r>
        <w:rPr>
          <w:rFonts w:hint="eastAsia" w:cs="宋体"/>
          <w:color w:val="auto"/>
          <w:szCs w:val="21"/>
          <w:highlight w:val="none"/>
        </w:rPr>
        <w:t>3.2.1清标小组使用建设单位加密定标方案附件的CA证书，解密报价要素评审标准附件。</w:t>
      </w:r>
    </w:p>
    <w:p w14:paraId="73242887">
      <w:pPr>
        <w:autoSpaceDE w:val="0"/>
        <w:autoSpaceDN w:val="0"/>
        <w:adjustRightInd w:val="0"/>
        <w:snapToGrid w:val="0"/>
        <w:spacing w:beforeLines="0" w:afterLines="0" w:line="360" w:lineRule="auto"/>
        <w:ind w:firstLine="394" w:firstLineChars="188"/>
        <w:jc w:val="left"/>
        <w:rPr>
          <w:rFonts w:cs="宋体"/>
          <w:color w:val="auto"/>
          <w:szCs w:val="21"/>
          <w:highlight w:val="none"/>
        </w:rPr>
      </w:pPr>
      <w:r>
        <w:rPr>
          <w:rFonts w:hint="eastAsia" w:cs="宋体"/>
          <w:color w:val="auto"/>
          <w:szCs w:val="21"/>
          <w:highlight w:val="none"/>
        </w:rPr>
        <w:t>3.2.2 清标小组根据定标方案前附表第1项、第2项、第3项规定的定标要素（除总监理工程师</w:t>
      </w:r>
      <w:r>
        <w:rPr>
          <w:rFonts w:hint="eastAsia"/>
          <w:color w:val="auto"/>
          <w:kern w:val="0"/>
          <w:szCs w:val="21"/>
          <w:highlight w:val="none"/>
        </w:rPr>
        <w:t>陈述答辩子要素以外</w:t>
      </w:r>
      <w:r>
        <w:rPr>
          <w:rFonts w:hint="eastAsia" w:cs="宋体"/>
          <w:color w:val="auto"/>
          <w:szCs w:val="21"/>
          <w:highlight w:val="none"/>
        </w:rPr>
        <w:t>）评审标准，</w:t>
      </w:r>
      <w:r>
        <w:rPr>
          <w:rFonts w:hint="eastAsia" w:cs="宋体"/>
          <w:color w:val="auto"/>
          <w:szCs w:val="21"/>
          <w:highlight w:val="none"/>
          <w:lang w:val="en-US" w:eastAsia="zh-CN"/>
        </w:rPr>
        <w:t>按照百分制计算得分乘以相应权重后汇总为各定标候选人清标得分。</w:t>
      </w:r>
    </w:p>
    <w:p w14:paraId="1B17C63C">
      <w:pPr>
        <w:autoSpaceDE w:val="0"/>
        <w:autoSpaceDN w:val="0"/>
        <w:adjustRightInd w:val="0"/>
        <w:snapToGrid w:val="0"/>
        <w:spacing w:beforeLines="0" w:afterLines="0" w:line="360" w:lineRule="auto"/>
        <w:ind w:firstLine="394" w:firstLineChars="188"/>
        <w:jc w:val="left"/>
        <w:rPr>
          <w:rFonts w:cs="宋体"/>
          <w:color w:val="auto"/>
          <w:szCs w:val="21"/>
          <w:highlight w:val="none"/>
        </w:rPr>
      </w:pPr>
      <w:r>
        <w:rPr>
          <w:rFonts w:hint="eastAsia" w:cs="宋体"/>
          <w:color w:val="auto"/>
          <w:szCs w:val="21"/>
          <w:highlight w:val="none"/>
        </w:rPr>
        <w:t>3.2.3 清标小组对同一定标候选人同一定标子要素的评审结果均应一致。</w:t>
      </w:r>
    </w:p>
    <w:p w14:paraId="136E583B">
      <w:pPr>
        <w:autoSpaceDE w:val="0"/>
        <w:autoSpaceDN w:val="0"/>
        <w:adjustRightInd w:val="0"/>
        <w:snapToGrid w:val="0"/>
        <w:spacing w:before="0" w:beforeLines="0" w:after="0" w:afterLines="0" w:line="360" w:lineRule="auto"/>
        <w:ind w:left="0" w:leftChars="0" w:firstLine="420" w:firstLineChars="200"/>
        <w:jc w:val="left"/>
        <w:rPr>
          <w:rFonts w:cs="宋体"/>
          <w:color w:val="auto"/>
          <w:szCs w:val="21"/>
          <w:highlight w:val="none"/>
        </w:rPr>
      </w:pPr>
      <w:r>
        <w:rPr>
          <w:rFonts w:hint="eastAsia" w:cs="宋体"/>
          <w:color w:val="auto"/>
          <w:szCs w:val="21"/>
          <w:highlight w:val="none"/>
        </w:rPr>
        <w:t>3.3 编制清标报告</w:t>
      </w:r>
    </w:p>
    <w:p w14:paraId="59A1AFFE">
      <w:pPr>
        <w:adjustRightInd w:val="0"/>
        <w:snapToGrid w:val="0"/>
        <w:spacing w:beforeLines="0" w:afterLines="0" w:line="360" w:lineRule="auto"/>
        <w:ind w:firstLine="420" w:firstLineChars="200"/>
        <w:rPr>
          <w:rFonts w:cs="宋体"/>
          <w:color w:val="auto"/>
          <w:szCs w:val="21"/>
          <w:highlight w:val="none"/>
        </w:rPr>
      </w:pPr>
      <w:r>
        <w:rPr>
          <w:rFonts w:hint="eastAsia" w:cs="宋体"/>
          <w:color w:val="auto"/>
          <w:szCs w:val="21"/>
          <w:highlight w:val="none"/>
        </w:rPr>
        <w:t>清标小组根据3.2项规定完成清标工作后，应当编制清标报告并加密上传至电子交易平台，定标时启用。</w:t>
      </w:r>
    </w:p>
    <w:p w14:paraId="6FA2C2C5">
      <w:pPr>
        <w:keepNext/>
        <w:keepLines/>
        <w:widowControl/>
        <w:adjustRightInd w:val="0"/>
        <w:snapToGrid w:val="0"/>
        <w:spacing w:before="0" w:beforeLines="0" w:after="0" w:afterLines="0" w:line="360" w:lineRule="auto"/>
        <w:outlineLvl w:val="1"/>
        <w:rPr>
          <w:color w:val="auto"/>
          <w:highlight w:val="none"/>
        </w:rPr>
      </w:pPr>
      <w:bookmarkStart w:id="562" w:name="_Toc27513"/>
      <w:r>
        <w:rPr>
          <w:rFonts w:hint="eastAsia" w:ascii="黑体" w:eastAsia="黑体" w:cs="黑体"/>
          <w:color w:val="auto"/>
          <w:kern w:val="1"/>
          <w:sz w:val="28"/>
          <w:szCs w:val="28"/>
          <w:highlight w:val="none"/>
        </w:rPr>
        <w:t>4</w:t>
      </w:r>
      <w:r>
        <w:rPr>
          <w:rFonts w:hint="eastAsia" w:ascii="黑体" w:eastAsia="黑体" w:cs="黑体"/>
          <w:color w:val="auto"/>
          <w:kern w:val="1"/>
          <w:sz w:val="28"/>
          <w:szCs w:val="28"/>
          <w:highlight w:val="none"/>
          <w:lang w:val="zh-CN"/>
        </w:rPr>
        <w:t>.</w:t>
      </w:r>
      <w:r>
        <w:rPr>
          <w:rFonts w:hint="eastAsia" w:ascii="黑体" w:eastAsia="黑体" w:cs="黑体"/>
          <w:color w:val="auto"/>
          <w:kern w:val="1"/>
          <w:sz w:val="28"/>
          <w:szCs w:val="28"/>
          <w:highlight w:val="none"/>
        </w:rPr>
        <w:t>定标</w:t>
      </w:r>
      <w:bookmarkEnd w:id="562"/>
    </w:p>
    <w:p w14:paraId="7DC35E9D">
      <w:pPr>
        <w:autoSpaceDE w:val="0"/>
        <w:autoSpaceDN w:val="0"/>
        <w:adjustRightInd w:val="0"/>
        <w:snapToGrid w:val="0"/>
        <w:spacing w:before="0" w:beforeLines="0" w:after="0" w:afterLines="0" w:line="360" w:lineRule="auto"/>
        <w:ind w:firstLine="394" w:firstLineChars="188"/>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4.1组建定标委员会</w:t>
      </w:r>
    </w:p>
    <w:p w14:paraId="0D32011A">
      <w:pPr>
        <w:pStyle w:val="2"/>
        <w:autoSpaceDE w:val="0"/>
        <w:autoSpaceDN w:val="0"/>
        <w:adjustRightInd w:val="0"/>
        <w:snapToGrid w:val="0"/>
        <w:spacing w:beforeLines="0" w:afterLines="0" w:line="360" w:lineRule="auto"/>
        <w:ind w:firstLine="394" w:firstLineChars="188"/>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4</w:t>
      </w:r>
      <w:r>
        <w:rPr>
          <w:rFonts w:hint="eastAsia" w:asciiTheme="majorEastAsia" w:hAnsiTheme="majorEastAsia" w:eastAsiaTheme="majorEastAsia" w:cstheme="majorEastAsia"/>
          <w:color w:val="auto"/>
          <w:sz w:val="21"/>
          <w:szCs w:val="21"/>
          <w:highlight w:val="none"/>
        </w:rPr>
        <w:t>.1.1定标委员会</w:t>
      </w:r>
      <w:r>
        <w:rPr>
          <w:rFonts w:hint="eastAsia" w:asciiTheme="majorEastAsia" w:hAnsiTheme="majorEastAsia" w:eastAsiaTheme="majorEastAsia" w:cstheme="majorEastAsia"/>
          <w:color w:val="auto"/>
          <w:sz w:val="21"/>
          <w:szCs w:val="21"/>
          <w:highlight w:val="none"/>
          <w:lang w:val="en-US" w:eastAsia="zh-CN"/>
        </w:rPr>
        <w:t>须</w:t>
      </w:r>
      <w:r>
        <w:rPr>
          <w:rFonts w:hint="eastAsia" w:asciiTheme="majorEastAsia" w:hAnsiTheme="majorEastAsia" w:eastAsiaTheme="majorEastAsia" w:cstheme="majorEastAsia"/>
          <w:color w:val="auto"/>
          <w:sz w:val="21"/>
          <w:szCs w:val="21"/>
          <w:highlight w:val="none"/>
        </w:rPr>
        <w:t>由建设单位的法定代表人负责组建</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rPr>
        <w:t>成员总数为</w:t>
      </w:r>
      <w:r>
        <w:rPr>
          <w:rFonts w:hint="eastAsia" w:asciiTheme="majorEastAsia" w:hAnsiTheme="majorEastAsia" w:eastAsiaTheme="majorEastAsia" w:cstheme="majorEastAsia"/>
          <w:color w:val="auto"/>
          <w:sz w:val="21"/>
          <w:szCs w:val="21"/>
          <w:highlight w:val="none"/>
          <w:lang w:val="en-US" w:eastAsia="zh-CN"/>
        </w:rPr>
        <w:t>5</w:t>
      </w:r>
      <w:r>
        <w:rPr>
          <w:rFonts w:hint="eastAsia" w:asciiTheme="majorEastAsia" w:hAnsiTheme="majorEastAsia" w:eastAsiaTheme="majorEastAsia" w:cstheme="majorEastAsia"/>
          <w:color w:val="auto"/>
          <w:sz w:val="21"/>
          <w:szCs w:val="21"/>
          <w:highlight w:val="none"/>
        </w:rPr>
        <w:t>人及以上单数</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lang w:val="en-US" w:eastAsia="zh-CN"/>
        </w:rPr>
        <w:t>招标</w:t>
      </w:r>
      <w:r>
        <w:rPr>
          <w:rFonts w:hint="eastAsia" w:asciiTheme="majorEastAsia" w:hAnsiTheme="majorEastAsia" w:eastAsiaTheme="majorEastAsia" w:cstheme="majorEastAsia"/>
          <w:color w:val="auto"/>
          <w:sz w:val="21"/>
          <w:szCs w:val="21"/>
          <w:highlight w:val="none"/>
        </w:rPr>
        <w:t>项目实行代建的且代建单位作为招标人的，建设单位可以委托代建单位的法定代表人组建，代建单位应将定标委员会组建方案报建设单位批准同意。</w:t>
      </w:r>
    </w:p>
    <w:p w14:paraId="54A75017">
      <w:pPr>
        <w:autoSpaceDE w:val="0"/>
        <w:autoSpaceDN w:val="0"/>
        <w:adjustRightInd w:val="0"/>
        <w:snapToGrid w:val="0"/>
        <w:spacing w:beforeLines="0" w:afterLines="0" w:line="360" w:lineRule="auto"/>
        <w:ind w:firstLine="394" w:firstLineChars="188"/>
        <w:jc w:val="left"/>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4</w:t>
      </w:r>
      <w:r>
        <w:rPr>
          <w:rFonts w:hint="eastAsia" w:asciiTheme="majorEastAsia" w:hAnsiTheme="majorEastAsia" w:eastAsiaTheme="majorEastAsia" w:cstheme="majorEastAsia"/>
          <w:color w:val="auto"/>
          <w:sz w:val="21"/>
          <w:szCs w:val="21"/>
          <w:highlight w:val="none"/>
        </w:rPr>
        <w:t>.1.2</w:t>
      </w:r>
      <w:r>
        <w:rPr>
          <w:rFonts w:hint="eastAsia" w:asciiTheme="majorEastAsia" w:hAnsiTheme="majorEastAsia" w:eastAsiaTheme="majorEastAsia" w:cstheme="majorEastAsia"/>
          <w:color w:val="auto"/>
          <w:sz w:val="21"/>
          <w:szCs w:val="21"/>
          <w:highlight w:val="none"/>
          <w:lang w:val="en-US" w:eastAsia="zh-CN"/>
        </w:rPr>
        <w:t>建设单位可以授权下列人员作为定标委员会成员，行使定标权：</w:t>
      </w:r>
    </w:p>
    <w:p w14:paraId="43F40894">
      <w:pPr>
        <w:numPr>
          <w:ilvl w:val="0"/>
          <w:numId w:val="9"/>
        </w:numPr>
        <w:autoSpaceDE w:val="0"/>
        <w:autoSpaceDN w:val="0"/>
        <w:adjustRightInd w:val="0"/>
        <w:snapToGrid w:val="0"/>
        <w:spacing w:beforeLines="0" w:afterLines="0" w:line="360" w:lineRule="auto"/>
        <w:ind w:firstLine="394" w:firstLineChars="188"/>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定标委员会成员原则上从建设单位</w:t>
      </w:r>
      <w:r>
        <w:rPr>
          <w:rFonts w:hint="eastAsia" w:asciiTheme="majorEastAsia" w:hAnsiTheme="majorEastAsia" w:eastAsiaTheme="majorEastAsia" w:cstheme="majorEastAsia"/>
          <w:color w:val="auto"/>
          <w:sz w:val="21"/>
          <w:szCs w:val="21"/>
          <w:highlight w:val="none"/>
          <w:lang w:val="en-US" w:eastAsia="zh-CN"/>
        </w:rPr>
        <w:t>或</w:t>
      </w:r>
      <w:r>
        <w:rPr>
          <w:rFonts w:hint="eastAsia" w:asciiTheme="majorEastAsia" w:hAnsiTheme="majorEastAsia" w:eastAsiaTheme="majorEastAsia" w:cstheme="majorEastAsia"/>
          <w:color w:val="auto"/>
          <w:sz w:val="21"/>
          <w:szCs w:val="21"/>
          <w:highlight w:val="none"/>
        </w:rPr>
        <w:t>代建单位的领导班子成员、经营管理人员、具有工程建设类技术职称或注册执业资格的人员中产生</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lang w:val="en-US" w:eastAsia="zh-CN"/>
        </w:rPr>
        <w:t>其中至少1人必须</w:t>
      </w:r>
      <w:r>
        <w:rPr>
          <w:rFonts w:hint="eastAsia" w:asciiTheme="majorEastAsia" w:hAnsiTheme="majorEastAsia" w:eastAsiaTheme="majorEastAsia" w:cstheme="majorEastAsia"/>
          <w:color w:val="auto"/>
          <w:sz w:val="21"/>
          <w:szCs w:val="21"/>
          <w:highlight w:val="none"/>
        </w:rPr>
        <w:t>具有工程建设类技术职称或注册执业资格。</w:t>
      </w:r>
    </w:p>
    <w:p w14:paraId="23AF8C5E">
      <w:pPr>
        <w:numPr>
          <w:ilvl w:val="0"/>
          <w:numId w:val="9"/>
        </w:numPr>
        <w:autoSpaceDE w:val="0"/>
        <w:autoSpaceDN w:val="0"/>
        <w:adjustRightInd w:val="0"/>
        <w:snapToGrid w:val="0"/>
        <w:spacing w:beforeLines="0" w:afterLines="0" w:line="360" w:lineRule="auto"/>
        <w:ind w:firstLine="394" w:firstLineChars="188"/>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本单位人员不足的，可以从</w:t>
      </w:r>
      <w:r>
        <w:rPr>
          <w:rFonts w:hint="eastAsia" w:asciiTheme="majorEastAsia" w:hAnsiTheme="majorEastAsia" w:eastAsiaTheme="majorEastAsia" w:cstheme="majorEastAsia"/>
          <w:color w:val="auto"/>
          <w:sz w:val="21"/>
          <w:szCs w:val="21"/>
          <w:highlight w:val="none"/>
          <w:lang w:val="en-US" w:eastAsia="zh-CN"/>
        </w:rPr>
        <w:t>上级单位</w:t>
      </w:r>
      <w:r>
        <w:rPr>
          <w:rFonts w:hint="eastAsia" w:asciiTheme="majorEastAsia" w:hAnsiTheme="majorEastAsia" w:eastAsiaTheme="majorEastAsia" w:cstheme="majorEastAsia"/>
          <w:color w:val="auto"/>
          <w:sz w:val="21"/>
          <w:szCs w:val="21"/>
          <w:highlight w:val="none"/>
        </w:rPr>
        <w:t>、下属单位或关联企业中选取符合条件的人员作为定标委员会成员。招标项目对技术、商务</w:t>
      </w:r>
      <w:r>
        <w:rPr>
          <w:rFonts w:hint="eastAsia" w:asciiTheme="majorEastAsia" w:hAnsiTheme="majorEastAsia" w:eastAsiaTheme="majorEastAsia" w:cstheme="majorEastAsia"/>
          <w:color w:val="auto"/>
          <w:sz w:val="21"/>
          <w:szCs w:val="21"/>
          <w:highlight w:val="none"/>
          <w:lang w:val="en-US" w:eastAsia="zh-CN"/>
        </w:rPr>
        <w:t>等</w:t>
      </w:r>
      <w:r>
        <w:rPr>
          <w:rFonts w:hint="eastAsia" w:asciiTheme="majorEastAsia" w:hAnsiTheme="majorEastAsia" w:eastAsiaTheme="majorEastAsia" w:cstheme="majorEastAsia"/>
          <w:color w:val="auto"/>
          <w:sz w:val="21"/>
          <w:szCs w:val="21"/>
          <w:highlight w:val="none"/>
        </w:rPr>
        <w:t>有特别要求的，可以邀请与投标人无利害关系的专家，专家人数为1～2名且不超过定标委员会成员总数的1/3。</w:t>
      </w:r>
    </w:p>
    <w:p w14:paraId="64C887B2">
      <w:pPr>
        <w:autoSpaceDE w:val="0"/>
        <w:autoSpaceDN w:val="0"/>
        <w:adjustRightInd w:val="0"/>
        <w:snapToGrid w:val="0"/>
        <w:spacing w:beforeLines="0" w:afterLines="0" w:line="360" w:lineRule="auto"/>
        <w:ind w:firstLine="394" w:firstLineChars="188"/>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 w:val="21"/>
          <w:szCs w:val="21"/>
          <w:highlight w:val="none"/>
          <w:lang w:val="en-US" w:eastAsia="zh-CN"/>
        </w:rPr>
        <w:t>4</w:t>
      </w:r>
      <w:r>
        <w:rPr>
          <w:rFonts w:hint="eastAsia" w:asciiTheme="majorEastAsia" w:hAnsiTheme="majorEastAsia" w:eastAsiaTheme="majorEastAsia" w:cstheme="majorEastAsia"/>
          <w:color w:val="auto"/>
          <w:sz w:val="21"/>
          <w:szCs w:val="21"/>
          <w:highlight w:val="none"/>
        </w:rPr>
        <w:t>.1.3各区、各行业主管部门及有条件的建设单位建立定标委员会成员名录库的，建设单位可以在相应的定标委员会成员名录库中采取随机抽签的方式</w:t>
      </w:r>
      <w:r>
        <w:rPr>
          <w:rFonts w:hint="eastAsia" w:asciiTheme="majorEastAsia" w:hAnsiTheme="majorEastAsia" w:eastAsiaTheme="majorEastAsia" w:cstheme="majorEastAsia"/>
          <w:color w:val="auto"/>
          <w:sz w:val="21"/>
          <w:szCs w:val="21"/>
          <w:highlight w:val="none"/>
          <w:lang w:val="en-US" w:eastAsia="zh-CN"/>
        </w:rPr>
        <w:t>确定定标委员会成员</w:t>
      </w:r>
      <w:r>
        <w:rPr>
          <w:rFonts w:hint="eastAsia" w:asciiTheme="majorEastAsia" w:hAnsiTheme="majorEastAsia" w:eastAsiaTheme="majorEastAsia" w:cstheme="majorEastAsia"/>
          <w:color w:val="auto"/>
          <w:sz w:val="21"/>
          <w:szCs w:val="21"/>
          <w:highlight w:val="none"/>
        </w:rPr>
        <w:t>。</w:t>
      </w:r>
    </w:p>
    <w:p w14:paraId="67957653">
      <w:pPr>
        <w:widowControl/>
        <w:adjustRightInd w:val="0"/>
        <w:snapToGrid w:val="0"/>
        <w:spacing w:before="0" w:beforeLines="0" w:after="0" w:afterLines="0" w:line="360" w:lineRule="auto"/>
        <w:ind w:firstLine="420" w:firstLineChars="200"/>
        <w:jc w:val="left"/>
        <w:rPr>
          <w:rFonts w:cs="宋体"/>
          <w:color w:val="auto"/>
          <w:szCs w:val="21"/>
          <w:highlight w:val="none"/>
        </w:rPr>
      </w:pPr>
      <w:r>
        <w:rPr>
          <w:rFonts w:hint="eastAsia" w:cs="宋体"/>
          <w:color w:val="auto"/>
          <w:szCs w:val="21"/>
          <w:highlight w:val="none"/>
        </w:rPr>
        <w:t>4.2总监理工程师陈述答辩考核（如有）</w:t>
      </w:r>
    </w:p>
    <w:p w14:paraId="6AF4A7E9">
      <w:pPr>
        <w:widowControl/>
        <w:adjustRightInd w:val="0"/>
        <w:snapToGrid w:val="0"/>
        <w:spacing w:beforeLines="0" w:afterLines="0" w:line="360" w:lineRule="auto"/>
        <w:ind w:firstLine="420" w:firstLineChars="200"/>
        <w:jc w:val="left"/>
        <w:rPr>
          <w:rFonts w:cs="宋体"/>
          <w:color w:val="auto"/>
          <w:szCs w:val="21"/>
          <w:highlight w:val="none"/>
        </w:rPr>
      </w:pPr>
      <w:r>
        <w:rPr>
          <w:rFonts w:hint="eastAsia" w:cs="宋体"/>
          <w:color w:val="auto"/>
          <w:szCs w:val="21"/>
          <w:highlight w:val="none"/>
        </w:rPr>
        <w:t>4.2.1考核工作与清标工作同步开展。</w:t>
      </w:r>
    </w:p>
    <w:p w14:paraId="5EA7D0B7">
      <w:pPr>
        <w:widowControl/>
        <w:adjustRightInd w:val="0"/>
        <w:snapToGrid w:val="0"/>
        <w:spacing w:beforeLines="0" w:afterLines="0" w:line="360" w:lineRule="auto"/>
        <w:ind w:firstLine="420" w:firstLineChars="200"/>
        <w:jc w:val="left"/>
        <w:rPr>
          <w:rFonts w:cs="宋体"/>
          <w:color w:val="auto"/>
          <w:szCs w:val="21"/>
          <w:highlight w:val="none"/>
        </w:rPr>
      </w:pPr>
      <w:r>
        <w:rPr>
          <w:rFonts w:hint="eastAsia" w:cs="宋体"/>
          <w:color w:val="auto"/>
          <w:szCs w:val="21"/>
          <w:highlight w:val="none"/>
        </w:rPr>
        <w:t>4.2.2定标委员会使用建设单位加密定标方案附件的CA证书，解密陈述答辩考核方案附件。</w:t>
      </w:r>
    </w:p>
    <w:p w14:paraId="3ED15522">
      <w:pPr>
        <w:widowControl/>
        <w:adjustRightInd w:val="0"/>
        <w:snapToGrid w:val="0"/>
        <w:spacing w:beforeLines="0" w:afterLines="0" w:line="360" w:lineRule="auto"/>
        <w:ind w:firstLine="420" w:firstLineChars="200"/>
        <w:jc w:val="left"/>
        <w:rPr>
          <w:rFonts w:cs="宋体"/>
          <w:color w:val="auto"/>
          <w:szCs w:val="21"/>
          <w:highlight w:val="none"/>
        </w:rPr>
      </w:pPr>
      <w:r>
        <w:rPr>
          <w:rFonts w:hint="eastAsia" w:cs="宋体"/>
          <w:color w:val="auto"/>
          <w:szCs w:val="21"/>
          <w:highlight w:val="none"/>
          <w:lang w:val="en-US" w:eastAsia="zh-CN"/>
        </w:rPr>
        <w:t>4.2.3定标委员会根据陈述答辩考核方案规定的标准和程序进行陈述答辩的评审，并按照百分制计算得分乘以相应权重后汇总为各定标候选人陈述答辩得分。完成评审后，相关分值通过电子交易系统自动匹配至相应的投标人</w:t>
      </w:r>
      <w:r>
        <w:rPr>
          <w:rFonts w:hint="eastAsia" w:cs="宋体"/>
          <w:color w:val="auto"/>
          <w:szCs w:val="21"/>
          <w:highlight w:val="none"/>
        </w:rPr>
        <w:t>。</w:t>
      </w:r>
    </w:p>
    <w:p w14:paraId="0B84231E">
      <w:pPr>
        <w:widowControl/>
        <w:tabs>
          <w:tab w:val="left" w:pos="8218"/>
        </w:tabs>
        <w:adjustRightInd w:val="0"/>
        <w:snapToGrid w:val="0"/>
        <w:spacing w:before="0" w:beforeLines="0" w:after="0" w:afterLines="0" w:line="360" w:lineRule="auto"/>
        <w:ind w:firstLine="420" w:firstLineChars="200"/>
        <w:jc w:val="left"/>
        <w:rPr>
          <w:rFonts w:cs="宋体"/>
          <w:color w:val="auto"/>
          <w:szCs w:val="21"/>
          <w:highlight w:val="none"/>
        </w:rPr>
      </w:pPr>
      <w:r>
        <w:rPr>
          <w:rFonts w:hint="eastAsia" w:cs="宋体"/>
          <w:color w:val="auto"/>
          <w:szCs w:val="21"/>
          <w:highlight w:val="none"/>
        </w:rPr>
        <w:t>4.3定标，推荐中标人</w:t>
      </w:r>
      <w:r>
        <w:rPr>
          <w:rFonts w:hint="eastAsia" w:cs="宋体"/>
          <w:color w:val="auto"/>
          <w:szCs w:val="21"/>
          <w:highlight w:val="none"/>
        </w:rPr>
        <w:tab/>
      </w:r>
    </w:p>
    <w:p w14:paraId="08F909E8">
      <w:pPr>
        <w:widowControl/>
        <w:adjustRightInd w:val="0"/>
        <w:snapToGrid w:val="0"/>
        <w:spacing w:beforeLines="0" w:afterLines="0" w:line="360" w:lineRule="auto"/>
        <w:ind w:firstLine="420" w:firstLineChars="200"/>
        <w:jc w:val="left"/>
        <w:rPr>
          <w:rFonts w:hint="eastAsia" w:cs="宋体"/>
          <w:color w:val="auto"/>
          <w:szCs w:val="21"/>
          <w:highlight w:val="none"/>
        </w:rPr>
      </w:pPr>
      <w:r>
        <w:rPr>
          <w:rFonts w:hint="eastAsia" w:cs="宋体"/>
          <w:color w:val="auto"/>
          <w:szCs w:val="21"/>
          <w:highlight w:val="none"/>
          <w:lang w:val="en-US" w:eastAsia="zh-CN"/>
        </w:rPr>
        <w:t>4.3.1定标委员会可在清标工作结束后随即开展定标工作或按规定择期定标。招标项目存在答辩考核工作的，定标委员会应在完成4.2项规定的总监理工程师答辩考核评审工作后立即开展定标工作</w:t>
      </w:r>
      <w:r>
        <w:rPr>
          <w:rFonts w:hint="eastAsia" w:cs="宋体"/>
          <w:color w:val="auto"/>
          <w:szCs w:val="21"/>
          <w:highlight w:val="none"/>
        </w:rPr>
        <w:t>。</w:t>
      </w:r>
    </w:p>
    <w:p w14:paraId="5C98098E">
      <w:pPr>
        <w:widowControl/>
        <w:adjustRightInd w:val="0"/>
        <w:snapToGrid w:val="0"/>
        <w:spacing w:beforeLines="0" w:afterLines="0" w:line="360" w:lineRule="auto"/>
        <w:ind w:firstLine="420" w:firstLineChars="200"/>
        <w:jc w:val="left"/>
        <w:rPr>
          <w:rFonts w:hint="eastAsia" w:cs="宋体"/>
          <w:color w:val="auto"/>
          <w:szCs w:val="21"/>
          <w:highlight w:val="none"/>
          <w:lang w:val="en-US" w:eastAsia="zh-CN"/>
        </w:rPr>
      </w:pPr>
      <w:r>
        <w:rPr>
          <w:rFonts w:hint="eastAsia" w:cs="宋体"/>
          <w:color w:val="auto"/>
          <w:szCs w:val="21"/>
          <w:highlight w:val="none"/>
          <w:lang w:val="en-US" w:eastAsia="zh-CN"/>
        </w:rPr>
        <w:t>4.3.2投标人须知前附表第7.3项以及定标方案前附表第4项规定随机抽取定标方法的，根据定标方案前附表第4项规定进行随机抽取。</w:t>
      </w:r>
    </w:p>
    <w:p w14:paraId="63FF9E22">
      <w:pPr>
        <w:widowControl/>
        <w:adjustRightInd w:val="0"/>
        <w:snapToGrid w:val="0"/>
        <w:spacing w:beforeLines="0" w:afterLines="0" w:line="360" w:lineRule="auto"/>
        <w:ind w:firstLine="420" w:firstLineChars="200"/>
        <w:jc w:val="left"/>
        <w:rPr>
          <w:rFonts w:hint="default" w:cs="宋体"/>
          <w:color w:val="auto"/>
          <w:szCs w:val="21"/>
          <w:highlight w:val="none"/>
          <w:lang w:val="en-US" w:eastAsia="zh-CN"/>
        </w:rPr>
      </w:pPr>
      <w:r>
        <w:rPr>
          <w:rFonts w:hint="eastAsia" w:cs="宋体"/>
          <w:color w:val="auto"/>
          <w:szCs w:val="21"/>
          <w:highlight w:val="none"/>
          <w:lang w:val="en-US" w:eastAsia="zh-CN"/>
        </w:rPr>
        <w:t>4.3.3定标委员会解密清标报告中各定标候选人的清标得分，根据各定标候选人总监理工程师陈述答辩得分（如有）汇总计算定标候选人的综合得分并由高往低排序。定标委员会还需复核清标结果，如发现清标结果有误，应及时纠正并经定标委员会所有成员签字确认，纠正情况应纳入定标报告。</w:t>
      </w:r>
    </w:p>
    <w:p w14:paraId="5A78D472">
      <w:pPr>
        <w:widowControl/>
        <w:adjustRightInd w:val="0"/>
        <w:snapToGrid w:val="0"/>
        <w:spacing w:beforeLines="0" w:afterLines="0" w:line="360" w:lineRule="auto"/>
        <w:ind w:firstLine="420" w:firstLineChars="200"/>
        <w:jc w:val="left"/>
        <w:rPr>
          <w:rFonts w:hint="eastAsia" w:cs="宋体"/>
          <w:color w:val="auto"/>
          <w:szCs w:val="21"/>
          <w:highlight w:val="none"/>
          <w:lang w:val="en-US" w:eastAsia="zh-CN"/>
        </w:rPr>
      </w:pPr>
      <w:r>
        <w:rPr>
          <w:rFonts w:hint="eastAsia" w:cs="宋体"/>
          <w:color w:val="auto"/>
          <w:szCs w:val="21"/>
          <w:highlight w:val="none"/>
          <w:lang w:val="en-US" w:eastAsia="zh-CN"/>
        </w:rPr>
        <w:t>4.3.4定标委员会根据投标人须知前附表第7.3项以及定标方案前附表第4项规定的定标方法，确定中标候选人并推荐中标人。</w:t>
      </w:r>
    </w:p>
    <w:p w14:paraId="0B1166C6">
      <w:pPr>
        <w:widowControl/>
        <w:adjustRightInd w:val="0"/>
        <w:snapToGrid w:val="0"/>
        <w:spacing w:beforeLines="0" w:afterLines="0" w:line="360" w:lineRule="auto"/>
        <w:ind w:firstLine="420" w:firstLineChars="200"/>
        <w:jc w:val="left"/>
        <w:rPr>
          <w:rFonts w:cs="宋体"/>
          <w:color w:val="auto"/>
          <w:szCs w:val="21"/>
          <w:highlight w:val="none"/>
        </w:rPr>
      </w:pPr>
      <w:r>
        <w:rPr>
          <w:rFonts w:hint="eastAsia" w:cs="宋体"/>
          <w:color w:val="auto"/>
          <w:szCs w:val="21"/>
          <w:highlight w:val="none"/>
          <w:lang w:val="en-US" w:eastAsia="zh-CN"/>
        </w:rPr>
        <w:t>4.3.5定标完成后，定标委员会应当编制定标报告，定标报告完整载明定标过程。</w:t>
      </w:r>
    </w:p>
    <w:p w14:paraId="283F2C32">
      <w:pPr>
        <w:keepNext/>
        <w:keepLines/>
        <w:widowControl/>
        <w:adjustRightInd w:val="0"/>
        <w:snapToGrid w:val="0"/>
        <w:spacing w:before="0" w:beforeLines="0" w:after="0" w:afterLines="0" w:line="360" w:lineRule="auto"/>
        <w:outlineLvl w:val="1"/>
        <w:rPr>
          <w:rFonts w:ascii="黑体" w:eastAsia="黑体" w:cs="黑体"/>
          <w:color w:val="auto"/>
          <w:kern w:val="1"/>
          <w:sz w:val="28"/>
          <w:szCs w:val="28"/>
          <w:highlight w:val="none"/>
        </w:rPr>
      </w:pPr>
      <w:bookmarkStart w:id="563" w:name="_Toc21070"/>
      <w:r>
        <w:rPr>
          <w:rFonts w:hint="eastAsia" w:ascii="黑体" w:eastAsia="黑体" w:cs="黑体"/>
          <w:color w:val="auto"/>
          <w:kern w:val="1"/>
          <w:sz w:val="28"/>
          <w:szCs w:val="28"/>
          <w:highlight w:val="none"/>
        </w:rPr>
        <w:t>5</w:t>
      </w:r>
      <w:r>
        <w:rPr>
          <w:rFonts w:hint="eastAsia" w:ascii="黑体" w:eastAsia="黑体" w:cs="黑体"/>
          <w:color w:val="auto"/>
          <w:kern w:val="1"/>
          <w:sz w:val="28"/>
          <w:szCs w:val="28"/>
          <w:highlight w:val="none"/>
          <w:lang w:val="zh-CN"/>
        </w:rPr>
        <w:t>.重新定标</w:t>
      </w:r>
      <w:bookmarkEnd w:id="563"/>
      <w:r>
        <w:rPr>
          <w:rFonts w:hint="eastAsia" w:ascii="黑体" w:eastAsia="黑体" w:cs="黑体"/>
          <w:color w:val="auto"/>
          <w:kern w:val="1"/>
          <w:sz w:val="28"/>
          <w:szCs w:val="28"/>
          <w:highlight w:val="none"/>
        </w:rPr>
        <w:t>与重新招标</w:t>
      </w:r>
    </w:p>
    <w:p w14:paraId="3A824B8A">
      <w:pPr>
        <w:widowControl/>
        <w:adjustRightInd w:val="0"/>
        <w:snapToGrid w:val="0"/>
        <w:spacing w:beforeLines="0" w:afterLines="0"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定标后有下列情形之一的，建设单位</w:t>
      </w:r>
      <w:r>
        <w:rPr>
          <w:rFonts w:hint="eastAsia" w:asciiTheme="minorEastAsia" w:hAnsiTheme="minorEastAsia" w:eastAsiaTheme="minorEastAsia" w:cstheme="minorEastAsia"/>
          <w:color w:val="auto"/>
          <w:sz w:val="21"/>
          <w:szCs w:val="21"/>
          <w:highlight w:val="none"/>
          <w:lang w:val="en-US" w:eastAsia="zh-CN"/>
        </w:rPr>
        <w:t>组织</w:t>
      </w:r>
      <w:r>
        <w:rPr>
          <w:rFonts w:hint="eastAsia" w:asciiTheme="minorEastAsia" w:hAnsiTheme="minorEastAsia" w:eastAsiaTheme="minorEastAsia" w:cstheme="minorEastAsia"/>
          <w:color w:val="auto"/>
          <w:sz w:val="21"/>
          <w:szCs w:val="21"/>
          <w:highlight w:val="none"/>
        </w:rPr>
        <w:t>原定标委员会</w:t>
      </w:r>
      <w:r>
        <w:rPr>
          <w:rFonts w:hint="eastAsia" w:asciiTheme="minorEastAsia" w:hAnsiTheme="minorEastAsia" w:eastAsiaTheme="minorEastAsia" w:cstheme="minorEastAsia"/>
          <w:color w:val="auto"/>
          <w:sz w:val="21"/>
          <w:szCs w:val="21"/>
          <w:highlight w:val="none"/>
          <w:lang w:val="en-US" w:eastAsia="zh-CN"/>
        </w:rPr>
        <w:t>按原定标方案</w:t>
      </w:r>
      <w:r>
        <w:rPr>
          <w:rFonts w:hint="eastAsia" w:asciiTheme="minorEastAsia" w:hAnsiTheme="minorEastAsia" w:eastAsiaTheme="minorEastAsia" w:cstheme="minorEastAsia"/>
          <w:color w:val="auto"/>
          <w:sz w:val="21"/>
          <w:szCs w:val="21"/>
          <w:highlight w:val="none"/>
        </w:rPr>
        <w:t>重新确定中标人</w:t>
      </w:r>
      <w:r>
        <w:rPr>
          <w:rFonts w:hint="eastAsia" w:asciiTheme="minorEastAsia" w:hAnsiTheme="minorEastAsia" w:eastAsiaTheme="minorEastAsia" w:cstheme="minorEastAsia"/>
          <w:color w:val="auto"/>
          <w:sz w:val="21"/>
          <w:szCs w:val="21"/>
          <w:highlight w:val="none"/>
          <w:lang w:val="en-US" w:eastAsia="zh-CN"/>
        </w:rPr>
        <w:t>或重新招标，其中，除重新招标以外，已完成的</w:t>
      </w:r>
      <w:r>
        <w:rPr>
          <w:rFonts w:hint="eastAsia" w:asciiTheme="minorEastAsia" w:hAnsiTheme="minorEastAsia" w:eastAsiaTheme="minorEastAsia" w:cstheme="minorEastAsia"/>
          <w:color w:val="auto"/>
          <w:kern w:val="0"/>
          <w:sz w:val="21"/>
          <w:szCs w:val="21"/>
          <w:highlight w:val="none"/>
          <w:lang w:val="en-US" w:eastAsia="zh-CN"/>
        </w:rPr>
        <w:t>报价要素评审</w:t>
      </w:r>
      <w:r>
        <w:rPr>
          <w:rFonts w:hint="eastAsia" w:asciiTheme="minorEastAsia" w:hAnsiTheme="minorEastAsia" w:eastAsiaTheme="minorEastAsia" w:cstheme="minorEastAsia"/>
          <w:color w:val="auto"/>
          <w:sz w:val="21"/>
          <w:szCs w:val="21"/>
          <w:highlight w:val="none"/>
          <w:lang w:val="en-US" w:eastAsia="zh-CN"/>
        </w:rPr>
        <w:t>结果、定标方法抽取结果以及总监理工程师陈述答辩评分（根据实际情况需要采用备选答辩评审标准重新陈述答辩考核的除外），后续无论出现何种情况都不再改变</w:t>
      </w:r>
      <w:r>
        <w:rPr>
          <w:rFonts w:hint="eastAsia" w:asciiTheme="minorEastAsia" w:hAnsiTheme="minorEastAsia" w:eastAsiaTheme="minorEastAsia" w:cstheme="minorEastAsia"/>
          <w:color w:val="auto"/>
          <w:sz w:val="21"/>
          <w:szCs w:val="21"/>
          <w:highlight w:val="none"/>
        </w:rPr>
        <w:t>：</w:t>
      </w:r>
    </w:p>
    <w:p w14:paraId="0B9929FB">
      <w:pPr>
        <w:widowControl/>
        <w:adjustRightInd w:val="0"/>
        <w:snapToGrid w:val="0"/>
        <w:spacing w:beforeLines="0" w:afterLines="0"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（1）中标人放弃中标或者拒不签订合同的；</w:t>
      </w:r>
    </w:p>
    <w:p w14:paraId="651F6F83">
      <w:pPr>
        <w:widowControl/>
        <w:adjustRightInd w:val="0"/>
        <w:snapToGrid w:val="0"/>
        <w:spacing w:beforeLines="0" w:afterLines="0"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（2）中标人不按照招标文件要求提交履约担保的；</w:t>
      </w:r>
    </w:p>
    <w:p w14:paraId="17E8C643">
      <w:pPr>
        <w:widowControl/>
        <w:adjustRightInd w:val="0"/>
        <w:snapToGrid w:val="0"/>
        <w:spacing w:beforeLines="0" w:afterLines="0" w:line="360" w:lineRule="auto"/>
        <w:ind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val="en-US" w:eastAsia="zh-CN"/>
        </w:rPr>
        <w:t>未按照定标方案定标并影响中标结果的；</w:t>
      </w:r>
    </w:p>
    <w:p w14:paraId="4B69AA87">
      <w:pPr>
        <w:widowControl/>
        <w:adjustRightInd w:val="0"/>
        <w:snapToGrid w:val="0"/>
        <w:spacing w:beforeLines="0" w:afterLines="0"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经异议或投诉处理，</w:t>
      </w:r>
      <w:r>
        <w:rPr>
          <w:rFonts w:hint="eastAsia" w:asciiTheme="minorEastAsia" w:hAnsiTheme="minorEastAsia" w:eastAsiaTheme="minorEastAsia" w:cstheme="minorEastAsia"/>
          <w:color w:val="auto"/>
          <w:sz w:val="21"/>
          <w:szCs w:val="21"/>
          <w:highlight w:val="none"/>
        </w:rPr>
        <w:t>被查实</w:t>
      </w:r>
      <w:r>
        <w:rPr>
          <w:rFonts w:hint="eastAsia" w:asciiTheme="minorEastAsia" w:hAnsiTheme="minorEastAsia" w:eastAsiaTheme="minorEastAsia" w:cstheme="minorEastAsia"/>
          <w:color w:val="auto"/>
          <w:sz w:val="21"/>
          <w:szCs w:val="21"/>
          <w:highlight w:val="none"/>
          <w:lang w:val="en-US" w:eastAsia="zh-CN"/>
        </w:rPr>
        <w:t>并</w:t>
      </w:r>
      <w:r>
        <w:rPr>
          <w:rFonts w:hint="eastAsia" w:asciiTheme="minorEastAsia" w:hAnsiTheme="minorEastAsia" w:eastAsiaTheme="minorEastAsia" w:cstheme="minorEastAsia"/>
          <w:color w:val="auto"/>
          <w:sz w:val="21"/>
          <w:szCs w:val="21"/>
          <w:highlight w:val="none"/>
        </w:rPr>
        <w:t>影响中标结果的；</w:t>
      </w:r>
    </w:p>
    <w:p w14:paraId="3F0ABB3F">
      <w:pPr>
        <w:widowControl/>
        <w:adjustRightInd w:val="0"/>
        <w:snapToGrid w:val="0"/>
        <w:spacing w:beforeLines="0" w:afterLines="0"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）法律法规规定的其他情形</w:t>
      </w:r>
      <w:r>
        <w:rPr>
          <w:rFonts w:hint="eastAsia" w:asciiTheme="minorEastAsia" w:hAnsiTheme="minorEastAsia" w:eastAsiaTheme="minorEastAsia" w:cstheme="minorEastAsia"/>
          <w:color w:val="auto"/>
          <w:sz w:val="21"/>
          <w:szCs w:val="21"/>
          <w:highlight w:val="none"/>
          <w:lang w:eastAsia="zh-CN"/>
        </w:rPr>
        <w:t>。</w:t>
      </w:r>
    </w:p>
    <w:p w14:paraId="07977B9D">
      <w:pPr>
        <w:pStyle w:val="4"/>
        <w:rPr>
          <w:rFonts w:hint="eastAsia"/>
          <w:color w:val="auto"/>
          <w:highlight w:val="none"/>
        </w:rPr>
        <w:sectPr>
          <w:footerReference r:id="rId16" w:type="default"/>
          <w:pgSz w:w="11906" w:h="16838"/>
          <w:pgMar w:top="1418" w:right="1304" w:bottom="1418" w:left="1304" w:header="851" w:footer="992" w:gutter="0"/>
          <w:cols w:space="720" w:num="1"/>
          <w:docGrid w:type="lines" w:linePitch="312" w:charSpace="0"/>
        </w:sectPr>
      </w:pPr>
    </w:p>
    <w:p w14:paraId="56B0618E">
      <w:pPr>
        <w:pStyle w:val="4"/>
        <w:rPr>
          <w:color w:val="auto"/>
          <w:highlight w:val="none"/>
        </w:rPr>
      </w:pPr>
      <w:r>
        <w:rPr>
          <w:rFonts w:hint="eastAsia"/>
          <w:color w:val="auto"/>
          <w:highlight w:val="none"/>
        </w:rPr>
        <w:t>第五章  监理合同条款</w:t>
      </w:r>
      <w:bookmarkEnd w:id="545"/>
      <w:r>
        <w:rPr>
          <w:rFonts w:hint="eastAsia"/>
          <w:color w:val="auto"/>
          <w:highlight w:val="none"/>
        </w:rPr>
        <w:t>及格式</w:t>
      </w:r>
      <w:bookmarkEnd w:id="546"/>
      <w:bookmarkEnd w:id="547"/>
    </w:p>
    <w:p w14:paraId="1A2B36F1">
      <w:pPr>
        <w:pStyle w:val="5"/>
        <w:jc w:val="center"/>
        <w:rPr>
          <w:color w:val="auto"/>
          <w:highlight w:val="none"/>
        </w:rPr>
      </w:pPr>
      <w:bookmarkStart w:id="564" w:name="_Toc341805204"/>
      <w:bookmarkStart w:id="565" w:name="_Toc488650841"/>
      <w:r>
        <w:rPr>
          <w:rFonts w:hint="eastAsia"/>
          <w:color w:val="auto"/>
          <w:highlight w:val="none"/>
        </w:rPr>
        <w:t>第一节  通用合同条款</w:t>
      </w:r>
      <w:bookmarkEnd w:id="564"/>
      <w:bookmarkEnd w:id="565"/>
    </w:p>
    <w:p w14:paraId="4221F9B5">
      <w:pPr>
        <w:pStyle w:val="5"/>
        <w:spacing w:before="0" w:after="0" w:line="324" w:lineRule="auto"/>
        <w:ind w:firstLine="482" w:firstLineChars="200"/>
        <w:rPr>
          <w:rFonts w:ascii="宋体" w:hAnsi="宋体" w:eastAsia="宋体" w:cs="宋体"/>
          <w:color w:val="auto"/>
          <w:sz w:val="24"/>
          <w:szCs w:val="24"/>
          <w:highlight w:val="none"/>
        </w:rPr>
      </w:pPr>
      <w:bookmarkStart w:id="566" w:name="_Toc487653410"/>
      <w:bookmarkStart w:id="567" w:name="_Toc330384451"/>
      <w:bookmarkStart w:id="568" w:name="_Toc487291521"/>
      <w:bookmarkStart w:id="569" w:name="_Toc341805205"/>
      <w:bookmarkStart w:id="570" w:name="_Toc487619492"/>
      <w:bookmarkStart w:id="571" w:name="_Toc488650842"/>
      <w:r>
        <w:rPr>
          <w:rFonts w:hint="eastAsia" w:ascii="宋体" w:hAnsi="宋体" w:eastAsia="宋体" w:cs="宋体"/>
          <w:color w:val="auto"/>
          <w:sz w:val="24"/>
          <w:szCs w:val="24"/>
          <w:highlight w:val="none"/>
        </w:rPr>
        <w:t>1．一般约定</w:t>
      </w:r>
      <w:bookmarkEnd w:id="548"/>
      <w:bookmarkEnd w:id="549"/>
      <w:bookmarkEnd w:id="566"/>
      <w:bookmarkEnd w:id="567"/>
      <w:bookmarkEnd w:id="568"/>
      <w:bookmarkEnd w:id="569"/>
      <w:bookmarkEnd w:id="570"/>
      <w:bookmarkEnd w:id="571"/>
    </w:p>
    <w:p w14:paraId="11B8AE4A">
      <w:pPr>
        <w:pStyle w:val="5"/>
        <w:spacing w:before="0" w:after="0" w:line="324" w:lineRule="auto"/>
        <w:ind w:firstLine="482" w:firstLineChars="200"/>
        <w:rPr>
          <w:rFonts w:ascii="宋体" w:hAnsi="宋体" w:eastAsia="宋体" w:cs="宋体"/>
          <w:b w:val="0"/>
          <w:color w:val="auto"/>
          <w:sz w:val="24"/>
          <w:szCs w:val="24"/>
          <w:highlight w:val="none"/>
        </w:rPr>
      </w:pPr>
      <w:bookmarkStart w:id="572" w:name="_Toc356567883"/>
      <w:bookmarkStart w:id="573" w:name="_Toc341805206"/>
      <w:bookmarkStart w:id="574" w:name="_Toc488650843"/>
      <w:bookmarkStart w:id="575" w:name="_Toc487653411"/>
      <w:bookmarkStart w:id="576" w:name="_Toc487291522"/>
      <w:bookmarkStart w:id="577" w:name="_Toc487619493"/>
      <w:r>
        <w:rPr>
          <w:rFonts w:hint="eastAsia" w:ascii="宋体" w:hAnsi="宋体" w:eastAsia="宋体" w:cs="宋体"/>
          <w:color w:val="auto"/>
          <w:sz w:val="24"/>
          <w:szCs w:val="24"/>
          <w:highlight w:val="none"/>
        </w:rPr>
        <w:t>1.1</w:t>
      </w:r>
      <w:r>
        <w:rPr>
          <w:rFonts w:hint="eastAsia" w:ascii="宋体" w:hAnsi="宋体" w:eastAsia="宋体" w:cs="宋体"/>
          <w:b w:val="0"/>
          <w:color w:val="auto"/>
          <w:sz w:val="24"/>
          <w:szCs w:val="24"/>
          <w:highlight w:val="none"/>
        </w:rPr>
        <w:t xml:space="preserve">  词语定义</w:t>
      </w:r>
      <w:bookmarkEnd w:id="572"/>
      <w:bookmarkEnd w:id="573"/>
      <w:bookmarkEnd w:id="574"/>
      <w:bookmarkEnd w:id="575"/>
      <w:bookmarkEnd w:id="576"/>
      <w:bookmarkEnd w:id="577"/>
    </w:p>
    <w:p w14:paraId="1F0D1205">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  合同</w:t>
      </w:r>
    </w:p>
    <w:p w14:paraId="39633C98">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（1）合同文件（或称合同）：指监理合同协议书、中标通知书、投标文件、招标文件，以及其他合同文件。</w:t>
      </w:r>
    </w:p>
    <w:p w14:paraId="58FF8380">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（2）合同协议书：指第1.5条所指的合同协议书。</w:t>
      </w:r>
    </w:p>
    <w:p w14:paraId="3D8FE227">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（3）中标通知书：指发包人通知监理人中标的函件。</w:t>
      </w:r>
    </w:p>
    <w:p w14:paraId="222EE983">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（4）投标函：指构成合同文件组成部分的由监理人填写并签署的投标函。</w:t>
      </w:r>
    </w:p>
    <w:p w14:paraId="43FEE428">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（5）投标函附录：指附在投标函后构成合同文件的投标函附录。</w:t>
      </w:r>
    </w:p>
    <w:p w14:paraId="2C0A044E">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（6）其他合同文件：指经合同双方当事人确认构成合同文件的其他文件。</w:t>
      </w:r>
    </w:p>
    <w:p w14:paraId="68005D23">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   合同当事人和人员</w:t>
      </w:r>
    </w:p>
    <w:p w14:paraId="43AFF999">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（1）合同当事人：指发包人和（或）监理人。</w:t>
      </w:r>
    </w:p>
    <w:p w14:paraId="46C7433C">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（2）发包人：指专用合同条款中指明并与监理人在合同协议书中签字的当事人。</w:t>
      </w:r>
    </w:p>
    <w:p w14:paraId="20940C0D">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（3）监理人：指与发包人签订合同协议书的当事人。</w:t>
      </w:r>
    </w:p>
    <w:p w14:paraId="0ED4B72E">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（4）监理机构：由监理人派出并代表监理人履行监理合同的现场监理组织。</w:t>
      </w:r>
    </w:p>
    <w:p w14:paraId="2A1C7D57">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（5）总监理工程师：指由监理人委派常驻监理机构对合同履行实施管理的全权负责人，简称总监。</w:t>
      </w:r>
    </w:p>
    <w:p w14:paraId="425FD53D">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（6）一方：发包人或监理人。</w:t>
      </w:r>
    </w:p>
    <w:p w14:paraId="2C8624DE">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（7）双方：发包人和监理人。</w:t>
      </w:r>
    </w:p>
    <w:p w14:paraId="0D3FE98A">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（8）第三方：一般是指与发包人签订工程承包合同的单位或个人，但根据上下文的内容，也可以是与工程建设有关的其他当事人。</w:t>
      </w:r>
    </w:p>
    <w:p w14:paraId="29DDE962">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（9）承包人：被发包人接受的具有相应工程施工承包主体资格的法人或其合法继承人或合法受让人，根据上下文的内容，亦指承包人根据承包合同派驻到施工场地履行工程承包合同的机构。</w:t>
      </w:r>
    </w:p>
    <w:p w14:paraId="021763BF">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  工程和服务</w:t>
      </w:r>
    </w:p>
    <w:p w14:paraId="6A56E3FB">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（1）工程：为完成项目所实施的一项或若干项永久或临时工程(包括向发包人提供的物资和设备)，具体情况在合同专用条款中指明。</w:t>
      </w:r>
    </w:p>
    <w:p w14:paraId="3B5E44AA">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（2）项目：发包人建造工程和委托监理单位提供监理服务的对象，具体情况在合同专用条款中指明。</w:t>
      </w:r>
    </w:p>
    <w:p w14:paraId="361081FD">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（3）服务：监理人根据监理合同所承担的工作，包括正常的服务、附加的服务、额外的服务，亦称监理服务。</w:t>
      </w:r>
    </w:p>
    <w:p w14:paraId="69896B04">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  日期</w:t>
      </w:r>
    </w:p>
    <w:p w14:paraId="48D24C3D">
      <w:pPr>
        <w:autoSpaceDE w:val="0"/>
        <w:autoSpaceDN w:val="0"/>
        <w:adjustRightInd w:val="0"/>
        <w:snapToGrid w:val="0"/>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（1）日：即日历日。合同中按日计算时间的，开始当日不计入，从次日开始计算。期限最后一日的截止时间为当日24时。</w:t>
      </w:r>
    </w:p>
    <w:p w14:paraId="0550AEFD">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（2）缺陷责任期：指履行第5.3条约定的缺陷责任的期限，具体期限由专用合同条款约定，包括根据第5.4 条约定所作的延长。</w:t>
      </w:r>
    </w:p>
    <w:p w14:paraId="40A9E827">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1.1.5  监理服务费用</w:t>
      </w:r>
    </w:p>
    <w:p w14:paraId="61E99DF8">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（1）监理服务费用：是指监理人按合同约定完成了全部监理工作后，发包人应付给监理人的金额，包括在履行合同过程中按合同约定进行的变更和调整。</w:t>
      </w:r>
    </w:p>
    <w:p w14:paraId="6F9FBDC5">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（2）暂列金额：指已在投标时监理服务费用中所列的暂列金额，用于支付在合同执行过程中可能发生的附加监理服务或额外监理服务等的金额。</w:t>
      </w:r>
    </w:p>
    <w:p w14:paraId="0427025E">
      <w:pPr>
        <w:autoSpaceDE w:val="0"/>
        <w:autoSpaceDN w:val="0"/>
        <w:adjustRightInd w:val="0"/>
        <w:snapToGrid w:val="0"/>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1.1.6  其他</w:t>
      </w:r>
    </w:p>
    <w:p w14:paraId="4A408D98">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书面形式：指合同文件、信件和数据电文，包括电报、电传、传真、电子数据交换和电子邮件等可以有形地表现所载内容的形式。</w:t>
      </w:r>
    </w:p>
    <w:p w14:paraId="5918B4E3">
      <w:pPr>
        <w:pStyle w:val="5"/>
        <w:spacing w:before="0" w:after="0" w:line="324" w:lineRule="auto"/>
        <w:ind w:firstLine="482" w:firstLineChars="200"/>
        <w:rPr>
          <w:rFonts w:ascii="宋体" w:hAnsi="宋体" w:eastAsia="宋体" w:cs="宋体"/>
          <w:b w:val="0"/>
          <w:color w:val="auto"/>
          <w:sz w:val="24"/>
          <w:szCs w:val="24"/>
          <w:highlight w:val="none"/>
        </w:rPr>
      </w:pPr>
      <w:bookmarkStart w:id="578" w:name="_Toc487291523"/>
      <w:bookmarkStart w:id="579" w:name="_Toc341805207"/>
      <w:bookmarkStart w:id="580" w:name="_Toc487653412"/>
      <w:bookmarkStart w:id="581" w:name="_Toc356567884"/>
      <w:bookmarkStart w:id="582" w:name="_Toc487619494"/>
      <w:bookmarkStart w:id="583" w:name="_Toc488650844"/>
      <w:r>
        <w:rPr>
          <w:rFonts w:hint="eastAsia" w:ascii="宋体" w:hAnsi="宋体" w:eastAsia="宋体" w:cs="宋体"/>
          <w:color w:val="auto"/>
          <w:sz w:val="24"/>
          <w:szCs w:val="24"/>
          <w:highlight w:val="none"/>
        </w:rPr>
        <w:t xml:space="preserve">1.2 </w:t>
      </w:r>
      <w:r>
        <w:rPr>
          <w:rFonts w:hint="eastAsia" w:ascii="宋体" w:hAnsi="宋体" w:eastAsia="宋体" w:cs="宋体"/>
          <w:b w:val="0"/>
          <w:color w:val="auto"/>
          <w:sz w:val="24"/>
          <w:szCs w:val="24"/>
          <w:highlight w:val="none"/>
        </w:rPr>
        <w:t xml:space="preserve"> 语言文字</w:t>
      </w:r>
      <w:bookmarkEnd w:id="578"/>
      <w:bookmarkEnd w:id="579"/>
      <w:bookmarkEnd w:id="580"/>
      <w:bookmarkEnd w:id="581"/>
      <w:bookmarkEnd w:id="582"/>
      <w:bookmarkEnd w:id="583"/>
    </w:p>
    <w:p w14:paraId="69BE010F">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除专用术语外，本监理合同使用的语言文字为中文，必要时专用术语应附有中文注释。</w:t>
      </w:r>
    </w:p>
    <w:p w14:paraId="5E184466">
      <w:pPr>
        <w:pStyle w:val="5"/>
        <w:spacing w:before="0" w:after="0" w:line="324" w:lineRule="auto"/>
        <w:ind w:firstLine="482" w:firstLineChars="200"/>
        <w:rPr>
          <w:rFonts w:ascii="宋体" w:hAnsi="宋体" w:eastAsia="宋体" w:cs="宋体"/>
          <w:b w:val="0"/>
          <w:color w:val="auto"/>
          <w:sz w:val="24"/>
          <w:szCs w:val="24"/>
          <w:highlight w:val="none"/>
        </w:rPr>
      </w:pPr>
      <w:bookmarkStart w:id="584" w:name="_Toc356567885"/>
      <w:bookmarkStart w:id="585" w:name="_Toc487619495"/>
      <w:bookmarkStart w:id="586" w:name="_Toc341805208"/>
      <w:bookmarkStart w:id="587" w:name="_Toc487291524"/>
      <w:bookmarkStart w:id="588" w:name="_Toc487653413"/>
      <w:bookmarkStart w:id="589" w:name="_Toc488650845"/>
      <w:r>
        <w:rPr>
          <w:rFonts w:hint="eastAsia" w:ascii="宋体" w:hAnsi="宋体" w:eastAsia="宋体" w:cs="宋体"/>
          <w:color w:val="auto"/>
          <w:sz w:val="24"/>
          <w:szCs w:val="24"/>
          <w:highlight w:val="none"/>
        </w:rPr>
        <w:t>1.3</w:t>
      </w:r>
      <w:r>
        <w:rPr>
          <w:rFonts w:hint="eastAsia" w:ascii="宋体" w:hAnsi="宋体" w:eastAsia="宋体" w:cs="宋体"/>
          <w:b w:val="0"/>
          <w:color w:val="auto"/>
          <w:sz w:val="24"/>
          <w:szCs w:val="24"/>
          <w:highlight w:val="none"/>
        </w:rPr>
        <w:t xml:space="preserve">  法律</w:t>
      </w:r>
      <w:bookmarkEnd w:id="584"/>
      <w:bookmarkEnd w:id="585"/>
      <w:bookmarkEnd w:id="586"/>
      <w:bookmarkEnd w:id="587"/>
      <w:bookmarkEnd w:id="588"/>
      <w:bookmarkEnd w:id="589"/>
    </w:p>
    <w:p w14:paraId="00F29075">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适用于本监理合同的法律包括中华人民共和国法律、行政法规、部门规章，以及工程所在地的地方法规、自治条例和地方政府规章。</w:t>
      </w:r>
    </w:p>
    <w:p w14:paraId="57817588">
      <w:pPr>
        <w:pStyle w:val="5"/>
        <w:spacing w:before="0" w:after="0" w:line="324" w:lineRule="auto"/>
        <w:ind w:firstLine="482" w:firstLineChars="200"/>
        <w:rPr>
          <w:rFonts w:ascii="宋体" w:hAnsi="宋体" w:eastAsia="宋体" w:cs="宋体"/>
          <w:b w:val="0"/>
          <w:color w:val="auto"/>
          <w:sz w:val="24"/>
          <w:szCs w:val="24"/>
          <w:highlight w:val="none"/>
        </w:rPr>
      </w:pPr>
      <w:bookmarkStart w:id="590" w:name="_Toc488650846"/>
      <w:bookmarkStart w:id="591" w:name="_Toc487619496"/>
      <w:bookmarkStart w:id="592" w:name="_Toc356567886"/>
      <w:bookmarkStart w:id="593" w:name="_Toc487653414"/>
      <w:bookmarkStart w:id="594" w:name="_Toc487291525"/>
      <w:bookmarkStart w:id="595" w:name="_Toc341805209"/>
      <w:r>
        <w:rPr>
          <w:rFonts w:hint="eastAsia" w:ascii="宋体" w:hAnsi="宋体" w:eastAsia="宋体" w:cs="宋体"/>
          <w:color w:val="auto"/>
          <w:sz w:val="24"/>
          <w:szCs w:val="24"/>
          <w:highlight w:val="none"/>
        </w:rPr>
        <w:t xml:space="preserve">1.4 </w:t>
      </w:r>
      <w:r>
        <w:rPr>
          <w:rFonts w:hint="eastAsia" w:ascii="宋体" w:hAnsi="宋体" w:eastAsia="宋体" w:cs="宋体"/>
          <w:b w:val="0"/>
          <w:color w:val="auto"/>
          <w:sz w:val="24"/>
          <w:szCs w:val="24"/>
          <w:highlight w:val="none"/>
        </w:rPr>
        <w:t xml:space="preserve"> 合同文件的优先顺序</w:t>
      </w:r>
      <w:bookmarkEnd w:id="590"/>
      <w:bookmarkEnd w:id="591"/>
      <w:bookmarkEnd w:id="592"/>
      <w:bookmarkEnd w:id="593"/>
      <w:bookmarkEnd w:id="594"/>
      <w:bookmarkEnd w:id="595"/>
    </w:p>
    <w:p w14:paraId="41C5D89A">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组成合同的各项文件应互相解释，互为说明，除专用合同条款另有约定外，解释合同文件的优先顺序如下：</w:t>
      </w:r>
    </w:p>
    <w:p w14:paraId="64BC6AAC">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（1）在合同履行过程中双方共同签署的补充文件；</w:t>
      </w:r>
    </w:p>
    <w:p w14:paraId="78AD05DC">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（2）监理合同协议书；</w:t>
      </w:r>
    </w:p>
    <w:p w14:paraId="2137BB84">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（3）中标通知书；</w:t>
      </w:r>
    </w:p>
    <w:p w14:paraId="62295004">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（4）投标函及投标函附录；</w:t>
      </w:r>
    </w:p>
    <w:p w14:paraId="53B299AC">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（5）专用合同条款；</w:t>
      </w:r>
    </w:p>
    <w:p w14:paraId="19B6361E">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（6）通用合同条款；</w:t>
      </w:r>
    </w:p>
    <w:p w14:paraId="24AF4C3E">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（7）其他合同文件。</w:t>
      </w:r>
    </w:p>
    <w:p w14:paraId="330CE9DE">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对于同一类合同文件，以其最新版本或最新颁发者为准。</w:t>
      </w:r>
    </w:p>
    <w:p w14:paraId="044CBD9B">
      <w:pPr>
        <w:pStyle w:val="5"/>
        <w:spacing w:before="0" w:after="0" w:line="324" w:lineRule="auto"/>
        <w:ind w:firstLine="482" w:firstLineChars="200"/>
        <w:rPr>
          <w:rFonts w:ascii="宋体" w:hAnsi="宋体" w:eastAsia="宋体" w:cs="宋体"/>
          <w:b w:val="0"/>
          <w:color w:val="auto"/>
          <w:sz w:val="24"/>
          <w:szCs w:val="24"/>
          <w:highlight w:val="none"/>
        </w:rPr>
      </w:pPr>
      <w:bookmarkStart w:id="596" w:name="_Toc356567887"/>
      <w:bookmarkStart w:id="597" w:name="_Toc487619497"/>
      <w:bookmarkStart w:id="598" w:name="_Toc488650847"/>
      <w:bookmarkStart w:id="599" w:name="_Toc487291526"/>
      <w:bookmarkStart w:id="600" w:name="_Toc341805210"/>
      <w:bookmarkStart w:id="601" w:name="_Toc487653415"/>
      <w:r>
        <w:rPr>
          <w:rFonts w:hint="eastAsia" w:ascii="宋体" w:hAnsi="宋体" w:eastAsia="宋体" w:cs="宋体"/>
          <w:color w:val="auto"/>
          <w:sz w:val="24"/>
          <w:szCs w:val="24"/>
          <w:highlight w:val="none"/>
        </w:rPr>
        <w:t xml:space="preserve">1.5  </w:t>
      </w:r>
      <w:r>
        <w:rPr>
          <w:rFonts w:hint="eastAsia" w:ascii="宋体" w:hAnsi="宋体" w:eastAsia="宋体" w:cs="宋体"/>
          <w:b w:val="0"/>
          <w:color w:val="auto"/>
          <w:sz w:val="24"/>
          <w:szCs w:val="24"/>
          <w:highlight w:val="none"/>
        </w:rPr>
        <w:t>合同协议书</w:t>
      </w:r>
      <w:bookmarkEnd w:id="596"/>
      <w:bookmarkEnd w:id="597"/>
      <w:bookmarkEnd w:id="598"/>
      <w:bookmarkEnd w:id="599"/>
      <w:bookmarkEnd w:id="600"/>
      <w:bookmarkEnd w:id="601"/>
    </w:p>
    <w:p w14:paraId="4904BC90">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监理人按中标通知书规定的时间与发包人签订合同协议书。</w:t>
      </w:r>
    </w:p>
    <w:p w14:paraId="032C8825">
      <w:pPr>
        <w:pStyle w:val="5"/>
        <w:spacing w:before="0" w:after="0" w:line="324" w:lineRule="auto"/>
        <w:ind w:firstLine="482" w:firstLineChars="200"/>
        <w:rPr>
          <w:rFonts w:ascii="宋体" w:hAnsi="宋体" w:eastAsia="宋体" w:cs="宋体"/>
          <w:b w:val="0"/>
          <w:color w:val="auto"/>
          <w:sz w:val="24"/>
          <w:szCs w:val="24"/>
          <w:highlight w:val="none"/>
        </w:rPr>
      </w:pPr>
      <w:bookmarkStart w:id="602" w:name="_Toc487291527"/>
      <w:bookmarkStart w:id="603" w:name="_Toc356567888"/>
      <w:bookmarkStart w:id="604" w:name="_Toc341805211"/>
      <w:bookmarkStart w:id="605" w:name="_Toc487619498"/>
      <w:bookmarkStart w:id="606" w:name="_Toc487653416"/>
      <w:bookmarkStart w:id="607" w:name="_Toc488650848"/>
      <w:r>
        <w:rPr>
          <w:rFonts w:hint="eastAsia" w:ascii="宋体" w:hAnsi="宋体" w:eastAsia="宋体" w:cs="宋体"/>
          <w:color w:val="auto"/>
          <w:sz w:val="24"/>
          <w:szCs w:val="24"/>
          <w:highlight w:val="none"/>
        </w:rPr>
        <w:t>1.6</w:t>
      </w:r>
      <w:r>
        <w:rPr>
          <w:rFonts w:hint="eastAsia" w:ascii="宋体" w:hAnsi="宋体" w:eastAsia="宋体" w:cs="宋体"/>
          <w:b w:val="0"/>
          <w:color w:val="auto"/>
          <w:sz w:val="24"/>
          <w:szCs w:val="24"/>
          <w:highlight w:val="none"/>
        </w:rPr>
        <w:t xml:space="preserve">  技术资料和监理人文件</w:t>
      </w:r>
      <w:bookmarkEnd w:id="602"/>
      <w:bookmarkEnd w:id="603"/>
      <w:bookmarkEnd w:id="604"/>
      <w:bookmarkEnd w:id="605"/>
      <w:bookmarkEnd w:id="606"/>
      <w:bookmarkEnd w:id="607"/>
    </w:p>
    <w:p w14:paraId="644FE1F0">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  发包人在监理合同生效后，且在取得相关文件、资料7日内，向监理人免费提供下述文件、资料：</w:t>
      </w:r>
    </w:p>
    <w:p w14:paraId="60EA3397">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（1）发包人与承包人签订的施工合同，发包人与承包人共同确认的已标价的工程数量清单及其说明。</w:t>
      </w:r>
    </w:p>
    <w:p w14:paraId="357E10CC">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（2）本工程的施工招标文件，承包人的投标文件。</w:t>
      </w:r>
    </w:p>
    <w:p w14:paraId="45E97149">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（3）本工程的勘察资料、设计图纸、图纸说明、技术规格书等设计资料。</w:t>
      </w:r>
    </w:p>
    <w:p w14:paraId="13F144FE">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（4）监理工作需要的其他技术资料。</w:t>
      </w:r>
    </w:p>
    <w:p w14:paraId="769D0CF8">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1.6.2  监理人提供的文件</w:t>
      </w:r>
    </w:p>
    <w:p w14:paraId="0938862E">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监理人应依据监理合同约定的工作范围，在专用合同条款约定的期限内，向发包人提交监理规划及其他监理文件，且应符合现行行业标准的有关规定。</w:t>
      </w:r>
    </w:p>
    <w:p w14:paraId="1E5FCA5B">
      <w:pPr>
        <w:pStyle w:val="5"/>
        <w:spacing w:before="0" w:after="0" w:line="324" w:lineRule="auto"/>
        <w:ind w:firstLine="482" w:firstLineChars="200"/>
        <w:rPr>
          <w:rFonts w:ascii="宋体" w:hAnsi="宋体" w:eastAsia="宋体" w:cs="宋体"/>
          <w:b w:val="0"/>
          <w:color w:val="auto"/>
          <w:sz w:val="24"/>
          <w:szCs w:val="24"/>
          <w:highlight w:val="none"/>
        </w:rPr>
      </w:pPr>
      <w:bookmarkStart w:id="608" w:name="_Toc487291528"/>
      <w:bookmarkStart w:id="609" w:name="_Toc356567889"/>
      <w:bookmarkStart w:id="610" w:name="_Toc341805212"/>
      <w:bookmarkStart w:id="611" w:name="_Toc487619499"/>
      <w:bookmarkStart w:id="612" w:name="_Toc487653417"/>
      <w:bookmarkStart w:id="613" w:name="_Toc488650849"/>
      <w:r>
        <w:rPr>
          <w:rFonts w:hint="eastAsia" w:ascii="宋体" w:hAnsi="宋体" w:eastAsia="宋体" w:cs="宋体"/>
          <w:color w:val="auto"/>
          <w:sz w:val="24"/>
          <w:szCs w:val="24"/>
          <w:highlight w:val="none"/>
        </w:rPr>
        <w:t xml:space="preserve">1.7 </w:t>
      </w:r>
      <w:r>
        <w:rPr>
          <w:rFonts w:hint="eastAsia" w:ascii="宋体" w:hAnsi="宋体" w:eastAsia="宋体" w:cs="宋体"/>
          <w:b w:val="0"/>
          <w:color w:val="auto"/>
          <w:sz w:val="24"/>
          <w:szCs w:val="24"/>
          <w:highlight w:val="none"/>
        </w:rPr>
        <w:t xml:space="preserve"> 联络</w:t>
      </w:r>
      <w:bookmarkEnd w:id="608"/>
      <w:bookmarkEnd w:id="609"/>
      <w:bookmarkEnd w:id="610"/>
      <w:bookmarkEnd w:id="611"/>
      <w:bookmarkEnd w:id="612"/>
      <w:bookmarkEnd w:id="613"/>
    </w:p>
    <w:p w14:paraId="0BA74259">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1.7.1  与合同有关的通知、批准、证明、证书、指示、要求、请求、同意、意见、确定和决定等，且均应采用书面形式。</w:t>
      </w:r>
    </w:p>
    <w:p w14:paraId="37C5DDA8">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1.7.2  第1.7.1 款中的通知、批准、证明、证书、指示、要求、请求、同意、意见、确定和决定等来往函件，均应在合同约定的期限内送达指定地点和接收人，并办理签收手续。</w:t>
      </w:r>
    </w:p>
    <w:p w14:paraId="7E31D425">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  确有必要时，监理工程师也可发出口头指令，但应在48小时内给予书面确认。</w:t>
      </w:r>
    </w:p>
    <w:p w14:paraId="4ED5A2BE">
      <w:pPr>
        <w:pStyle w:val="5"/>
        <w:spacing w:before="0" w:after="0" w:line="324" w:lineRule="auto"/>
        <w:ind w:firstLine="482" w:firstLineChars="200"/>
        <w:rPr>
          <w:rFonts w:ascii="宋体" w:hAnsi="宋体" w:eastAsia="宋体" w:cs="宋体"/>
          <w:b w:val="0"/>
          <w:color w:val="auto"/>
          <w:sz w:val="24"/>
          <w:szCs w:val="24"/>
          <w:highlight w:val="none"/>
        </w:rPr>
      </w:pPr>
      <w:bookmarkStart w:id="614" w:name="_Toc487619500"/>
      <w:bookmarkStart w:id="615" w:name="_Toc356567890"/>
      <w:bookmarkStart w:id="616" w:name="_Toc341805213"/>
      <w:bookmarkStart w:id="617" w:name="_Toc487653418"/>
      <w:bookmarkStart w:id="618" w:name="_Toc488650850"/>
      <w:bookmarkStart w:id="619" w:name="_Toc487291529"/>
      <w:r>
        <w:rPr>
          <w:rFonts w:hint="eastAsia" w:ascii="宋体" w:hAnsi="宋体" w:eastAsia="宋体" w:cs="宋体"/>
          <w:color w:val="auto"/>
          <w:sz w:val="24"/>
          <w:szCs w:val="24"/>
          <w:highlight w:val="none"/>
        </w:rPr>
        <w:t xml:space="preserve">1.8 </w:t>
      </w:r>
      <w:r>
        <w:rPr>
          <w:rFonts w:hint="eastAsia" w:ascii="宋体" w:hAnsi="宋体" w:eastAsia="宋体" w:cs="宋体"/>
          <w:b w:val="0"/>
          <w:color w:val="auto"/>
          <w:sz w:val="24"/>
          <w:szCs w:val="24"/>
          <w:highlight w:val="none"/>
        </w:rPr>
        <w:t xml:space="preserve"> 转让和分包</w:t>
      </w:r>
      <w:bookmarkEnd w:id="614"/>
      <w:bookmarkEnd w:id="615"/>
      <w:bookmarkEnd w:id="616"/>
      <w:bookmarkEnd w:id="617"/>
      <w:bookmarkEnd w:id="618"/>
      <w:bookmarkEnd w:id="619"/>
    </w:p>
    <w:p w14:paraId="744FFF28">
      <w:pPr>
        <w:autoSpaceDE w:val="0"/>
        <w:autoSpaceDN w:val="0"/>
        <w:adjustRightInd w:val="0"/>
        <w:snapToGrid w:val="0"/>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1.8.1  监理人不得转让工程监理业务。</w:t>
      </w:r>
    </w:p>
    <w:p w14:paraId="4457D688">
      <w:pPr>
        <w:autoSpaceDE w:val="0"/>
        <w:autoSpaceDN w:val="0"/>
        <w:adjustRightInd w:val="0"/>
        <w:snapToGrid w:val="0"/>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1.8.2  除专用合同条款另有约定外，未经发包人同意，监理人不得将监理服务的任何部分分包。监理人因监理服务的需要，聘用专业技术人员和辅助工作人员不属于分包。</w:t>
      </w:r>
    </w:p>
    <w:p w14:paraId="7E9CCCA0">
      <w:pPr>
        <w:pStyle w:val="5"/>
        <w:spacing w:before="0" w:after="0" w:line="324" w:lineRule="auto"/>
        <w:ind w:firstLine="482" w:firstLineChars="200"/>
        <w:rPr>
          <w:rFonts w:ascii="宋体" w:hAnsi="宋体" w:eastAsia="宋体" w:cs="宋体"/>
          <w:b w:val="0"/>
          <w:color w:val="auto"/>
          <w:sz w:val="24"/>
          <w:szCs w:val="24"/>
          <w:highlight w:val="none"/>
        </w:rPr>
      </w:pPr>
      <w:bookmarkStart w:id="620" w:name="_Toc341805214"/>
      <w:bookmarkStart w:id="621" w:name="_Toc487619501"/>
      <w:bookmarkStart w:id="622" w:name="_Toc356567891"/>
      <w:bookmarkStart w:id="623" w:name="_Toc487291530"/>
      <w:bookmarkStart w:id="624" w:name="_Toc487653419"/>
      <w:bookmarkStart w:id="625" w:name="_Toc488650851"/>
      <w:r>
        <w:rPr>
          <w:rFonts w:hint="eastAsia" w:ascii="宋体" w:hAnsi="宋体" w:eastAsia="宋体" w:cs="宋体"/>
          <w:color w:val="auto"/>
          <w:sz w:val="24"/>
          <w:szCs w:val="24"/>
          <w:highlight w:val="none"/>
        </w:rPr>
        <w:t>1.9</w:t>
      </w:r>
      <w:r>
        <w:rPr>
          <w:rFonts w:hint="eastAsia" w:ascii="宋体" w:hAnsi="宋体" w:eastAsia="宋体" w:cs="宋体"/>
          <w:b w:val="0"/>
          <w:color w:val="auto"/>
          <w:sz w:val="24"/>
          <w:szCs w:val="24"/>
          <w:highlight w:val="none"/>
        </w:rPr>
        <w:t xml:space="preserve">  严禁贿赂</w:t>
      </w:r>
      <w:bookmarkEnd w:id="620"/>
      <w:bookmarkEnd w:id="621"/>
      <w:bookmarkEnd w:id="622"/>
      <w:bookmarkEnd w:id="623"/>
      <w:bookmarkEnd w:id="624"/>
      <w:bookmarkEnd w:id="625"/>
    </w:p>
    <w:p w14:paraId="49700714">
      <w:pPr>
        <w:autoSpaceDE w:val="0"/>
        <w:autoSpaceDN w:val="0"/>
        <w:adjustRightInd w:val="0"/>
        <w:snapToGrid w:val="0"/>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合同双方当事人不得以贿赂或变相贿赂的方式，谋取不当利益或损害对方权益。因贿赂造成对方损失的，行为人应赔偿损失，并承担相应的法律责任。</w:t>
      </w:r>
    </w:p>
    <w:p w14:paraId="7138DF05">
      <w:pPr>
        <w:pStyle w:val="5"/>
        <w:spacing w:before="0" w:after="0" w:line="324" w:lineRule="auto"/>
        <w:ind w:firstLine="482" w:firstLineChars="200"/>
        <w:rPr>
          <w:rFonts w:ascii="宋体" w:hAnsi="宋体" w:eastAsia="宋体" w:cs="宋体"/>
          <w:b w:val="0"/>
          <w:color w:val="auto"/>
          <w:sz w:val="24"/>
          <w:szCs w:val="24"/>
          <w:highlight w:val="none"/>
        </w:rPr>
      </w:pPr>
      <w:bookmarkStart w:id="626" w:name="_Toc488650852"/>
      <w:bookmarkStart w:id="627" w:name="_Toc341805215"/>
      <w:bookmarkStart w:id="628" w:name="_Toc487653420"/>
      <w:bookmarkStart w:id="629" w:name="_Toc487619502"/>
      <w:bookmarkStart w:id="630" w:name="_Toc487291531"/>
      <w:bookmarkStart w:id="631" w:name="_Toc356567892"/>
      <w:r>
        <w:rPr>
          <w:rFonts w:hint="eastAsia" w:ascii="宋体" w:hAnsi="宋体" w:eastAsia="宋体" w:cs="宋体"/>
          <w:color w:val="auto"/>
          <w:sz w:val="24"/>
          <w:szCs w:val="24"/>
          <w:highlight w:val="none"/>
        </w:rPr>
        <w:t xml:space="preserve">1.10 </w:t>
      </w:r>
      <w:r>
        <w:rPr>
          <w:rFonts w:hint="eastAsia" w:ascii="宋体" w:hAnsi="宋体" w:eastAsia="宋体" w:cs="宋体"/>
          <w:b w:val="0"/>
          <w:color w:val="auto"/>
          <w:sz w:val="24"/>
          <w:szCs w:val="24"/>
          <w:highlight w:val="none"/>
        </w:rPr>
        <w:t xml:space="preserve"> 图纸和文件的保密</w:t>
      </w:r>
      <w:bookmarkEnd w:id="626"/>
      <w:bookmarkEnd w:id="627"/>
      <w:bookmarkEnd w:id="628"/>
      <w:bookmarkEnd w:id="629"/>
      <w:bookmarkEnd w:id="630"/>
      <w:bookmarkEnd w:id="631"/>
    </w:p>
    <w:p w14:paraId="75F658CE">
      <w:pPr>
        <w:autoSpaceDE w:val="0"/>
        <w:autoSpaceDN w:val="0"/>
        <w:adjustRightInd w:val="0"/>
        <w:snapToGrid w:val="0"/>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1.10.1  发包人提供的图纸和文件，未经发包人同意，监理人不得为合同以外的目的泄露给他人或公开发表与引用。</w:t>
      </w:r>
    </w:p>
    <w:p w14:paraId="54FFE2E2">
      <w:pPr>
        <w:autoSpaceDE w:val="0"/>
        <w:autoSpaceDN w:val="0"/>
        <w:adjustRightInd w:val="0"/>
        <w:snapToGrid w:val="0"/>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1.10.2  监理人提供的文件，未经监理人同意，发包人和承包人不得为合同以外的目的泄露给他人或公开发表与引用。</w:t>
      </w:r>
    </w:p>
    <w:p w14:paraId="2A97FCAF">
      <w:pPr>
        <w:pStyle w:val="5"/>
        <w:spacing w:before="0" w:after="0" w:line="324" w:lineRule="auto"/>
        <w:ind w:firstLine="482" w:firstLineChars="200"/>
        <w:rPr>
          <w:rFonts w:ascii="宋体" w:hAnsi="宋体" w:eastAsia="宋体" w:cs="宋体"/>
          <w:color w:val="auto"/>
          <w:sz w:val="24"/>
          <w:szCs w:val="24"/>
          <w:highlight w:val="none"/>
        </w:rPr>
      </w:pPr>
      <w:bookmarkStart w:id="632" w:name="_Toc487653421"/>
      <w:bookmarkStart w:id="633" w:name="_Toc487291532"/>
      <w:bookmarkStart w:id="634" w:name="_Toc487619503"/>
      <w:bookmarkStart w:id="635" w:name="_Toc488650853"/>
      <w:bookmarkStart w:id="636" w:name="_Toc341805216"/>
      <w:bookmarkStart w:id="637" w:name="_Toc330384452"/>
      <w:r>
        <w:rPr>
          <w:rFonts w:hint="eastAsia" w:ascii="宋体" w:hAnsi="宋体" w:eastAsia="宋体" w:cs="宋体"/>
          <w:color w:val="auto"/>
          <w:sz w:val="24"/>
          <w:szCs w:val="24"/>
          <w:highlight w:val="none"/>
        </w:rPr>
        <w:t>2．发包人的义务</w:t>
      </w:r>
      <w:bookmarkEnd w:id="632"/>
      <w:bookmarkEnd w:id="633"/>
      <w:bookmarkEnd w:id="634"/>
      <w:bookmarkEnd w:id="635"/>
      <w:bookmarkEnd w:id="636"/>
      <w:bookmarkEnd w:id="637"/>
    </w:p>
    <w:p w14:paraId="60BE035E">
      <w:pPr>
        <w:pStyle w:val="5"/>
        <w:spacing w:before="0" w:after="0" w:line="324" w:lineRule="auto"/>
        <w:ind w:firstLine="482" w:firstLineChars="200"/>
        <w:rPr>
          <w:rFonts w:ascii="宋体" w:hAnsi="宋体" w:eastAsia="宋体" w:cs="宋体"/>
          <w:b w:val="0"/>
          <w:color w:val="auto"/>
          <w:sz w:val="24"/>
          <w:szCs w:val="24"/>
          <w:highlight w:val="none"/>
        </w:rPr>
      </w:pPr>
      <w:bookmarkStart w:id="638" w:name="_Toc341805217"/>
      <w:bookmarkStart w:id="639" w:name="_Toc356567894"/>
      <w:bookmarkStart w:id="640" w:name="_Toc488650854"/>
      <w:bookmarkStart w:id="641" w:name="_Toc487619504"/>
      <w:bookmarkStart w:id="642" w:name="_Toc487653422"/>
      <w:bookmarkStart w:id="643" w:name="_Toc487291533"/>
      <w:r>
        <w:rPr>
          <w:rFonts w:hint="eastAsia" w:ascii="宋体" w:hAnsi="宋体" w:eastAsia="宋体" w:cs="宋体"/>
          <w:color w:val="auto"/>
          <w:sz w:val="24"/>
          <w:szCs w:val="24"/>
          <w:highlight w:val="none"/>
        </w:rPr>
        <w:t>2.1</w:t>
      </w:r>
      <w:r>
        <w:rPr>
          <w:rFonts w:hint="eastAsia" w:ascii="宋体" w:hAnsi="宋体" w:eastAsia="宋体" w:cs="宋体"/>
          <w:b w:val="0"/>
          <w:color w:val="auto"/>
          <w:sz w:val="24"/>
          <w:szCs w:val="24"/>
          <w:highlight w:val="none"/>
        </w:rPr>
        <w:t xml:space="preserve">  遵守法律</w:t>
      </w:r>
      <w:bookmarkEnd w:id="638"/>
      <w:bookmarkEnd w:id="639"/>
      <w:bookmarkEnd w:id="640"/>
      <w:bookmarkEnd w:id="641"/>
      <w:bookmarkEnd w:id="642"/>
      <w:bookmarkEnd w:id="643"/>
    </w:p>
    <w:p w14:paraId="32EBA65B">
      <w:pPr>
        <w:autoSpaceDE w:val="0"/>
        <w:autoSpaceDN w:val="0"/>
        <w:adjustRightInd w:val="0"/>
        <w:snapToGrid w:val="0"/>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发包人在履行合同过程中应遵守法律，并保证监理人免于承担因发包人违反法律而引起的任何责任。</w:t>
      </w:r>
    </w:p>
    <w:p w14:paraId="0B56DC2C">
      <w:pPr>
        <w:pStyle w:val="5"/>
        <w:spacing w:before="0" w:after="0" w:line="324" w:lineRule="auto"/>
        <w:ind w:firstLine="482" w:firstLineChars="200"/>
        <w:rPr>
          <w:rFonts w:ascii="宋体" w:hAnsi="宋体" w:eastAsia="宋体" w:cs="宋体"/>
          <w:b w:val="0"/>
          <w:color w:val="auto"/>
          <w:sz w:val="24"/>
          <w:szCs w:val="24"/>
          <w:highlight w:val="none"/>
        </w:rPr>
      </w:pPr>
      <w:bookmarkStart w:id="644" w:name="_Toc488650855"/>
      <w:bookmarkStart w:id="645" w:name="_Toc487653423"/>
      <w:bookmarkStart w:id="646" w:name="_Toc341805218"/>
      <w:bookmarkStart w:id="647" w:name="_Toc487291534"/>
      <w:bookmarkStart w:id="648" w:name="_Toc356567895"/>
      <w:bookmarkStart w:id="649" w:name="_Toc487619505"/>
      <w:r>
        <w:rPr>
          <w:rFonts w:hint="eastAsia" w:ascii="宋体" w:hAnsi="宋体" w:eastAsia="宋体" w:cs="宋体"/>
          <w:color w:val="auto"/>
          <w:sz w:val="24"/>
          <w:szCs w:val="24"/>
          <w:highlight w:val="none"/>
        </w:rPr>
        <w:t xml:space="preserve">2.2  </w:t>
      </w:r>
      <w:r>
        <w:rPr>
          <w:rFonts w:hint="eastAsia" w:ascii="宋体" w:hAnsi="宋体" w:eastAsia="宋体" w:cs="宋体"/>
          <w:b w:val="0"/>
          <w:color w:val="auto"/>
          <w:sz w:val="24"/>
          <w:szCs w:val="24"/>
          <w:highlight w:val="none"/>
        </w:rPr>
        <w:t>监理工作条件</w:t>
      </w:r>
      <w:bookmarkEnd w:id="644"/>
      <w:bookmarkEnd w:id="645"/>
      <w:bookmarkEnd w:id="646"/>
      <w:bookmarkEnd w:id="647"/>
      <w:bookmarkEnd w:id="648"/>
      <w:bookmarkEnd w:id="649"/>
    </w:p>
    <w:p w14:paraId="7B37EA96">
      <w:pPr>
        <w:autoSpaceDE w:val="0"/>
        <w:autoSpaceDN w:val="0"/>
        <w:adjustRightInd w:val="0"/>
        <w:snapToGrid w:val="0"/>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发包人应按照监理专用合同条款的约定向监理人提供履行监理服务所必需的工作条件。</w:t>
      </w:r>
    </w:p>
    <w:p w14:paraId="42A5B9E7">
      <w:pPr>
        <w:pStyle w:val="5"/>
        <w:spacing w:before="0" w:after="0" w:line="324" w:lineRule="auto"/>
        <w:ind w:firstLine="482" w:firstLineChars="200"/>
        <w:rPr>
          <w:rFonts w:ascii="宋体" w:hAnsi="宋体" w:eastAsia="宋体" w:cs="宋体"/>
          <w:b w:val="0"/>
          <w:color w:val="auto"/>
          <w:sz w:val="24"/>
          <w:szCs w:val="24"/>
          <w:highlight w:val="none"/>
        </w:rPr>
      </w:pPr>
      <w:bookmarkStart w:id="650" w:name="_Toc487653424"/>
      <w:bookmarkStart w:id="651" w:name="_Toc356567896"/>
      <w:bookmarkStart w:id="652" w:name="_Toc487619506"/>
      <w:bookmarkStart w:id="653" w:name="_Toc341805219"/>
      <w:bookmarkStart w:id="654" w:name="_Toc283559229"/>
      <w:bookmarkStart w:id="655" w:name="_Toc487291535"/>
      <w:bookmarkStart w:id="656" w:name="_Toc283558732"/>
      <w:bookmarkStart w:id="657" w:name="_Toc488650856"/>
      <w:r>
        <w:rPr>
          <w:rFonts w:hint="eastAsia" w:ascii="宋体" w:hAnsi="宋体" w:eastAsia="宋体" w:cs="宋体"/>
          <w:color w:val="auto"/>
          <w:sz w:val="24"/>
          <w:szCs w:val="24"/>
          <w:highlight w:val="none"/>
        </w:rPr>
        <w:t xml:space="preserve">2.3 </w:t>
      </w:r>
      <w:r>
        <w:rPr>
          <w:rFonts w:hint="eastAsia" w:ascii="宋体" w:hAnsi="宋体" w:eastAsia="宋体" w:cs="宋体"/>
          <w:b w:val="0"/>
          <w:color w:val="auto"/>
          <w:sz w:val="24"/>
          <w:szCs w:val="24"/>
          <w:highlight w:val="none"/>
        </w:rPr>
        <w:t xml:space="preserve"> 协助</w:t>
      </w:r>
      <w:bookmarkEnd w:id="650"/>
      <w:bookmarkEnd w:id="651"/>
      <w:bookmarkEnd w:id="652"/>
      <w:bookmarkEnd w:id="653"/>
      <w:bookmarkEnd w:id="654"/>
      <w:bookmarkEnd w:id="655"/>
      <w:bookmarkEnd w:id="656"/>
      <w:bookmarkEnd w:id="657"/>
    </w:p>
    <w:p w14:paraId="483220A1">
      <w:pPr>
        <w:autoSpaceDE w:val="0"/>
        <w:autoSpaceDN w:val="0"/>
        <w:adjustRightInd w:val="0"/>
        <w:snapToGrid w:val="0"/>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发包人在工程所在地为监理人提供进驻现场的相关条件，解决非监理人原因而发生意外事件时，监理人员的撤场和相关事宜；并避免监理人根据监理合同的约定进行监理服务而导致的第三方的收费。</w:t>
      </w:r>
    </w:p>
    <w:p w14:paraId="1D2677D5">
      <w:pPr>
        <w:pStyle w:val="5"/>
        <w:spacing w:before="0" w:after="0" w:line="324" w:lineRule="auto"/>
        <w:ind w:firstLine="482" w:firstLineChars="200"/>
        <w:rPr>
          <w:rFonts w:ascii="宋体" w:hAnsi="宋体" w:eastAsia="宋体" w:cs="宋体"/>
          <w:b w:val="0"/>
          <w:color w:val="auto"/>
          <w:sz w:val="24"/>
          <w:szCs w:val="24"/>
          <w:highlight w:val="none"/>
        </w:rPr>
      </w:pPr>
      <w:bookmarkStart w:id="658" w:name="_Toc283558733"/>
      <w:bookmarkStart w:id="659" w:name="_Toc283559230"/>
      <w:bookmarkStart w:id="660" w:name="_Toc341805220"/>
      <w:bookmarkStart w:id="661" w:name="_Toc487291536"/>
      <w:bookmarkStart w:id="662" w:name="_Toc487653425"/>
      <w:bookmarkStart w:id="663" w:name="_Toc356567897"/>
      <w:bookmarkStart w:id="664" w:name="_Toc487619507"/>
      <w:bookmarkStart w:id="665" w:name="_Toc488650857"/>
      <w:r>
        <w:rPr>
          <w:rFonts w:hint="eastAsia" w:ascii="宋体" w:hAnsi="宋体" w:eastAsia="宋体" w:cs="宋体"/>
          <w:color w:val="auto"/>
          <w:sz w:val="24"/>
          <w:szCs w:val="24"/>
          <w:highlight w:val="none"/>
        </w:rPr>
        <w:t xml:space="preserve">2.4 </w:t>
      </w:r>
      <w:bookmarkEnd w:id="658"/>
      <w:bookmarkEnd w:id="659"/>
      <w:r>
        <w:rPr>
          <w:rFonts w:hint="eastAsia" w:ascii="宋体" w:hAnsi="宋体" w:eastAsia="宋体" w:cs="宋体"/>
          <w:b w:val="0"/>
          <w:color w:val="auto"/>
          <w:sz w:val="24"/>
          <w:szCs w:val="24"/>
          <w:highlight w:val="none"/>
        </w:rPr>
        <w:t xml:space="preserve"> 商定或确定</w:t>
      </w:r>
      <w:bookmarkEnd w:id="660"/>
      <w:bookmarkEnd w:id="661"/>
      <w:bookmarkEnd w:id="662"/>
      <w:bookmarkEnd w:id="663"/>
      <w:bookmarkEnd w:id="664"/>
      <w:bookmarkEnd w:id="665"/>
    </w:p>
    <w:p w14:paraId="5706EFAF">
      <w:pPr>
        <w:autoSpaceDE w:val="0"/>
        <w:autoSpaceDN w:val="0"/>
        <w:adjustRightInd w:val="0"/>
        <w:snapToGrid w:val="0"/>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根据监理人有关针对本工程的工期、质量、费用、合同和安全等问题的请示应及时予以商定或确定。对上述请示给予书面答复的期限，自收到书面请示之日起最长不超过7日，重大问题不得超过28日。逾期未予书面答复应视为发包人同意。</w:t>
      </w:r>
    </w:p>
    <w:p w14:paraId="261A1863">
      <w:pPr>
        <w:pStyle w:val="5"/>
        <w:spacing w:before="0" w:after="0" w:line="324" w:lineRule="auto"/>
        <w:ind w:firstLine="482" w:firstLineChars="200"/>
        <w:rPr>
          <w:rFonts w:ascii="宋体" w:hAnsi="宋体" w:eastAsia="宋体" w:cs="宋体"/>
          <w:b w:val="0"/>
          <w:color w:val="auto"/>
          <w:sz w:val="24"/>
          <w:szCs w:val="24"/>
          <w:highlight w:val="none"/>
        </w:rPr>
      </w:pPr>
      <w:bookmarkStart w:id="666" w:name="_Toc341805221"/>
      <w:bookmarkStart w:id="667" w:name="_Toc488650858"/>
      <w:bookmarkStart w:id="668" w:name="_Toc283558734"/>
      <w:bookmarkStart w:id="669" w:name="_Toc356567898"/>
      <w:bookmarkStart w:id="670" w:name="_Toc487653426"/>
      <w:bookmarkStart w:id="671" w:name="_Toc487619508"/>
      <w:bookmarkStart w:id="672" w:name="_Toc283559231"/>
      <w:bookmarkStart w:id="673" w:name="_Toc487291537"/>
      <w:r>
        <w:rPr>
          <w:rFonts w:hint="eastAsia" w:ascii="宋体" w:hAnsi="宋体" w:eastAsia="宋体" w:cs="宋体"/>
          <w:color w:val="auto"/>
          <w:sz w:val="24"/>
          <w:szCs w:val="24"/>
          <w:highlight w:val="none"/>
        </w:rPr>
        <w:t xml:space="preserve">2.5 </w:t>
      </w:r>
      <w:r>
        <w:rPr>
          <w:rFonts w:hint="eastAsia" w:ascii="宋体" w:hAnsi="宋体" w:eastAsia="宋体" w:cs="宋体"/>
          <w:b w:val="0"/>
          <w:color w:val="auto"/>
          <w:sz w:val="24"/>
          <w:szCs w:val="24"/>
          <w:highlight w:val="none"/>
        </w:rPr>
        <w:t xml:space="preserve"> 代表</w:t>
      </w:r>
      <w:bookmarkEnd w:id="666"/>
      <w:bookmarkEnd w:id="667"/>
      <w:bookmarkEnd w:id="668"/>
      <w:bookmarkEnd w:id="669"/>
      <w:bookmarkEnd w:id="670"/>
      <w:bookmarkEnd w:id="671"/>
      <w:bookmarkEnd w:id="672"/>
      <w:bookmarkEnd w:id="673"/>
    </w:p>
    <w:p w14:paraId="457C4484">
      <w:pPr>
        <w:autoSpaceDE w:val="0"/>
        <w:autoSpaceDN w:val="0"/>
        <w:adjustRightInd w:val="0"/>
        <w:snapToGrid w:val="0"/>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发包人应指定一名授权代表，与监理人的授权代表建立工作联系。更换该代表或变更其授权时，应提前7日通知监理人。</w:t>
      </w:r>
    </w:p>
    <w:p w14:paraId="5D221895">
      <w:pPr>
        <w:pStyle w:val="5"/>
        <w:spacing w:before="0" w:after="0" w:line="324" w:lineRule="auto"/>
        <w:ind w:firstLine="482" w:firstLineChars="200"/>
        <w:rPr>
          <w:rFonts w:ascii="宋体" w:hAnsi="宋体" w:eastAsia="宋体" w:cs="宋体"/>
          <w:b w:val="0"/>
          <w:color w:val="auto"/>
          <w:sz w:val="24"/>
          <w:szCs w:val="24"/>
          <w:highlight w:val="none"/>
        </w:rPr>
      </w:pPr>
      <w:bookmarkStart w:id="674" w:name="_Toc487619509"/>
      <w:bookmarkStart w:id="675" w:name="_Toc487291538"/>
      <w:bookmarkStart w:id="676" w:name="_Toc488650859"/>
      <w:bookmarkStart w:id="677" w:name="_Toc487653427"/>
      <w:bookmarkStart w:id="678" w:name="_Toc341805222"/>
      <w:bookmarkStart w:id="679" w:name="_Toc356567899"/>
      <w:bookmarkStart w:id="680" w:name="_Toc283559228"/>
      <w:bookmarkStart w:id="681" w:name="_Toc283558731"/>
      <w:r>
        <w:rPr>
          <w:rFonts w:hint="eastAsia" w:ascii="宋体" w:hAnsi="宋体" w:eastAsia="宋体" w:cs="宋体"/>
          <w:color w:val="auto"/>
          <w:sz w:val="24"/>
          <w:szCs w:val="24"/>
          <w:highlight w:val="none"/>
        </w:rPr>
        <w:t>2.6</w:t>
      </w:r>
      <w:r>
        <w:rPr>
          <w:rFonts w:hint="eastAsia" w:ascii="宋体" w:hAnsi="宋体" w:eastAsia="宋体" w:cs="宋体"/>
          <w:b w:val="0"/>
          <w:color w:val="auto"/>
          <w:sz w:val="24"/>
          <w:szCs w:val="24"/>
          <w:highlight w:val="none"/>
        </w:rPr>
        <w:t xml:space="preserve">  授权通知</w:t>
      </w:r>
      <w:bookmarkEnd w:id="674"/>
      <w:bookmarkEnd w:id="675"/>
      <w:bookmarkEnd w:id="676"/>
      <w:bookmarkEnd w:id="677"/>
      <w:bookmarkEnd w:id="678"/>
      <w:bookmarkEnd w:id="679"/>
    </w:p>
    <w:bookmarkEnd w:id="680"/>
    <w:bookmarkEnd w:id="681"/>
    <w:p w14:paraId="0C6590BC">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在工程开工前，发包人应将监理人、监理工作范围、授予监理人的权限及时书面通知第三方，并在发包人与第三方签订的合同文件中明确第三方必须接受监理人在发包人授权范围内的监理。</w:t>
      </w:r>
    </w:p>
    <w:p w14:paraId="58D06C7F">
      <w:pPr>
        <w:pStyle w:val="5"/>
        <w:spacing w:before="0" w:after="0" w:line="324" w:lineRule="auto"/>
        <w:ind w:firstLine="482" w:firstLineChars="200"/>
        <w:rPr>
          <w:rFonts w:ascii="宋体" w:hAnsi="宋体" w:eastAsia="宋体" w:cs="宋体"/>
          <w:b w:val="0"/>
          <w:color w:val="auto"/>
          <w:sz w:val="24"/>
          <w:szCs w:val="24"/>
          <w:highlight w:val="none"/>
        </w:rPr>
      </w:pPr>
      <w:bookmarkStart w:id="682" w:name="_Toc487619510"/>
      <w:bookmarkStart w:id="683" w:name="_Toc487291539"/>
      <w:bookmarkStart w:id="684" w:name="_Toc341805223"/>
      <w:bookmarkStart w:id="685" w:name="_Toc487653428"/>
      <w:bookmarkStart w:id="686" w:name="_Toc488650860"/>
      <w:bookmarkStart w:id="687" w:name="_Toc356567900"/>
      <w:r>
        <w:rPr>
          <w:rFonts w:hint="eastAsia" w:ascii="宋体" w:hAnsi="宋体" w:eastAsia="宋体" w:cs="宋体"/>
          <w:color w:val="auto"/>
          <w:sz w:val="24"/>
          <w:szCs w:val="24"/>
          <w:highlight w:val="none"/>
        </w:rPr>
        <w:t>2.7</w:t>
      </w:r>
      <w:r>
        <w:rPr>
          <w:rFonts w:hint="eastAsia" w:ascii="宋体" w:hAnsi="宋体" w:eastAsia="宋体" w:cs="宋体"/>
          <w:b w:val="0"/>
          <w:color w:val="auto"/>
          <w:sz w:val="24"/>
          <w:szCs w:val="24"/>
          <w:highlight w:val="none"/>
        </w:rPr>
        <w:t xml:space="preserve">  支付费用</w:t>
      </w:r>
      <w:bookmarkEnd w:id="682"/>
      <w:bookmarkEnd w:id="683"/>
      <w:bookmarkEnd w:id="684"/>
      <w:bookmarkEnd w:id="685"/>
      <w:bookmarkEnd w:id="686"/>
      <w:bookmarkEnd w:id="687"/>
    </w:p>
    <w:p w14:paraId="0DDE0A06">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发包人须按合同约定向监理人及时支付监理服务费用。</w:t>
      </w:r>
    </w:p>
    <w:p w14:paraId="1CC20E19">
      <w:pPr>
        <w:pStyle w:val="5"/>
        <w:spacing w:before="0" w:after="0" w:line="324" w:lineRule="auto"/>
        <w:ind w:firstLine="482" w:firstLineChars="200"/>
        <w:rPr>
          <w:rFonts w:ascii="宋体" w:hAnsi="宋体" w:eastAsia="宋体" w:cs="宋体"/>
          <w:b w:val="0"/>
          <w:color w:val="auto"/>
          <w:sz w:val="24"/>
          <w:szCs w:val="24"/>
          <w:highlight w:val="none"/>
        </w:rPr>
      </w:pPr>
      <w:bookmarkStart w:id="688" w:name="_Toc356567901"/>
      <w:bookmarkStart w:id="689" w:name="_Toc487619511"/>
      <w:bookmarkStart w:id="690" w:name="_Toc341805224"/>
      <w:bookmarkStart w:id="691" w:name="_Toc487291540"/>
      <w:bookmarkStart w:id="692" w:name="_Toc283558737"/>
      <w:bookmarkStart w:id="693" w:name="_Toc283559234"/>
      <w:bookmarkStart w:id="694" w:name="_Toc487653429"/>
      <w:bookmarkStart w:id="695" w:name="_Toc488650861"/>
      <w:r>
        <w:rPr>
          <w:rFonts w:hint="eastAsia" w:ascii="宋体" w:hAnsi="宋体" w:eastAsia="宋体" w:cs="宋体"/>
          <w:color w:val="auto"/>
          <w:sz w:val="24"/>
          <w:szCs w:val="24"/>
          <w:highlight w:val="none"/>
        </w:rPr>
        <w:t xml:space="preserve">2.8 </w:t>
      </w:r>
      <w:r>
        <w:rPr>
          <w:rFonts w:hint="eastAsia" w:ascii="宋体" w:hAnsi="宋体" w:eastAsia="宋体" w:cs="宋体"/>
          <w:b w:val="0"/>
          <w:color w:val="auto"/>
          <w:sz w:val="24"/>
          <w:szCs w:val="24"/>
          <w:highlight w:val="none"/>
        </w:rPr>
        <w:t xml:space="preserve"> 发包人指令的下达</w:t>
      </w:r>
      <w:bookmarkEnd w:id="688"/>
      <w:bookmarkEnd w:id="689"/>
      <w:bookmarkEnd w:id="690"/>
      <w:bookmarkEnd w:id="691"/>
      <w:bookmarkEnd w:id="692"/>
      <w:bookmarkEnd w:id="693"/>
      <w:bookmarkEnd w:id="694"/>
      <w:bookmarkEnd w:id="695"/>
    </w:p>
    <w:p w14:paraId="5FA97F92">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发包人在本合同约定的服务范围内对承包人的任何意见或要求，应通过监理人向承包人提出。</w:t>
      </w:r>
    </w:p>
    <w:p w14:paraId="2728D99C">
      <w:pPr>
        <w:pStyle w:val="5"/>
        <w:spacing w:before="0" w:after="0" w:line="324" w:lineRule="auto"/>
        <w:ind w:firstLine="482" w:firstLineChars="200"/>
        <w:rPr>
          <w:rFonts w:ascii="宋体" w:hAnsi="宋体" w:eastAsia="宋体" w:cs="宋体"/>
          <w:b w:val="0"/>
          <w:color w:val="auto"/>
          <w:sz w:val="24"/>
          <w:szCs w:val="24"/>
          <w:highlight w:val="none"/>
        </w:rPr>
      </w:pPr>
      <w:bookmarkStart w:id="696" w:name="_Toc283558738"/>
      <w:bookmarkStart w:id="697" w:name="_Toc283559235"/>
      <w:bookmarkStart w:id="698" w:name="_Toc487619512"/>
      <w:bookmarkStart w:id="699" w:name="_Toc487653430"/>
      <w:bookmarkStart w:id="700" w:name="_Toc488650862"/>
      <w:bookmarkStart w:id="701" w:name="_Toc356567902"/>
      <w:bookmarkStart w:id="702" w:name="_Toc487291541"/>
      <w:bookmarkStart w:id="703" w:name="_Toc341805225"/>
      <w:r>
        <w:rPr>
          <w:rFonts w:hint="eastAsia" w:ascii="宋体" w:hAnsi="宋体" w:eastAsia="宋体" w:cs="宋体"/>
          <w:color w:val="auto"/>
          <w:sz w:val="24"/>
          <w:szCs w:val="24"/>
          <w:highlight w:val="none"/>
        </w:rPr>
        <w:t xml:space="preserve">2.9 </w:t>
      </w:r>
      <w:r>
        <w:rPr>
          <w:rFonts w:hint="eastAsia" w:ascii="宋体" w:hAnsi="宋体" w:eastAsia="宋体" w:cs="宋体"/>
          <w:b w:val="0"/>
          <w:color w:val="auto"/>
          <w:sz w:val="24"/>
          <w:szCs w:val="24"/>
          <w:highlight w:val="none"/>
        </w:rPr>
        <w:t xml:space="preserve"> </w:t>
      </w:r>
      <w:bookmarkEnd w:id="696"/>
      <w:bookmarkEnd w:id="697"/>
      <w:r>
        <w:rPr>
          <w:rFonts w:hint="eastAsia" w:ascii="宋体" w:hAnsi="宋体" w:eastAsia="宋体" w:cs="宋体"/>
          <w:b w:val="0"/>
          <w:color w:val="auto"/>
          <w:sz w:val="24"/>
          <w:szCs w:val="24"/>
          <w:highlight w:val="none"/>
        </w:rPr>
        <w:t>其他义务</w:t>
      </w:r>
      <w:bookmarkEnd w:id="698"/>
      <w:bookmarkEnd w:id="699"/>
      <w:bookmarkEnd w:id="700"/>
      <w:bookmarkEnd w:id="701"/>
      <w:bookmarkEnd w:id="702"/>
      <w:bookmarkEnd w:id="703"/>
    </w:p>
    <w:p w14:paraId="6855F8E0">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发包人应履行合同约定的其他义务。</w:t>
      </w:r>
    </w:p>
    <w:p w14:paraId="2B8C1F23">
      <w:pPr>
        <w:pStyle w:val="5"/>
        <w:spacing w:before="0" w:after="0" w:line="324" w:lineRule="auto"/>
        <w:ind w:firstLine="482" w:firstLineChars="200"/>
        <w:rPr>
          <w:rFonts w:ascii="宋体" w:hAnsi="宋体" w:eastAsia="宋体" w:cs="宋体"/>
          <w:color w:val="auto"/>
          <w:sz w:val="24"/>
          <w:szCs w:val="24"/>
          <w:highlight w:val="none"/>
        </w:rPr>
      </w:pPr>
      <w:bookmarkStart w:id="704" w:name="_Toc330384453"/>
      <w:bookmarkStart w:id="705" w:name="_Toc487619513"/>
      <w:bookmarkStart w:id="706" w:name="_Toc487291542"/>
      <w:bookmarkStart w:id="707" w:name="_Toc341805226"/>
      <w:bookmarkStart w:id="708" w:name="_Toc488650863"/>
      <w:bookmarkStart w:id="709" w:name="_Toc487653431"/>
      <w:r>
        <w:rPr>
          <w:rFonts w:hint="eastAsia" w:ascii="宋体" w:hAnsi="宋体" w:eastAsia="宋体" w:cs="宋体"/>
          <w:color w:val="auto"/>
          <w:sz w:val="24"/>
          <w:szCs w:val="24"/>
          <w:highlight w:val="none"/>
        </w:rPr>
        <w:t>3．监理人</w:t>
      </w:r>
      <w:bookmarkEnd w:id="704"/>
      <w:r>
        <w:rPr>
          <w:rFonts w:hint="eastAsia" w:ascii="宋体" w:hAnsi="宋体" w:eastAsia="宋体" w:cs="宋体"/>
          <w:color w:val="auto"/>
          <w:sz w:val="24"/>
          <w:szCs w:val="24"/>
          <w:highlight w:val="none"/>
        </w:rPr>
        <w:t>的义务</w:t>
      </w:r>
      <w:bookmarkEnd w:id="705"/>
      <w:bookmarkEnd w:id="706"/>
      <w:bookmarkEnd w:id="707"/>
      <w:bookmarkEnd w:id="708"/>
      <w:bookmarkEnd w:id="709"/>
    </w:p>
    <w:p w14:paraId="12891B41">
      <w:pPr>
        <w:pStyle w:val="5"/>
        <w:spacing w:before="0" w:after="0" w:line="324" w:lineRule="auto"/>
        <w:ind w:firstLine="482" w:firstLineChars="200"/>
        <w:rPr>
          <w:rFonts w:ascii="宋体" w:hAnsi="宋体" w:eastAsia="宋体" w:cs="宋体"/>
          <w:b w:val="0"/>
          <w:color w:val="auto"/>
          <w:sz w:val="24"/>
          <w:szCs w:val="24"/>
          <w:highlight w:val="none"/>
        </w:rPr>
      </w:pPr>
      <w:bookmarkStart w:id="710" w:name="_Toc356567904"/>
      <w:bookmarkStart w:id="711" w:name="_Toc487653432"/>
      <w:bookmarkStart w:id="712" w:name="_Toc341805227"/>
      <w:bookmarkStart w:id="713" w:name="_Toc488650864"/>
      <w:bookmarkStart w:id="714" w:name="_Toc487291543"/>
      <w:bookmarkStart w:id="715" w:name="_Toc487619514"/>
      <w:r>
        <w:rPr>
          <w:rFonts w:hint="eastAsia" w:ascii="宋体" w:hAnsi="宋体" w:eastAsia="宋体" w:cs="宋体"/>
          <w:color w:val="auto"/>
          <w:sz w:val="24"/>
          <w:szCs w:val="24"/>
          <w:highlight w:val="none"/>
        </w:rPr>
        <w:t xml:space="preserve">3.1 </w:t>
      </w:r>
      <w:r>
        <w:rPr>
          <w:rFonts w:hint="eastAsia" w:ascii="宋体" w:hAnsi="宋体" w:eastAsia="宋体" w:cs="宋体"/>
          <w:b w:val="0"/>
          <w:color w:val="auto"/>
          <w:sz w:val="24"/>
          <w:szCs w:val="24"/>
          <w:highlight w:val="none"/>
        </w:rPr>
        <w:t xml:space="preserve"> 监理人的一般义务</w:t>
      </w:r>
      <w:bookmarkEnd w:id="710"/>
      <w:bookmarkEnd w:id="711"/>
      <w:bookmarkEnd w:id="712"/>
      <w:bookmarkEnd w:id="713"/>
      <w:bookmarkEnd w:id="714"/>
      <w:bookmarkEnd w:id="715"/>
    </w:p>
    <w:p w14:paraId="6D39BCB8">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3.1.1  遵守法律</w:t>
      </w:r>
    </w:p>
    <w:p w14:paraId="152595E0">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监理人在履行合同过程中应遵守法律，并保证发包人免于承担因监理人违反法律而引起的任何责任。</w:t>
      </w:r>
    </w:p>
    <w:p w14:paraId="5E9C84B4">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3.1.2  依法纳税</w:t>
      </w:r>
    </w:p>
    <w:p w14:paraId="218FB99E">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监理人应按有关法律规定纳税，应缴纳的税金包括在合同价格内。</w:t>
      </w:r>
    </w:p>
    <w:p w14:paraId="727B24DB">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3.1.3  完成各项监理工作</w:t>
      </w:r>
    </w:p>
    <w:p w14:paraId="19D4350F">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监理人应按合同约定以及发包人根据本合同约定作出的指示，实施、完成本项目的监理服务工作。</w:t>
      </w:r>
    </w:p>
    <w:p w14:paraId="4FCB138C">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3.1.4  保证监理人员的安全</w:t>
      </w:r>
    </w:p>
    <w:p w14:paraId="7BA44325">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监理人应按第8.2条约定为监理人员办理保险，加强对监理人员安全教育，发放劳动保护用具，确保监理人员的安全。</w:t>
      </w:r>
      <w:bookmarkStart w:id="716" w:name="_Toc283559226"/>
      <w:bookmarkStart w:id="717" w:name="_Toc283558729"/>
    </w:p>
    <w:p w14:paraId="4FADFD02">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3.1.5  其他义务</w:t>
      </w:r>
    </w:p>
    <w:p w14:paraId="2F0F82E2">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监理人应履行合同约定的其他义务。</w:t>
      </w:r>
    </w:p>
    <w:p w14:paraId="7036A2DD">
      <w:pPr>
        <w:pStyle w:val="5"/>
        <w:spacing w:before="0" w:after="0" w:line="324" w:lineRule="auto"/>
        <w:ind w:firstLine="482" w:firstLineChars="200"/>
        <w:rPr>
          <w:rFonts w:ascii="宋体" w:hAnsi="宋体" w:eastAsia="宋体" w:cs="宋体"/>
          <w:b w:val="0"/>
          <w:color w:val="auto"/>
          <w:sz w:val="24"/>
          <w:szCs w:val="24"/>
          <w:highlight w:val="none"/>
        </w:rPr>
      </w:pPr>
      <w:bookmarkStart w:id="718" w:name="_Toc487653433"/>
      <w:bookmarkStart w:id="719" w:name="_Toc488650865"/>
      <w:bookmarkStart w:id="720" w:name="_Toc356567905"/>
      <w:bookmarkStart w:id="721" w:name="_Toc487619515"/>
      <w:bookmarkStart w:id="722" w:name="_Toc487291544"/>
      <w:bookmarkStart w:id="723" w:name="_Toc341805228"/>
      <w:r>
        <w:rPr>
          <w:rFonts w:hint="eastAsia" w:ascii="宋体" w:hAnsi="宋体" w:eastAsia="宋体" w:cs="宋体"/>
          <w:color w:val="auto"/>
          <w:sz w:val="24"/>
          <w:szCs w:val="24"/>
          <w:highlight w:val="none"/>
        </w:rPr>
        <w:t xml:space="preserve">3.2 </w:t>
      </w:r>
      <w:r>
        <w:rPr>
          <w:rFonts w:hint="eastAsia" w:ascii="宋体" w:hAnsi="宋体" w:eastAsia="宋体" w:cs="宋体"/>
          <w:b w:val="0"/>
          <w:color w:val="auto"/>
          <w:sz w:val="24"/>
          <w:szCs w:val="24"/>
          <w:highlight w:val="none"/>
        </w:rPr>
        <w:t xml:space="preserve"> 履约保证金</w:t>
      </w:r>
      <w:bookmarkEnd w:id="718"/>
      <w:bookmarkEnd w:id="719"/>
      <w:bookmarkEnd w:id="720"/>
      <w:bookmarkEnd w:id="721"/>
      <w:bookmarkEnd w:id="722"/>
      <w:bookmarkEnd w:id="723"/>
    </w:p>
    <w:bookmarkEnd w:id="716"/>
    <w:bookmarkEnd w:id="717"/>
    <w:p w14:paraId="1C6965AC">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监理人应保证履约保证金在合同履约期内一直有效，发包人应在缺陷责任期终止证书颁发后28 日内把履约保证金退还给监理人。</w:t>
      </w:r>
    </w:p>
    <w:p w14:paraId="67C5A1D1">
      <w:pPr>
        <w:pStyle w:val="5"/>
        <w:spacing w:before="0" w:after="0" w:line="324" w:lineRule="auto"/>
        <w:ind w:firstLine="482" w:firstLineChars="200"/>
        <w:rPr>
          <w:rFonts w:ascii="宋体" w:hAnsi="宋体" w:eastAsia="宋体" w:cs="宋体"/>
          <w:b w:val="0"/>
          <w:color w:val="auto"/>
          <w:sz w:val="24"/>
          <w:szCs w:val="24"/>
          <w:highlight w:val="none"/>
        </w:rPr>
      </w:pPr>
      <w:bookmarkStart w:id="724" w:name="_Toc341805229"/>
      <w:bookmarkStart w:id="725" w:name="_Toc356567906"/>
      <w:bookmarkStart w:id="726" w:name="_Toc487653434"/>
      <w:bookmarkStart w:id="727" w:name="_Toc487291545"/>
      <w:bookmarkStart w:id="728" w:name="_Toc487619516"/>
      <w:bookmarkStart w:id="729" w:name="_Toc488650866"/>
      <w:r>
        <w:rPr>
          <w:rFonts w:hint="eastAsia" w:ascii="宋体" w:hAnsi="宋体" w:eastAsia="宋体" w:cs="宋体"/>
          <w:color w:val="auto"/>
          <w:sz w:val="24"/>
          <w:szCs w:val="24"/>
          <w:highlight w:val="none"/>
        </w:rPr>
        <w:t xml:space="preserve">3.3 </w:t>
      </w:r>
      <w:r>
        <w:rPr>
          <w:rFonts w:hint="eastAsia" w:ascii="宋体" w:hAnsi="宋体" w:eastAsia="宋体" w:cs="宋体"/>
          <w:b w:val="0"/>
          <w:color w:val="auto"/>
          <w:sz w:val="24"/>
          <w:szCs w:val="24"/>
          <w:highlight w:val="none"/>
        </w:rPr>
        <w:t xml:space="preserve"> 联合体</w:t>
      </w:r>
      <w:bookmarkEnd w:id="724"/>
      <w:bookmarkEnd w:id="725"/>
      <w:bookmarkEnd w:id="726"/>
      <w:bookmarkEnd w:id="727"/>
      <w:bookmarkEnd w:id="728"/>
      <w:bookmarkEnd w:id="729"/>
    </w:p>
    <w:p w14:paraId="55D36168">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  联合体各方应共同与发包人签订合同协议书。联合体各方应为履行合同承担连带责任。</w:t>
      </w:r>
    </w:p>
    <w:p w14:paraId="0809D688">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3.3.2  联合体协议经发包人确认后作为合同附件。在履行合同过程中，未经发包人同意，不得修改联合体协议。</w:t>
      </w:r>
    </w:p>
    <w:p w14:paraId="6D0B7545">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  联合体牵头人负责与发包人联系，并接受指示，负责组织联合体各成员全面履行合同。</w:t>
      </w:r>
    </w:p>
    <w:p w14:paraId="3ED135CF">
      <w:pPr>
        <w:pStyle w:val="5"/>
        <w:spacing w:before="0" w:after="0" w:line="324" w:lineRule="auto"/>
        <w:ind w:firstLine="482" w:firstLineChars="200"/>
        <w:rPr>
          <w:rFonts w:ascii="宋体" w:hAnsi="宋体" w:eastAsia="宋体" w:cs="宋体"/>
          <w:b w:val="0"/>
          <w:color w:val="auto"/>
          <w:sz w:val="24"/>
          <w:szCs w:val="24"/>
          <w:highlight w:val="none"/>
        </w:rPr>
      </w:pPr>
      <w:bookmarkStart w:id="730" w:name="_Toc341805230"/>
      <w:bookmarkStart w:id="731" w:name="_Toc487619517"/>
      <w:bookmarkStart w:id="732" w:name="_Toc487291546"/>
      <w:bookmarkStart w:id="733" w:name="_Toc487653435"/>
      <w:bookmarkStart w:id="734" w:name="_Toc356567907"/>
      <w:bookmarkStart w:id="735" w:name="_Toc488650867"/>
      <w:r>
        <w:rPr>
          <w:rFonts w:hint="eastAsia" w:ascii="宋体" w:hAnsi="宋体" w:eastAsia="宋体" w:cs="宋体"/>
          <w:color w:val="auto"/>
          <w:sz w:val="24"/>
          <w:szCs w:val="24"/>
          <w:highlight w:val="none"/>
        </w:rPr>
        <w:t xml:space="preserve">3.4 </w:t>
      </w:r>
      <w:r>
        <w:rPr>
          <w:rFonts w:hint="eastAsia" w:ascii="宋体" w:hAnsi="宋体" w:eastAsia="宋体" w:cs="宋体"/>
          <w:b w:val="0"/>
          <w:color w:val="auto"/>
          <w:sz w:val="24"/>
          <w:szCs w:val="24"/>
          <w:highlight w:val="none"/>
        </w:rPr>
        <w:t xml:space="preserve"> 总监理工程师</w:t>
      </w:r>
      <w:bookmarkEnd w:id="730"/>
      <w:bookmarkEnd w:id="731"/>
      <w:bookmarkEnd w:id="732"/>
      <w:bookmarkEnd w:id="733"/>
      <w:bookmarkEnd w:id="734"/>
      <w:bookmarkEnd w:id="735"/>
    </w:p>
    <w:p w14:paraId="4BEFA3CD">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3.4.1  监理人应按合同约定指派总监理工程师，并在约定的期限内到职。监理人应授权总监理工程师代表监理人全面履行监理合同，与发包人的授权代表建立工作联系。监理人更换或变更其授权时，必须提前14日通知发包人，并征得发包人同意。总监理工程师短期离开施工现场，应事先征得发包人同意，并委派代表代行其职责。</w:t>
      </w:r>
    </w:p>
    <w:p w14:paraId="529D4DDD">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3.4.2  监理人为履行合同发出的一切函件均应盖有监理人或其授权的监理机构章，并由总监理工程师或其授权代表签字。</w:t>
      </w:r>
    </w:p>
    <w:p w14:paraId="7B956B44">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3.4.3  总监理工程师可以授权其下属人员履行其某项职责，但事先应将这些人员的姓名和授权范围通知发包人及承包人。被授权的监理人员在授权范围内发出的指示视为已得到总监理工程师的同意，与总监理工程师发出的指示具有同等效力。总监理工程师撤销某项授权时，应将撤销授权的决定及时通知承包人。</w:t>
      </w:r>
    </w:p>
    <w:p w14:paraId="263D07C1">
      <w:pPr>
        <w:pStyle w:val="5"/>
        <w:spacing w:before="0" w:after="0" w:line="324" w:lineRule="auto"/>
        <w:ind w:firstLine="482" w:firstLineChars="200"/>
        <w:rPr>
          <w:rFonts w:ascii="宋体" w:hAnsi="宋体" w:eastAsia="宋体" w:cs="宋体"/>
          <w:b w:val="0"/>
          <w:color w:val="auto"/>
          <w:sz w:val="24"/>
          <w:szCs w:val="24"/>
          <w:highlight w:val="none"/>
        </w:rPr>
      </w:pPr>
      <w:bookmarkStart w:id="736" w:name="_Toc488650868"/>
      <w:bookmarkStart w:id="737" w:name="_Toc356567908"/>
      <w:bookmarkStart w:id="738" w:name="_Toc487653436"/>
      <w:bookmarkStart w:id="739" w:name="_Toc487619518"/>
      <w:bookmarkStart w:id="740" w:name="_Toc487291547"/>
      <w:bookmarkStart w:id="741" w:name="_Toc341805231"/>
      <w:r>
        <w:rPr>
          <w:rFonts w:hint="eastAsia" w:ascii="宋体" w:hAnsi="宋体" w:eastAsia="宋体" w:cs="宋体"/>
          <w:color w:val="auto"/>
          <w:sz w:val="24"/>
          <w:szCs w:val="24"/>
          <w:highlight w:val="none"/>
        </w:rPr>
        <w:t xml:space="preserve">3.5 </w:t>
      </w:r>
      <w:r>
        <w:rPr>
          <w:rFonts w:hint="eastAsia" w:ascii="宋体" w:hAnsi="宋体" w:eastAsia="宋体" w:cs="宋体"/>
          <w:b w:val="0"/>
          <w:color w:val="auto"/>
          <w:sz w:val="24"/>
          <w:szCs w:val="24"/>
          <w:highlight w:val="none"/>
        </w:rPr>
        <w:t xml:space="preserve"> 监理人的人员管理</w:t>
      </w:r>
      <w:bookmarkEnd w:id="736"/>
      <w:bookmarkEnd w:id="737"/>
      <w:bookmarkEnd w:id="738"/>
      <w:bookmarkEnd w:id="739"/>
      <w:bookmarkEnd w:id="740"/>
      <w:bookmarkEnd w:id="741"/>
    </w:p>
    <w:p w14:paraId="09DCED59">
      <w:pPr>
        <w:autoSpaceDE w:val="0"/>
        <w:autoSpaceDN w:val="0"/>
        <w:adjustRightInd w:val="0"/>
        <w:snapToGrid w:val="0"/>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3.5.1  监理人派驻到工程所在地进行监理服务的监理人员，应能够胜任监理合同约定的监理服务工作，重要岗位监理人员的配备应满足招标文件的要求。</w:t>
      </w:r>
    </w:p>
    <w:p w14:paraId="7F0CA032">
      <w:pPr>
        <w:autoSpaceDE w:val="0"/>
        <w:autoSpaceDN w:val="0"/>
        <w:adjustRightInd w:val="0"/>
        <w:snapToGrid w:val="0"/>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3.5.2  监理人应保持派驻到工程所在地的重要岗位监理人员稳定，未经发包人同意不应无故不到岗或被替换。</w:t>
      </w:r>
    </w:p>
    <w:p w14:paraId="3ACABBC5">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3.5.3  监理人应对其总监理工程师和其他监理人员进行有效管理。发包人要求撤换不能胜任本职工作、行为不端或玩忽职守的总监理工程师和其他监理人员的，监理人应予以撤换，同时委派经发包人同意的总监理工程师或其他监理人员进场。</w:t>
      </w:r>
    </w:p>
    <w:p w14:paraId="78CA7D4C">
      <w:pPr>
        <w:pStyle w:val="5"/>
        <w:spacing w:before="0" w:after="0" w:line="324" w:lineRule="auto"/>
        <w:ind w:firstLine="482" w:firstLineChars="200"/>
        <w:rPr>
          <w:rFonts w:ascii="宋体" w:hAnsi="宋体" w:eastAsia="宋体" w:cs="宋体"/>
          <w:color w:val="auto"/>
          <w:sz w:val="24"/>
          <w:szCs w:val="24"/>
          <w:highlight w:val="none"/>
        </w:rPr>
      </w:pPr>
      <w:bookmarkStart w:id="742" w:name="_Toc330384454"/>
      <w:bookmarkStart w:id="743" w:name="_Toc487619519"/>
      <w:bookmarkStart w:id="744" w:name="_Toc341805232"/>
      <w:bookmarkStart w:id="745" w:name="_Toc487291548"/>
      <w:bookmarkStart w:id="746" w:name="_Toc488650869"/>
      <w:bookmarkStart w:id="747" w:name="_Toc487653437"/>
      <w:r>
        <w:rPr>
          <w:rFonts w:hint="eastAsia" w:ascii="宋体" w:hAnsi="宋体" w:eastAsia="宋体" w:cs="宋体"/>
          <w:color w:val="auto"/>
          <w:sz w:val="24"/>
          <w:szCs w:val="24"/>
          <w:highlight w:val="none"/>
        </w:rPr>
        <w:t>4．监理服务</w:t>
      </w:r>
      <w:bookmarkEnd w:id="742"/>
      <w:bookmarkEnd w:id="743"/>
      <w:bookmarkEnd w:id="744"/>
      <w:bookmarkEnd w:id="745"/>
      <w:bookmarkEnd w:id="746"/>
      <w:bookmarkEnd w:id="747"/>
    </w:p>
    <w:p w14:paraId="07D1D585">
      <w:pPr>
        <w:pStyle w:val="5"/>
        <w:spacing w:before="0" w:after="0" w:line="324" w:lineRule="auto"/>
        <w:ind w:firstLine="482" w:firstLineChars="200"/>
        <w:rPr>
          <w:rFonts w:ascii="宋体" w:hAnsi="宋体" w:eastAsia="宋体" w:cs="宋体"/>
          <w:b w:val="0"/>
          <w:color w:val="auto"/>
          <w:sz w:val="24"/>
          <w:szCs w:val="24"/>
          <w:highlight w:val="none"/>
        </w:rPr>
      </w:pPr>
      <w:bookmarkStart w:id="748" w:name="_Toc487653438"/>
      <w:bookmarkStart w:id="749" w:name="_Toc487619520"/>
      <w:bookmarkStart w:id="750" w:name="_Toc488650870"/>
      <w:bookmarkStart w:id="751" w:name="_Toc341805233"/>
      <w:bookmarkStart w:id="752" w:name="_Toc356567910"/>
      <w:bookmarkStart w:id="753" w:name="_Toc487291549"/>
      <w:r>
        <w:rPr>
          <w:rFonts w:hint="eastAsia" w:ascii="宋体" w:hAnsi="宋体" w:eastAsia="宋体" w:cs="宋体"/>
          <w:color w:val="auto"/>
          <w:sz w:val="24"/>
          <w:szCs w:val="24"/>
          <w:highlight w:val="none"/>
        </w:rPr>
        <w:t xml:space="preserve">4.1 </w:t>
      </w:r>
      <w:r>
        <w:rPr>
          <w:rFonts w:hint="eastAsia" w:ascii="宋体" w:hAnsi="宋体" w:eastAsia="宋体" w:cs="宋体"/>
          <w:b w:val="0"/>
          <w:color w:val="auto"/>
          <w:sz w:val="24"/>
          <w:szCs w:val="24"/>
          <w:highlight w:val="none"/>
        </w:rPr>
        <w:t xml:space="preserve"> 监理机构形式</w:t>
      </w:r>
      <w:bookmarkEnd w:id="748"/>
      <w:bookmarkEnd w:id="749"/>
      <w:bookmarkEnd w:id="750"/>
      <w:bookmarkEnd w:id="751"/>
      <w:bookmarkEnd w:id="752"/>
      <w:bookmarkEnd w:id="753"/>
    </w:p>
    <w:p w14:paraId="3C7FBA0E">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监理人应根据工程规模、难易程度、合同工期安排、现场条件等因素设置现场监理机构并满足合同要求。发包人对监理人的监理机构设置要求见专用条款约定。</w:t>
      </w:r>
    </w:p>
    <w:p w14:paraId="13912624">
      <w:pPr>
        <w:pStyle w:val="5"/>
        <w:spacing w:before="0" w:after="0" w:line="324" w:lineRule="auto"/>
        <w:ind w:firstLine="482" w:firstLineChars="200"/>
        <w:rPr>
          <w:rFonts w:ascii="宋体" w:hAnsi="宋体" w:eastAsia="宋体" w:cs="宋体"/>
          <w:b w:val="0"/>
          <w:color w:val="auto"/>
          <w:sz w:val="24"/>
          <w:szCs w:val="24"/>
          <w:highlight w:val="none"/>
        </w:rPr>
      </w:pPr>
      <w:bookmarkStart w:id="754" w:name="_Toc283558725"/>
      <w:bookmarkStart w:id="755" w:name="_Toc286759092"/>
      <w:bookmarkStart w:id="756" w:name="_Toc283559222"/>
      <w:bookmarkStart w:id="757" w:name="_Toc487619521"/>
      <w:bookmarkStart w:id="758" w:name="_Toc356567911"/>
      <w:bookmarkStart w:id="759" w:name="_Toc487291550"/>
      <w:bookmarkStart w:id="760" w:name="_Toc487653439"/>
      <w:bookmarkStart w:id="761" w:name="_Toc488650871"/>
      <w:bookmarkStart w:id="762" w:name="_Toc341805234"/>
      <w:r>
        <w:rPr>
          <w:rFonts w:hint="eastAsia" w:ascii="宋体" w:hAnsi="宋体" w:eastAsia="宋体" w:cs="宋体"/>
          <w:color w:val="auto"/>
          <w:sz w:val="24"/>
          <w:szCs w:val="24"/>
          <w:highlight w:val="none"/>
        </w:rPr>
        <w:t xml:space="preserve">4.2  </w:t>
      </w:r>
      <w:bookmarkEnd w:id="754"/>
      <w:bookmarkEnd w:id="755"/>
      <w:bookmarkEnd w:id="756"/>
      <w:bookmarkStart w:id="763" w:name="_Toc283558726"/>
      <w:bookmarkStart w:id="764" w:name="_Toc286759093"/>
      <w:bookmarkStart w:id="765" w:name="_Toc283559223"/>
      <w:r>
        <w:rPr>
          <w:rFonts w:hint="eastAsia" w:ascii="宋体" w:hAnsi="宋体" w:eastAsia="宋体" w:cs="宋体"/>
          <w:b w:val="0"/>
          <w:color w:val="auto"/>
          <w:sz w:val="24"/>
          <w:szCs w:val="24"/>
          <w:highlight w:val="none"/>
        </w:rPr>
        <w:t>监理服务范围</w:t>
      </w:r>
      <w:bookmarkEnd w:id="757"/>
      <w:bookmarkEnd w:id="758"/>
      <w:bookmarkEnd w:id="759"/>
      <w:bookmarkEnd w:id="760"/>
      <w:bookmarkEnd w:id="761"/>
      <w:bookmarkEnd w:id="762"/>
      <w:bookmarkEnd w:id="763"/>
      <w:bookmarkEnd w:id="764"/>
      <w:bookmarkEnd w:id="765"/>
    </w:p>
    <w:p w14:paraId="124B8A1D">
      <w:pPr>
        <w:autoSpaceDE w:val="0"/>
        <w:autoSpaceDN w:val="0"/>
        <w:adjustRightInd w:val="0"/>
        <w:snapToGrid w:val="0"/>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4.2.1  监理服务的工程范围：在专用条款中约定。</w:t>
      </w:r>
    </w:p>
    <w:p w14:paraId="71615A44">
      <w:pPr>
        <w:autoSpaceDE w:val="0"/>
        <w:autoSpaceDN w:val="0"/>
        <w:adjustRightInd w:val="0"/>
        <w:snapToGrid w:val="0"/>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4.2.2  监理服务的工作范围：监理人应当按照合同要求和发包人的授权范围进行下述监理服务。</w:t>
      </w:r>
    </w:p>
    <w:p w14:paraId="12318E92">
      <w:pPr>
        <w:autoSpaceDE w:val="0"/>
        <w:autoSpaceDN w:val="0"/>
        <w:adjustRightInd w:val="0"/>
        <w:snapToGrid w:val="0"/>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正常监理服务的范围，除非专用条款另有约定，正常监理服务的范围是指在合同约定的工程范围内及约定的正常监理服务期限内，对工程进行质量监理、施工安全监理、费用监理、进度监理、合同与信息管理及有关协调。</w:t>
      </w:r>
    </w:p>
    <w:p w14:paraId="7016B7AC">
      <w:pPr>
        <w:autoSpaceDE w:val="0"/>
        <w:autoSpaceDN w:val="0"/>
        <w:adjustRightInd w:val="0"/>
        <w:snapToGrid w:val="0"/>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（2）附加监理服务的范围，包括但不限于：</w:t>
      </w:r>
    </w:p>
    <w:p w14:paraId="1826DF9E">
      <w:pPr>
        <w:autoSpaceDE w:val="0"/>
        <w:autoSpaceDN w:val="0"/>
        <w:adjustRightInd w:val="0"/>
        <w:snapToGrid w:val="0"/>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①由于非监理人(含发包人或第三方责任)原因导致合同约定的监理服务期限延长，所延长的服务时间应视为附加监理服务；</w:t>
      </w:r>
    </w:p>
    <w:p w14:paraId="31B6DA73">
      <w:pPr>
        <w:autoSpaceDE w:val="0"/>
        <w:autoSpaceDN w:val="0"/>
        <w:adjustRightInd w:val="0"/>
        <w:snapToGrid w:val="0"/>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②发包人书面提出监理合同约定的工作范围以外的监理工作，监理人完成此项工作应视为附加监理服务；</w:t>
      </w:r>
    </w:p>
    <w:p w14:paraId="5AE49575">
      <w:pPr>
        <w:autoSpaceDE w:val="0"/>
        <w:autoSpaceDN w:val="0"/>
        <w:adjustRightInd w:val="0"/>
        <w:snapToGrid w:val="0"/>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③发包人书面提出高于监理合同约定的服务标准的要求，监理人为完成此要求而增加的投入应视为附加监理服务；</w:t>
      </w:r>
    </w:p>
    <w:p w14:paraId="56EE5D23">
      <w:pPr>
        <w:autoSpaceDE w:val="0"/>
        <w:autoSpaceDN w:val="0"/>
        <w:adjustRightInd w:val="0"/>
        <w:snapToGrid w:val="0"/>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④缺陷责任期的监理服务，发包人要求监理人在缺陷责任期提供的监理服务范围见专用条款约定。</w:t>
      </w:r>
    </w:p>
    <w:p w14:paraId="40942916">
      <w:pPr>
        <w:autoSpaceDE w:val="0"/>
        <w:autoSpaceDN w:val="0"/>
        <w:adjustRightInd w:val="0"/>
        <w:snapToGrid w:val="0"/>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（3）额外服务的范围，包括但不限于：</w:t>
      </w:r>
    </w:p>
    <w:p w14:paraId="7C714EC4">
      <w:pPr>
        <w:autoSpaceDE w:val="0"/>
        <w:autoSpaceDN w:val="0"/>
        <w:adjustRightInd w:val="0"/>
        <w:snapToGrid w:val="0"/>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①监理合同生效后，因非监理人原因导致监理人不能提供全部或部分服务时，其善后工作以及恢复服务的准备工作，应作为额外服务；</w:t>
      </w:r>
    </w:p>
    <w:p w14:paraId="06CE8079">
      <w:pPr>
        <w:autoSpaceDE w:val="0"/>
        <w:autoSpaceDN w:val="0"/>
        <w:adjustRightInd w:val="0"/>
        <w:snapToGrid w:val="0"/>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②如果发包人以书面形式提出要求，监理人应提交变更服务的建议方案，该建议方案的编写和提交应视为额外服务；</w:t>
      </w:r>
    </w:p>
    <w:p w14:paraId="4CDAA1D6">
      <w:pPr>
        <w:autoSpaceDE w:val="0"/>
        <w:autoSpaceDN w:val="0"/>
        <w:adjustRightInd w:val="0"/>
        <w:snapToGrid w:val="0"/>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③非监理人原因导致全部监理服务已无法继续履行，因此增加的监理服务工作量应作为监理人的额外服务；</w:t>
      </w:r>
    </w:p>
    <w:p w14:paraId="0AB0A946">
      <w:pPr>
        <w:autoSpaceDE w:val="0"/>
        <w:autoSpaceDN w:val="0"/>
        <w:adjustRightInd w:val="0"/>
        <w:snapToGrid w:val="0"/>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④发包人将部分或全部外部协调工作委托监理人承担，因此而增加的工作应视为额外服务；</w:t>
      </w:r>
    </w:p>
    <w:p w14:paraId="11EE474C">
      <w:pPr>
        <w:autoSpaceDE w:val="0"/>
        <w:autoSpaceDN w:val="0"/>
        <w:adjustRightInd w:val="0"/>
        <w:snapToGrid w:val="0"/>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⑤根据工程需要由监理人组织的相关咨询论证会以及聘请相关专家等工作，应视为额外服务。</w:t>
      </w:r>
    </w:p>
    <w:p w14:paraId="56D3F548">
      <w:pPr>
        <w:pStyle w:val="5"/>
        <w:spacing w:before="0" w:after="0" w:line="324" w:lineRule="auto"/>
        <w:ind w:firstLine="482" w:firstLineChars="200"/>
        <w:rPr>
          <w:rFonts w:ascii="宋体" w:hAnsi="宋体" w:eastAsia="宋体" w:cs="宋体"/>
          <w:b w:val="0"/>
          <w:color w:val="auto"/>
          <w:sz w:val="24"/>
          <w:szCs w:val="24"/>
          <w:highlight w:val="none"/>
        </w:rPr>
      </w:pPr>
      <w:bookmarkStart w:id="766" w:name="_Toc283559224"/>
      <w:bookmarkStart w:id="767" w:name="_Toc283558727"/>
      <w:bookmarkStart w:id="768" w:name="_Toc286759094"/>
      <w:bookmarkStart w:id="769" w:name="_Toc356567912"/>
      <w:bookmarkStart w:id="770" w:name="_Toc488650872"/>
      <w:bookmarkStart w:id="771" w:name="_Toc487291551"/>
      <w:bookmarkStart w:id="772" w:name="_Toc487619522"/>
      <w:bookmarkStart w:id="773" w:name="_Toc341805235"/>
      <w:bookmarkStart w:id="774" w:name="_Toc487653440"/>
      <w:r>
        <w:rPr>
          <w:rFonts w:hint="eastAsia" w:ascii="宋体" w:hAnsi="宋体" w:eastAsia="宋体" w:cs="宋体"/>
          <w:color w:val="auto"/>
          <w:sz w:val="24"/>
          <w:szCs w:val="24"/>
          <w:highlight w:val="none"/>
        </w:rPr>
        <w:t>4.3</w:t>
      </w:r>
      <w:r>
        <w:rPr>
          <w:rFonts w:hint="eastAsia" w:ascii="宋体" w:hAnsi="宋体" w:eastAsia="宋体" w:cs="宋体"/>
          <w:b w:val="0"/>
          <w:color w:val="auto"/>
          <w:sz w:val="24"/>
          <w:szCs w:val="24"/>
          <w:highlight w:val="none"/>
        </w:rPr>
        <w:t xml:space="preserve">  服务</w:t>
      </w:r>
      <w:bookmarkEnd w:id="766"/>
      <w:bookmarkEnd w:id="767"/>
      <w:bookmarkEnd w:id="768"/>
      <w:r>
        <w:rPr>
          <w:rFonts w:hint="eastAsia" w:ascii="宋体" w:hAnsi="宋体" w:eastAsia="宋体" w:cs="宋体"/>
          <w:b w:val="0"/>
          <w:color w:val="auto"/>
          <w:sz w:val="24"/>
          <w:szCs w:val="24"/>
          <w:highlight w:val="none"/>
        </w:rPr>
        <w:t>要求</w:t>
      </w:r>
      <w:bookmarkEnd w:id="769"/>
      <w:bookmarkEnd w:id="770"/>
      <w:bookmarkEnd w:id="771"/>
      <w:bookmarkEnd w:id="772"/>
      <w:bookmarkEnd w:id="773"/>
      <w:bookmarkEnd w:id="774"/>
    </w:p>
    <w:p w14:paraId="2781B7C9">
      <w:pPr>
        <w:autoSpaceDE w:val="0"/>
        <w:autoSpaceDN w:val="0"/>
        <w:adjustRightInd w:val="0"/>
        <w:snapToGrid w:val="0"/>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4.3.1 监理人提供的监理服务，应当符合国家现行有关法律、法规的规定，除专用条款另有约定外，其服务质量应符合国家现行有关标准的规定。</w:t>
      </w:r>
    </w:p>
    <w:p w14:paraId="2E57AD16">
      <w:pPr>
        <w:autoSpaceDE w:val="0"/>
        <w:autoSpaceDN w:val="0"/>
        <w:adjustRightInd w:val="0"/>
        <w:snapToGrid w:val="0"/>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4.3.2  对第三方履约管理的服务目标：在专用条款中约定。</w:t>
      </w:r>
    </w:p>
    <w:p w14:paraId="2A50C464">
      <w:pPr>
        <w:pStyle w:val="5"/>
        <w:spacing w:before="0" w:after="0" w:line="324" w:lineRule="auto"/>
        <w:ind w:firstLine="482" w:firstLineChars="200"/>
        <w:rPr>
          <w:rFonts w:ascii="宋体" w:hAnsi="宋体" w:eastAsia="宋体" w:cs="宋体"/>
          <w:b w:val="0"/>
          <w:color w:val="auto"/>
          <w:sz w:val="24"/>
          <w:szCs w:val="24"/>
          <w:highlight w:val="none"/>
        </w:rPr>
      </w:pPr>
      <w:bookmarkStart w:id="775" w:name="_Toc487291552"/>
      <w:bookmarkStart w:id="776" w:name="_Toc356567913"/>
      <w:bookmarkStart w:id="777" w:name="_Toc487619523"/>
      <w:bookmarkStart w:id="778" w:name="_Toc488650873"/>
      <w:bookmarkStart w:id="779" w:name="_Toc487653441"/>
      <w:bookmarkStart w:id="780" w:name="_Toc341805236"/>
      <w:r>
        <w:rPr>
          <w:rFonts w:hint="eastAsia" w:ascii="宋体" w:hAnsi="宋体" w:eastAsia="宋体" w:cs="宋体"/>
          <w:color w:val="auto"/>
          <w:sz w:val="24"/>
          <w:szCs w:val="24"/>
          <w:highlight w:val="none"/>
        </w:rPr>
        <w:t>4.4</w:t>
      </w:r>
      <w:r>
        <w:rPr>
          <w:rFonts w:hint="eastAsia" w:ascii="宋体" w:hAnsi="宋体" w:eastAsia="宋体" w:cs="宋体"/>
          <w:b w:val="0"/>
          <w:color w:val="auto"/>
          <w:sz w:val="24"/>
          <w:szCs w:val="24"/>
          <w:highlight w:val="none"/>
        </w:rPr>
        <w:t xml:space="preserve">  服务内容</w:t>
      </w:r>
      <w:bookmarkEnd w:id="775"/>
      <w:bookmarkEnd w:id="776"/>
      <w:bookmarkEnd w:id="777"/>
      <w:bookmarkEnd w:id="778"/>
      <w:bookmarkEnd w:id="779"/>
      <w:bookmarkEnd w:id="780"/>
    </w:p>
    <w:p w14:paraId="6DAA6AC5">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各阶段监理服务内容按现行有关标准的要求确定，对附加的、额外的监理服务按本监理合同相关条款执行。</w:t>
      </w:r>
    </w:p>
    <w:p w14:paraId="7DCFEA40">
      <w:pPr>
        <w:pStyle w:val="5"/>
        <w:spacing w:before="0" w:after="0" w:line="324" w:lineRule="auto"/>
        <w:ind w:firstLine="482" w:firstLineChars="200"/>
        <w:rPr>
          <w:rFonts w:ascii="宋体" w:hAnsi="宋体" w:eastAsia="宋体" w:cs="宋体"/>
          <w:b w:val="0"/>
          <w:color w:val="auto"/>
          <w:sz w:val="24"/>
          <w:szCs w:val="24"/>
          <w:highlight w:val="none"/>
        </w:rPr>
      </w:pPr>
      <w:bookmarkStart w:id="781" w:name="_Toc356567914"/>
      <w:bookmarkStart w:id="782" w:name="_Toc488650874"/>
      <w:bookmarkStart w:id="783" w:name="_Toc487619524"/>
      <w:bookmarkStart w:id="784" w:name="_Toc341805237"/>
      <w:bookmarkStart w:id="785" w:name="_Toc487291553"/>
      <w:bookmarkStart w:id="786" w:name="_Toc487653442"/>
      <w:r>
        <w:rPr>
          <w:rFonts w:hint="eastAsia" w:ascii="宋体" w:hAnsi="宋体" w:eastAsia="宋体" w:cs="宋体"/>
          <w:color w:val="auto"/>
          <w:sz w:val="24"/>
          <w:szCs w:val="24"/>
          <w:highlight w:val="none"/>
        </w:rPr>
        <w:t xml:space="preserve">4.5 </w:t>
      </w:r>
      <w:r>
        <w:rPr>
          <w:rFonts w:hint="eastAsia" w:ascii="宋体" w:hAnsi="宋体" w:eastAsia="宋体" w:cs="宋体"/>
          <w:b w:val="0"/>
          <w:color w:val="auto"/>
          <w:sz w:val="24"/>
          <w:szCs w:val="24"/>
          <w:highlight w:val="none"/>
        </w:rPr>
        <w:t xml:space="preserve"> 监理服务的依据</w:t>
      </w:r>
      <w:bookmarkEnd w:id="781"/>
      <w:bookmarkEnd w:id="782"/>
      <w:bookmarkEnd w:id="783"/>
      <w:bookmarkEnd w:id="784"/>
      <w:bookmarkEnd w:id="785"/>
      <w:bookmarkEnd w:id="786"/>
    </w:p>
    <w:p w14:paraId="66D86699">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4.5.1  国家和行业有关法律、法规、规章。</w:t>
      </w:r>
    </w:p>
    <w:p w14:paraId="7074F8AA">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4.5.2  国家和行业有关标准。</w:t>
      </w:r>
    </w:p>
    <w:p w14:paraId="7FCD41DE">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4.5.3  施工监理合同。</w:t>
      </w:r>
    </w:p>
    <w:p w14:paraId="4AAA9C01">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4.5.4  施工承包合同。</w:t>
      </w:r>
    </w:p>
    <w:p w14:paraId="07CF0A31">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4.5.5  工程前期有关文件。</w:t>
      </w:r>
    </w:p>
    <w:p w14:paraId="550F883D">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4.5.6  工程设计文件和图纸。</w:t>
      </w:r>
    </w:p>
    <w:p w14:paraId="65A82426">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4.5.7  工程实施过程中有关的函件。</w:t>
      </w:r>
    </w:p>
    <w:p w14:paraId="56ACC242">
      <w:pPr>
        <w:pStyle w:val="5"/>
        <w:spacing w:before="0" w:after="0" w:line="324" w:lineRule="auto"/>
        <w:ind w:firstLine="482" w:firstLineChars="200"/>
        <w:rPr>
          <w:rFonts w:ascii="宋体" w:hAnsi="宋体" w:eastAsia="宋体" w:cs="宋体"/>
          <w:b w:val="0"/>
          <w:color w:val="auto"/>
          <w:sz w:val="24"/>
          <w:szCs w:val="24"/>
          <w:highlight w:val="none"/>
        </w:rPr>
      </w:pPr>
      <w:bookmarkStart w:id="787" w:name="_Toc487653443"/>
      <w:bookmarkStart w:id="788" w:name="_Toc488650875"/>
      <w:bookmarkStart w:id="789" w:name="_Toc341805238"/>
      <w:bookmarkStart w:id="790" w:name="_Toc356567915"/>
      <w:bookmarkStart w:id="791" w:name="_Toc487291554"/>
      <w:bookmarkStart w:id="792" w:name="_Toc487619525"/>
      <w:r>
        <w:rPr>
          <w:rFonts w:hint="eastAsia" w:ascii="宋体" w:hAnsi="宋体" w:eastAsia="宋体" w:cs="宋体"/>
          <w:color w:val="auto"/>
          <w:sz w:val="24"/>
          <w:szCs w:val="24"/>
          <w:highlight w:val="none"/>
        </w:rPr>
        <w:t>4.6</w:t>
      </w:r>
      <w:r>
        <w:rPr>
          <w:rFonts w:hint="eastAsia" w:ascii="宋体" w:hAnsi="宋体" w:eastAsia="宋体" w:cs="宋体"/>
          <w:b w:val="0"/>
          <w:color w:val="auto"/>
          <w:sz w:val="24"/>
          <w:szCs w:val="24"/>
          <w:highlight w:val="none"/>
        </w:rPr>
        <w:t xml:space="preserve">  监理职责</w:t>
      </w:r>
      <w:bookmarkEnd w:id="787"/>
      <w:bookmarkEnd w:id="788"/>
      <w:bookmarkEnd w:id="789"/>
      <w:bookmarkEnd w:id="790"/>
      <w:bookmarkEnd w:id="791"/>
      <w:bookmarkEnd w:id="792"/>
    </w:p>
    <w:p w14:paraId="6555C0AE">
      <w:pPr>
        <w:spacing w:line="324" w:lineRule="auto"/>
        <w:ind w:firstLine="480" w:firstLineChars="200"/>
        <w:rPr>
          <w:rFonts w:ascii="宋体" w:hAnsi="宋体" w:cs="宋体"/>
          <w:color w:val="auto"/>
          <w:sz w:val="24"/>
          <w:highlight w:val="none"/>
        </w:rPr>
      </w:pPr>
      <w:bookmarkStart w:id="793" w:name="_Toc341805239"/>
      <w:bookmarkStart w:id="794" w:name="_Toc356567916"/>
      <w:r>
        <w:rPr>
          <w:rFonts w:hint="eastAsia" w:ascii="宋体" w:hAnsi="宋体" w:cs="宋体"/>
          <w:color w:val="auto"/>
          <w:sz w:val="24"/>
          <w:highlight w:val="none"/>
        </w:rPr>
        <w:t>4.6.1  监理人应本着“严格监理、优质服务、公正科学、廉洁自律”的原则，按照监理合同及相关法律、法规的要求进行监理服务。</w:t>
      </w:r>
    </w:p>
    <w:p w14:paraId="732386B3">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4.6.2  如果监理人在监理服务过程中行使的权力或所需的授权，来自于发包人和第三方签订的工程合同文件，该合同文件必须成为本监理合同的组成部分，两者之间如出现矛盾，则应编制补充说明文件一并列入监理合同。此时监理人应：</w:t>
      </w:r>
    </w:p>
    <w:p w14:paraId="0B066C12">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（1）根据监理合同文件和工程合同文件进行监理服务；</w:t>
      </w:r>
    </w:p>
    <w:p w14:paraId="1FE1CB44">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（2）根据职责范围，在发包人和第三方之间独立公正地行使上述合同文件赋予的权力；</w:t>
      </w:r>
    </w:p>
    <w:p w14:paraId="191017FF">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（3）根据上述合同文件的授权，可对相应的工程和合同事宜进行变更，但未经发包人的书面批准，不得变更工程合同文件中约定的工程标准和第三方的责任与义务。</w:t>
      </w:r>
    </w:p>
    <w:p w14:paraId="21F233E0">
      <w:pPr>
        <w:pStyle w:val="5"/>
        <w:spacing w:before="0" w:after="0" w:line="324" w:lineRule="auto"/>
        <w:ind w:firstLine="482" w:firstLineChars="200"/>
        <w:rPr>
          <w:rFonts w:ascii="宋体" w:hAnsi="宋体" w:eastAsia="宋体" w:cs="宋体"/>
          <w:b w:val="0"/>
          <w:color w:val="auto"/>
          <w:sz w:val="24"/>
          <w:szCs w:val="24"/>
          <w:highlight w:val="none"/>
        </w:rPr>
      </w:pPr>
      <w:bookmarkStart w:id="795" w:name="_Toc487653444"/>
      <w:bookmarkStart w:id="796" w:name="_Toc487291555"/>
      <w:bookmarkStart w:id="797" w:name="_Toc488650876"/>
      <w:bookmarkStart w:id="798" w:name="_Toc487619526"/>
      <w:r>
        <w:rPr>
          <w:rFonts w:hint="eastAsia" w:ascii="宋体" w:hAnsi="宋体" w:eastAsia="宋体" w:cs="宋体"/>
          <w:color w:val="auto"/>
          <w:sz w:val="24"/>
          <w:szCs w:val="24"/>
          <w:highlight w:val="none"/>
        </w:rPr>
        <w:t xml:space="preserve">4.7  </w:t>
      </w:r>
      <w:r>
        <w:rPr>
          <w:rFonts w:hint="eastAsia" w:ascii="宋体" w:hAnsi="宋体" w:eastAsia="宋体" w:cs="宋体"/>
          <w:b w:val="0"/>
          <w:color w:val="auto"/>
          <w:sz w:val="24"/>
          <w:szCs w:val="24"/>
          <w:highlight w:val="none"/>
        </w:rPr>
        <w:t>发包人对监理人的授权</w:t>
      </w:r>
      <w:bookmarkEnd w:id="793"/>
      <w:bookmarkEnd w:id="794"/>
      <w:bookmarkEnd w:id="795"/>
      <w:bookmarkEnd w:id="796"/>
      <w:bookmarkEnd w:id="797"/>
      <w:bookmarkEnd w:id="798"/>
    </w:p>
    <w:p w14:paraId="4670299D">
      <w:pPr>
        <w:autoSpaceDE w:val="0"/>
        <w:autoSpaceDN w:val="0"/>
        <w:adjustRightInd w:val="0"/>
        <w:snapToGrid w:val="0"/>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发包人对监理人的授权在专用条款中约定。</w:t>
      </w:r>
    </w:p>
    <w:p w14:paraId="2FA145E9">
      <w:pPr>
        <w:pStyle w:val="5"/>
        <w:spacing w:before="0" w:after="0" w:line="324" w:lineRule="auto"/>
        <w:ind w:firstLine="482" w:firstLineChars="200"/>
        <w:rPr>
          <w:rFonts w:ascii="宋体" w:hAnsi="宋体" w:eastAsia="宋体" w:cs="宋体"/>
          <w:color w:val="auto"/>
          <w:sz w:val="24"/>
          <w:szCs w:val="24"/>
          <w:highlight w:val="none"/>
        </w:rPr>
      </w:pPr>
      <w:bookmarkStart w:id="799" w:name="_Toc487291556"/>
      <w:bookmarkStart w:id="800" w:name="_Toc283559242"/>
      <w:bookmarkStart w:id="801" w:name="_Toc487653445"/>
      <w:bookmarkStart w:id="802" w:name="_Toc286759097"/>
      <w:bookmarkStart w:id="803" w:name="_Toc341805240"/>
      <w:bookmarkStart w:id="804" w:name="_Toc487619527"/>
      <w:bookmarkStart w:id="805" w:name="_Toc488650877"/>
      <w:bookmarkStart w:id="806" w:name="_Toc283558745"/>
      <w:bookmarkStart w:id="807" w:name="_Toc330384455"/>
      <w:r>
        <w:rPr>
          <w:rFonts w:hint="eastAsia" w:ascii="宋体" w:hAnsi="宋体" w:eastAsia="宋体" w:cs="宋体"/>
          <w:color w:val="auto"/>
          <w:sz w:val="24"/>
          <w:szCs w:val="24"/>
          <w:highlight w:val="none"/>
        </w:rPr>
        <w:t>5．合同的生效、终止、服务时间和期限、变更、暂停与解除</w:t>
      </w:r>
      <w:bookmarkEnd w:id="799"/>
      <w:bookmarkEnd w:id="800"/>
      <w:bookmarkEnd w:id="801"/>
      <w:bookmarkEnd w:id="802"/>
      <w:bookmarkEnd w:id="803"/>
      <w:bookmarkEnd w:id="804"/>
      <w:bookmarkEnd w:id="805"/>
      <w:bookmarkEnd w:id="806"/>
      <w:bookmarkEnd w:id="807"/>
    </w:p>
    <w:p w14:paraId="00553330">
      <w:pPr>
        <w:pStyle w:val="5"/>
        <w:spacing w:before="0" w:after="0" w:line="324" w:lineRule="auto"/>
        <w:ind w:firstLine="482" w:firstLineChars="200"/>
        <w:rPr>
          <w:rFonts w:ascii="宋体" w:hAnsi="宋体" w:eastAsia="宋体" w:cs="宋体"/>
          <w:b w:val="0"/>
          <w:color w:val="auto"/>
          <w:sz w:val="24"/>
          <w:szCs w:val="24"/>
          <w:highlight w:val="none"/>
        </w:rPr>
      </w:pPr>
      <w:bookmarkStart w:id="808" w:name="_Toc356567918"/>
      <w:bookmarkStart w:id="809" w:name="_Toc488650878"/>
      <w:bookmarkStart w:id="810" w:name="_Toc487653446"/>
      <w:bookmarkStart w:id="811" w:name="_Toc487619528"/>
      <w:bookmarkStart w:id="812" w:name="_Toc487291557"/>
      <w:bookmarkStart w:id="813" w:name="_Toc341805241"/>
      <w:r>
        <w:rPr>
          <w:rFonts w:hint="eastAsia" w:ascii="宋体" w:hAnsi="宋体" w:eastAsia="宋体" w:cs="宋体"/>
          <w:color w:val="auto"/>
          <w:sz w:val="24"/>
          <w:szCs w:val="24"/>
          <w:highlight w:val="none"/>
        </w:rPr>
        <w:t xml:space="preserve">5.1 </w:t>
      </w:r>
      <w:r>
        <w:rPr>
          <w:rFonts w:hint="eastAsia" w:ascii="宋体" w:hAnsi="宋体" w:eastAsia="宋体" w:cs="宋体"/>
          <w:b w:val="0"/>
          <w:color w:val="auto"/>
          <w:sz w:val="24"/>
          <w:szCs w:val="24"/>
          <w:highlight w:val="none"/>
        </w:rPr>
        <w:t xml:space="preserve"> 合同的生效</w:t>
      </w:r>
      <w:bookmarkEnd w:id="808"/>
      <w:bookmarkEnd w:id="809"/>
      <w:bookmarkEnd w:id="810"/>
      <w:bookmarkEnd w:id="811"/>
      <w:bookmarkEnd w:id="812"/>
      <w:bookmarkEnd w:id="813"/>
    </w:p>
    <w:p w14:paraId="76D8FB18">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合同双方的法定代表人或其委托代理人在合同协议书上签字并加盖单位公章之日起，合同生效。</w:t>
      </w:r>
    </w:p>
    <w:p w14:paraId="7945A69B">
      <w:pPr>
        <w:pStyle w:val="5"/>
        <w:spacing w:before="0" w:after="0" w:line="324" w:lineRule="auto"/>
        <w:ind w:firstLine="482" w:firstLineChars="200"/>
        <w:rPr>
          <w:rFonts w:ascii="宋体" w:hAnsi="宋体" w:eastAsia="宋体" w:cs="宋体"/>
          <w:b w:val="0"/>
          <w:color w:val="auto"/>
          <w:sz w:val="24"/>
          <w:szCs w:val="24"/>
          <w:highlight w:val="none"/>
        </w:rPr>
      </w:pPr>
      <w:bookmarkStart w:id="814" w:name="_Toc356567919"/>
      <w:bookmarkStart w:id="815" w:name="_Toc487291558"/>
      <w:bookmarkStart w:id="816" w:name="_Toc487619529"/>
      <w:bookmarkStart w:id="817" w:name="_Toc487653447"/>
      <w:bookmarkStart w:id="818" w:name="_Toc283558747"/>
      <w:bookmarkStart w:id="819" w:name="_Toc488650879"/>
      <w:bookmarkStart w:id="820" w:name="_Toc341805242"/>
      <w:bookmarkStart w:id="821" w:name="_Toc283559244"/>
      <w:bookmarkStart w:id="822" w:name="_Toc283559243"/>
      <w:bookmarkStart w:id="823" w:name="_Toc283558746"/>
      <w:r>
        <w:rPr>
          <w:rFonts w:hint="eastAsia" w:ascii="宋体" w:hAnsi="宋体" w:eastAsia="宋体" w:cs="宋体"/>
          <w:color w:val="auto"/>
          <w:sz w:val="24"/>
          <w:szCs w:val="24"/>
          <w:highlight w:val="none"/>
        </w:rPr>
        <w:t xml:space="preserve">5.2  </w:t>
      </w:r>
      <w:r>
        <w:rPr>
          <w:rFonts w:hint="eastAsia" w:ascii="宋体" w:hAnsi="宋体" w:eastAsia="宋体" w:cs="宋体"/>
          <w:b w:val="0"/>
          <w:color w:val="auto"/>
          <w:sz w:val="24"/>
          <w:szCs w:val="24"/>
          <w:highlight w:val="none"/>
        </w:rPr>
        <w:t>合同的终止</w:t>
      </w:r>
      <w:bookmarkEnd w:id="814"/>
      <w:bookmarkEnd w:id="815"/>
      <w:bookmarkEnd w:id="816"/>
      <w:bookmarkEnd w:id="817"/>
      <w:bookmarkEnd w:id="818"/>
      <w:bookmarkEnd w:id="819"/>
      <w:bookmarkEnd w:id="820"/>
      <w:bookmarkEnd w:id="821"/>
    </w:p>
    <w:p w14:paraId="1EFACC7C">
      <w:pPr>
        <w:autoSpaceDE w:val="0"/>
        <w:autoSpaceDN w:val="0"/>
        <w:adjustRightInd w:val="0"/>
        <w:snapToGrid w:val="0"/>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按双方签署的合同协议书上注明的方式确定。合同的终止不应影响双方应有的权利和应承担的责任。</w:t>
      </w:r>
    </w:p>
    <w:p w14:paraId="3B66394F">
      <w:pPr>
        <w:pStyle w:val="5"/>
        <w:spacing w:before="0" w:after="0" w:line="324" w:lineRule="auto"/>
        <w:ind w:firstLine="482" w:firstLineChars="200"/>
        <w:rPr>
          <w:rFonts w:ascii="宋体" w:hAnsi="宋体" w:eastAsia="宋体" w:cs="宋体"/>
          <w:b w:val="0"/>
          <w:color w:val="auto"/>
          <w:sz w:val="24"/>
          <w:szCs w:val="24"/>
          <w:highlight w:val="none"/>
        </w:rPr>
      </w:pPr>
      <w:bookmarkStart w:id="824" w:name="_Toc341805243"/>
      <w:bookmarkStart w:id="825" w:name="_Toc488650880"/>
      <w:bookmarkStart w:id="826" w:name="_Toc487653448"/>
      <w:bookmarkStart w:id="827" w:name="_Toc487291559"/>
      <w:bookmarkStart w:id="828" w:name="_Toc356567920"/>
      <w:bookmarkStart w:id="829" w:name="_Toc487619530"/>
      <w:r>
        <w:rPr>
          <w:rFonts w:hint="eastAsia" w:ascii="宋体" w:hAnsi="宋体" w:eastAsia="宋体" w:cs="宋体"/>
          <w:color w:val="auto"/>
          <w:sz w:val="24"/>
          <w:szCs w:val="24"/>
          <w:highlight w:val="none"/>
        </w:rPr>
        <w:t xml:space="preserve">5.3 </w:t>
      </w:r>
      <w:r>
        <w:rPr>
          <w:rFonts w:hint="eastAsia" w:ascii="宋体" w:hAnsi="宋体" w:eastAsia="宋体" w:cs="宋体"/>
          <w:b w:val="0"/>
          <w:color w:val="auto"/>
          <w:sz w:val="24"/>
          <w:szCs w:val="24"/>
          <w:highlight w:val="none"/>
        </w:rPr>
        <w:t xml:space="preserve"> 监理服务的时间和期限</w:t>
      </w:r>
      <w:bookmarkEnd w:id="822"/>
      <w:bookmarkEnd w:id="823"/>
      <w:bookmarkEnd w:id="824"/>
      <w:bookmarkEnd w:id="825"/>
      <w:bookmarkEnd w:id="826"/>
      <w:bookmarkEnd w:id="827"/>
      <w:bookmarkEnd w:id="828"/>
      <w:bookmarkEnd w:id="829"/>
      <w:r>
        <w:rPr>
          <w:rFonts w:hint="eastAsia" w:ascii="宋体" w:hAnsi="宋体" w:eastAsia="宋体" w:cs="宋体"/>
          <w:b w:val="0"/>
          <w:color w:val="auto"/>
          <w:sz w:val="24"/>
          <w:szCs w:val="24"/>
          <w:highlight w:val="none"/>
        </w:rPr>
        <w:t xml:space="preserve">  </w:t>
      </w:r>
    </w:p>
    <w:p w14:paraId="277BFA9F">
      <w:pPr>
        <w:autoSpaceDE w:val="0"/>
        <w:autoSpaceDN w:val="0"/>
        <w:adjustRightInd w:val="0"/>
        <w:snapToGrid w:val="0"/>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监理服务的时间和期限按专用条款的约定。</w:t>
      </w:r>
    </w:p>
    <w:p w14:paraId="027540C0">
      <w:pPr>
        <w:pStyle w:val="5"/>
        <w:spacing w:before="0" w:after="0" w:line="324" w:lineRule="auto"/>
        <w:ind w:firstLine="482" w:firstLineChars="200"/>
        <w:rPr>
          <w:rFonts w:ascii="宋体" w:hAnsi="宋体" w:eastAsia="宋体" w:cs="宋体"/>
          <w:b w:val="0"/>
          <w:color w:val="auto"/>
          <w:sz w:val="24"/>
          <w:szCs w:val="24"/>
          <w:highlight w:val="none"/>
        </w:rPr>
      </w:pPr>
      <w:bookmarkStart w:id="830" w:name="_Toc341805244"/>
      <w:bookmarkStart w:id="831" w:name="_Toc488650881"/>
      <w:bookmarkStart w:id="832" w:name="_Toc283559245"/>
      <w:bookmarkStart w:id="833" w:name="_Toc356567921"/>
      <w:bookmarkStart w:id="834" w:name="_Toc487291560"/>
      <w:bookmarkStart w:id="835" w:name="_Toc283558748"/>
      <w:bookmarkStart w:id="836" w:name="_Toc487653449"/>
      <w:bookmarkStart w:id="837" w:name="_Toc487619531"/>
      <w:r>
        <w:rPr>
          <w:rFonts w:hint="eastAsia" w:ascii="宋体" w:hAnsi="宋体" w:eastAsia="宋体" w:cs="宋体"/>
          <w:color w:val="auto"/>
          <w:sz w:val="24"/>
          <w:szCs w:val="24"/>
          <w:highlight w:val="none"/>
        </w:rPr>
        <w:t>5.4</w:t>
      </w:r>
      <w:r>
        <w:rPr>
          <w:rFonts w:hint="eastAsia" w:ascii="宋体" w:hAnsi="宋体" w:eastAsia="宋体" w:cs="宋体"/>
          <w:b w:val="0"/>
          <w:color w:val="auto"/>
          <w:sz w:val="24"/>
          <w:szCs w:val="24"/>
          <w:highlight w:val="none"/>
        </w:rPr>
        <w:t xml:space="preserve">  合同的变更</w:t>
      </w:r>
      <w:bookmarkEnd w:id="830"/>
      <w:bookmarkEnd w:id="831"/>
      <w:bookmarkEnd w:id="832"/>
      <w:bookmarkEnd w:id="833"/>
      <w:bookmarkEnd w:id="834"/>
      <w:bookmarkEnd w:id="835"/>
      <w:bookmarkEnd w:id="836"/>
      <w:bookmarkEnd w:id="837"/>
    </w:p>
    <w:p w14:paraId="59483601">
      <w:pPr>
        <w:autoSpaceDE w:val="0"/>
        <w:autoSpaceDN w:val="0"/>
        <w:adjustRightInd w:val="0"/>
        <w:snapToGrid w:val="0"/>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5.4.1  任何一方提出申请并经双方书面同意后，可对本合同进行变更，并以书面形式记录变更内容。</w:t>
      </w:r>
    </w:p>
    <w:p w14:paraId="47E3103E">
      <w:pPr>
        <w:autoSpaceDE w:val="0"/>
        <w:autoSpaceDN w:val="0"/>
        <w:adjustRightInd w:val="0"/>
        <w:snapToGrid w:val="0"/>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5.4.2  发包人可书面要求改变本合同约定的监理机构形式、服务范围与服务内容，但必须在双方协商一致的基础上，按照本合同的约定进行变更，并签订补充协议。</w:t>
      </w:r>
    </w:p>
    <w:p w14:paraId="1360F473">
      <w:pPr>
        <w:autoSpaceDE w:val="0"/>
        <w:autoSpaceDN w:val="0"/>
        <w:adjustRightInd w:val="0"/>
        <w:snapToGrid w:val="0"/>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5.4.3  因发包人或第三方的责任，阻碍或延误了监理人履行监理服务，监理人应及时将该情况与其可能产生的影响书面通知发包人，必要时，在双方协商一致的基础上对合同进行相应的变更。上述情况导致增加的监理服务工作量或工作时间，其费用按合同条款约定进行调整。</w:t>
      </w:r>
    </w:p>
    <w:p w14:paraId="2DD08B5E">
      <w:pPr>
        <w:autoSpaceDE w:val="0"/>
        <w:autoSpaceDN w:val="0"/>
        <w:adjustRightInd w:val="0"/>
        <w:snapToGrid w:val="0"/>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5.4.4  项目实际开工时间晚于合同约定开工时间90日，或非监理人因素导致监理服务期限超过约定期限90日而引起监理服务费用增加的，发包人应按合同条款约定对费用进行调整。</w:t>
      </w:r>
    </w:p>
    <w:p w14:paraId="5BD79522">
      <w:pPr>
        <w:autoSpaceDE w:val="0"/>
        <w:autoSpaceDN w:val="0"/>
        <w:adjustRightInd w:val="0"/>
        <w:snapToGrid w:val="0"/>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5.4.5  在签订本监理合同后，因物价变动等因素而引起监理服务费用的变化，发包人应按合同条款约定对费用进行调整。</w:t>
      </w:r>
    </w:p>
    <w:p w14:paraId="2AE79EE9">
      <w:pPr>
        <w:autoSpaceDE w:val="0"/>
        <w:autoSpaceDN w:val="0"/>
        <w:adjustRightInd w:val="0"/>
        <w:snapToGrid w:val="0"/>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5.4.6  在签订本监理合同后，因国家或地方政府的法律、法规变动而引起监理服务费用的增加或服务时间的延长，发包人应按合同条款约定对费用进行调整。</w:t>
      </w:r>
    </w:p>
    <w:p w14:paraId="1AE623FD">
      <w:pPr>
        <w:pStyle w:val="5"/>
        <w:spacing w:before="0" w:after="0" w:line="324" w:lineRule="auto"/>
        <w:ind w:firstLine="482" w:firstLineChars="200"/>
        <w:rPr>
          <w:rFonts w:ascii="宋体" w:hAnsi="宋体" w:eastAsia="宋体" w:cs="宋体"/>
          <w:b w:val="0"/>
          <w:color w:val="auto"/>
          <w:sz w:val="24"/>
          <w:szCs w:val="24"/>
          <w:highlight w:val="none"/>
        </w:rPr>
      </w:pPr>
      <w:bookmarkStart w:id="838" w:name="_Toc341805245"/>
      <w:bookmarkStart w:id="839" w:name="_Toc487619532"/>
      <w:bookmarkStart w:id="840" w:name="_Toc356567922"/>
      <w:bookmarkStart w:id="841" w:name="_Toc487653450"/>
      <w:bookmarkStart w:id="842" w:name="_Toc487291561"/>
      <w:bookmarkStart w:id="843" w:name="_Toc488650882"/>
      <w:r>
        <w:rPr>
          <w:rFonts w:hint="eastAsia" w:ascii="宋体" w:hAnsi="宋体" w:eastAsia="宋体" w:cs="宋体"/>
          <w:color w:val="auto"/>
          <w:sz w:val="24"/>
          <w:szCs w:val="24"/>
          <w:highlight w:val="none"/>
        </w:rPr>
        <w:t xml:space="preserve">5.5 </w:t>
      </w:r>
      <w:r>
        <w:rPr>
          <w:rFonts w:hint="eastAsia" w:ascii="宋体" w:hAnsi="宋体" w:eastAsia="宋体" w:cs="宋体"/>
          <w:b w:val="0"/>
          <w:color w:val="auto"/>
          <w:sz w:val="24"/>
          <w:szCs w:val="24"/>
          <w:highlight w:val="none"/>
        </w:rPr>
        <w:t xml:space="preserve"> 合同的暂停与解除</w:t>
      </w:r>
      <w:bookmarkEnd w:id="838"/>
      <w:bookmarkEnd w:id="839"/>
      <w:bookmarkEnd w:id="840"/>
      <w:bookmarkEnd w:id="841"/>
      <w:bookmarkEnd w:id="842"/>
      <w:bookmarkEnd w:id="843"/>
    </w:p>
    <w:p w14:paraId="63F97ADD">
      <w:pPr>
        <w:autoSpaceDE w:val="0"/>
        <w:autoSpaceDN w:val="0"/>
        <w:adjustRightInd w:val="0"/>
        <w:snapToGrid w:val="0"/>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5.5.l  出现根据本合同的约定不应由监理人负责的情况，致使监理人不能继续履行全部或部分监理服务时，监理人应立即书面通知发包人，且应满足下列要求：</w:t>
      </w:r>
      <w:bookmarkStart w:id="844" w:name="_Toc283559246"/>
      <w:bookmarkStart w:id="845" w:name="_Toc283558749"/>
      <w:bookmarkStart w:id="846" w:name="_Toc286759098"/>
    </w:p>
    <w:p w14:paraId="302418FB">
      <w:pPr>
        <w:autoSpaceDE w:val="0"/>
        <w:autoSpaceDN w:val="0"/>
        <w:adjustRightInd w:val="0"/>
        <w:snapToGrid w:val="0"/>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（1）不得不暂停或减缓某些监理服务时，则上述服务的完成期限应予以延长，因此而增加的监理服务工作量或延长的服务时间，发包人应按合同条款约定进行调整。</w:t>
      </w:r>
      <w:bookmarkEnd w:id="844"/>
      <w:bookmarkEnd w:id="845"/>
      <w:bookmarkEnd w:id="846"/>
    </w:p>
    <w:p w14:paraId="323BA586">
      <w:pPr>
        <w:autoSpaceDE w:val="0"/>
        <w:autoSpaceDN w:val="0"/>
        <w:adjustRightInd w:val="0"/>
        <w:snapToGrid w:val="0"/>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全部监理服务已无法继续履行时，发包人在收到监理人书面通知28日之后未回应的，监理人应再次发出书面通知，14日后仍未回应的，监理人有权单方面解除本合同，因此增加的监理服务工作量所涉及费用，发包人应按合同条款约定进行调整，同时应及时向监理人返还全部或剩余部分的履约保证金。</w:t>
      </w:r>
    </w:p>
    <w:p w14:paraId="2DECCF5F">
      <w:pPr>
        <w:autoSpaceDE w:val="0"/>
        <w:autoSpaceDN w:val="0"/>
        <w:adjustRightInd w:val="0"/>
        <w:snapToGrid w:val="0"/>
        <w:spacing w:line="324" w:lineRule="auto"/>
        <w:ind w:firstLine="480" w:firstLineChars="200"/>
        <w:rPr>
          <w:rFonts w:ascii="宋体" w:hAnsi="宋体" w:cs="宋体"/>
          <w:color w:val="auto"/>
          <w:sz w:val="24"/>
          <w:highlight w:val="none"/>
        </w:rPr>
      </w:pPr>
      <w:bookmarkStart w:id="847" w:name="_Toc336172226"/>
      <w:bookmarkStart w:id="848" w:name="_Toc356567923"/>
      <w:bookmarkStart w:id="849" w:name="_Toc283558750"/>
      <w:bookmarkStart w:id="850" w:name="_Toc330384456"/>
      <w:bookmarkStart w:id="851" w:name="_Toc341015621"/>
      <w:bookmarkStart w:id="852" w:name="_Toc286759099"/>
      <w:bookmarkStart w:id="853" w:name="_Toc341805246"/>
      <w:bookmarkStart w:id="854" w:name="_Toc283559247"/>
      <w:r>
        <w:rPr>
          <w:rFonts w:hint="eastAsia" w:ascii="宋体" w:hAnsi="宋体" w:cs="宋体"/>
          <w:color w:val="auto"/>
          <w:sz w:val="24"/>
          <w:highlight w:val="none"/>
        </w:rPr>
        <w:t>（3）因不可抗力致使本合同不能履行或只能部分履行时，一方应立即书面通知另一方，暂停或解除合同。不可抗力是指监理人和发包人在订立合同时不可预见，在工程实施过程中不可避免发生并不能克服的自然灾害和社会性突发事件，如地震、海啸、瘟疫、特大水灾、骚乱、暴动、战争和专用合同条款约定的其他情形。</w:t>
      </w:r>
      <w:bookmarkEnd w:id="847"/>
      <w:bookmarkEnd w:id="848"/>
      <w:bookmarkEnd w:id="849"/>
      <w:bookmarkEnd w:id="850"/>
      <w:bookmarkEnd w:id="851"/>
      <w:bookmarkEnd w:id="852"/>
      <w:bookmarkEnd w:id="853"/>
      <w:bookmarkEnd w:id="854"/>
    </w:p>
    <w:p w14:paraId="5F8186CA">
      <w:pPr>
        <w:autoSpaceDE w:val="0"/>
        <w:autoSpaceDN w:val="0"/>
        <w:adjustRightInd w:val="0"/>
        <w:snapToGrid w:val="0"/>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5.5.2  发包人要求监理人全部或部分暂停监理服务或解除本合同时，必须在56日之前发出书面通知。监理人在接到通知后，应立即按通知要求停止全部或该部分监理服务，并将相关费用开支减至最小。因此引起的费用变化，由双方协商后确定，并及时向监理人返还全部或剩余部分的履约保证金。</w:t>
      </w:r>
    </w:p>
    <w:p w14:paraId="750BE924">
      <w:pPr>
        <w:autoSpaceDE w:val="0"/>
        <w:autoSpaceDN w:val="0"/>
        <w:adjustRightInd w:val="0"/>
        <w:snapToGrid w:val="0"/>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5.5.3  监理人无正当的理由，未根据合同的约定履行全部或部分监理服务，发包人可书面要求监理人予以解释。若监理人在28日内未能给予合理的答复，发包人可在进一步发出书面通知14日后，单方面解除本合同，并视情况没收监理人的全部或部分履约保证金。</w:t>
      </w:r>
    </w:p>
    <w:p w14:paraId="4AB82275">
      <w:pPr>
        <w:autoSpaceDE w:val="0"/>
        <w:autoSpaceDN w:val="0"/>
        <w:adjustRightInd w:val="0"/>
        <w:snapToGrid w:val="0"/>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5.5.4  发包人拖延支付监理服务费用，并已超过合同条款约定支付期限后28日，或根据本合同条款第5.5.l（l）项或第5.5.2款的约定，暂停监理服务已超过180日，监理人可书面要求发包人予以解释。若发包人在28日内未能根据本监理合同给予合理的答复，监理人可在进一步发出书面通知14日后，单方面解除本监理合同或自行暂停全部或部分监理服务。因此增加的监理服务工作量所涉及的费用，发包人应按合同条款约定进行调整，并及时向监理人返还全部或剩余部分的履约保证金。</w:t>
      </w:r>
    </w:p>
    <w:p w14:paraId="0CC2FB88">
      <w:pPr>
        <w:autoSpaceDE w:val="0"/>
        <w:autoSpaceDN w:val="0"/>
        <w:adjustRightInd w:val="0"/>
        <w:snapToGrid w:val="0"/>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5.5.5  合同的解除，不得损害或影响双方根据本监理合同应有的义务、责任、权力和利益。</w:t>
      </w:r>
    </w:p>
    <w:p w14:paraId="1203C184">
      <w:pPr>
        <w:pStyle w:val="5"/>
        <w:spacing w:before="0" w:after="0" w:line="324" w:lineRule="auto"/>
        <w:ind w:firstLine="482" w:firstLineChars="200"/>
        <w:rPr>
          <w:rFonts w:ascii="宋体" w:hAnsi="宋体" w:eastAsia="宋体" w:cs="宋体"/>
          <w:color w:val="auto"/>
          <w:sz w:val="24"/>
          <w:szCs w:val="24"/>
          <w:highlight w:val="none"/>
        </w:rPr>
      </w:pPr>
      <w:bookmarkStart w:id="855" w:name="_Toc487619533"/>
      <w:bookmarkStart w:id="856" w:name="_Toc341805247"/>
      <w:bookmarkStart w:id="857" w:name="_Toc487653451"/>
      <w:bookmarkStart w:id="858" w:name="_Toc488650883"/>
      <w:bookmarkStart w:id="859" w:name="_Toc330384457"/>
      <w:bookmarkStart w:id="860" w:name="_Toc487291562"/>
      <w:r>
        <w:rPr>
          <w:rFonts w:hint="eastAsia" w:ascii="宋体" w:hAnsi="宋体" w:eastAsia="宋体" w:cs="宋体"/>
          <w:color w:val="auto"/>
          <w:sz w:val="24"/>
          <w:szCs w:val="24"/>
          <w:highlight w:val="none"/>
        </w:rPr>
        <w:t>6．监理服务费计量与支付</w:t>
      </w:r>
      <w:bookmarkEnd w:id="855"/>
      <w:bookmarkEnd w:id="856"/>
      <w:bookmarkEnd w:id="857"/>
      <w:bookmarkEnd w:id="858"/>
      <w:bookmarkEnd w:id="859"/>
      <w:bookmarkEnd w:id="860"/>
    </w:p>
    <w:p w14:paraId="64907D11">
      <w:pPr>
        <w:pStyle w:val="5"/>
        <w:spacing w:before="0" w:after="0" w:line="324" w:lineRule="auto"/>
        <w:ind w:firstLine="482" w:firstLineChars="200"/>
        <w:rPr>
          <w:rFonts w:ascii="宋体" w:hAnsi="宋体" w:eastAsia="宋体" w:cs="宋体"/>
          <w:b w:val="0"/>
          <w:color w:val="auto"/>
          <w:sz w:val="24"/>
          <w:szCs w:val="24"/>
          <w:highlight w:val="none"/>
        </w:rPr>
      </w:pPr>
      <w:bookmarkStart w:id="861" w:name="_Toc487291563"/>
      <w:bookmarkStart w:id="862" w:name="_Toc488650884"/>
      <w:bookmarkStart w:id="863" w:name="_Toc341805248"/>
      <w:bookmarkStart w:id="864" w:name="_Toc487619534"/>
      <w:bookmarkStart w:id="865" w:name="_Toc356567925"/>
      <w:bookmarkStart w:id="866" w:name="_Toc487653452"/>
      <w:r>
        <w:rPr>
          <w:rFonts w:hint="eastAsia" w:ascii="宋体" w:hAnsi="宋体" w:eastAsia="宋体" w:cs="宋体"/>
          <w:color w:val="auto"/>
          <w:sz w:val="24"/>
          <w:szCs w:val="24"/>
          <w:highlight w:val="none"/>
        </w:rPr>
        <w:t>6.1</w:t>
      </w:r>
      <w:r>
        <w:rPr>
          <w:rFonts w:hint="eastAsia" w:ascii="宋体" w:hAnsi="宋体" w:eastAsia="宋体" w:cs="宋体"/>
          <w:b w:val="0"/>
          <w:color w:val="auto"/>
          <w:sz w:val="24"/>
          <w:szCs w:val="24"/>
          <w:highlight w:val="none"/>
        </w:rPr>
        <w:t xml:space="preserve">  计算方法</w:t>
      </w:r>
      <w:bookmarkEnd w:id="861"/>
      <w:bookmarkEnd w:id="862"/>
      <w:bookmarkEnd w:id="863"/>
      <w:bookmarkEnd w:id="864"/>
      <w:bookmarkEnd w:id="865"/>
      <w:bookmarkEnd w:id="866"/>
    </w:p>
    <w:p w14:paraId="1F099A12">
      <w:pPr>
        <w:autoSpaceDE w:val="0"/>
        <w:autoSpaceDN w:val="0"/>
        <w:adjustRightInd w:val="0"/>
        <w:snapToGrid w:val="0"/>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监理服务费用由正常监理服务、附加监理服务和额外服务三个方面的监理费用组成。</w:t>
      </w:r>
    </w:p>
    <w:p w14:paraId="407FE45A">
      <w:pPr>
        <w:autoSpaceDE w:val="0"/>
        <w:autoSpaceDN w:val="0"/>
        <w:adjustRightInd w:val="0"/>
        <w:snapToGrid w:val="0"/>
        <w:spacing w:line="324" w:lineRule="auto"/>
        <w:ind w:firstLine="480" w:firstLineChars="200"/>
        <w:outlineLvl w:val="0"/>
        <w:rPr>
          <w:rFonts w:ascii="宋体" w:hAnsi="宋体" w:cs="宋体"/>
          <w:color w:val="auto"/>
          <w:sz w:val="24"/>
          <w:highlight w:val="none"/>
        </w:rPr>
      </w:pPr>
      <w:bookmarkStart w:id="867" w:name="_Toc356567926"/>
      <w:bookmarkStart w:id="868" w:name="_Toc487291564"/>
      <w:bookmarkStart w:id="869" w:name="_Toc283559249"/>
      <w:bookmarkStart w:id="870" w:name="_Toc487619535"/>
      <w:bookmarkStart w:id="871" w:name="_Toc341805249"/>
      <w:bookmarkStart w:id="872" w:name="_Toc330384458"/>
      <w:bookmarkStart w:id="873" w:name="_Toc286759101"/>
      <w:bookmarkStart w:id="874" w:name="_Toc488650885"/>
      <w:bookmarkStart w:id="875" w:name="_Toc487653453"/>
      <w:bookmarkStart w:id="876" w:name="_Toc341015624"/>
      <w:bookmarkStart w:id="877" w:name="_Toc283558752"/>
      <w:bookmarkStart w:id="878" w:name="_Toc336172229"/>
      <w:r>
        <w:rPr>
          <w:rFonts w:hint="eastAsia" w:ascii="宋体" w:hAnsi="宋体" w:cs="宋体"/>
          <w:color w:val="auto"/>
          <w:sz w:val="24"/>
          <w:highlight w:val="none"/>
        </w:rPr>
        <w:t>6.1.1  正常监理服务的费用</w:t>
      </w:r>
      <w:bookmarkEnd w:id="867"/>
      <w:bookmarkEnd w:id="868"/>
      <w:bookmarkEnd w:id="869"/>
      <w:bookmarkEnd w:id="870"/>
      <w:bookmarkEnd w:id="871"/>
      <w:bookmarkEnd w:id="872"/>
      <w:bookmarkEnd w:id="873"/>
      <w:bookmarkEnd w:id="874"/>
      <w:bookmarkEnd w:id="875"/>
      <w:bookmarkEnd w:id="876"/>
      <w:bookmarkEnd w:id="877"/>
      <w:bookmarkEnd w:id="878"/>
    </w:p>
    <w:p w14:paraId="16513902">
      <w:pPr>
        <w:spacing w:line="324"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正常监理服务费用为施工准备阶段、施工阶段、交工验收与缺陷责任期阶段的监理服务全部费用，应根据招标文件第二章投标人须知第3.2条计算。缺陷责任期阶段监理服务时间应以实际发生的工日数为准。</w:t>
      </w:r>
    </w:p>
    <w:p w14:paraId="70D87143">
      <w:pPr>
        <w:autoSpaceDE w:val="0"/>
        <w:autoSpaceDN w:val="0"/>
        <w:adjustRightInd w:val="0"/>
        <w:snapToGrid w:val="0"/>
        <w:spacing w:line="324" w:lineRule="auto"/>
        <w:ind w:firstLine="480" w:firstLineChars="200"/>
        <w:outlineLvl w:val="0"/>
        <w:rPr>
          <w:rFonts w:ascii="宋体" w:hAnsi="宋体" w:cs="宋体"/>
          <w:color w:val="auto"/>
          <w:sz w:val="24"/>
          <w:highlight w:val="none"/>
        </w:rPr>
      </w:pPr>
      <w:bookmarkStart w:id="879" w:name="_Toc487291565"/>
      <w:bookmarkStart w:id="880" w:name="_Toc341805250"/>
      <w:bookmarkStart w:id="881" w:name="_Toc283559250"/>
      <w:bookmarkStart w:id="882" w:name="_Toc283558753"/>
      <w:bookmarkStart w:id="883" w:name="_Toc487653454"/>
      <w:bookmarkStart w:id="884" w:name="_Toc330384459"/>
      <w:bookmarkStart w:id="885" w:name="_Toc341015625"/>
      <w:bookmarkStart w:id="886" w:name="_Toc487619536"/>
      <w:bookmarkStart w:id="887" w:name="_Toc488650886"/>
      <w:bookmarkStart w:id="888" w:name="_Toc356567927"/>
      <w:bookmarkStart w:id="889" w:name="_Toc336172230"/>
      <w:bookmarkStart w:id="890" w:name="_Toc286759102"/>
      <w:r>
        <w:rPr>
          <w:rFonts w:hint="eastAsia" w:ascii="宋体" w:hAnsi="宋体" w:cs="宋体"/>
          <w:color w:val="auto"/>
          <w:sz w:val="24"/>
          <w:highlight w:val="none"/>
        </w:rPr>
        <w:t>6.1.2  附加监理服务的费用</w:t>
      </w:r>
      <w:bookmarkEnd w:id="879"/>
      <w:bookmarkEnd w:id="880"/>
      <w:bookmarkEnd w:id="881"/>
      <w:bookmarkEnd w:id="882"/>
      <w:bookmarkEnd w:id="883"/>
      <w:bookmarkEnd w:id="884"/>
      <w:bookmarkEnd w:id="885"/>
      <w:bookmarkEnd w:id="886"/>
      <w:bookmarkEnd w:id="887"/>
      <w:bookmarkEnd w:id="888"/>
      <w:bookmarkEnd w:id="889"/>
      <w:bookmarkEnd w:id="890"/>
    </w:p>
    <w:p w14:paraId="6EF20FC7">
      <w:pPr>
        <w:spacing w:line="324"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附加监理服务费用应按下列方法计算，具体方法的选用在专用条款中约定。</w:t>
      </w:r>
    </w:p>
    <w:p w14:paraId="62A7C253">
      <w:pPr>
        <w:spacing w:line="324"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（1）附加工程工作量乘以中标时施工阶段监理服务费与计费额的比值。</w:t>
      </w:r>
    </w:p>
    <w:p w14:paraId="466E67B2">
      <w:pPr>
        <w:spacing w:line="324"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（2）附加服务工作日数乘以中标时施工阶段监理服务人月平均费用与法定每月工作日数的比值。</w:t>
      </w:r>
    </w:p>
    <w:p w14:paraId="3E49FF2C">
      <w:pPr>
        <w:spacing w:line="324"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（3）提供的服务要求变化：服务要求变化部分所对应的监理服务费乘以调整系数，若服务要求高于原招标文件要求的，调整系数大于1，反之则小于1，具体由合同双方根据实际情况商定。</w:t>
      </w:r>
    </w:p>
    <w:p w14:paraId="3E82D9E5">
      <w:pPr>
        <w:autoSpaceDE w:val="0"/>
        <w:autoSpaceDN w:val="0"/>
        <w:adjustRightInd w:val="0"/>
        <w:snapToGrid w:val="0"/>
        <w:spacing w:line="324" w:lineRule="auto"/>
        <w:ind w:firstLine="480" w:firstLineChars="200"/>
        <w:outlineLvl w:val="0"/>
        <w:rPr>
          <w:rFonts w:ascii="宋体" w:hAnsi="宋体" w:cs="宋体"/>
          <w:color w:val="auto"/>
          <w:sz w:val="24"/>
          <w:highlight w:val="none"/>
        </w:rPr>
      </w:pPr>
      <w:bookmarkStart w:id="891" w:name="_Toc283559251"/>
      <w:bookmarkStart w:id="892" w:name="_Toc356567928"/>
      <w:bookmarkStart w:id="893" w:name="_Toc487619537"/>
      <w:bookmarkStart w:id="894" w:name="_Toc488650887"/>
      <w:bookmarkStart w:id="895" w:name="_Toc341805251"/>
      <w:bookmarkStart w:id="896" w:name="_Toc341015626"/>
      <w:bookmarkStart w:id="897" w:name="_Toc336172231"/>
      <w:bookmarkStart w:id="898" w:name="_Toc487291566"/>
      <w:bookmarkStart w:id="899" w:name="_Toc286759103"/>
      <w:bookmarkStart w:id="900" w:name="_Toc330384460"/>
      <w:bookmarkStart w:id="901" w:name="_Toc487653455"/>
      <w:bookmarkStart w:id="902" w:name="_Toc283558754"/>
      <w:r>
        <w:rPr>
          <w:rFonts w:hint="eastAsia" w:ascii="宋体" w:hAnsi="宋体" w:cs="宋体"/>
          <w:color w:val="auto"/>
          <w:sz w:val="24"/>
          <w:highlight w:val="none"/>
        </w:rPr>
        <w:t>6.1.3  额外服务的费用</w:t>
      </w:r>
      <w:bookmarkEnd w:id="891"/>
      <w:bookmarkEnd w:id="892"/>
      <w:bookmarkEnd w:id="893"/>
      <w:bookmarkEnd w:id="894"/>
      <w:bookmarkEnd w:id="895"/>
      <w:bookmarkEnd w:id="896"/>
      <w:bookmarkEnd w:id="897"/>
      <w:bookmarkEnd w:id="898"/>
      <w:bookmarkEnd w:id="899"/>
      <w:bookmarkEnd w:id="900"/>
      <w:bookmarkEnd w:id="901"/>
      <w:bookmarkEnd w:id="902"/>
    </w:p>
    <w:p w14:paraId="484FADFE">
      <w:pPr>
        <w:spacing w:line="324" w:lineRule="auto"/>
        <w:ind w:firstLine="480" w:firstLineChars="200"/>
        <w:jc w:val="left"/>
        <w:rPr>
          <w:rFonts w:ascii="宋体" w:hAnsi="宋体" w:cs="宋体"/>
          <w:color w:val="auto"/>
          <w:sz w:val="24"/>
          <w:highlight w:val="none"/>
        </w:rPr>
      </w:pPr>
      <w:bookmarkStart w:id="903" w:name="_Toc341805252"/>
      <w:bookmarkStart w:id="904" w:name="_Toc336172232"/>
      <w:bookmarkStart w:id="905" w:name="_Toc330384461"/>
      <w:bookmarkStart w:id="906" w:name="_Toc356567929"/>
      <w:bookmarkStart w:id="907" w:name="_Toc341015627"/>
      <w:r>
        <w:rPr>
          <w:rFonts w:hint="eastAsia" w:ascii="宋体" w:hAnsi="宋体" w:cs="宋体"/>
          <w:color w:val="auto"/>
          <w:sz w:val="24"/>
          <w:highlight w:val="none"/>
        </w:rPr>
        <w:t>额外服务费用应按下列方法计算，具体方法的选用在专用条款中约定。</w:t>
      </w:r>
      <w:bookmarkEnd w:id="903"/>
      <w:bookmarkEnd w:id="904"/>
      <w:bookmarkEnd w:id="905"/>
      <w:bookmarkEnd w:id="906"/>
      <w:bookmarkEnd w:id="907"/>
    </w:p>
    <w:p w14:paraId="79D25C07">
      <w:pPr>
        <w:spacing w:line="324"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（1）额外工作工作量乘以中标时施工阶段监理服务费与计费额的比值。</w:t>
      </w:r>
    </w:p>
    <w:p w14:paraId="5F6A71D4">
      <w:pPr>
        <w:spacing w:line="324"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（2）额外服务工作日数乘以中标时施工阶段监理服务人月平均费用与法定每月工作日数的比值。</w:t>
      </w:r>
    </w:p>
    <w:p w14:paraId="20DB5839">
      <w:pPr>
        <w:autoSpaceDE w:val="0"/>
        <w:autoSpaceDN w:val="0"/>
        <w:adjustRightInd w:val="0"/>
        <w:snapToGrid w:val="0"/>
        <w:spacing w:line="324" w:lineRule="auto"/>
        <w:ind w:firstLine="480" w:firstLineChars="200"/>
        <w:outlineLvl w:val="0"/>
        <w:rPr>
          <w:rFonts w:ascii="宋体" w:hAnsi="宋体" w:cs="宋体"/>
          <w:color w:val="auto"/>
          <w:sz w:val="24"/>
          <w:highlight w:val="none"/>
        </w:rPr>
      </w:pPr>
      <w:bookmarkStart w:id="908" w:name="_Toc487291567"/>
      <w:bookmarkStart w:id="909" w:name="_Toc283559252"/>
      <w:bookmarkStart w:id="910" w:name="_Toc341805253"/>
      <w:bookmarkStart w:id="911" w:name="_Toc488650888"/>
      <w:bookmarkStart w:id="912" w:name="_Toc286759104"/>
      <w:bookmarkStart w:id="913" w:name="_Toc330384462"/>
      <w:bookmarkStart w:id="914" w:name="_Toc487619538"/>
      <w:bookmarkStart w:id="915" w:name="_Toc356567930"/>
      <w:bookmarkStart w:id="916" w:name="_Toc487653456"/>
      <w:bookmarkStart w:id="917" w:name="_Toc283558755"/>
      <w:bookmarkStart w:id="918" w:name="_Toc336172233"/>
      <w:bookmarkStart w:id="919" w:name="_Toc341015628"/>
      <w:r>
        <w:rPr>
          <w:rFonts w:hint="eastAsia" w:ascii="宋体" w:hAnsi="宋体" w:cs="宋体"/>
          <w:color w:val="auto"/>
          <w:sz w:val="24"/>
          <w:highlight w:val="none"/>
        </w:rPr>
        <w:t>6.1.4  监理服务费的调整</w:t>
      </w:r>
      <w:bookmarkEnd w:id="908"/>
      <w:bookmarkEnd w:id="909"/>
      <w:bookmarkEnd w:id="910"/>
      <w:bookmarkEnd w:id="911"/>
      <w:bookmarkEnd w:id="912"/>
      <w:bookmarkEnd w:id="913"/>
      <w:bookmarkEnd w:id="914"/>
      <w:bookmarkEnd w:id="915"/>
      <w:bookmarkEnd w:id="916"/>
      <w:bookmarkEnd w:id="917"/>
      <w:bookmarkEnd w:id="918"/>
      <w:bookmarkEnd w:id="919"/>
    </w:p>
    <w:p w14:paraId="17BD6C63">
      <w:pPr>
        <w:spacing w:line="324"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因增加附加监理服务、额外服务或工程概算调整时，监理服务费应进行调整。附加监理服务费用应按第6.1.2款约定进行调整，额外服务费用应按第6.1.3款约定予以调整。工程概算调整时，施工阶段监理服务费用应依据现行建设工程监理与相关服务收费管理规定，以调整后计费额所对应的基价，按中标时监理人所报专业程度调整系数、工程复杂程度调整系数、高程调整系数及浮动幅度值进行计算调整。</w:t>
      </w:r>
    </w:p>
    <w:p w14:paraId="2ED6DA4A">
      <w:pPr>
        <w:pStyle w:val="5"/>
        <w:spacing w:before="0" w:after="0" w:line="324" w:lineRule="auto"/>
        <w:ind w:firstLine="482" w:firstLineChars="200"/>
        <w:rPr>
          <w:rFonts w:ascii="宋体" w:hAnsi="宋体" w:eastAsia="宋体" w:cs="宋体"/>
          <w:b w:val="0"/>
          <w:color w:val="auto"/>
          <w:sz w:val="24"/>
          <w:szCs w:val="24"/>
          <w:highlight w:val="none"/>
        </w:rPr>
      </w:pPr>
      <w:bookmarkStart w:id="920" w:name="_Toc488650889"/>
      <w:bookmarkStart w:id="921" w:name="_Toc341805254"/>
      <w:bookmarkStart w:id="922" w:name="_Toc356567931"/>
      <w:bookmarkStart w:id="923" w:name="_Toc487619539"/>
      <w:bookmarkStart w:id="924" w:name="_Toc487653457"/>
      <w:bookmarkStart w:id="925" w:name="_Toc487291568"/>
      <w:r>
        <w:rPr>
          <w:rFonts w:hint="eastAsia" w:ascii="宋体" w:hAnsi="宋体" w:eastAsia="宋体" w:cs="宋体"/>
          <w:color w:val="auto"/>
          <w:sz w:val="24"/>
          <w:szCs w:val="24"/>
          <w:highlight w:val="none"/>
        </w:rPr>
        <w:t xml:space="preserve">6.2 </w:t>
      </w:r>
      <w:r>
        <w:rPr>
          <w:rFonts w:hint="eastAsia" w:ascii="宋体" w:hAnsi="宋体" w:eastAsia="宋体" w:cs="宋体"/>
          <w:b w:val="0"/>
          <w:color w:val="auto"/>
          <w:sz w:val="24"/>
          <w:szCs w:val="24"/>
          <w:highlight w:val="none"/>
        </w:rPr>
        <w:t xml:space="preserve"> 暂列金额</w:t>
      </w:r>
      <w:bookmarkEnd w:id="920"/>
      <w:bookmarkEnd w:id="921"/>
      <w:bookmarkEnd w:id="922"/>
      <w:bookmarkEnd w:id="923"/>
      <w:bookmarkEnd w:id="924"/>
      <w:bookmarkEnd w:id="925"/>
    </w:p>
    <w:p w14:paraId="570EDD60">
      <w:pPr>
        <w:autoSpaceDE w:val="0"/>
        <w:autoSpaceDN w:val="0"/>
        <w:adjustRightInd w:val="0"/>
        <w:snapToGrid w:val="0"/>
        <w:spacing w:line="324" w:lineRule="auto"/>
        <w:ind w:firstLine="480" w:firstLineChars="200"/>
        <w:rPr>
          <w:rFonts w:ascii="宋体" w:hAnsi="宋体" w:cs="宋体"/>
          <w:color w:val="auto"/>
          <w:sz w:val="24"/>
          <w:highlight w:val="none"/>
        </w:rPr>
      </w:pPr>
      <w:bookmarkStart w:id="926" w:name="_Toc341805255"/>
      <w:bookmarkStart w:id="927" w:name="_Toc356567932"/>
      <w:bookmarkStart w:id="928" w:name="_Toc341015630"/>
      <w:r>
        <w:rPr>
          <w:rFonts w:hint="eastAsia" w:ascii="宋体" w:hAnsi="宋体" w:cs="宋体"/>
          <w:color w:val="auto"/>
          <w:sz w:val="24"/>
          <w:highlight w:val="none"/>
        </w:rPr>
        <w:t>暂列金额需双方协商签订补充协议后使用，并对合同价格进行相应调整。暂列金额额度见专用条款约定。</w:t>
      </w:r>
      <w:bookmarkEnd w:id="926"/>
      <w:bookmarkEnd w:id="927"/>
      <w:bookmarkEnd w:id="928"/>
    </w:p>
    <w:p w14:paraId="2DA59988">
      <w:pPr>
        <w:pStyle w:val="5"/>
        <w:spacing w:before="0" w:after="0" w:line="324" w:lineRule="auto"/>
        <w:ind w:firstLine="482" w:firstLineChars="200"/>
        <w:rPr>
          <w:rFonts w:ascii="宋体" w:hAnsi="宋体" w:eastAsia="宋体" w:cs="宋体"/>
          <w:b w:val="0"/>
          <w:color w:val="auto"/>
          <w:sz w:val="24"/>
          <w:szCs w:val="24"/>
          <w:highlight w:val="none"/>
        </w:rPr>
      </w:pPr>
      <w:bookmarkStart w:id="929" w:name="_Toc488650890"/>
      <w:bookmarkStart w:id="930" w:name="_Toc487619540"/>
      <w:bookmarkStart w:id="931" w:name="_Toc356567933"/>
      <w:bookmarkStart w:id="932" w:name="_Toc487291569"/>
      <w:bookmarkStart w:id="933" w:name="_Toc487653458"/>
      <w:bookmarkStart w:id="934" w:name="_Toc341805256"/>
      <w:r>
        <w:rPr>
          <w:rFonts w:hint="eastAsia" w:ascii="宋体" w:hAnsi="宋体" w:eastAsia="宋体" w:cs="宋体"/>
          <w:color w:val="auto"/>
          <w:sz w:val="24"/>
          <w:szCs w:val="24"/>
          <w:highlight w:val="none"/>
        </w:rPr>
        <w:t>6.3</w:t>
      </w:r>
      <w:r>
        <w:rPr>
          <w:rFonts w:hint="eastAsia" w:ascii="宋体" w:hAnsi="宋体" w:eastAsia="宋体" w:cs="宋体"/>
          <w:b w:val="0"/>
          <w:color w:val="auto"/>
          <w:sz w:val="24"/>
          <w:szCs w:val="24"/>
          <w:highlight w:val="none"/>
        </w:rPr>
        <w:t xml:space="preserve">  支付</w:t>
      </w:r>
      <w:bookmarkEnd w:id="929"/>
      <w:bookmarkEnd w:id="930"/>
      <w:bookmarkEnd w:id="931"/>
      <w:bookmarkEnd w:id="932"/>
      <w:bookmarkEnd w:id="933"/>
      <w:bookmarkEnd w:id="934"/>
    </w:p>
    <w:p w14:paraId="1A81DE07">
      <w:pPr>
        <w:autoSpaceDE w:val="0"/>
        <w:autoSpaceDN w:val="0"/>
        <w:adjustRightInd w:val="0"/>
        <w:snapToGrid w:val="0"/>
        <w:spacing w:line="324" w:lineRule="auto"/>
        <w:ind w:firstLine="480" w:firstLineChars="200"/>
        <w:rPr>
          <w:rFonts w:ascii="宋体" w:hAnsi="宋体" w:cs="宋体"/>
          <w:color w:val="auto"/>
          <w:sz w:val="24"/>
          <w:highlight w:val="none"/>
        </w:rPr>
      </w:pPr>
      <w:bookmarkStart w:id="935" w:name="_Toc341805257"/>
      <w:bookmarkStart w:id="936" w:name="_Toc341015632"/>
      <w:bookmarkStart w:id="937" w:name="_Toc356567934"/>
      <w:bookmarkStart w:id="938" w:name="_Toc283558756"/>
      <w:bookmarkStart w:id="939" w:name="_Toc283559253"/>
      <w:r>
        <w:rPr>
          <w:rFonts w:hint="eastAsia" w:ascii="宋体" w:hAnsi="宋体" w:cs="宋体"/>
          <w:color w:val="auto"/>
          <w:sz w:val="24"/>
          <w:highlight w:val="none"/>
        </w:rPr>
        <w:t>6.3.1  第一次付款</w:t>
      </w:r>
      <w:bookmarkEnd w:id="935"/>
      <w:bookmarkEnd w:id="936"/>
      <w:bookmarkEnd w:id="937"/>
    </w:p>
    <w:p w14:paraId="560C334C">
      <w:pPr>
        <w:autoSpaceDE w:val="0"/>
        <w:autoSpaceDN w:val="0"/>
        <w:adjustRightInd w:val="0"/>
        <w:snapToGrid w:val="0"/>
        <w:spacing w:line="324" w:lineRule="auto"/>
        <w:ind w:firstLine="480" w:firstLineChars="200"/>
        <w:rPr>
          <w:rFonts w:ascii="宋体" w:hAnsi="宋体" w:cs="宋体"/>
          <w:color w:val="auto"/>
          <w:sz w:val="24"/>
          <w:highlight w:val="none"/>
        </w:rPr>
      </w:pPr>
      <w:bookmarkStart w:id="940" w:name="_Toc341015633"/>
      <w:bookmarkStart w:id="941" w:name="_Toc341805258"/>
      <w:bookmarkStart w:id="942" w:name="_Toc356567935"/>
      <w:r>
        <w:rPr>
          <w:rFonts w:hint="eastAsia" w:ascii="宋体" w:hAnsi="宋体" w:cs="宋体"/>
          <w:color w:val="auto"/>
          <w:sz w:val="24"/>
          <w:highlight w:val="none"/>
        </w:rPr>
        <w:t>为使监理服务能够及时开展，发包人应在监理合同签订后7日内按监理服务费总额的10~20﹪向监理人支付第一次付款，具体比例在专用条款约定。</w:t>
      </w:r>
      <w:bookmarkEnd w:id="940"/>
      <w:bookmarkEnd w:id="941"/>
      <w:bookmarkEnd w:id="942"/>
    </w:p>
    <w:p w14:paraId="11F4137F">
      <w:pPr>
        <w:autoSpaceDE w:val="0"/>
        <w:autoSpaceDN w:val="0"/>
        <w:adjustRightInd w:val="0"/>
        <w:snapToGrid w:val="0"/>
        <w:spacing w:line="324" w:lineRule="auto"/>
        <w:ind w:firstLine="480" w:firstLineChars="200"/>
        <w:rPr>
          <w:rFonts w:ascii="宋体" w:hAnsi="宋体" w:cs="宋体"/>
          <w:color w:val="auto"/>
          <w:sz w:val="24"/>
          <w:highlight w:val="none"/>
        </w:rPr>
      </w:pPr>
      <w:bookmarkStart w:id="943" w:name="_Toc341805259"/>
      <w:bookmarkStart w:id="944" w:name="_Toc356567936"/>
      <w:r>
        <w:rPr>
          <w:rFonts w:hint="eastAsia" w:ascii="宋体" w:hAnsi="宋体" w:cs="宋体"/>
          <w:color w:val="auto"/>
          <w:sz w:val="24"/>
          <w:highlight w:val="none"/>
        </w:rPr>
        <w:t>6.3.2  计量支付</w:t>
      </w:r>
      <w:bookmarkEnd w:id="943"/>
      <w:bookmarkEnd w:id="944"/>
    </w:p>
    <w:p w14:paraId="4DAB14E8">
      <w:pPr>
        <w:autoSpaceDE w:val="0"/>
        <w:autoSpaceDN w:val="0"/>
        <w:adjustRightInd w:val="0"/>
        <w:snapToGrid w:val="0"/>
        <w:spacing w:line="324" w:lineRule="auto"/>
        <w:ind w:firstLine="480" w:firstLineChars="200"/>
        <w:rPr>
          <w:rFonts w:ascii="宋体" w:hAnsi="宋体" w:cs="宋体"/>
          <w:color w:val="auto"/>
          <w:sz w:val="24"/>
          <w:highlight w:val="none"/>
        </w:rPr>
      </w:pPr>
      <w:bookmarkStart w:id="945" w:name="_Toc341805260"/>
      <w:bookmarkStart w:id="946" w:name="_Toc356567937"/>
      <w:r>
        <w:rPr>
          <w:rFonts w:hint="eastAsia" w:ascii="宋体" w:hAnsi="宋体" w:cs="宋体"/>
          <w:color w:val="auto"/>
          <w:sz w:val="24"/>
          <w:highlight w:val="none"/>
        </w:rPr>
        <w:t>（1）除非专用条款另有约定，施工阶段监理服务费在合同约定的正常施工阶段期限内按月平均计量支付。</w:t>
      </w:r>
      <w:bookmarkEnd w:id="945"/>
      <w:bookmarkEnd w:id="946"/>
    </w:p>
    <w:p w14:paraId="27EC6E9A">
      <w:pPr>
        <w:autoSpaceDE w:val="0"/>
        <w:autoSpaceDN w:val="0"/>
        <w:adjustRightInd w:val="0"/>
        <w:snapToGrid w:val="0"/>
        <w:spacing w:line="324" w:lineRule="auto"/>
        <w:ind w:firstLine="480" w:firstLineChars="200"/>
        <w:rPr>
          <w:rFonts w:ascii="宋体" w:hAnsi="宋体" w:cs="宋体"/>
          <w:color w:val="auto"/>
          <w:sz w:val="24"/>
          <w:highlight w:val="none"/>
        </w:rPr>
      </w:pPr>
      <w:bookmarkStart w:id="947" w:name="_Toc356567938"/>
      <w:bookmarkStart w:id="948" w:name="_Toc341805261"/>
      <w:r>
        <w:rPr>
          <w:rFonts w:hint="eastAsia" w:ascii="宋体" w:hAnsi="宋体" w:cs="宋体"/>
          <w:color w:val="auto"/>
          <w:sz w:val="24"/>
          <w:highlight w:val="none"/>
        </w:rPr>
        <w:t>（2）监理人于每月7日前将上月监理服务费支付申请提交发包人，发包人应在收到监理支付申请后7日内予以审批，在批复后14日内向监理人支付监理服务费。</w:t>
      </w:r>
      <w:bookmarkEnd w:id="947"/>
      <w:bookmarkEnd w:id="948"/>
    </w:p>
    <w:p w14:paraId="2F26A894">
      <w:pPr>
        <w:autoSpaceDE w:val="0"/>
        <w:autoSpaceDN w:val="0"/>
        <w:adjustRightInd w:val="0"/>
        <w:snapToGrid w:val="0"/>
        <w:spacing w:line="324" w:lineRule="auto"/>
        <w:ind w:firstLine="480" w:firstLineChars="200"/>
        <w:rPr>
          <w:rFonts w:ascii="宋体" w:hAnsi="宋体" w:cs="宋体"/>
          <w:color w:val="auto"/>
          <w:sz w:val="24"/>
          <w:highlight w:val="none"/>
        </w:rPr>
      </w:pPr>
      <w:bookmarkStart w:id="949" w:name="_Toc356567939"/>
      <w:bookmarkStart w:id="950" w:name="_Toc341805262"/>
      <w:r>
        <w:rPr>
          <w:rFonts w:hint="eastAsia" w:ascii="宋体" w:hAnsi="宋体" w:cs="宋体"/>
          <w:color w:val="auto"/>
          <w:sz w:val="24"/>
          <w:highlight w:val="none"/>
        </w:rPr>
        <w:t>（3）附加监理服务、额外服务费用经双方协商确认后，在附加监理服务或额外服务所对应工作期限内按月平均计量支付或按双方所签订补充协议约定的支付方式进行支付。</w:t>
      </w:r>
      <w:bookmarkEnd w:id="949"/>
      <w:bookmarkEnd w:id="950"/>
    </w:p>
    <w:p w14:paraId="65EDFAB0">
      <w:pPr>
        <w:autoSpaceDE w:val="0"/>
        <w:autoSpaceDN w:val="0"/>
        <w:adjustRightInd w:val="0"/>
        <w:snapToGrid w:val="0"/>
        <w:spacing w:line="324" w:lineRule="auto"/>
        <w:ind w:firstLine="480" w:firstLineChars="200"/>
        <w:rPr>
          <w:rFonts w:ascii="宋体" w:hAnsi="宋体" w:cs="宋体"/>
          <w:color w:val="auto"/>
          <w:sz w:val="24"/>
          <w:highlight w:val="none"/>
        </w:rPr>
      </w:pPr>
      <w:bookmarkStart w:id="951" w:name="_Toc356567940"/>
      <w:bookmarkStart w:id="952" w:name="_Toc341805263"/>
      <w:r>
        <w:rPr>
          <w:rFonts w:hint="eastAsia" w:ascii="宋体" w:hAnsi="宋体" w:cs="宋体"/>
          <w:color w:val="auto"/>
          <w:sz w:val="24"/>
          <w:highlight w:val="none"/>
        </w:rPr>
        <w:t>（4）交工验收与缺陷责任期阶段监理服务费按合同条款第6.1.l款的约定计量并支付。</w:t>
      </w:r>
      <w:bookmarkEnd w:id="951"/>
      <w:bookmarkEnd w:id="952"/>
    </w:p>
    <w:p w14:paraId="6789D84E">
      <w:pPr>
        <w:autoSpaceDE w:val="0"/>
        <w:autoSpaceDN w:val="0"/>
        <w:adjustRightInd w:val="0"/>
        <w:snapToGrid w:val="0"/>
        <w:spacing w:line="324" w:lineRule="auto"/>
        <w:ind w:firstLine="480" w:firstLineChars="200"/>
        <w:rPr>
          <w:rFonts w:ascii="宋体" w:hAnsi="宋体" w:cs="宋体"/>
          <w:color w:val="auto"/>
          <w:sz w:val="24"/>
          <w:highlight w:val="none"/>
        </w:rPr>
      </w:pPr>
      <w:bookmarkStart w:id="953" w:name="_Toc341805264"/>
      <w:bookmarkStart w:id="954" w:name="_Toc356567941"/>
      <w:r>
        <w:rPr>
          <w:rFonts w:hint="eastAsia" w:ascii="宋体" w:hAnsi="宋体" w:cs="宋体"/>
          <w:color w:val="auto"/>
          <w:sz w:val="24"/>
          <w:highlight w:val="none"/>
        </w:rPr>
        <w:t>（5）基于工程概算变化而导致监理服务费需要调整的费用，其增加或减少的费用经双方协商确认后于当月至施工阶段结束期限内按月平均计量支付或按双方所签订补充协议约定的计量支付方式进行计量支付。</w:t>
      </w:r>
      <w:bookmarkEnd w:id="953"/>
      <w:bookmarkEnd w:id="954"/>
    </w:p>
    <w:p w14:paraId="33EDF70A">
      <w:pPr>
        <w:autoSpaceDE w:val="0"/>
        <w:autoSpaceDN w:val="0"/>
        <w:adjustRightInd w:val="0"/>
        <w:snapToGrid w:val="0"/>
        <w:spacing w:line="324" w:lineRule="auto"/>
        <w:ind w:firstLine="480" w:firstLineChars="200"/>
        <w:rPr>
          <w:rFonts w:ascii="宋体" w:hAnsi="宋体" w:cs="宋体"/>
          <w:color w:val="auto"/>
          <w:sz w:val="24"/>
          <w:highlight w:val="none"/>
        </w:rPr>
      </w:pPr>
      <w:bookmarkStart w:id="955" w:name="_Toc341805265"/>
      <w:bookmarkStart w:id="956" w:name="_Toc356567942"/>
      <w:r>
        <w:rPr>
          <w:rFonts w:hint="eastAsia" w:ascii="宋体" w:hAnsi="宋体" w:cs="宋体"/>
          <w:color w:val="auto"/>
          <w:sz w:val="24"/>
          <w:highlight w:val="none"/>
        </w:rPr>
        <w:t>（6）依据合同条款第10.2条约定对监理人的奖励，发包人应在监理人的当期支付费用中一次性支付。</w:t>
      </w:r>
      <w:bookmarkEnd w:id="955"/>
      <w:bookmarkEnd w:id="956"/>
    </w:p>
    <w:p w14:paraId="3E474D5A">
      <w:pPr>
        <w:autoSpaceDE w:val="0"/>
        <w:autoSpaceDN w:val="0"/>
        <w:adjustRightInd w:val="0"/>
        <w:snapToGrid w:val="0"/>
        <w:spacing w:line="324" w:lineRule="auto"/>
        <w:ind w:firstLine="480" w:firstLineChars="200"/>
        <w:rPr>
          <w:rFonts w:ascii="宋体" w:hAnsi="宋体" w:cs="宋体"/>
          <w:color w:val="auto"/>
          <w:sz w:val="24"/>
          <w:highlight w:val="none"/>
        </w:rPr>
      </w:pPr>
      <w:bookmarkStart w:id="957" w:name="_Toc341805266"/>
      <w:bookmarkStart w:id="958" w:name="_Toc356567943"/>
      <w:r>
        <w:rPr>
          <w:rFonts w:hint="eastAsia" w:ascii="宋体" w:hAnsi="宋体" w:cs="宋体"/>
          <w:color w:val="auto"/>
          <w:sz w:val="24"/>
          <w:highlight w:val="none"/>
        </w:rPr>
        <w:t>（7）依据合同条款第7.1条约定对监理人的违约金和赔偿金扣款，发包人应从当期对监理人的支付费用中一次性扣回，如当期不能足额扣回，顺延至下期直至扣回为止。</w:t>
      </w:r>
      <w:bookmarkEnd w:id="957"/>
      <w:bookmarkEnd w:id="958"/>
    </w:p>
    <w:p w14:paraId="5EA74455">
      <w:pPr>
        <w:autoSpaceDE w:val="0"/>
        <w:autoSpaceDN w:val="0"/>
        <w:adjustRightInd w:val="0"/>
        <w:snapToGrid w:val="0"/>
        <w:spacing w:line="324" w:lineRule="auto"/>
        <w:ind w:firstLine="480" w:firstLineChars="200"/>
        <w:rPr>
          <w:rFonts w:ascii="宋体" w:hAnsi="宋体" w:cs="宋体"/>
          <w:color w:val="auto"/>
          <w:sz w:val="24"/>
          <w:highlight w:val="none"/>
        </w:rPr>
      </w:pPr>
      <w:bookmarkStart w:id="959" w:name="_Toc341805267"/>
      <w:bookmarkStart w:id="960" w:name="_Toc356567944"/>
      <w:r>
        <w:rPr>
          <w:rFonts w:hint="eastAsia" w:ascii="宋体" w:hAnsi="宋体" w:cs="宋体"/>
          <w:color w:val="auto"/>
          <w:sz w:val="24"/>
          <w:highlight w:val="none"/>
        </w:rPr>
        <w:t>（8）依据合同条款第7.2条约定发包人对监理人的赔偿金，应于协商确定后在对监理人当期支付费用中一次性支付。</w:t>
      </w:r>
      <w:bookmarkEnd w:id="959"/>
      <w:bookmarkEnd w:id="960"/>
    </w:p>
    <w:p w14:paraId="5322CDAF">
      <w:pPr>
        <w:autoSpaceDE w:val="0"/>
        <w:autoSpaceDN w:val="0"/>
        <w:adjustRightInd w:val="0"/>
        <w:snapToGrid w:val="0"/>
        <w:spacing w:line="324" w:lineRule="auto"/>
        <w:ind w:firstLine="480" w:firstLineChars="200"/>
        <w:rPr>
          <w:rFonts w:ascii="宋体" w:hAnsi="宋体" w:cs="宋体"/>
          <w:color w:val="auto"/>
          <w:sz w:val="24"/>
          <w:highlight w:val="none"/>
        </w:rPr>
      </w:pPr>
      <w:bookmarkStart w:id="961" w:name="_Toc341805268"/>
      <w:bookmarkStart w:id="962" w:name="_Toc356567945"/>
      <w:bookmarkStart w:id="963" w:name="_Toc341015634"/>
      <w:r>
        <w:rPr>
          <w:rFonts w:hint="eastAsia" w:ascii="宋体" w:hAnsi="宋体" w:cs="宋体"/>
          <w:color w:val="auto"/>
          <w:sz w:val="24"/>
          <w:highlight w:val="none"/>
        </w:rPr>
        <w:t>6.3.3  关于履约保证金</w:t>
      </w:r>
      <w:bookmarkEnd w:id="961"/>
      <w:bookmarkEnd w:id="962"/>
      <w:bookmarkEnd w:id="963"/>
    </w:p>
    <w:p w14:paraId="5DE25008">
      <w:pPr>
        <w:autoSpaceDE w:val="0"/>
        <w:autoSpaceDN w:val="0"/>
        <w:adjustRightInd w:val="0"/>
        <w:snapToGrid w:val="0"/>
        <w:spacing w:line="324" w:lineRule="auto"/>
        <w:ind w:firstLine="480" w:firstLineChars="200"/>
        <w:rPr>
          <w:rFonts w:ascii="宋体" w:hAnsi="宋体" w:cs="宋体"/>
          <w:color w:val="auto"/>
          <w:sz w:val="24"/>
          <w:highlight w:val="none"/>
        </w:rPr>
      </w:pPr>
      <w:bookmarkStart w:id="964" w:name="_Toc356567946"/>
      <w:bookmarkStart w:id="965" w:name="_Toc341805269"/>
      <w:bookmarkStart w:id="966" w:name="_Toc341015635"/>
      <w:r>
        <w:rPr>
          <w:rFonts w:hint="eastAsia" w:ascii="宋体" w:hAnsi="宋体" w:cs="宋体"/>
          <w:color w:val="auto"/>
          <w:sz w:val="24"/>
          <w:highlight w:val="none"/>
        </w:rPr>
        <w:t>发包人没收监理人的全部或部分履约保证金时，不影响监理人根据监理合同应当得到的其他款项的支付。</w:t>
      </w:r>
      <w:bookmarkEnd w:id="964"/>
      <w:bookmarkEnd w:id="965"/>
      <w:bookmarkEnd w:id="966"/>
    </w:p>
    <w:p w14:paraId="6F4E9DCE">
      <w:pPr>
        <w:autoSpaceDE w:val="0"/>
        <w:autoSpaceDN w:val="0"/>
        <w:adjustRightInd w:val="0"/>
        <w:snapToGrid w:val="0"/>
        <w:spacing w:line="324" w:lineRule="auto"/>
        <w:ind w:firstLine="480" w:firstLineChars="200"/>
        <w:rPr>
          <w:rFonts w:ascii="宋体" w:hAnsi="宋体" w:cs="宋体"/>
          <w:color w:val="auto"/>
          <w:sz w:val="24"/>
          <w:highlight w:val="none"/>
        </w:rPr>
      </w:pPr>
      <w:bookmarkStart w:id="967" w:name="_Toc341015636"/>
      <w:bookmarkStart w:id="968" w:name="_Toc356567947"/>
      <w:bookmarkStart w:id="969" w:name="_Toc341805270"/>
      <w:r>
        <w:rPr>
          <w:rFonts w:hint="eastAsia" w:ascii="宋体" w:hAnsi="宋体" w:cs="宋体"/>
          <w:color w:val="auto"/>
          <w:sz w:val="24"/>
          <w:highlight w:val="none"/>
        </w:rPr>
        <w:t>6.3.4  违约金和赔偿金</w:t>
      </w:r>
      <w:bookmarkEnd w:id="967"/>
      <w:bookmarkEnd w:id="968"/>
      <w:bookmarkEnd w:id="969"/>
    </w:p>
    <w:p w14:paraId="02F2A93B">
      <w:pPr>
        <w:autoSpaceDE w:val="0"/>
        <w:autoSpaceDN w:val="0"/>
        <w:adjustRightInd w:val="0"/>
        <w:snapToGrid w:val="0"/>
        <w:spacing w:line="324" w:lineRule="auto"/>
        <w:ind w:firstLine="480" w:firstLineChars="200"/>
        <w:rPr>
          <w:rFonts w:ascii="宋体" w:hAnsi="宋体" w:cs="宋体"/>
          <w:color w:val="auto"/>
          <w:sz w:val="24"/>
          <w:highlight w:val="none"/>
        </w:rPr>
      </w:pPr>
      <w:bookmarkStart w:id="970" w:name="_Toc341015637"/>
      <w:bookmarkStart w:id="971" w:name="_Toc341805271"/>
      <w:bookmarkStart w:id="972" w:name="_Toc356567948"/>
      <w:r>
        <w:rPr>
          <w:rFonts w:hint="eastAsia" w:ascii="宋体" w:hAnsi="宋体" w:cs="宋体"/>
          <w:color w:val="auto"/>
          <w:sz w:val="24"/>
          <w:highlight w:val="none"/>
        </w:rPr>
        <w:t>（1）根据监理合同通用条款第7.1条确定的监理人对发包人的违约金和赔偿金，由发包人从对监理人的日常支付中扣回。</w:t>
      </w:r>
      <w:bookmarkEnd w:id="970"/>
      <w:bookmarkEnd w:id="971"/>
      <w:bookmarkEnd w:id="972"/>
    </w:p>
    <w:p w14:paraId="5C1DFA17">
      <w:pPr>
        <w:autoSpaceDE w:val="0"/>
        <w:autoSpaceDN w:val="0"/>
        <w:adjustRightInd w:val="0"/>
        <w:snapToGrid w:val="0"/>
        <w:spacing w:line="324" w:lineRule="auto"/>
        <w:ind w:firstLine="480" w:firstLineChars="200"/>
        <w:rPr>
          <w:rFonts w:ascii="宋体" w:hAnsi="宋体" w:cs="宋体"/>
          <w:color w:val="auto"/>
          <w:sz w:val="24"/>
          <w:highlight w:val="none"/>
        </w:rPr>
      </w:pPr>
      <w:bookmarkStart w:id="973" w:name="_Toc341805272"/>
      <w:bookmarkStart w:id="974" w:name="_Toc356567949"/>
      <w:bookmarkStart w:id="975" w:name="_Toc341015638"/>
      <w:r>
        <w:rPr>
          <w:rFonts w:hint="eastAsia" w:ascii="宋体" w:hAnsi="宋体" w:cs="宋体"/>
          <w:color w:val="auto"/>
          <w:sz w:val="24"/>
          <w:highlight w:val="none"/>
        </w:rPr>
        <w:t>（2）根据监理合同通用条款第7.2条确定的发包人对监理人的赔偿金，应由发包人在日常支付中向监理人支付。</w:t>
      </w:r>
      <w:bookmarkEnd w:id="973"/>
      <w:bookmarkEnd w:id="974"/>
      <w:bookmarkEnd w:id="975"/>
    </w:p>
    <w:bookmarkEnd w:id="938"/>
    <w:bookmarkEnd w:id="939"/>
    <w:p w14:paraId="66C76C94">
      <w:pPr>
        <w:autoSpaceDE w:val="0"/>
        <w:autoSpaceDN w:val="0"/>
        <w:adjustRightInd w:val="0"/>
        <w:snapToGrid w:val="0"/>
        <w:spacing w:line="324" w:lineRule="auto"/>
        <w:ind w:firstLine="480" w:firstLineChars="200"/>
        <w:rPr>
          <w:rFonts w:ascii="宋体" w:hAnsi="宋体" w:cs="宋体"/>
          <w:color w:val="auto"/>
          <w:sz w:val="24"/>
          <w:highlight w:val="none"/>
        </w:rPr>
      </w:pPr>
      <w:bookmarkStart w:id="976" w:name="_Toc356567950"/>
      <w:bookmarkStart w:id="977" w:name="_Toc341805273"/>
      <w:bookmarkStart w:id="978" w:name="_Toc341015648"/>
      <w:r>
        <w:rPr>
          <w:rFonts w:hint="eastAsia" w:ascii="宋体" w:hAnsi="宋体" w:cs="宋体"/>
          <w:color w:val="auto"/>
          <w:sz w:val="24"/>
          <w:highlight w:val="none"/>
        </w:rPr>
        <w:t>6.3.5  结算</w:t>
      </w:r>
      <w:bookmarkEnd w:id="976"/>
      <w:bookmarkEnd w:id="977"/>
      <w:bookmarkEnd w:id="978"/>
    </w:p>
    <w:p w14:paraId="73ADEE06">
      <w:pPr>
        <w:autoSpaceDE w:val="0"/>
        <w:autoSpaceDN w:val="0"/>
        <w:adjustRightInd w:val="0"/>
        <w:snapToGrid w:val="0"/>
        <w:spacing w:line="324" w:lineRule="auto"/>
        <w:ind w:firstLine="480" w:firstLineChars="200"/>
        <w:rPr>
          <w:rFonts w:ascii="宋体" w:hAnsi="宋体" w:cs="宋体"/>
          <w:color w:val="auto"/>
          <w:sz w:val="24"/>
          <w:highlight w:val="none"/>
        </w:rPr>
      </w:pPr>
      <w:bookmarkStart w:id="979" w:name="_Toc341015649"/>
      <w:bookmarkStart w:id="980" w:name="_Toc341805274"/>
      <w:bookmarkStart w:id="981" w:name="_Toc356567951"/>
      <w:r>
        <w:rPr>
          <w:rFonts w:hint="eastAsia" w:ascii="宋体" w:hAnsi="宋体" w:cs="宋体"/>
          <w:color w:val="auto"/>
          <w:sz w:val="24"/>
          <w:highlight w:val="none"/>
        </w:rPr>
        <w:t>（1）在施工阶段监理服务工作结束后7日内，监理人应将至交工验收申请之日前实际发生的监理服务费用，扣减监理人赔偿金后余额的支付申请提交至发包人，发包人应在收到该支付申请后7日内予以审批，在批复后14日内向监理人支付费用。</w:t>
      </w:r>
      <w:bookmarkEnd w:id="979"/>
      <w:bookmarkEnd w:id="980"/>
      <w:bookmarkEnd w:id="981"/>
    </w:p>
    <w:p w14:paraId="7669E4C5">
      <w:pPr>
        <w:autoSpaceDE w:val="0"/>
        <w:autoSpaceDN w:val="0"/>
        <w:adjustRightInd w:val="0"/>
        <w:snapToGrid w:val="0"/>
        <w:spacing w:line="324" w:lineRule="auto"/>
        <w:ind w:firstLine="480" w:firstLineChars="200"/>
        <w:rPr>
          <w:rFonts w:ascii="宋体" w:hAnsi="宋体" w:cs="宋体"/>
          <w:color w:val="auto"/>
          <w:sz w:val="24"/>
          <w:highlight w:val="none"/>
        </w:rPr>
      </w:pPr>
      <w:bookmarkStart w:id="982" w:name="_Toc341805275"/>
      <w:bookmarkStart w:id="983" w:name="_Toc356567952"/>
      <w:bookmarkStart w:id="984" w:name="_Toc341015650"/>
      <w:r>
        <w:rPr>
          <w:rFonts w:hint="eastAsia" w:ascii="宋体" w:hAnsi="宋体" w:cs="宋体"/>
          <w:color w:val="auto"/>
          <w:sz w:val="24"/>
          <w:highlight w:val="none"/>
        </w:rPr>
        <w:t>（2）在签发工程缺陷责任终止证书后7日内，监理人应将工程缺陷责任期内未结清的监理服务费用和其他应由发包人向监理人支付的剩余款项，扣减其他应由发包人从监理人扣回的款项的支付申请提交发包人，发包人应在收到该支付申请后7日内予以审批，在批复后14日内向监理人支付费用。</w:t>
      </w:r>
      <w:bookmarkEnd w:id="982"/>
      <w:bookmarkEnd w:id="983"/>
      <w:bookmarkEnd w:id="984"/>
    </w:p>
    <w:p w14:paraId="241AC491">
      <w:pPr>
        <w:autoSpaceDE w:val="0"/>
        <w:autoSpaceDN w:val="0"/>
        <w:adjustRightInd w:val="0"/>
        <w:snapToGrid w:val="0"/>
        <w:spacing w:line="324" w:lineRule="auto"/>
        <w:ind w:firstLine="480" w:firstLineChars="200"/>
        <w:rPr>
          <w:rFonts w:ascii="宋体" w:hAnsi="宋体" w:cs="宋体"/>
          <w:color w:val="auto"/>
          <w:sz w:val="24"/>
          <w:highlight w:val="none"/>
        </w:rPr>
      </w:pPr>
      <w:bookmarkStart w:id="985" w:name="_Toc341805276"/>
      <w:bookmarkStart w:id="986" w:name="_Toc341015651"/>
      <w:bookmarkStart w:id="987" w:name="_Toc356567953"/>
      <w:r>
        <w:rPr>
          <w:rFonts w:hint="eastAsia" w:ascii="宋体" w:hAnsi="宋体" w:cs="宋体"/>
          <w:color w:val="auto"/>
          <w:sz w:val="24"/>
          <w:highlight w:val="none"/>
        </w:rPr>
        <w:t>6.3.6  支付期限</w:t>
      </w:r>
      <w:bookmarkEnd w:id="985"/>
      <w:bookmarkEnd w:id="986"/>
      <w:bookmarkEnd w:id="987"/>
    </w:p>
    <w:p w14:paraId="68A2B1DE">
      <w:pPr>
        <w:autoSpaceDE w:val="0"/>
        <w:autoSpaceDN w:val="0"/>
        <w:adjustRightInd w:val="0"/>
        <w:snapToGrid w:val="0"/>
        <w:spacing w:line="324" w:lineRule="auto"/>
        <w:ind w:firstLine="480" w:firstLineChars="200"/>
        <w:rPr>
          <w:rFonts w:ascii="宋体" w:hAnsi="宋体" w:cs="宋体"/>
          <w:color w:val="auto"/>
          <w:sz w:val="24"/>
          <w:highlight w:val="none"/>
        </w:rPr>
      </w:pPr>
      <w:bookmarkStart w:id="988" w:name="_Toc356567954"/>
      <w:bookmarkStart w:id="989" w:name="_Toc341015652"/>
      <w:bookmarkStart w:id="990" w:name="_Toc341805277"/>
      <w:r>
        <w:rPr>
          <w:rFonts w:hint="eastAsia" w:ascii="宋体" w:hAnsi="宋体" w:cs="宋体"/>
          <w:color w:val="auto"/>
          <w:sz w:val="24"/>
          <w:highlight w:val="none"/>
        </w:rPr>
        <w:t>发包人在收到监理人提交的书面支付申请后，应按上述条款约定的支付期限内支付监理服务费用。发包人在约定的期限内，未向监理人支付到期应付的款项，应承担违约责任，并支付逾期付款违约金，逾期付款的违约金以到期应付而未付的款项，按照中国人民银行发布的一年期贷款基准利率计算相应的利息，时间自未付款项的应付之日起算。该逾期付款违约金的支付不影响监理人的权力，如发包人仍未按合同约定支付监理服务费及违约金，并不影响本合同条款第5.5.4款约定的监理人的权力。</w:t>
      </w:r>
      <w:bookmarkEnd w:id="988"/>
      <w:bookmarkEnd w:id="989"/>
      <w:bookmarkEnd w:id="990"/>
    </w:p>
    <w:p w14:paraId="457A524A">
      <w:pPr>
        <w:autoSpaceDE w:val="0"/>
        <w:autoSpaceDN w:val="0"/>
        <w:adjustRightInd w:val="0"/>
        <w:snapToGrid w:val="0"/>
        <w:spacing w:line="324" w:lineRule="auto"/>
        <w:ind w:firstLine="480" w:firstLineChars="200"/>
        <w:rPr>
          <w:rFonts w:ascii="宋体" w:hAnsi="宋体" w:cs="宋体"/>
          <w:color w:val="auto"/>
          <w:sz w:val="24"/>
          <w:highlight w:val="none"/>
        </w:rPr>
      </w:pPr>
      <w:bookmarkStart w:id="991" w:name="_Toc341805278"/>
      <w:bookmarkStart w:id="992" w:name="_Toc341015653"/>
      <w:bookmarkStart w:id="993" w:name="_Toc356567955"/>
      <w:r>
        <w:rPr>
          <w:rFonts w:hint="eastAsia" w:ascii="宋体" w:hAnsi="宋体" w:cs="宋体"/>
          <w:color w:val="auto"/>
          <w:sz w:val="24"/>
          <w:highlight w:val="none"/>
        </w:rPr>
        <w:t>6.3.7  支付争议</w:t>
      </w:r>
      <w:bookmarkEnd w:id="991"/>
      <w:bookmarkEnd w:id="992"/>
      <w:bookmarkEnd w:id="993"/>
    </w:p>
    <w:p w14:paraId="5B9CC81E">
      <w:pPr>
        <w:autoSpaceDE w:val="0"/>
        <w:autoSpaceDN w:val="0"/>
        <w:adjustRightInd w:val="0"/>
        <w:snapToGrid w:val="0"/>
        <w:spacing w:line="324" w:lineRule="auto"/>
        <w:ind w:firstLine="480" w:firstLineChars="200"/>
        <w:rPr>
          <w:rFonts w:ascii="宋体" w:hAnsi="宋体" w:cs="宋体"/>
          <w:color w:val="auto"/>
          <w:sz w:val="24"/>
          <w:highlight w:val="none"/>
        </w:rPr>
      </w:pPr>
      <w:bookmarkStart w:id="994" w:name="_Toc341805279"/>
      <w:bookmarkStart w:id="995" w:name="_Toc341015654"/>
      <w:bookmarkStart w:id="996" w:name="_Toc356567956"/>
      <w:r>
        <w:rPr>
          <w:rFonts w:hint="eastAsia" w:ascii="宋体" w:hAnsi="宋体" w:cs="宋体"/>
          <w:color w:val="auto"/>
          <w:sz w:val="24"/>
          <w:highlight w:val="none"/>
        </w:rPr>
        <w:t>发包人对监理人要求支付的款项中的任何部分有异议，应在收到监理人提交的书面支付申请7日内发出书面通知说明理由，但不得借此延误对监理人其他应得款项的支付。本合同条款第6.1.1款的约定，适用于最终支付给监理人的一切曾经有过争议的款项。</w:t>
      </w:r>
      <w:bookmarkEnd w:id="994"/>
      <w:bookmarkEnd w:id="995"/>
      <w:bookmarkEnd w:id="996"/>
      <w:bookmarkStart w:id="997" w:name="_Toc283559263"/>
      <w:bookmarkStart w:id="998" w:name="_Toc283558766"/>
    </w:p>
    <w:p w14:paraId="4F3DCFA7">
      <w:pPr>
        <w:pStyle w:val="5"/>
        <w:spacing w:before="0" w:after="0" w:line="324" w:lineRule="auto"/>
        <w:ind w:firstLine="482" w:firstLineChars="200"/>
        <w:rPr>
          <w:rFonts w:ascii="宋体" w:hAnsi="宋体" w:eastAsia="宋体" w:cs="宋体"/>
          <w:b w:val="0"/>
          <w:color w:val="auto"/>
          <w:sz w:val="24"/>
          <w:szCs w:val="24"/>
          <w:highlight w:val="none"/>
        </w:rPr>
      </w:pPr>
      <w:bookmarkStart w:id="999" w:name="_Toc356567957"/>
      <w:bookmarkStart w:id="1000" w:name="_Toc487653459"/>
      <w:bookmarkStart w:id="1001" w:name="_Toc341805280"/>
      <w:bookmarkStart w:id="1002" w:name="_Toc487291570"/>
      <w:bookmarkStart w:id="1003" w:name="_Toc487619541"/>
      <w:bookmarkStart w:id="1004" w:name="_Toc488650891"/>
      <w:r>
        <w:rPr>
          <w:rFonts w:hint="eastAsia" w:ascii="宋体" w:hAnsi="宋体" w:eastAsia="宋体" w:cs="宋体"/>
          <w:color w:val="auto"/>
          <w:sz w:val="24"/>
          <w:szCs w:val="24"/>
          <w:highlight w:val="none"/>
        </w:rPr>
        <w:t xml:space="preserve">6.4 </w:t>
      </w:r>
      <w:r>
        <w:rPr>
          <w:rFonts w:hint="eastAsia" w:ascii="宋体" w:hAnsi="宋体" w:eastAsia="宋体" w:cs="宋体"/>
          <w:b w:val="0"/>
          <w:color w:val="auto"/>
          <w:sz w:val="24"/>
          <w:szCs w:val="24"/>
          <w:highlight w:val="none"/>
        </w:rPr>
        <w:t xml:space="preserve"> 货币</w:t>
      </w:r>
      <w:bookmarkEnd w:id="997"/>
      <w:bookmarkEnd w:id="998"/>
      <w:bookmarkEnd w:id="999"/>
      <w:bookmarkEnd w:id="1000"/>
      <w:bookmarkEnd w:id="1001"/>
      <w:bookmarkEnd w:id="1002"/>
      <w:bookmarkEnd w:id="1003"/>
      <w:bookmarkEnd w:id="1004"/>
    </w:p>
    <w:p w14:paraId="75516F8B">
      <w:pPr>
        <w:autoSpaceDE w:val="0"/>
        <w:autoSpaceDN w:val="0"/>
        <w:adjustRightInd w:val="0"/>
        <w:snapToGrid w:val="0"/>
        <w:spacing w:line="324" w:lineRule="auto"/>
        <w:ind w:firstLine="480" w:firstLineChars="200"/>
        <w:rPr>
          <w:rFonts w:ascii="宋体" w:hAnsi="宋体" w:cs="宋体"/>
          <w:color w:val="auto"/>
          <w:sz w:val="24"/>
          <w:highlight w:val="none"/>
        </w:rPr>
      </w:pPr>
      <w:bookmarkStart w:id="1005" w:name="_Toc341805281"/>
      <w:bookmarkStart w:id="1006" w:name="_Toc341015656"/>
      <w:bookmarkStart w:id="1007" w:name="_Toc356567958"/>
      <w:r>
        <w:rPr>
          <w:rFonts w:hint="eastAsia" w:ascii="宋体" w:hAnsi="宋体" w:cs="宋体"/>
          <w:color w:val="auto"/>
          <w:sz w:val="24"/>
          <w:highlight w:val="none"/>
        </w:rPr>
        <w:t>除专用条款另有约定外，发包人支付监理人履行监理服务的费用一律采用人民币支付。涉及外币支付的，其货币种类、比例和汇率等事宜，在专用条款中约定。</w:t>
      </w:r>
      <w:bookmarkEnd w:id="1005"/>
      <w:bookmarkEnd w:id="1006"/>
      <w:bookmarkEnd w:id="1007"/>
    </w:p>
    <w:p w14:paraId="589C7268">
      <w:pPr>
        <w:pStyle w:val="5"/>
        <w:spacing w:before="0" w:after="0" w:line="324" w:lineRule="auto"/>
        <w:ind w:firstLine="482" w:firstLineChars="200"/>
        <w:rPr>
          <w:rFonts w:ascii="宋体" w:hAnsi="宋体" w:eastAsia="宋体" w:cs="宋体"/>
          <w:color w:val="auto"/>
          <w:sz w:val="24"/>
          <w:szCs w:val="24"/>
          <w:highlight w:val="none"/>
        </w:rPr>
      </w:pPr>
      <w:bookmarkStart w:id="1008" w:name="_Toc330384463"/>
      <w:bookmarkStart w:id="1009" w:name="_Toc488650892"/>
      <w:bookmarkStart w:id="1010" w:name="_Toc487653460"/>
      <w:bookmarkStart w:id="1011" w:name="_Toc341805282"/>
      <w:bookmarkStart w:id="1012" w:name="_Toc487291571"/>
      <w:bookmarkStart w:id="1013" w:name="_Toc487619542"/>
      <w:r>
        <w:rPr>
          <w:rFonts w:hint="eastAsia" w:ascii="宋体" w:hAnsi="宋体" w:eastAsia="宋体" w:cs="宋体"/>
          <w:color w:val="auto"/>
          <w:sz w:val="24"/>
          <w:szCs w:val="24"/>
          <w:highlight w:val="none"/>
        </w:rPr>
        <w:t>7．违约</w:t>
      </w:r>
      <w:bookmarkEnd w:id="1008"/>
      <w:bookmarkEnd w:id="1009"/>
      <w:bookmarkEnd w:id="1010"/>
      <w:bookmarkEnd w:id="1011"/>
      <w:bookmarkEnd w:id="1012"/>
      <w:bookmarkEnd w:id="1013"/>
      <w:bookmarkStart w:id="1014" w:name="_Toc283559237"/>
      <w:bookmarkStart w:id="1015" w:name="_Toc283558740"/>
    </w:p>
    <w:p w14:paraId="76DF6C73">
      <w:pPr>
        <w:pStyle w:val="5"/>
        <w:spacing w:before="0" w:after="0" w:line="324" w:lineRule="auto"/>
        <w:ind w:firstLine="482" w:firstLineChars="200"/>
        <w:rPr>
          <w:rFonts w:ascii="宋体" w:hAnsi="宋体" w:eastAsia="宋体" w:cs="宋体"/>
          <w:b w:val="0"/>
          <w:color w:val="auto"/>
          <w:sz w:val="24"/>
          <w:szCs w:val="24"/>
          <w:highlight w:val="none"/>
        </w:rPr>
      </w:pPr>
      <w:bookmarkStart w:id="1016" w:name="_Toc488650893"/>
      <w:bookmarkStart w:id="1017" w:name="_Toc356567960"/>
      <w:bookmarkStart w:id="1018" w:name="_Toc487291572"/>
      <w:bookmarkStart w:id="1019" w:name="_Toc341805283"/>
      <w:bookmarkStart w:id="1020" w:name="_Toc487653461"/>
      <w:bookmarkStart w:id="1021" w:name="_Toc487619543"/>
      <w:r>
        <w:rPr>
          <w:rFonts w:hint="eastAsia" w:ascii="宋体" w:hAnsi="宋体" w:eastAsia="宋体" w:cs="宋体"/>
          <w:color w:val="auto"/>
          <w:sz w:val="24"/>
          <w:szCs w:val="24"/>
          <w:highlight w:val="none"/>
        </w:rPr>
        <w:t xml:space="preserve">7.1 </w:t>
      </w:r>
      <w:r>
        <w:rPr>
          <w:rFonts w:hint="eastAsia" w:ascii="宋体" w:hAnsi="宋体" w:eastAsia="宋体" w:cs="宋体"/>
          <w:b w:val="0"/>
          <w:color w:val="auto"/>
          <w:sz w:val="24"/>
          <w:szCs w:val="24"/>
          <w:highlight w:val="none"/>
        </w:rPr>
        <w:t xml:space="preserve"> 监理人的违约</w:t>
      </w:r>
      <w:bookmarkEnd w:id="1014"/>
      <w:bookmarkEnd w:id="1015"/>
      <w:r>
        <w:rPr>
          <w:rFonts w:hint="eastAsia" w:ascii="宋体" w:hAnsi="宋体" w:eastAsia="宋体" w:cs="宋体"/>
          <w:b w:val="0"/>
          <w:color w:val="auto"/>
          <w:sz w:val="24"/>
          <w:szCs w:val="24"/>
          <w:highlight w:val="none"/>
        </w:rPr>
        <w:t>及赔偿责任</w:t>
      </w:r>
      <w:bookmarkEnd w:id="1016"/>
      <w:bookmarkEnd w:id="1017"/>
      <w:bookmarkEnd w:id="1018"/>
      <w:bookmarkEnd w:id="1019"/>
      <w:bookmarkEnd w:id="1020"/>
      <w:bookmarkEnd w:id="1021"/>
    </w:p>
    <w:p w14:paraId="167ACFF8">
      <w:pPr>
        <w:autoSpaceDE w:val="0"/>
        <w:autoSpaceDN w:val="0"/>
        <w:adjustRightInd w:val="0"/>
        <w:snapToGrid w:val="0"/>
        <w:spacing w:line="324" w:lineRule="auto"/>
        <w:ind w:firstLine="480" w:firstLineChars="200"/>
        <w:rPr>
          <w:rFonts w:ascii="宋体" w:hAnsi="宋体" w:cs="宋体"/>
          <w:color w:val="auto"/>
          <w:sz w:val="24"/>
          <w:highlight w:val="none"/>
        </w:rPr>
      </w:pPr>
      <w:bookmarkStart w:id="1022" w:name="_Toc341015659"/>
      <w:bookmarkStart w:id="1023" w:name="_Toc341805284"/>
      <w:bookmarkStart w:id="1024" w:name="_Toc356567961"/>
      <w:r>
        <w:rPr>
          <w:rFonts w:hint="eastAsia" w:ascii="宋体" w:hAnsi="宋体" w:cs="宋体"/>
          <w:color w:val="auto"/>
          <w:sz w:val="24"/>
          <w:highlight w:val="none"/>
        </w:rPr>
        <w:t>7.1.1  监理人的违约</w:t>
      </w:r>
      <w:bookmarkEnd w:id="1022"/>
      <w:bookmarkEnd w:id="1023"/>
      <w:bookmarkEnd w:id="1024"/>
    </w:p>
    <w:p w14:paraId="4868A258">
      <w:pPr>
        <w:autoSpaceDE w:val="0"/>
        <w:autoSpaceDN w:val="0"/>
        <w:adjustRightInd w:val="0"/>
        <w:snapToGrid w:val="0"/>
        <w:spacing w:line="324" w:lineRule="auto"/>
        <w:ind w:firstLine="480" w:firstLineChars="200"/>
        <w:rPr>
          <w:rFonts w:ascii="宋体" w:hAnsi="宋体" w:cs="宋体"/>
          <w:color w:val="auto"/>
          <w:sz w:val="24"/>
          <w:highlight w:val="none"/>
        </w:rPr>
      </w:pPr>
      <w:bookmarkStart w:id="1025" w:name="_Toc341805285"/>
      <w:bookmarkStart w:id="1026" w:name="_Toc356567962"/>
      <w:bookmarkStart w:id="1027" w:name="_Toc341015660"/>
      <w:r>
        <w:rPr>
          <w:rFonts w:hint="eastAsia" w:ascii="宋体" w:hAnsi="宋体" w:cs="宋体"/>
          <w:color w:val="auto"/>
          <w:sz w:val="24"/>
          <w:highlight w:val="none"/>
        </w:rPr>
        <w:t>（1）监理人违反监理合同的约定，将监理服务的任何部分转让或分包；</w:t>
      </w:r>
      <w:bookmarkEnd w:id="1025"/>
      <w:bookmarkEnd w:id="1026"/>
      <w:bookmarkEnd w:id="1027"/>
    </w:p>
    <w:p w14:paraId="78F46D11">
      <w:pPr>
        <w:autoSpaceDE w:val="0"/>
        <w:autoSpaceDN w:val="0"/>
        <w:adjustRightInd w:val="0"/>
        <w:snapToGrid w:val="0"/>
        <w:spacing w:line="324" w:lineRule="auto"/>
        <w:ind w:firstLine="480" w:firstLineChars="200"/>
        <w:rPr>
          <w:rFonts w:ascii="宋体" w:hAnsi="宋体" w:cs="宋体"/>
          <w:color w:val="auto"/>
          <w:sz w:val="24"/>
          <w:highlight w:val="none"/>
        </w:rPr>
      </w:pPr>
      <w:bookmarkStart w:id="1028" w:name="_Toc341015661"/>
      <w:bookmarkStart w:id="1029" w:name="_Toc356567963"/>
      <w:bookmarkStart w:id="1030" w:name="_Toc341805286"/>
      <w:r>
        <w:rPr>
          <w:rFonts w:hint="eastAsia" w:ascii="宋体" w:hAnsi="宋体" w:cs="宋体"/>
          <w:color w:val="auto"/>
          <w:sz w:val="24"/>
          <w:highlight w:val="none"/>
        </w:rPr>
        <w:t>（2）由于监理人不履行监理职责，造成工程质量、安全责任事故；</w:t>
      </w:r>
      <w:bookmarkEnd w:id="1028"/>
      <w:bookmarkEnd w:id="1029"/>
      <w:bookmarkEnd w:id="1030"/>
    </w:p>
    <w:p w14:paraId="380B92C1">
      <w:pPr>
        <w:autoSpaceDE w:val="0"/>
        <w:autoSpaceDN w:val="0"/>
        <w:adjustRightInd w:val="0"/>
        <w:snapToGrid w:val="0"/>
        <w:spacing w:line="324" w:lineRule="auto"/>
        <w:ind w:firstLine="480" w:firstLineChars="200"/>
        <w:rPr>
          <w:rFonts w:ascii="宋体" w:hAnsi="宋体" w:cs="宋体"/>
          <w:color w:val="auto"/>
          <w:sz w:val="24"/>
          <w:highlight w:val="none"/>
        </w:rPr>
      </w:pPr>
      <w:bookmarkStart w:id="1031" w:name="_Toc356567964"/>
      <w:bookmarkStart w:id="1032" w:name="_Toc341015662"/>
      <w:bookmarkStart w:id="1033" w:name="_Toc341805287"/>
      <w:r>
        <w:rPr>
          <w:rFonts w:hint="eastAsia" w:ascii="宋体" w:hAnsi="宋体" w:cs="宋体"/>
          <w:color w:val="auto"/>
          <w:sz w:val="24"/>
          <w:highlight w:val="none"/>
        </w:rPr>
        <w:t>（3）监理人向承包人索贿、谋取私利，或与承包人串通损害发包人利益，给发包人造成损失；</w:t>
      </w:r>
      <w:bookmarkEnd w:id="1031"/>
      <w:bookmarkEnd w:id="1032"/>
      <w:bookmarkEnd w:id="1033"/>
    </w:p>
    <w:p w14:paraId="211966C0">
      <w:pPr>
        <w:autoSpaceDE w:val="0"/>
        <w:autoSpaceDN w:val="0"/>
        <w:adjustRightInd w:val="0"/>
        <w:snapToGrid w:val="0"/>
        <w:spacing w:line="324" w:lineRule="auto"/>
        <w:ind w:firstLine="480" w:firstLineChars="200"/>
        <w:rPr>
          <w:rFonts w:ascii="宋体" w:hAnsi="宋体" w:cs="宋体"/>
          <w:color w:val="auto"/>
          <w:sz w:val="24"/>
          <w:highlight w:val="none"/>
        </w:rPr>
      </w:pPr>
      <w:bookmarkStart w:id="1034" w:name="_Toc341015663"/>
      <w:bookmarkStart w:id="1035" w:name="_Toc341805288"/>
      <w:bookmarkStart w:id="1036" w:name="_Toc356567965"/>
      <w:r>
        <w:rPr>
          <w:rFonts w:hint="eastAsia" w:ascii="宋体" w:hAnsi="宋体" w:cs="宋体"/>
          <w:color w:val="auto"/>
          <w:sz w:val="24"/>
          <w:highlight w:val="none"/>
        </w:rPr>
        <w:t>（4）监理人未经发包人批准，擅自撤离合同约定的重要岗位监理人员的；</w:t>
      </w:r>
      <w:bookmarkEnd w:id="1034"/>
      <w:bookmarkEnd w:id="1035"/>
      <w:bookmarkEnd w:id="1036"/>
    </w:p>
    <w:p w14:paraId="686CE6AF">
      <w:pPr>
        <w:autoSpaceDE w:val="0"/>
        <w:autoSpaceDN w:val="0"/>
        <w:adjustRightInd w:val="0"/>
        <w:snapToGrid w:val="0"/>
        <w:spacing w:line="324" w:lineRule="auto"/>
        <w:ind w:firstLine="480" w:firstLineChars="200"/>
        <w:rPr>
          <w:rFonts w:ascii="宋体" w:hAnsi="宋体" w:cs="宋体"/>
          <w:color w:val="auto"/>
          <w:sz w:val="24"/>
          <w:highlight w:val="none"/>
        </w:rPr>
      </w:pPr>
      <w:bookmarkStart w:id="1037" w:name="_Toc341015664"/>
      <w:bookmarkStart w:id="1038" w:name="_Toc356567966"/>
      <w:bookmarkStart w:id="1039" w:name="_Toc341805289"/>
      <w:r>
        <w:rPr>
          <w:rFonts w:hint="eastAsia" w:ascii="宋体" w:hAnsi="宋体" w:cs="宋体"/>
          <w:color w:val="auto"/>
          <w:sz w:val="24"/>
          <w:highlight w:val="none"/>
        </w:rPr>
        <w:t>（5）监理人无法继续履行或明确表示不履行或实质上</w:t>
      </w:r>
      <w:r>
        <w:rPr>
          <w:rFonts w:hint="eastAsia" w:ascii="宋体" w:hAnsi="宋体" w:cs="宋体"/>
          <w:color w:val="auto"/>
          <w:sz w:val="24"/>
          <w:highlight w:val="none"/>
          <w:lang w:val="en-US" w:eastAsia="zh-CN"/>
        </w:rPr>
        <w:t>已</w:t>
      </w:r>
      <w:r>
        <w:rPr>
          <w:rFonts w:hint="eastAsia" w:ascii="宋体" w:hAnsi="宋体" w:cs="宋体"/>
          <w:color w:val="auto"/>
          <w:sz w:val="24"/>
          <w:highlight w:val="none"/>
        </w:rPr>
        <w:t>停止履行合同；</w:t>
      </w:r>
      <w:bookmarkEnd w:id="1037"/>
      <w:bookmarkEnd w:id="1038"/>
      <w:bookmarkEnd w:id="1039"/>
    </w:p>
    <w:p w14:paraId="1A1534DE">
      <w:pPr>
        <w:autoSpaceDE w:val="0"/>
        <w:autoSpaceDN w:val="0"/>
        <w:adjustRightInd w:val="0"/>
        <w:snapToGrid w:val="0"/>
        <w:spacing w:line="324" w:lineRule="auto"/>
        <w:ind w:firstLine="480" w:firstLineChars="200"/>
        <w:rPr>
          <w:rFonts w:ascii="宋体" w:hAnsi="宋体" w:cs="宋体"/>
          <w:color w:val="auto"/>
          <w:sz w:val="24"/>
          <w:highlight w:val="none"/>
        </w:rPr>
      </w:pPr>
      <w:bookmarkStart w:id="1040" w:name="_Toc341805290"/>
      <w:bookmarkStart w:id="1041" w:name="_Toc356567967"/>
      <w:bookmarkStart w:id="1042" w:name="_Toc341015665"/>
      <w:r>
        <w:rPr>
          <w:rFonts w:hint="eastAsia" w:ascii="宋体" w:hAnsi="宋体" w:cs="宋体"/>
          <w:color w:val="auto"/>
          <w:sz w:val="24"/>
          <w:highlight w:val="none"/>
        </w:rPr>
        <w:t>（6）监理人不按合同约定履行义务的其他情况。</w:t>
      </w:r>
      <w:bookmarkEnd w:id="1040"/>
      <w:bookmarkEnd w:id="1041"/>
      <w:bookmarkEnd w:id="1042"/>
    </w:p>
    <w:p w14:paraId="6B1D1984">
      <w:pPr>
        <w:autoSpaceDE w:val="0"/>
        <w:autoSpaceDN w:val="0"/>
        <w:adjustRightInd w:val="0"/>
        <w:snapToGrid w:val="0"/>
        <w:spacing w:line="324" w:lineRule="auto"/>
        <w:ind w:firstLine="480" w:firstLineChars="200"/>
        <w:rPr>
          <w:rFonts w:ascii="宋体" w:hAnsi="宋体" w:cs="宋体"/>
          <w:color w:val="auto"/>
          <w:sz w:val="24"/>
          <w:highlight w:val="none"/>
        </w:rPr>
      </w:pPr>
      <w:bookmarkStart w:id="1043" w:name="_Toc341015666"/>
      <w:bookmarkStart w:id="1044" w:name="_Toc356567968"/>
      <w:bookmarkStart w:id="1045" w:name="_Toc341805291"/>
      <w:r>
        <w:rPr>
          <w:rFonts w:hint="eastAsia" w:ascii="宋体" w:hAnsi="宋体" w:cs="宋体"/>
          <w:color w:val="auto"/>
          <w:sz w:val="24"/>
          <w:highlight w:val="none"/>
        </w:rPr>
        <w:t>7.1.2  监理人违约的处理</w:t>
      </w:r>
      <w:bookmarkEnd w:id="1043"/>
      <w:bookmarkEnd w:id="1044"/>
      <w:bookmarkEnd w:id="1045"/>
    </w:p>
    <w:p w14:paraId="23767A9A">
      <w:pPr>
        <w:autoSpaceDE w:val="0"/>
        <w:autoSpaceDN w:val="0"/>
        <w:adjustRightInd w:val="0"/>
        <w:snapToGrid w:val="0"/>
        <w:spacing w:line="324" w:lineRule="auto"/>
        <w:ind w:firstLine="480" w:firstLineChars="200"/>
        <w:rPr>
          <w:rFonts w:ascii="宋体" w:hAnsi="宋体" w:cs="宋体"/>
          <w:color w:val="auto"/>
          <w:sz w:val="24"/>
          <w:highlight w:val="none"/>
        </w:rPr>
      </w:pPr>
      <w:bookmarkStart w:id="1046" w:name="_Toc341805292"/>
      <w:bookmarkStart w:id="1047" w:name="_Toc341015667"/>
      <w:bookmarkStart w:id="1048" w:name="_Toc356567969"/>
      <w:r>
        <w:rPr>
          <w:rFonts w:hint="eastAsia" w:ascii="宋体" w:hAnsi="宋体" w:cs="宋体"/>
          <w:color w:val="auto"/>
          <w:sz w:val="24"/>
          <w:highlight w:val="none"/>
        </w:rPr>
        <w:t>监理人违反上述约定应承担违约责任，发包人有权向监理人发出书面通知要求其限期改正。当发包人在向监理人发出书面通知的28日后未见纠正，可以向监理人课以违约金，并可通知终止合同。在发生第7.1.1（1）、7.1.1（3）、7.1.1（5）项情形时，发包人可直接发出书面通知立即终止合同。合同解除后，发包人可选派其他监理人继续完成该项目的监理服务工作，但不免除监理人在被解除合同前所完成监理工作应承担的责任。</w:t>
      </w:r>
      <w:bookmarkEnd w:id="1046"/>
      <w:bookmarkEnd w:id="1047"/>
      <w:bookmarkEnd w:id="1048"/>
    </w:p>
    <w:p w14:paraId="203C0A30">
      <w:pPr>
        <w:autoSpaceDE w:val="0"/>
        <w:autoSpaceDN w:val="0"/>
        <w:adjustRightInd w:val="0"/>
        <w:snapToGrid w:val="0"/>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7.1.3  违约解除合同后的付款和结清</w:t>
      </w:r>
    </w:p>
    <w:p w14:paraId="4D27748D">
      <w:pPr>
        <w:autoSpaceDE w:val="0"/>
        <w:autoSpaceDN w:val="0"/>
        <w:adjustRightInd w:val="0"/>
        <w:snapToGrid w:val="0"/>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（1）合同解除后，发包人按监理人实际完成的监理工作计算监理服务费，并暂停对监理人的一切付款，查清各项付款和</w:t>
      </w:r>
      <w:r>
        <w:rPr>
          <w:rFonts w:hint="eastAsia" w:ascii="宋体" w:hAnsi="宋体" w:cs="宋体"/>
          <w:color w:val="auto"/>
          <w:sz w:val="24"/>
          <w:highlight w:val="none"/>
          <w:lang w:val="en-US" w:eastAsia="zh-CN"/>
        </w:rPr>
        <w:t>已</w:t>
      </w:r>
      <w:r>
        <w:rPr>
          <w:rFonts w:hint="eastAsia" w:ascii="宋体" w:hAnsi="宋体" w:cs="宋体"/>
          <w:color w:val="auto"/>
          <w:sz w:val="24"/>
          <w:highlight w:val="none"/>
        </w:rPr>
        <w:t>扣款金额，包括监理人应支付的违约金。</w:t>
      </w:r>
    </w:p>
    <w:p w14:paraId="30D27B13">
      <w:pPr>
        <w:autoSpaceDE w:val="0"/>
        <w:autoSpaceDN w:val="0"/>
        <w:adjustRightInd w:val="0"/>
        <w:snapToGrid w:val="0"/>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（2）合同双方确认上述往来款项后，出具最终结清付款证书，结清全部合同款项。</w:t>
      </w:r>
    </w:p>
    <w:p w14:paraId="0BECC0A2">
      <w:pPr>
        <w:autoSpaceDE w:val="0"/>
        <w:autoSpaceDN w:val="0"/>
        <w:adjustRightInd w:val="0"/>
        <w:snapToGrid w:val="0"/>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（3）发包人和监理人未能就解除合同后的结清达成一致而形成争议的，按第9节的约定办理。</w:t>
      </w:r>
    </w:p>
    <w:p w14:paraId="5B27DDB9">
      <w:pPr>
        <w:autoSpaceDE w:val="0"/>
        <w:autoSpaceDN w:val="0"/>
        <w:adjustRightInd w:val="0"/>
        <w:snapToGrid w:val="0"/>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7.1.4  监理人的赔偿责任</w:t>
      </w:r>
    </w:p>
    <w:p w14:paraId="47C9BAD1">
      <w:pPr>
        <w:autoSpaceDE w:val="0"/>
        <w:autoSpaceDN w:val="0"/>
        <w:adjustRightInd w:val="0"/>
        <w:snapToGrid w:val="0"/>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监理人违反监理合同的约定并造成发包人的经济损失，应向发包人赔偿，除非专用条款另有约定，赔偿金为发包人直接经济损失所对应的监理费与监理人应承担责任的比例的乘积。</w:t>
      </w:r>
    </w:p>
    <w:p w14:paraId="48206815">
      <w:pPr>
        <w:autoSpaceDE w:val="0"/>
        <w:autoSpaceDN w:val="0"/>
        <w:adjustRightInd w:val="0"/>
        <w:snapToGrid w:val="0"/>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监理人对由于第三方责任造成的任何经济损失，不承担责任。如果监理人与发包人或第三方对有关经济损失共负责任时，应按责任比例计算赔偿。监理人的上述责任赔偿，均应按照本合同第7.4条的约定办理。</w:t>
      </w:r>
    </w:p>
    <w:p w14:paraId="31AE8A74">
      <w:pPr>
        <w:autoSpaceDE w:val="0"/>
        <w:autoSpaceDN w:val="0"/>
        <w:adjustRightInd w:val="0"/>
        <w:snapToGrid w:val="0"/>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7.1.5  监理人对发包人未授权的监理服务范围不承担监理责任。</w:t>
      </w:r>
    </w:p>
    <w:p w14:paraId="188F3476">
      <w:pPr>
        <w:pStyle w:val="5"/>
        <w:spacing w:before="0" w:after="0" w:line="324" w:lineRule="auto"/>
        <w:ind w:firstLine="482" w:firstLineChars="200"/>
        <w:rPr>
          <w:rFonts w:ascii="宋体" w:hAnsi="宋体" w:eastAsia="宋体" w:cs="宋体"/>
          <w:b w:val="0"/>
          <w:color w:val="auto"/>
          <w:sz w:val="24"/>
          <w:szCs w:val="24"/>
          <w:highlight w:val="none"/>
        </w:rPr>
      </w:pPr>
      <w:bookmarkStart w:id="1049" w:name="_Toc487653462"/>
      <w:bookmarkStart w:id="1050" w:name="_Toc341805293"/>
      <w:bookmarkStart w:id="1051" w:name="_Toc356567970"/>
      <w:bookmarkStart w:id="1052" w:name="_Toc488650894"/>
      <w:bookmarkStart w:id="1053" w:name="_Toc487291573"/>
      <w:bookmarkStart w:id="1054" w:name="_Toc487619544"/>
      <w:r>
        <w:rPr>
          <w:rFonts w:hint="eastAsia" w:ascii="宋体" w:hAnsi="宋体" w:eastAsia="宋体" w:cs="宋体"/>
          <w:color w:val="auto"/>
          <w:sz w:val="24"/>
          <w:szCs w:val="24"/>
          <w:highlight w:val="none"/>
        </w:rPr>
        <w:t xml:space="preserve">7.2 </w:t>
      </w:r>
      <w:r>
        <w:rPr>
          <w:rFonts w:hint="eastAsia" w:ascii="宋体" w:hAnsi="宋体" w:eastAsia="宋体" w:cs="宋体"/>
          <w:b w:val="0"/>
          <w:color w:val="auto"/>
          <w:sz w:val="24"/>
          <w:szCs w:val="24"/>
          <w:highlight w:val="none"/>
        </w:rPr>
        <w:t xml:space="preserve"> 发包人的违约和赔偿责任</w:t>
      </w:r>
      <w:bookmarkEnd w:id="1049"/>
      <w:bookmarkEnd w:id="1050"/>
      <w:bookmarkEnd w:id="1051"/>
      <w:bookmarkEnd w:id="1052"/>
      <w:bookmarkEnd w:id="1053"/>
      <w:bookmarkEnd w:id="1054"/>
    </w:p>
    <w:p w14:paraId="26D88004">
      <w:pPr>
        <w:autoSpaceDE w:val="0"/>
        <w:autoSpaceDN w:val="0"/>
        <w:adjustRightInd w:val="0"/>
        <w:snapToGrid w:val="0"/>
        <w:spacing w:line="324" w:lineRule="auto"/>
        <w:ind w:firstLine="480" w:firstLineChars="200"/>
        <w:outlineLvl w:val="0"/>
        <w:rPr>
          <w:rFonts w:ascii="宋体" w:hAnsi="宋体" w:cs="宋体"/>
          <w:color w:val="auto"/>
          <w:sz w:val="24"/>
          <w:highlight w:val="none"/>
        </w:rPr>
      </w:pPr>
      <w:bookmarkStart w:id="1055" w:name="_Toc487653463"/>
      <w:bookmarkStart w:id="1056" w:name="_Toc488650895"/>
      <w:bookmarkStart w:id="1057" w:name="_Toc487291574"/>
      <w:bookmarkStart w:id="1058" w:name="_Toc487619545"/>
      <w:r>
        <w:rPr>
          <w:rFonts w:hint="eastAsia" w:ascii="宋体" w:hAnsi="宋体" w:cs="宋体"/>
          <w:color w:val="auto"/>
          <w:sz w:val="24"/>
          <w:highlight w:val="none"/>
        </w:rPr>
        <w:t>7.2.1  发包人的违约</w:t>
      </w:r>
      <w:bookmarkEnd w:id="1055"/>
      <w:bookmarkEnd w:id="1056"/>
      <w:bookmarkEnd w:id="1057"/>
      <w:bookmarkEnd w:id="1058"/>
    </w:p>
    <w:p w14:paraId="332C969B">
      <w:pPr>
        <w:autoSpaceDE w:val="0"/>
        <w:autoSpaceDN w:val="0"/>
        <w:adjustRightInd w:val="0"/>
        <w:snapToGrid w:val="0"/>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（1）发包人在合同约定的期限内，未向监理人支付到期应付的款项；</w:t>
      </w:r>
    </w:p>
    <w:p w14:paraId="79FAD0C2">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（2）发包人未能按照合同约定向监理人提供履行监理服务所必需工作条件；</w:t>
      </w:r>
    </w:p>
    <w:p w14:paraId="257A5446">
      <w:pPr>
        <w:autoSpaceDE w:val="0"/>
        <w:autoSpaceDN w:val="0"/>
        <w:adjustRightInd w:val="0"/>
        <w:snapToGrid w:val="0"/>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（3）非监理人原因停工期间，发包人不批准监理人暂时退场，且不支付停工期间的费用；</w:t>
      </w:r>
    </w:p>
    <w:p w14:paraId="214F6538">
      <w:pPr>
        <w:autoSpaceDE w:val="0"/>
        <w:autoSpaceDN w:val="0"/>
        <w:adjustRightInd w:val="0"/>
        <w:snapToGrid w:val="0"/>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（4）发包人无法继续履行或明确表示不履行或实质上已停止履行合同的；</w:t>
      </w:r>
    </w:p>
    <w:p w14:paraId="5786B9B2">
      <w:pPr>
        <w:autoSpaceDE w:val="0"/>
        <w:autoSpaceDN w:val="0"/>
        <w:adjustRightInd w:val="0"/>
        <w:snapToGrid w:val="0"/>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（5）发包人未按合同约定履行其他应尽义务。</w:t>
      </w:r>
    </w:p>
    <w:p w14:paraId="030E01DB">
      <w:pPr>
        <w:autoSpaceDE w:val="0"/>
        <w:autoSpaceDN w:val="0"/>
        <w:adjustRightInd w:val="0"/>
        <w:snapToGrid w:val="0"/>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7.2.2  发包人违约的处理</w:t>
      </w:r>
    </w:p>
    <w:p w14:paraId="719DB0F8">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发包人违反上述约定应承担违约责任，并按相关合同条款约定承担相应的费用。</w:t>
      </w:r>
    </w:p>
    <w:p w14:paraId="492B8B6D">
      <w:pPr>
        <w:spacing w:line="324" w:lineRule="auto"/>
        <w:ind w:firstLine="480" w:firstLineChars="200"/>
        <w:outlineLvl w:val="0"/>
        <w:rPr>
          <w:rFonts w:ascii="宋体" w:hAnsi="宋体" w:cs="宋体"/>
          <w:color w:val="auto"/>
          <w:sz w:val="24"/>
          <w:highlight w:val="none"/>
        </w:rPr>
      </w:pPr>
      <w:bookmarkStart w:id="1059" w:name="_Toc488650896"/>
      <w:bookmarkStart w:id="1060" w:name="_Toc487653464"/>
      <w:bookmarkStart w:id="1061" w:name="_Toc487291575"/>
      <w:bookmarkStart w:id="1062" w:name="_Toc487619546"/>
      <w:r>
        <w:rPr>
          <w:rFonts w:hint="eastAsia" w:ascii="宋体" w:hAnsi="宋体" w:cs="宋体"/>
          <w:color w:val="auto"/>
          <w:sz w:val="24"/>
          <w:highlight w:val="none"/>
        </w:rPr>
        <w:t>7.2.3  监理人有权暂停监理服务</w:t>
      </w:r>
      <w:bookmarkEnd w:id="1059"/>
      <w:bookmarkEnd w:id="1060"/>
      <w:bookmarkEnd w:id="1061"/>
      <w:bookmarkEnd w:id="1062"/>
    </w:p>
    <w:p w14:paraId="5DAAF08D">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发生除第7.2.1(4)项以外的违约情况时，监理人可向发包人发出通知，要求发包人采取有效措施纠正违约行为。发包人收到监理人通知后的28日后仍不履行合同义务，监理人有权暂停监理服务，并通知发包人，发包人应承担由此增加的监理服务费用。</w:t>
      </w:r>
    </w:p>
    <w:p w14:paraId="54E7A479">
      <w:pPr>
        <w:spacing w:line="324" w:lineRule="auto"/>
        <w:ind w:firstLine="480" w:firstLineChars="200"/>
        <w:outlineLvl w:val="0"/>
        <w:rPr>
          <w:rFonts w:ascii="宋体" w:hAnsi="宋体" w:cs="宋体"/>
          <w:color w:val="auto"/>
          <w:sz w:val="24"/>
          <w:highlight w:val="none"/>
        </w:rPr>
      </w:pPr>
      <w:bookmarkStart w:id="1063" w:name="_Toc487291576"/>
      <w:bookmarkStart w:id="1064" w:name="_Toc488650897"/>
      <w:bookmarkStart w:id="1065" w:name="_Toc487619547"/>
      <w:bookmarkStart w:id="1066" w:name="_Toc487653465"/>
      <w:r>
        <w:rPr>
          <w:rFonts w:hint="eastAsia" w:ascii="宋体" w:hAnsi="宋体" w:cs="宋体"/>
          <w:color w:val="auto"/>
          <w:sz w:val="24"/>
          <w:highlight w:val="none"/>
        </w:rPr>
        <w:t>7.2.4  发包人违约解除合同</w:t>
      </w:r>
      <w:bookmarkEnd w:id="1063"/>
      <w:bookmarkEnd w:id="1064"/>
      <w:bookmarkEnd w:id="1065"/>
      <w:bookmarkEnd w:id="1066"/>
    </w:p>
    <w:p w14:paraId="00B74AD0">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（1）发生第7.2.1(4)项的违约情况时，监理人可书面通知发包人解除合同。</w:t>
      </w:r>
    </w:p>
    <w:p w14:paraId="1DE26012">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监理人按第7.2.3款暂停监理服务28日后，发包人仍不纠正违约行为的，监理人可向发包人发出解除合同通知。但监理人的这一行动不免除发包人承担的违约责任，也不影响监理人根据合同约定享有的赔偿权利。</w:t>
      </w:r>
    </w:p>
    <w:p w14:paraId="1006D268">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7.2.5  发包人的赔偿责任</w:t>
      </w:r>
    </w:p>
    <w:p w14:paraId="6EF7AAF0">
      <w:pPr>
        <w:autoSpaceDE w:val="0"/>
        <w:autoSpaceDN w:val="0"/>
        <w:adjustRightInd w:val="0"/>
        <w:snapToGrid w:val="0"/>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发包人违反监理合同的约定并造成监理人的经济损失，应向监理人赔偿，除非专用条款另有约定，发包人应据实赔偿监理人的直接经济损失。</w:t>
      </w:r>
    </w:p>
    <w:p w14:paraId="300B025D">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7.2.6  违约解除合同后的付款和结清</w:t>
      </w:r>
    </w:p>
    <w:p w14:paraId="37BBB1C9">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因发包人违约解除合同的，发包人应在解除合同后28日内向监理人支付下列金额，监理人应在此期限内及时向发包人提交要求支付下列金额的有关资料和凭证：</w:t>
      </w:r>
    </w:p>
    <w:p w14:paraId="28FCCF22">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（1）合同解除日以前应支付的监理服务费用及按合同约定在合同解除日前应支付给监理人的其他金额；</w:t>
      </w:r>
    </w:p>
    <w:p w14:paraId="111B36B2">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（2）监理人为该工程施工监理服务投入的办公、生活、试验设施建设等未摊销的费用，部分试验设备、办公用具提前折旧费用；</w:t>
      </w:r>
    </w:p>
    <w:p w14:paraId="60189553">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（3）监理人的人员及设备撤离所需费用；</w:t>
      </w:r>
    </w:p>
    <w:p w14:paraId="4BC3D646">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（4）由于解除合同应赔偿的监理人其他损失；</w:t>
      </w:r>
    </w:p>
    <w:p w14:paraId="7FF66221">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（5）合同双方确认上述往来款项后，出具最终结清付款证书，结清全部合同款项；</w:t>
      </w:r>
    </w:p>
    <w:p w14:paraId="6CA13255">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（6）发包人和监理人未能就解除合同后的结清达成一致而形成争议的，按第9节的约定办理。</w:t>
      </w:r>
    </w:p>
    <w:p w14:paraId="170634D1">
      <w:pPr>
        <w:autoSpaceDE w:val="0"/>
        <w:autoSpaceDN w:val="0"/>
        <w:adjustRightInd w:val="0"/>
        <w:snapToGrid w:val="0"/>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发包人应按本项约定支付上述金额并退还履约保证金，但有权要求监理人支付应偿还给发包人的各项金额。</w:t>
      </w:r>
    </w:p>
    <w:p w14:paraId="33A54DDD">
      <w:pPr>
        <w:pStyle w:val="5"/>
        <w:spacing w:before="0" w:after="0" w:line="324" w:lineRule="auto"/>
        <w:ind w:firstLine="482" w:firstLineChars="200"/>
        <w:rPr>
          <w:rFonts w:ascii="宋体" w:hAnsi="宋体" w:eastAsia="宋体" w:cs="宋体"/>
          <w:b w:val="0"/>
          <w:color w:val="auto"/>
          <w:sz w:val="24"/>
          <w:szCs w:val="24"/>
          <w:highlight w:val="none"/>
        </w:rPr>
      </w:pPr>
      <w:bookmarkStart w:id="1067" w:name="_Toc487653466"/>
      <w:bookmarkStart w:id="1068" w:name="_Toc341805294"/>
      <w:bookmarkStart w:id="1069" w:name="_Toc487619548"/>
      <w:bookmarkStart w:id="1070" w:name="_Toc487291577"/>
      <w:bookmarkStart w:id="1071" w:name="_Toc356567971"/>
      <w:bookmarkStart w:id="1072" w:name="_Toc488650898"/>
      <w:r>
        <w:rPr>
          <w:rFonts w:hint="eastAsia" w:ascii="宋体" w:hAnsi="宋体" w:eastAsia="宋体" w:cs="宋体"/>
          <w:color w:val="auto"/>
          <w:sz w:val="24"/>
          <w:szCs w:val="24"/>
          <w:highlight w:val="none"/>
        </w:rPr>
        <w:t>7.3</w:t>
      </w:r>
      <w:r>
        <w:rPr>
          <w:rFonts w:hint="eastAsia" w:ascii="宋体" w:hAnsi="宋体" w:eastAsia="宋体" w:cs="宋体"/>
          <w:b w:val="0"/>
          <w:color w:val="auto"/>
          <w:sz w:val="24"/>
          <w:szCs w:val="24"/>
          <w:highlight w:val="none"/>
        </w:rPr>
        <w:t xml:space="preserve">  赔偿责任的期限</w:t>
      </w:r>
      <w:bookmarkEnd w:id="1067"/>
      <w:bookmarkEnd w:id="1068"/>
      <w:bookmarkEnd w:id="1069"/>
      <w:bookmarkEnd w:id="1070"/>
      <w:bookmarkEnd w:id="1071"/>
      <w:bookmarkEnd w:id="1072"/>
    </w:p>
    <w:p w14:paraId="0BB5A4F2">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或监理人任何一方向另一方要求的赔偿，都应在赔偿事件发生后的28日之内以书面形式提出索赔。如果该事件具有持续性，则应在事件首次发生后7日之内提出索赔意向，并每隔7日提供一次该事件仍在持续发展的证明材料，直至该事件结束后28日之内提出正式的索赔文件。无论是发包人还是监理人，逾期未提出书面索赔意向书，则失去索赔权利。</w:t>
      </w:r>
    </w:p>
    <w:p w14:paraId="32D80DBA">
      <w:pPr>
        <w:pStyle w:val="5"/>
        <w:spacing w:before="0" w:after="0" w:line="324" w:lineRule="auto"/>
        <w:ind w:firstLine="482" w:firstLineChars="200"/>
        <w:rPr>
          <w:rFonts w:ascii="宋体" w:hAnsi="宋体" w:eastAsia="宋体" w:cs="宋体"/>
          <w:b w:val="0"/>
          <w:color w:val="auto"/>
          <w:sz w:val="24"/>
          <w:szCs w:val="24"/>
          <w:highlight w:val="none"/>
        </w:rPr>
      </w:pPr>
      <w:bookmarkStart w:id="1073" w:name="_Toc341805295"/>
      <w:bookmarkStart w:id="1074" w:name="_Toc356567972"/>
      <w:bookmarkStart w:id="1075" w:name="_Toc487291578"/>
      <w:bookmarkStart w:id="1076" w:name="_Toc488650899"/>
      <w:bookmarkStart w:id="1077" w:name="_Toc487653467"/>
      <w:bookmarkStart w:id="1078" w:name="_Toc487619549"/>
      <w:r>
        <w:rPr>
          <w:rFonts w:hint="eastAsia" w:ascii="宋体" w:hAnsi="宋体" w:eastAsia="宋体" w:cs="宋体"/>
          <w:color w:val="auto"/>
          <w:sz w:val="24"/>
          <w:szCs w:val="24"/>
          <w:highlight w:val="none"/>
        </w:rPr>
        <w:t xml:space="preserve">7.4 </w:t>
      </w:r>
      <w:r>
        <w:rPr>
          <w:rFonts w:hint="eastAsia" w:ascii="宋体" w:hAnsi="宋体" w:eastAsia="宋体" w:cs="宋体"/>
          <w:b w:val="0"/>
          <w:color w:val="auto"/>
          <w:sz w:val="24"/>
          <w:szCs w:val="24"/>
          <w:highlight w:val="none"/>
        </w:rPr>
        <w:t xml:space="preserve"> 赔偿的限额</w:t>
      </w:r>
      <w:bookmarkEnd w:id="1073"/>
      <w:bookmarkEnd w:id="1074"/>
      <w:bookmarkEnd w:id="1075"/>
      <w:bookmarkEnd w:id="1076"/>
      <w:bookmarkEnd w:id="1077"/>
      <w:bookmarkEnd w:id="1078"/>
    </w:p>
    <w:p w14:paraId="45D65C6E">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鉴于双方在专用条款中，约定了任何一方向另一方依据本合同条款第7.1条和第7.2条支付赔偿的最高限额，除非专用条款另行约定，双方在此一致同意放弃超过该限额的剩余赔偿要求。但本合同条款其他条款约定的补偿和由于任何一方故意违约而引起的索赔，不受该限额的限制。</w:t>
      </w:r>
    </w:p>
    <w:p w14:paraId="65430F8B">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监理人的累计赔偿限额为监理服务费总额的10﹪，当达到此限额时，发包人有权单方面终止监理合同，没收监理人的履约保证金。</w:t>
      </w:r>
    </w:p>
    <w:p w14:paraId="6B8462C8">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发包人赔偿监理人的直接经济损失的累计限额为监理服务费总额的10﹪。</w:t>
      </w:r>
    </w:p>
    <w:p w14:paraId="407D5EA2">
      <w:pPr>
        <w:pStyle w:val="5"/>
        <w:spacing w:before="0" w:after="0" w:line="324" w:lineRule="auto"/>
        <w:ind w:firstLine="482" w:firstLineChars="200"/>
        <w:rPr>
          <w:rFonts w:ascii="宋体" w:hAnsi="宋体" w:eastAsia="宋体" w:cs="宋体"/>
          <w:color w:val="auto"/>
          <w:sz w:val="24"/>
          <w:szCs w:val="24"/>
          <w:highlight w:val="none"/>
        </w:rPr>
      </w:pPr>
      <w:bookmarkStart w:id="1079" w:name="OLE_LINK2"/>
      <w:bookmarkStart w:id="1080" w:name="OLE_LINK1"/>
      <w:bookmarkStart w:id="1081" w:name="_Toc283558743"/>
      <w:bookmarkStart w:id="1082" w:name="_Toc283559240"/>
      <w:bookmarkStart w:id="1083" w:name="_Toc487619550"/>
      <w:bookmarkStart w:id="1084" w:name="_Toc488650900"/>
      <w:bookmarkStart w:id="1085" w:name="_Toc487291579"/>
      <w:bookmarkStart w:id="1086" w:name="_Toc330384464"/>
      <w:bookmarkStart w:id="1087" w:name="_Toc341805296"/>
      <w:bookmarkStart w:id="1088" w:name="_Toc487653468"/>
      <w:r>
        <w:rPr>
          <w:rFonts w:hint="eastAsia" w:ascii="宋体" w:hAnsi="宋体" w:eastAsia="宋体" w:cs="宋体"/>
          <w:color w:val="auto"/>
          <w:sz w:val="24"/>
          <w:szCs w:val="24"/>
          <w:highlight w:val="none"/>
        </w:rPr>
        <w:t>8．</w:t>
      </w:r>
      <w:bookmarkEnd w:id="1079"/>
      <w:bookmarkEnd w:id="1080"/>
      <w:r>
        <w:rPr>
          <w:rFonts w:hint="eastAsia" w:ascii="宋体" w:hAnsi="宋体" w:eastAsia="宋体" w:cs="宋体"/>
          <w:color w:val="auto"/>
          <w:sz w:val="24"/>
          <w:szCs w:val="24"/>
          <w:highlight w:val="none"/>
        </w:rPr>
        <w:t>保障</w:t>
      </w:r>
      <w:bookmarkEnd w:id="1081"/>
      <w:bookmarkEnd w:id="1082"/>
      <w:r>
        <w:rPr>
          <w:rFonts w:hint="eastAsia" w:ascii="宋体" w:hAnsi="宋体" w:eastAsia="宋体" w:cs="宋体"/>
          <w:color w:val="auto"/>
          <w:sz w:val="24"/>
          <w:szCs w:val="24"/>
          <w:highlight w:val="none"/>
        </w:rPr>
        <w:t>与保险</w:t>
      </w:r>
      <w:bookmarkEnd w:id="1083"/>
      <w:bookmarkEnd w:id="1084"/>
      <w:bookmarkEnd w:id="1085"/>
      <w:bookmarkEnd w:id="1086"/>
      <w:bookmarkEnd w:id="1087"/>
      <w:bookmarkEnd w:id="1088"/>
    </w:p>
    <w:p w14:paraId="664ADFC1">
      <w:pPr>
        <w:pStyle w:val="5"/>
        <w:spacing w:before="0" w:after="0" w:line="324" w:lineRule="auto"/>
        <w:ind w:firstLine="482" w:firstLineChars="200"/>
        <w:rPr>
          <w:rFonts w:ascii="宋体" w:hAnsi="宋体" w:eastAsia="宋体" w:cs="宋体"/>
          <w:b w:val="0"/>
          <w:color w:val="auto"/>
          <w:sz w:val="24"/>
          <w:szCs w:val="24"/>
          <w:highlight w:val="none"/>
        </w:rPr>
      </w:pPr>
      <w:bookmarkStart w:id="1089" w:name="_Toc487653469"/>
      <w:bookmarkStart w:id="1090" w:name="_Toc487291580"/>
      <w:bookmarkStart w:id="1091" w:name="_Toc488650901"/>
      <w:bookmarkStart w:id="1092" w:name="_Toc341805297"/>
      <w:bookmarkStart w:id="1093" w:name="_Toc356567974"/>
      <w:bookmarkStart w:id="1094" w:name="_Toc487619551"/>
      <w:r>
        <w:rPr>
          <w:rFonts w:hint="eastAsia" w:ascii="宋体" w:hAnsi="宋体" w:eastAsia="宋体" w:cs="宋体"/>
          <w:color w:val="auto"/>
          <w:sz w:val="24"/>
          <w:szCs w:val="24"/>
          <w:highlight w:val="none"/>
        </w:rPr>
        <w:t>8.1</w:t>
      </w:r>
      <w:r>
        <w:rPr>
          <w:rFonts w:hint="eastAsia" w:ascii="宋体" w:hAnsi="宋体" w:eastAsia="宋体" w:cs="宋体"/>
          <w:b w:val="0"/>
          <w:color w:val="auto"/>
          <w:sz w:val="24"/>
          <w:szCs w:val="24"/>
          <w:highlight w:val="none"/>
        </w:rPr>
        <w:t xml:space="preserve">  保障</w:t>
      </w:r>
      <w:bookmarkEnd w:id="1089"/>
      <w:bookmarkEnd w:id="1090"/>
      <w:bookmarkEnd w:id="1091"/>
      <w:bookmarkEnd w:id="1092"/>
      <w:bookmarkEnd w:id="1093"/>
      <w:bookmarkEnd w:id="1094"/>
    </w:p>
    <w:p w14:paraId="4ED5B2D0">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8.1.1  在监理人不违反有关法律、法规的前提下，发包人应保障监理人免受因履行本监理合同而引起的外界索赔和干扰。</w:t>
      </w:r>
    </w:p>
    <w:p w14:paraId="1BF33BE5">
      <w:pPr>
        <w:spacing w:line="324" w:lineRule="auto"/>
        <w:ind w:firstLine="480" w:firstLineChars="200"/>
        <w:outlineLvl w:val="0"/>
        <w:rPr>
          <w:rFonts w:ascii="宋体" w:hAnsi="宋体" w:cs="宋体"/>
          <w:color w:val="auto"/>
          <w:sz w:val="24"/>
          <w:highlight w:val="none"/>
        </w:rPr>
      </w:pPr>
      <w:bookmarkStart w:id="1095" w:name="_Toc488650902"/>
      <w:bookmarkStart w:id="1096" w:name="_Toc487619552"/>
      <w:bookmarkStart w:id="1097" w:name="_Toc487291581"/>
      <w:bookmarkStart w:id="1098" w:name="_Toc487653470"/>
      <w:r>
        <w:rPr>
          <w:rFonts w:hint="eastAsia" w:ascii="宋体" w:hAnsi="宋体" w:cs="宋体"/>
          <w:color w:val="auto"/>
          <w:sz w:val="24"/>
          <w:highlight w:val="none"/>
        </w:rPr>
        <w:t>8.1.2  如果监理人无正当理由全部或部分不履行本监理合同时，发包人有权根据具体情况没收全部或部分履约保证金。</w:t>
      </w:r>
      <w:bookmarkEnd w:id="1095"/>
      <w:bookmarkEnd w:id="1096"/>
      <w:bookmarkEnd w:id="1097"/>
      <w:bookmarkEnd w:id="1098"/>
    </w:p>
    <w:p w14:paraId="79231245">
      <w:pPr>
        <w:pStyle w:val="5"/>
        <w:spacing w:before="0" w:after="0" w:line="324" w:lineRule="auto"/>
        <w:ind w:firstLine="482" w:firstLineChars="200"/>
        <w:rPr>
          <w:rFonts w:ascii="宋体" w:hAnsi="宋体" w:eastAsia="宋体" w:cs="宋体"/>
          <w:b w:val="0"/>
          <w:color w:val="auto"/>
          <w:sz w:val="24"/>
          <w:szCs w:val="24"/>
          <w:highlight w:val="none"/>
        </w:rPr>
      </w:pPr>
      <w:bookmarkStart w:id="1099" w:name="_Toc488650903"/>
      <w:bookmarkStart w:id="1100" w:name="_Toc487619553"/>
      <w:bookmarkStart w:id="1101" w:name="_Toc487653471"/>
      <w:bookmarkStart w:id="1102" w:name="_Toc487291582"/>
      <w:bookmarkStart w:id="1103" w:name="_Toc341805298"/>
      <w:bookmarkStart w:id="1104" w:name="_Toc356567975"/>
      <w:r>
        <w:rPr>
          <w:rFonts w:hint="eastAsia" w:ascii="宋体" w:hAnsi="宋体" w:eastAsia="宋体" w:cs="宋体"/>
          <w:color w:val="auto"/>
          <w:sz w:val="24"/>
          <w:szCs w:val="24"/>
          <w:highlight w:val="none"/>
        </w:rPr>
        <w:t xml:space="preserve">8.2 </w:t>
      </w:r>
      <w:r>
        <w:rPr>
          <w:rFonts w:hint="eastAsia" w:ascii="宋体" w:hAnsi="宋体" w:eastAsia="宋体" w:cs="宋体"/>
          <w:b w:val="0"/>
          <w:color w:val="auto"/>
          <w:sz w:val="24"/>
          <w:szCs w:val="24"/>
          <w:highlight w:val="none"/>
        </w:rPr>
        <w:t xml:space="preserve"> 保险</w:t>
      </w:r>
      <w:bookmarkEnd w:id="1099"/>
      <w:bookmarkEnd w:id="1100"/>
      <w:bookmarkEnd w:id="1101"/>
      <w:bookmarkEnd w:id="1102"/>
      <w:bookmarkEnd w:id="1103"/>
      <w:bookmarkEnd w:id="1104"/>
    </w:p>
    <w:p w14:paraId="0204BC73">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监理人应在监理服务期内，自费办理派驻到工程所在地人员的人身和自备财产的有关保险，保险时间应随服务时间的延长而顺延，并在出险后自行办理索赔。如果监理人不办理上述保险，则应对有关风险及后果自负其责。</w:t>
      </w:r>
    </w:p>
    <w:p w14:paraId="2F7D355E">
      <w:pPr>
        <w:pStyle w:val="5"/>
        <w:spacing w:before="0" w:after="0" w:line="324" w:lineRule="auto"/>
        <w:ind w:firstLine="482" w:firstLineChars="200"/>
        <w:rPr>
          <w:rFonts w:ascii="宋体" w:hAnsi="宋体" w:eastAsia="宋体" w:cs="宋体"/>
          <w:color w:val="auto"/>
          <w:sz w:val="24"/>
          <w:szCs w:val="24"/>
          <w:highlight w:val="none"/>
        </w:rPr>
      </w:pPr>
      <w:bookmarkStart w:id="1105" w:name="_Toc487653472"/>
      <w:bookmarkStart w:id="1106" w:name="_Toc487291583"/>
      <w:bookmarkStart w:id="1107" w:name="_Toc341805299"/>
      <w:bookmarkStart w:id="1108" w:name="_Toc330384465"/>
      <w:bookmarkStart w:id="1109" w:name="_Toc488650904"/>
      <w:bookmarkStart w:id="1110" w:name="_Toc487619554"/>
      <w:r>
        <w:rPr>
          <w:rFonts w:hint="eastAsia" w:ascii="宋体" w:hAnsi="宋体" w:eastAsia="宋体" w:cs="宋体"/>
          <w:color w:val="auto"/>
          <w:sz w:val="24"/>
          <w:szCs w:val="24"/>
          <w:highlight w:val="none"/>
        </w:rPr>
        <w:t>9．争议的解决</w:t>
      </w:r>
      <w:bookmarkEnd w:id="1105"/>
      <w:bookmarkEnd w:id="1106"/>
      <w:bookmarkEnd w:id="1107"/>
      <w:bookmarkEnd w:id="1108"/>
      <w:bookmarkEnd w:id="1109"/>
      <w:bookmarkEnd w:id="1110"/>
    </w:p>
    <w:p w14:paraId="44240451">
      <w:pPr>
        <w:pStyle w:val="5"/>
        <w:spacing w:before="0" w:after="0" w:line="324" w:lineRule="auto"/>
        <w:ind w:firstLine="482" w:firstLineChars="200"/>
        <w:rPr>
          <w:rFonts w:ascii="宋体" w:hAnsi="宋体" w:eastAsia="宋体" w:cs="宋体"/>
          <w:b w:val="0"/>
          <w:color w:val="auto"/>
          <w:sz w:val="24"/>
          <w:szCs w:val="24"/>
          <w:highlight w:val="none"/>
        </w:rPr>
      </w:pPr>
      <w:bookmarkStart w:id="1111" w:name="_Toc488650905"/>
      <w:bookmarkStart w:id="1112" w:name="_Toc341805300"/>
      <w:bookmarkStart w:id="1113" w:name="_Toc487619555"/>
      <w:bookmarkStart w:id="1114" w:name="_Toc356567977"/>
      <w:bookmarkStart w:id="1115" w:name="_Toc487291584"/>
      <w:bookmarkStart w:id="1116" w:name="_Toc487653473"/>
      <w:r>
        <w:rPr>
          <w:rFonts w:hint="eastAsia" w:ascii="宋体" w:hAnsi="宋体" w:eastAsia="宋体" w:cs="宋体"/>
          <w:color w:val="auto"/>
          <w:sz w:val="24"/>
          <w:szCs w:val="24"/>
          <w:highlight w:val="none"/>
        </w:rPr>
        <w:t xml:space="preserve">9.1 </w:t>
      </w:r>
      <w:r>
        <w:rPr>
          <w:rFonts w:hint="eastAsia" w:ascii="宋体" w:hAnsi="宋体" w:eastAsia="宋体" w:cs="宋体"/>
          <w:b w:val="0"/>
          <w:color w:val="auto"/>
          <w:sz w:val="24"/>
          <w:szCs w:val="24"/>
          <w:highlight w:val="none"/>
        </w:rPr>
        <w:t xml:space="preserve"> 争议的解决方式</w:t>
      </w:r>
      <w:bookmarkEnd w:id="1111"/>
      <w:bookmarkEnd w:id="1112"/>
      <w:bookmarkEnd w:id="1113"/>
      <w:bookmarkEnd w:id="1114"/>
      <w:bookmarkEnd w:id="1115"/>
      <w:bookmarkEnd w:id="1116"/>
    </w:p>
    <w:p w14:paraId="436DBB1D">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发包人和监理人在履行合同中发生争议的，可以友好协商解决，合同当事人无法协商一致，可在专用合同条款中约定下列一种方式解决。</w:t>
      </w:r>
    </w:p>
    <w:p w14:paraId="2F49A4DE">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（1）向约定的仲裁委员会申请仲裁；</w:t>
      </w:r>
    </w:p>
    <w:p w14:paraId="1EC20BC6">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（2）向有管辖权的人民法院提起诉讼。</w:t>
      </w:r>
    </w:p>
    <w:p w14:paraId="7C12A6C0">
      <w:pPr>
        <w:pStyle w:val="5"/>
        <w:spacing w:before="0" w:after="0" w:line="324" w:lineRule="auto"/>
        <w:ind w:firstLine="482" w:firstLineChars="200"/>
        <w:rPr>
          <w:rFonts w:ascii="宋体" w:hAnsi="宋体" w:eastAsia="宋体" w:cs="宋体"/>
          <w:b w:val="0"/>
          <w:color w:val="auto"/>
          <w:sz w:val="24"/>
          <w:szCs w:val="24"/>
          <w:highlight w:val="none"/>
        </w:rPr>
      </w:pPr>
      <w:bookmarkStart w:id="1117" w:name="_Toc356567978"/>
      <w:bookmarkStart w:id="1118" w:name="_Toc341805301"/>
      <w:bookmarkStart w:id="1119" w:name="_Toc487619556"/>
      <w:bookmarkStart w:id="1120" w:name="_Toc488650906"/>
      <w:bookmarkStart w:id="1121" w:name="_Toc487291585"/>
      <w:bookmarkStart w:id="1122" w:name="_Toc487653474"/>
      <w:r>
        <w:rPr>
          <w:rFonts w:hint="eastAsia" w:ascii="宋体" w:hAnsi="宋体" w:eastAsia="宋体" w:cs="宋体"/>
          <w:color w:val="auto"/>
          <w:sz w:val="24"/>
          <w:szCs w:val="24"/>
          <w:highlight w:val="none"/>
        </w:rPr>
        <w:t>9.2</w:t>
      </w:r>
      <w:r>
        <w:rPr>
          <w:rFonts w:hint="eastAsia" w:ascii="宋体" w:hAnsi="宋体" w:eastAsia="宋体" w:cs="宋体"/>
          <w:b w:val="0"/>
          <w:color w:val="auto"/>
          <w:sz w:val="24"/>
          <w:szCs w:val="24"/>
          <w:highlight w:val="none"/>
        </w:rPr>
        <w:t xml:space="preserve">  友好解决</w:t>
      </w:r>
      <w:bookmarkEnd w:id="1117"/>
      <w:bookmarkEnd w:id="1118"/>
      <w:bookmarkEnd w:id="1119"/>
      <w:bookmarkEnd w:id="1120"/>
      <w:bookmarkEnd w:id="1121"/>
      <w:bookmarkEnd w:id="1122"/>
    </w:p>
    <w:p w14:paraId="7E86DD74">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在提请仲裁或者诉讼前，以及在仲裁或诉讼过程中，发包人和监理人均可共同努力友好协商解决争议。</w:t>
      </w:r>
    </w:p>
    <w:p w14:paraId="321D8BE6">
      <w:pPr>
        <w:pStyle w:val="5"/>
        <w:spacing w:before="0" w:after="0" w:line="324" w:lineRule="auto"/>
        <w:ind w:firstLine="480" w:firstLineChars="200"/>
        <w:rPr>
          <w:rFonts w:ascii="宋体" w:hAnsi="宋体" w:eastAsia="宋体" w:cs="宋体"/>
          <w:b w:val="0"/>
          <w:color w:val="auto"/>
          <w:sz w:val="24"/>
          <w:szCs w:val="24"/>
          <w:highlight w:val="none"/>
        </w:rPr>
      </w:pPr>
      <w:bookmarkStart w:id="1123" w:name="_Toc283559264"/>
      <w:bookmarkStart w:id="1124" w:name="_Toc286759114"/>
      <w:bookmarkStart w:id="1125" w:name="_Toc487291586"/>
      <w:bookmarkStart w:id="1126" w:name="_Toc283558767"/>
      <w:bookmarkStart w:id="1127" w:name="_Toc341805302"/>
      <w:bookmarkStart w:id="1128" w:name="_Toc330384466"/>
      <w:bookmarkStart w:id="1129" w:name="_Toc487619557"/>
      <w:bookmarkStart w:id="1130" w:name="_Toc487653475"/>
      <w:bookmarkStart w:id="1131" w:name="_Toc488650907"/>
      <w:r>
        <w:rPr>
          <w:rFonts w:hint="eastAsia" w:ascii="宋体" w:hAnsi="宋体" w:eastAsia="宋体" w:cs="宋体"/>
          <w:b w:val="0"/>
          <w:color w:val="auto"/>
          <w:sz w:val="24"/>
          <w:szCs w:val="24"/>
          <w:highlight w:val="none"/>
        </w:rPr>
        <w:t>10．其他</w:t>
      </w:r>
      <w:bookmarkEnd w:id="1123"/>
      <w:bookmarkEnd w:id="1124"/>
      <w:bookmarkEnd w:id="1125"/>
      <w:bookmarkEnd w:id="1126"/>
      <w:bookmarkEnd w:id="1127"/>
      <w:bookmarkEnd w:id="1128"/>
      <w:bookmarkEnd w:id="1129"/>
      <w:bookmarkEnd w:id="1130"/>
      <w:bookmarkEnd w:id="1131"/>
    </w:p>
    <w:p w14:paraId="330947C8">
      <w:pPr>
        <w:pStyle w:val="5"/>
        <w:spacing w:before="0" w:after="0" w:line="324" w:lineRule="auto"/>
        <w:ind w:firstLine="482" w:firstLineChars="200"/>
        <w:rPr>
          <w:rFonts w:ascii="宋体" w:hAnsi="宋体" w:eastAsia="宋体" w:cs="宋体"/>
          <w:b w:val="0"/>
          <w:color w:val="auto"/>
          <w:sz w:val="24"/>
          <w:szCs w:val="24"/>
          <w:highlight w:val="none"/>
        </w:rPr>
      </w:pPr>
      <w:bookmarkStart w:id="1132" w:name="_Toc487619558"/>
      <w:bookmarkStart w:id="1133" w:name="_Toc487653476"/>
      <w:bookmarkStart w:id="1134" w:name="_Toc487291587"/>
      <w:bookmarkStart w:id="1135" w:name="_Toc356567980"/>
      <w:bookmarkStart w:id="1136" w:name="_Toc488650908"/>
      <w:bookmarkStart w:id="1137" w:name="_Toc341805303"/>
      <w:r>
        <w:rPr>
          <w:rFonts w:hint="eastAsia" w:ascii="宋体" w:hAnsi="宋体" w:eastAsia="宋体" w:cs="宋体"/>
          <w:color w:val="auto"/>
          <w:sz w:val="24"/>
          <w:szCs w:val="24"/>
          <w:highlight w:val="none"/>
        </w:rPr>
        <w:t xml:space="preserve">10.1 </w:t>
      </w:r>
      <w:r>
        <w:rPr>
          <w:rFonts w:hint="eastAsia" w:ascii="宋体" w:hAnsi="宋体" w:eastAsia="宋体" w:cs="宋体"/>
          <w:b w:val="0"/>
          <w:color w:val="auto"/>
          <w:sz w:val="24"/>
          <w:szCs w:val="24"/>
          <w:highlight w:val="none"/>
        </w:rPr>
        <w:t xml:space="preserve"> 合同双方的关系</w:t>
      </w:r>
      <w:bookmarkEnd w:id="1132"/>
      <w:bookmarkEnd w:id="1133"/>
      <w:bookmarkEnd w:id="1134"/>
      <w:bookmarkEnd w:id="1135"/>
      <w:bookmarkEnd w:id="1136"/>
      <w:bookmarkEnd w:id="1137"/>
    </w:p>
    <w:p w14:paraId="134130D2">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合同双方互为权利和义务主体，双方应遵循平等互利、协商一致的原则履行本监理合同。发包人和监理人均应按照监理合同公正地行使权力和全面履行自己的职责。</w:t>
      </w:r>
    </w:p>
    <w:p w14:paraId="059D0315">
      <w:pPr>
        <w:pStyle w:val="5"/>
        <w:spacing w:before="0" w:after="0" w:line="324" w:lineRule="auto"/>
        <w:ind w:firstLine="482" w:firstLineChars="200"/>
        <w:rPr>
          <w:rFonts w:ascii="宋体" w:hAnsi="宋体" w:eastAsia="宋体" w:cs="宋体"/>
          <w:b w:val="0"/>
          <w:color w:val="auto"/>
          <w:sz w:val="24"/>
          <w:szCs w:val="24"/>
          <w:highlight w:val="none"/>
        </w:rPr>
      </w:pPr>
      <w:bookmarkStart w:id="1138" w:name="_Toc283558768"/>
      <w:bookmarkStart w:id="1139" w:name="_Toc283559265"/>
      <w:bookmarkStart w:id="1140" w:name="_Toc341805304"/>
      <w:bookmarkStart w:id="1141" w:name="_Toc487653477"/>
      <w:bookmarkStart w:id="1142" w:name="_Toc488650909"/>
      <w:bookmarkStart w:id="1143" w:name="_Toc487619559"/>
      <w:bookmarkStart w:id="1144" w:name="_Toc356567981"/>
      <w:bookmarkStart w:id="1145" w:name="_Toc487291588"/>
      <w:r>
        <w:rPr>
          <w:rFonts w:hint="eastAsia" w:ascii="宋体" w:hAnsi="宋体" w:eastAsia="宋体" w:cs="宋体"/>
          <w:color w:val="auto"/>
          <w:sz w:val="24"/>
          <w:szCs w:val="24"/>
          <w:highlight w:val="none"/>
        </w:rPr>
        <w:t>10.2</w:t>
      </w:r>
      <w:r>
        <w:rPr>
          <w:rFonts w:hint="eastAsia" w:ascii="宋体" w:hAnsi="宋体" w:eastAsia="宋体" w:cs="宋体"/>
          <w:b w:val="0"/>
          <w:color w:val="auto"/>
          <w:sz w:val="24"/>
          <w:szCs w:val="24"/>
          <w:highlight w:val="none"/>
        </w:rPr>
        <w:t xml:space="preserve">  </w:t>
      </w:r>
      <w:bookmarkEnd w:id="1138"/>
      <w:bookmarkEnd w:id="1139"/>
      <w:bookmarkStart w:id="1146" w:name="_Toc283559266"/>
      <w:bookmarkStart w:id="1147" w:name="_Toc283558769"/>
      <w:r>
        <w:rPr>
          <w:rFonts w:hint="eastAsia" w:ascii="宋体" w:hAnsi="宋体" w:eastAsia="宋体" w:cs="宋体"/>
          <w:b w:val="0"/>
          <w:color w:val="auto"/>
          <w:sz w:val="24"/>
          <w:szCs w:val="24"/>
          <w:highlight w:val="none"/>
        </w:rPr>
        <w:t>奖励</w:t>
      </w:r>
      <w:bookmarkEnd w:id="1140"/>
      <w:bookmarkEnd w:id="1141"/>
      <w:bookmarkEnd w:id="1142"/>
      <w:bookmarkEnd w:id="1143"/>
      <w:bookmarkEnd w:id="1144"/>
      <w:bookmarkEnd w:id="1145"/>
      <w:bookmarkEnd w:id="1146"/>
      <w:bookmarkEnd w:id="1147"/>
    </w:p>
    <w:p w14:paraId="2927BA27">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10.2.1  监理人提出的合理化建议缩短了工期、降低工程造价或产生经济效益，发包人可按国家有关规定在专用条款中约定给予奖励；</w:t>
      </w:r>
    </w:p>
    <w:p w14:paraId="46A9E167">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10.2.2  为奖励优质监理服务而设立的奖金，发包人在专用条款中约定；</w:t>
      </w:r>
    </w:p>
    <w:p w14:paraId="28FD0EA1">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10.2.3  除专用条款中约定或招标时特别明确外，发包人对监理人的奖励不应从已中标的监理服务费中提取奖励资金。</w:t>
      </w:r>
    </w:p>
    <w:p w14:paraId="69F846A8">
      <w:pPr>
        <w:pStyle w:val="5"/>
        <w:spacing w:before="0" w:after="0" w:line="324" w:lineRule="auto"/>
        <w:ind w:firstLine="482" w:firstLineChars="200"/>
        <w:rPr>
          <w:rFonts w:ascii="宋体" w:hAnsi="宋体" w:eastAsia="宋体" w:cs="宋体"/>
          <w:b w:val="0"/>
          <w:color w:val="auto"/>
          <w:sz w:val="24"/>
          <w:szCs w:val="24"/>
          <w:highlight w:val="none"/>
        </w:rPr>
      </w:pPr>
      <w:bookmarkStart w:id="1148" w:name="_Toc341805305"/>
      <w:bookmarkStart w:id="1149" w:name="_Toc487619560"/>
      <w:bookmarkStart w:id="1150" w:name="_Toc487291589"/>
      <w:bookmarkStart w:id="1151" w:name="_Toc356567982"/>
      <w:bookmarkStart w:id="1152" w:name="_Toc487653478"/>
      <w:bookmarkStart w:id="1153" w:name="_Toc488650910"/>
      <w:r>
        <w:rPr>
          <w:rFonts w:hint="eastAsia" w:ascii="宋体" w:hAnsi="宋体" w:eastAsia="宋体" w:cs="宋体"/>
          <w:color w:val="auto"/>
          <w:sz w:val="24"/>
          <w:szCs w:val="24"/>
          <w:highlight w:val="none"/>
        </w:rPr>
        <w:t>10.3</w:t>
      </w:r>
      <w:r>
        <w:rPr>
          <w:rFonts w:hint="eastAsia" w:ascii="宋体" w:hAnsi="宋体" w:eastAsia="宋体" w:cs="宋体"/>
          <w:b w:val="0"/>
          <w:color w:val="auto"/>
          <w:sz w:val="24"/>
          <w:szCs w:val="24"/>
          <w:highlight w:val="none"/>
        </w:rPr>
        <w:t xml:space="preserve">  竣工资料</w:t>
      </w:r>
      <w:bookmarkEnd w:id="1148"/>
      <w:bookmarkEnd w:id="1149"/>
      <w:bookmarkEnd w:id="1150"/>
      <w:bookmarkEnd w:id="1151"/>
      <w:bookmarkEnd w:id="1152"/>
      <w:bookmarkEnd w:id="1153"/>
    </w:p>
    <w:p w14:paraId="4B786FED">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监理人提供的竣工资料应符合国家有关要求，提交的竣工资料在专用条款中约定。</w:t>
      </w:r>
    </w:p>
    <w:p w14:paraId="4A793C5E">
      <w:pPr>
        <w:pStyle w:val="5"/>
        <w:spacing w:before="0" w:after="0" w:line="324" w:lineRule="auto"/>
        <w:ind w:firstLine="482" w:firstLineChars="200"/>
        <w:rPr>
          <w:rFonts w:ascii="宋体" w:hAnsi="宋体" w:eastAsia="宋体" w:cs="宋体"/>
          <w:b w:val="0"/>
          <w:color w:val="auto"/>
          <w:sz w:val="24"/>
          <w:szCs w:val="24"/>
          <w:highlight w:val="none"/>
        </w:rPr>
      </w:pPr>
      <w:bookmarkStart w:id="1154" w:name="_Toc283559267"/>
      <w:bookmarkStart w:id="1155" w:name="_Toc487291590"/>
      <w:bookmarkStart w:id="1156" w:name="_Toc487653479"/>
      <w:bookmarkStart w:id="1157" w:name="_Toc487619561"/>
      <w:bookmarkStart w:id="1158" w:name="_Toc488650911"/>
      <w:bookmarkStart w:id="1159" w:name="_Toc356567983"/>
      <w:bookmarkStart w:id="1160" w:name="_Toc341805306"/>
      <w:bookmarkStart w:id="1161" w:name="_Toc283558770"/>
      <w:r>
        <w:rPr>
          <w:rFonts w:hint="eastAsia" w:ascii="宋体" w:hAnsi="宋体" w:eastAsia="宋体" w:cs="宋体"/>
          <w:color w:val="auto"/>
          <w:sz w:val="24"/>
          <w:szCs w:val="24"/>
          <w:highlight w:val="none"/>
        </w:rPr>
        <w:t xml:space="preserve">10.4 </w:t>
      </w:r>
      <w:r>
        <w:rPr>
          <w:rFonts w:hint="eastAsia" w:ascii="宋体" w:hAnsi="宋体" w:eastAsia="宋体" w:cs="宋体"/>
          <w:b w:val="0"/>
          <w:color w:val="auto"/>
          <w:sz w:val="24"/>
          <w:szCs w:val="24"/>
          <w:highlight w:val="none"/>
        </w:rPr>
        <w:t xml:space="preserve"> 利益矛盾</w:t>
      </w:r>
      <w:bookmarkEnd w:id="1154"/>
      <w:bookmarkEnd w:id="1155"/>
      <w:bookmarkEnd w:id="1156"/>
      <w:bookmarkEnd w:id="1157"/>
      <w:bookmarkEnd w:id="1158"/>
      <w:bookmarkEnd w:id="1159"/>
      <w:bookmarkEnd w:id="1160"/>
      <w:bookmarkEnd w:id="1161"/>
    </w:p>
    <w:p w14:paraId="388952FA">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未经发包人书面同意，监理人不得获取本监理合同约定以外的与本工程有关的任何利益，不得参与与本监理合同约定的发包人利益相冲突的任何活动。</w:t>
      </w:r>
    </w:p>
    <w:p w14:paraId="5AC5E4BA">
      <w:pPr>
        <w:rPr>
          <w:color w:val="auto"/>
          <w:sz w:val="24"/>
          <w:highlight w:val="none"/>
        </w:rPr>
      </w:pPr>
    </w:p>
    <w:p w14:paraId="66E0DB59">
      <w:pPr>
        <w:rPr>
          <w:color w:val="auto"/>
          <w:sz w:val="24"/>
          <w:highlight w:val="none"/>
        </w:rPr>
      </w:pPr>
    </w:p>
    <w:p w14:paraId="41577EE5">
      <w:pPr>
        <w:rPr>
          <w:color w:val="auto"/>
          <w:sz w:val="24"/>
          <w:highlight w:val="none"/>
        </w:rPr>
      </w:pPr>
    </w:p>
    <w:p w14:paraId="158BD1B8">
      <w:pPr>
        <w:rPr>
          <w:color w:val="auto"/>
          <w:sz w:val="24"/>
          <w:highlight w:val="none"/>
        </w:rPr>
      </w:pPr>
    </w:p>
    <w:p w14:paraId="391A38B6">
      <w:pPr>
        <w:rPr>
          <w:color w:val="auto"/>
          <w:sz w:val="24"/>
          <w:highlight w:val="none"/>
        </w:rPr>
      </w:pPr>
    </w:p>
    <w:p w14:paraId="06597B20">
      <w:pPr>
        <w:rPr>
          <w:color w:val="auto"/>
          <w:sz w:val="24"/>
          <w:highlight w:val="none"/>
        </w:rPr>
      </w:pPr>
    </w:p>
    <w:p w14:paraId="513ED245">
      <w:pPr>
        <w:rPr>
          <w:color w:val="auto"/>
          <w:sz w:val="24"/>
          <w:highlight w:val="none"/>
        </w:rPr>
      </w:pPr>
    </w:p>
    <w:p w14:paraId="2AEA3868">
      <w:pPr>
        <w:rPr>
          <w:color w:val="auto"/>
          <w:sz w:val="24"/>
          <w:highlight w:val="none"/>
        </w:rPr>
      </w:pPr>
    </w:p>
    <w:p w14:paraId="57C20559">
      <w:pPr>
        <w:rPr>
          <w:color w:val="auto"/>
          <w:sz w:val="24"/>
          <w:highlight w:val="none"/>
        </w:rPr>
      </w:pPr>
    </w:p>
    <w:p w14:paraId="1BB4FDF3">
      <w:pPr>
        <w:rPr>
          <w:color w:val="auto"/>
          <w:sz w:val="24"/>
          <w:highlight w:val="none"/>
        </w:rPr>
      </w:pPr>
    </w:p>
    <w:p w14:paraId="7A2FE962">
      <w:pPr>
        <w:rPr>
          <w:color w:val="auto"/>
          <w:sz w:val="24"/>
          <w:highlight w:val="none"/>
        </w:rPr>
      </w:pPr>
    </w:p>
    <w:p w14:paraId="08B76489">
      <w:pPr>
        <w:rPr>
          <w:color w:val="auto"/>
          <w:sz w:val="24"/>
          <w:highlight w:val="none"/>
        </w:rPr>
      </w:pPr>
    </w:p>
    <w:p w14:paraId="573C8C53">
      <w:pPr>
        <w:rPr>
          <w:color w:val="auto"/>
          <w:sz w:val="24"/>
          <w:highlight w:val="none"/>
        </w:rPr>
      </w:pPr>
    </w:p>
    <w:p w14:paraId="09C7778D">
      <w:pPr>
        <w:rPr>
          <w:color w:val="auto"/>
          <w:sz w:val="24"/>
          <w:highlight w:val="none"/>
        </w:rPr>
      </w:pPr>
    </w:p>
    <w:p w14:paraId="1DE47F36">
      <w:pPr>
        <w:rPr>
          <w:color w:val="auto"/>
          <w:sz w:val="24"/>
          <w:highlight w:val="none"/>
        </w:rPr>
      </w:pPr>
    </w:p>
    <w:p w14:paraId="718ED0DB">
      <w:pPr>
        <w:rPr>
          <w:color w:val="auto"/>
          <w:sz w:val="24"/>
          <w:highlight w:val="none"/>
        </w:rPr>
      </w:pPr>
    </w:p>
    <w:p w14:paraId="7060FB33">
      <w:pPr>
        <w:rPr>
          <w:color w:val="auto"/>
          <w:sz w:val="24"/>
          <w:highlight w:val="none"/>
        </w:rPr>
      </w:pPr>
    </w:p>
    <w:p w14:paraId="76F618DE">
      <w:pPr>
        <w:rPr>
          <w:color w:val="auto"/>
          <w:sz w:val="24"/>
          <w:highlight w:val="none"/>
        </w:rPr>
      </w:pPr>
    </w:p>
    <w:p w14:paraId="435E227E">
      <w:pPr>
        <w:rPr>
          <w:color w:val="auto"/>
          <w:sz w:val="24"/>
          <w:highlight w:val="none"/>
        </w:rPr>
      </w:pPr>
    </w:p>
    <w:p w14:paraId="569FD101">
      <w:pPr>
        <w:rPr>
          <w:color w:val="auto"/>
          <w:sz w:val="24"/>
          <w:highlight w:val="none"/>
        </w:rPr>
      </w:pPr>
    </w:p>
    <w:p w14:paraId="1D16E749">
      <w:pPr>
        <w:pStyle w:val="5"/>
        <w:jc w:val="center"/>
        <w:rPr>
          <w:color w:val="auto"/>
          <w:highlight w:val="none"/>
        </w:rPr>
      </w:pPr>
      <w:bookmarkStart w:id="1162" w:name="_Toc341805307"/>
      <w:bookmarkStart w:id="1163" w:name="_Toc330384467"/>
      <w:bookmarkStart w:id="1164" w:name="_Toc488650912"/>
      <w:r>
        <w:rPr>
          <w:rFonts w:hint="eastAsia"/>
          <w:color w:val="auto"/>
          <w:highlight w:val="none"/>
        </w:rPr>
        <w:t>第二节   专用合同条款</w:t>
      </w:r>
      <w:bookmarkEnd w:id="1162"/>
      <w:bookmarkEnd w:id="1163"/>
      <w:bookmarkEnd w:id="1164"/>
    </w:p>
    <w:p w14:paraId="5F17C678">
      <w:pPr>
        <w:spacing w:line="324" w:lineRule="auto"/>
        <w:ind w:firstLine="480" w:firstLineChars="200"/>
        <w:rPr>
          <w:color w:val="auto"/>
          <w:sz w:val="24"/>
          <w:highlight w:val="none"/>
        </w:rPr>
      </w:pPr>
      <w:r>
        <w:rPr>
          <w:color w:val="auto"/>
          <w:sz w:val="24"/>
          <w:highlight w:val="none"/>
        </w:rPr>
        <w:t>本专用合同条款</w:t>
      </w:r>
      <w:r>
        <w:rPr>
          <w:rFonts w:hint="eastAsia"/>
          <w:color w:val="auto"/>
          <w:sz w:val="24"/>
          <w:highlight w:val="none"/>
        </w:rPr>
        <w:t>是依据通用条款进行编制，</w:t>
      </w:r>
      <w:r>
        <w:rPr>
          <w:color w:val="auto"/>
          <w:sz w:val="24"/>
          <w:highlight w:val="none"/>
        </w:rPr>
        <w:t>发包人</w:t>
      </w:r>
      <w:r>
        <w:rPr>
          <w:rFonts w:hint="eastAsia"/>
          <w:color w:val="auto"/>
          <w:sz w:val="24"/>
          <w:highlight w:val="none"/>
        </w:rPr>
        <w:t>可</w:t>
      </w:r>
      <w:r>
        <w:rPr>
          <w:color w:val="auto"/>
          <w:sz w:val="24"/>
          <w:highlight w:val="none"/>
        </w:rPr>
        <w:t>根据</w:t>
      </w:r>
      <w:r>
        <w:rPr>
          <w:rFonts w:hint="eastAsia"/>
          <w:color w:val="auto"/>
          <w:sz w:val="24"/>
          <w:highlight w:val="none"/>
        </w:rPr>
        <w:t>工程</w:t>
      </w:r>
      <w:r>
        <w:rPr>
          <w:color w:val="auto"/>
          <w:sz w:val="24"/>
          <w:highlight w:val="none"/>
        </w:rPr>
        <w:t>的特点</w:t>
      </w:r>
      <w:r>
        <w:rPr>
          <w:rFonts w:hint="eastAsia"/>
          <w:color w:val="auto"/>
          <w:sz w:val="24"/>
          <w:highlight w:val="none"/>
        </w:rPr>
        <w:t>、</w:t>
      </w:r>
      <w:r>
        <w:rPr>
          <w:color w:val="auto"/>
          <w:sz w:val="24"/>
          <w:highlight w:val="none"/>
        </w:rPr>
        <w:t>环境</w:t>
      </w:r>
      <w:r>
        <w:rPr>
          <w:rFonts w:hint="eastAsia"/>
          <w:color w:val="auto"/>
          <w:sz w:val="24"/>
          <w:highlight w:val="none"/>
        </w:rPr>
        <w:t>及针对工程的特殊要求</w:t>
      </w:r>
      <w:r>
        <w:rPr>
          <w:color w:val="auto"/>
          <w:sz w:val="24"/>
          <w:highlight w:val="none"/>
        </w:rPr>
        <w:t>，在此进行补充或</w:t>
      </w:r>
      <w:r>
        <w:rPr>
          <w:rFonts w:hint="eastAsia"/>
          <w:color w:val="auto"/>
          <w:sz w:val="24"/>
          <w:highlight w:val="none"/>
        </w:rPr>
        <w:t>明确</w:t>
      </w:r>
      <w:r>
        <w:rPr>
          <w:color w:val="auto"/>
          <w:sz w:val="24"/>
          <w:highlight w:val="none"/>
        </w:rPr>
        <w:t>，</w:t>
      </w:r>
      <w:r>
        <w:rPr>
          <w:rFonts w:hint="eastAsia"/>
          <w:color w:val="auto"/>
          <w:sz w:val="24"/>
          <w:highlight w:val="none"/>
        </w:rPr>
        <w:t>但不得影响通用条款的主旨和本意</w:t>
      </w:r>
      <w:r>
        <w:rPr>
          <w:color w:val="auto"/>
          <w:sz w:val="24"/>
          <w:highlight w:val="none"/>
        </w:rPr>
        <w:t>。</w:t>
      </w:r>
    </w:p>
    <w:p w14:paraId="0E6C137A">
      <w:pPr>
        <w:spacing w:line="324" w:lineRule="auto"/>
        <w:ind w:firstLine="480" w:firstLineChars="200"/>
        <w:outlineLvl w:val="0"/>
        <w:rPr>
          <w:color w:val="auto"/>
          <w:sz w:val="24"/>
          <w:highlight w:val="none"/>
        </w:rPr>
      </w:pPr>
      <w:bookmarkStart w:id="1165" w:name="_Toc487653481"/>
      <w:bookmarkStart w:id="1166" w:name="_Toc488650913"/>
      <w:bookmarkStart w:id="1167" w:name="_Toc487619563"/>
      <w:bookmarkStart w:id="1168" w:name="_Toc487291592"/>
      <w:r>
        <w:rPr>
          <w:rFonts w:hint="eastAsia"/>
          <w:color w:val="auto"/>
          <w:sz w:val="24"/>
          <w:highlight w:val="none"/>
        </w:rPr>
        <w:t>1．一般约定</w:t>
      </w:r>
      <w:bookmarkEnd w:id="1165"/>
      <w:bookmarkEnd w:id="1166"/>
      <w:bookmarkEnd w:id="1167"/>
      <w:bookmarkEnd w:id="1168"/>
    </w:p>
    <w:p w14:paraId="3428F9AE">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1.1.2（2）发包人：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6B57BE6">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1.1.3（1）工程：</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B482078">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1.1.3（2）项目：</w:t>
      </w:r>
    </w:p>
    <w:p w14:paraId="27F4AB9C">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45A6EA3">
      <w:pPr>
        <w:autoSpaceDE w:val="0"/>
        <w:autoSpaceDN w:val="0"/>
        <w:adjustRightInd w:val="0"/>
        <w:snapToGrid w:val="0"/>
        <w:spacing w:line="42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项目地点：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208A2F8">
      <w:pPr>
        <w:tabs>
          <w:tab w:val="left" w:pos="8400"/>
        </w:tabs>
        <w:autoSpaceDE w:val="0"/>
        <w:autoSpaceDN w:val="0"/>
        <w:adjustRightInd w:val="0"/>
        <w:snapToGrid w:val="0"/>
        <w:spacing w:line="42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项目规模：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78E12B4">
      <w:pPr>
        <w:autoSpaceDE w:val="0"/>
        <w:autoSpaceDN w:val="0"/>
        <w:adjustRightInd w:val="0"/>
        <w:snapToGrid w:val="0"/>
        <w:spacing w:line="42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项目内容：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6340A77">
      <w:pPr>
        <w:autoSpaceDE w:val="0"/>
        <w:autoSpaceDN w:val="0"/>
        <w:adjustRightInd w:val="0"/>
        <w:snapToGrid w:val="0"/>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项目总投资：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52F6175">
      <w:pPr>
        <w:autoSpaceDE w:val="0"/>
        <w:autoSpaceDN w:val="0"/>
        <w:adjustRightInd w:val="0"/>
        <w:snapToGrid w:val="0"/>
        <w:spacing w:line="324" w:lineRule="auto"/>
        <w:ind w:firstLine="480" w:firstLineChars="200"/>
        <w:rPr>
          <w:rFonts w:cs="宋体"/>
          <w:color w:val="auto"/>
          <w:sz w:val="24"/>
          <w:highlight w:val="none"/>
        </w:rPr>
      </w:pPr>
      <w:r>
        <w:rPr>
          <w:rFonts w:hint="eastAsia" w:cs="宋体"/>
          <w:color w:val="auto"/>
          <w:sz w:val="24"/>
          <w:highlight w:val="none"/>
        </w:rPr>
        <w:t>1.1.4（2） 缺陷责任期：</w:t>
      </w:r>
      <w:r>
        <w:rPr>
          <w:rFonts w:hint="eastAsia" w:cs="宋体"/>
          <w:color w:val="auto"/>
          <w:sz w:val="24"/>
          <w:highlight w:val="none"/>
          <w:u w:val="single"/>
        </w:rPr>
        <w:t xml:space="preserve">     </w:t>
      </w:r>
      <w:r>
        <w:rPr>
          <w:rFonts w:hint="eastAsia" w:cs="宋体"/>
          <w:color w:val="auto"/>
          <w:sz w:val="24"/>
          <w:highlight w:val="none"/>
        </w:rPr>
        <w:t>个月。</w:t>
      </w:r>
    </w:p>
    <w:p w14:paraId="0FC03172">
      <w:pPr>
        <w:autoSpaceDE w:val="0"/>
        <w:autoSpaceDN w:val="0"/>
        <w:adjustRightInd w:val="0"/>
        <w:snapToGrid w:val="0"/>
        <w:spacing w:line="324" w:lineRule="auto"/>
        <w:ind w:firstLine="480" w:firstLineChars="200"/>
        <w:rPr>
          <w:rFonts w:cs="宋体"/>
          <w:color w:val="auto"/>
          <w:sz w:val="24"/>
          <w:highlight w:val="none"/>
          <w:u w:val="single"/>
        </w:rPr>
      </w:pPr>
      <w:r>
        <w:rPr>
          <w:rFonts w:hint="eastAsia" w:cs="宋体"/>
          <w:color w:val="auto"/>
          <w:sz w:val="24"/>
          <w:highlight w:val="none"/>
        </w:rPr>
        <w:t>1.6.2监理人向发包人提交监理规划的期限：在监理合同协议书签订后</w:t>
      </w:r>
      <w:r>
        <w:rPr>
          <w:rFonts w:hint="eastAsia" w:cs="宋体"/>
          <w:color w:val="auto"/>
          <w:sz w:val="24"/>
          <w:highlight w:val="none"/>
          <w:u w:val="single"/>
        </w:rPr>
        <w:t xml:space="preserve">    </w:t>
      </w:r>
      <w:r>
        <w:rPr>
          <w:rFonts w:hint="eastAsia" w:cs="宋体"/>
          <w:color w:val="auto"/>
          <w:sz w:val="24"/>
          <w:highlight w:val="none"/>
        </w:rPr>
        <w:t>日内。</w:t>
      </w:r>
    </w:p>
    <w:p w14:paraId="4CADB7ED">
      <w:pPr>
        <w:spacing w:line="324" w:lineRule="auto"/>
        <w:ind w:firstLine="480" w:firstLineChars="200"/>
        <w:rPr>
          <w:color w:val="auto"/>
          <w:sz w:val="24"/>
          <w:highlight w:val="none"/>
        </w:rPr>
      </w:pPr>
      <w:bookmarkStart w:id="1169" w:name="_Toc286759119"/>
      <w:bookmarkStart w:id="1170" w:name="_Toc283558777"/>
      <w:bookmarkStart w:id="1171" w:name="_Toc341805308"/>
      <w:bookmarkStart w:id="1172" w:name="_Toc283559274"/>
      <w:bookmarkStart w:id="1173" w:name="_Toc341015683"/>
      <w:bookmarkStart w:id="1174" w:name="_Toc307991217"/>
      <w:bookmarkStart w:id="1175" w:name="_Toc336172257"/>
      <w:bookmarkStart w:id="1176" w:name="_Toc330384468"/>
      <w:r>
        <w:rPr>
          <w:rFonts w:hint="eastAsia"/>
          <w:color w:val="auto"/>
          <w:sz w:val="24"/>
          <w:highlight w:val="none"/>
        </w:rPr>
        <w:t>2．发包人的义务</w:t>
      </w:r>
      <w:bookmarkEnd w:id="1169"/>
      <w:bookmarkEnd w:id="1170"/>
      <w:bookmarkEnd w:id="1171"/>
      <w:bookmarkEnd w:id="1172"/>
      <w:bookmarkEnd w:id="1173"/>
      <w:bookmarkEnd w:id="1174"/>
      <w:bookmarkEnd w:id="1175"/>
      <w:bookmarkEnd w:id="1176"/>
      <w:r>
        <w:rPr>
          <w:rFonts w:hint="eastAsia"/>
          <w:color w:val="auto"/>
          <w:sz w:val="24"/>
          <w:highlight w:val="none"/>
        </w:rPr>
        <w:t xml:space="preserve"> </w:t>
      </w:r>
    </w:p>
    <w:p w14:paraId="3A67317E">
      <w:pPr>
        <w:spacing w:line="324" w:lineRule="auto"/>
        <w:ind w:firstLine="480" w:firstLineChars="200"/>
        <w:outlineLvl w:val="0"/>
        <w:rPr>
          <w:color w:val="auto"/>
          <w:sz w:val="24"/>
          <w:highlight w:val="none"/>
        </w:rPr>
      </w:pPr>
      <w:bookmarkStart w:id="1177" w:name="_Toc488650914"/>
      <w:bookmarkStart w:id="1178" w:name="_Toc487619564"/>
      <w:bookmarkStart w:id="1179" w:name="_Toc487653482"/>
      <w:bookmarkStart w:id="1180" w:name="_Toc487291593"/>
      <w:bookmarkStart w:id="1181" w:name="_Toc283558786"/>
      <w:bookmarkStart w:id="1182" w:name="_Toc283559283"/>
      <w:r>
        <w:rPr>
          <w:rFonts w:hint="eastAsia"/>
          <w:color w:val="auto"/>
          <w:sz w:val="24"/>
          <w:highlight w:val="none"/>
        </w:rPr>
        <w:t>2.2  监理工作条件</w:t>
      </w:r>
      <w:bookmarkEnd w:id="1177"/>
      <w:bookmarkEnd w:id="1178"/>
      <w:bookmarkEnd w:id="1179"/>
      <w:bookmarkEnd w:id="1180"/>
    </w:p>
    <w:p w14:paraId="643117C0">
      <w:pPr>
        <w:autoSpaceDE w:val="0"/>
        <w:autoSpaceDN w:val="0"/>
        <w:adjustRightInd w:val="0"/>
        <w:snapToGrid w:val="0"/>
        <w:spacing w:line="324" w:lineRule="auto"/>
        <w:ind w:firstLine="480" w:firstLineChars="200"/>
        <w:rPr>
          <w:rFonts w:cs="宋体"/>
          <w:color w:val="auto"/>
          <w:sz w:val="24"/>
          <w:highlight w:val="none"/>
        </w:rPr>
      </w:pPr>
      <w:bookmarkStart w:id="1183" w:name="_Toc307991225"/>
      <w:bookmarkStart w:id="1184" w:name="_Toc330384469"/>
      <w:bookmarkStart w:id="1185" w:name="_Toc336172258"/>
      <w:bookmarkStart w:id="1186" w:name="_Toc286759128"/>
      <w:r>
        <w:rPr>
          <w:rFonts w:hint="eastAsia" w:cs="宋体"/>
          <w:color w:val="auto"/>
          <w:sz w:val="24"/>
          <w:highlight w:val="none"/>
        </w:rPr>
        <w:t>发包人向监理人提供：</w:t>
      </w:r>
      <w:r>
        <w:rPr>
          <w:rFonts w:hint="eastAsia" w:cs="宋体"/>
          <w:color w:val="auto"/>
          <w:sz w:val="24"/>
          <w:highlight w:val="none"/>
          <w:u w:val="single"/>
        </w:rPr>
        <w:t xml:space="preserve">                                              </w:t>
      </w:r>
      <w:r>
        <w:rPr>
          <w:rFonts w:hint="eastAsia" w:cs="宋体"/>
          <w:color w:val="auto"/>
          <w:sz w:val="24"/>
          <w:highlight w:val="none"/>
        </w:rPr>
        <w:t>。</w:t>
      </w:r>
      <w:bookmarkEnd w:id="1183"/>
      <w:bookmarkEnd w:id="1184"/>
      <w:bookmarkEnd w:id="1185"/>
      <w:bookmarkEnd w:id="1186"/>
    </w:p>
    <w:p w14:paraId="3E90B93F">
      <w:pPr>
        <w:spacing w:line="324" w:lineRule="auto"/>
        <w:ind w:firstLine="480" w:firstLineChars="200"/>
        <w:rPr>
          <w:color w:val="auto"/>
          <w:sz w:val="24"/>
          <w:highlight w:val="none"/>
        </w:rPr>
      </w:pPr>
      <w:r>
        <w:rPr>
          <w:rFonts w:hint="eastAsia"/>
          <w:color w:val="auto"/>
          <w:sz w:val="24"/>
          <w:highlight w:val="none"/>
        </w:rPr>
        <w:t>2.5  代表</w:t>
      </w:r>
      <w:bookmarkEnd w:id="1181"/>
      <w:bookmarkEnd w:id="1182"/>
    </w:p>
    <w:p w14:paraId="67AF3C84">
      <w:pPr>
        <w:autoSpaceDE w:val="0"/>
        <w:autoSpaceDN w:val="0"/>
        <w:adjustRightInd w:val="0"/>
        <w:snapToGrid w:val="0"/>
        <w:spacing w:line="324" w:lineRule="auto"/>
        <w:ind w:firstLine="480" w:firstLineChars="200"/>
        <w:rPr>
          <w:rFonts w:cs="宋体"/>
          <w:color w:val="auto"/>
          <w:sz w:val="24"/>
          <w:highlight w:val="none"/>
        </w:rPr>
      </w:pPr>
      <w:bookmarkStart w:id="1187" w:name="_Toc330384470"/>
      <w:bookmarkStart w:id="1188" w:name="_Toc341805310"/>
      <w:bookmarkStart w:id="1189" w:name="_Toc356567988"/>
      <w:bookmarkStart w:id="1190" w:name="_Toc336172259"/>
      <w:bookmarkStart w:id="1191" w:name="_Toc341015685"/>
      <w:r>
        <w:rPr>
          <w:rFonts w:hint="eastAsia" w:cs="宋体"/>
          <w:color w:val="auto"/>
          <w:sz w:val="24"/>
          <w:highlight w:val="none"/>
        </w:rPr>
        <w:t>发包人授权代表：</w:t>
      </w:r>
      <w:r>
        <w:rPr>
          <w:rFonts w:hint="eastAsia" w:cs="宋体"/>
          <w:color w:val="auto"/>
          <w:sz w:val="24"/>
          <w:highlight w:val="none"/>
          <w:u w:val="single"/>
        </w:rPr>
        <w:t xml:space="preserve">                                                   </w:t>
      </w:r>
      <w:r>
        <w:rPr>
          <w:rFonts w:hint="eastAsia" w:cs="宋体"/>
          <w:color w:val="auto"/>
          <w:sz w:val="24"/>
          <w:highlight w:val="none"/>
        </w:rPr>
        <w:t>。</w:t>
      </w:r>
      <w:bookmarkEnd w:id="1187"/>
      <w:bookmarkEnd w:id="1188"/>
      <w:bookmarkEnd w:id="1189"/>
      <w:bookmarkEnd w:id="1190"/>
      <w:bookmarkEnd w:id="1191"/>
    </w:p>
    <w:p w14:paraId="02AB3249">
      <w:pPr>
        <w:spacing w:line="324" w:lineRule="auto"/>
        <w:ind w:firstLine="480" w:firstLineChars="200"/>
        <w:rPr>
          <w:color w:val="auto"/>
          <w:sz w:val="24"/>
          <w:highlight w:val="none"/>
        </w:rPr>
      </w:pPr>
      <w:bookmarkStart w:id="1192" w:name="_Toc341015686"/>
      <w:bookmarkStart w:id="1193" w:name="_Toc336172260"/>
      <w:bookmarkStart w:id="1194" w:name="_Toc341805311"/>
      <w:bookmarkStart w:id="1195" w:name="_Toc330384474"/>
      <w:r>
        <w:rPr>
          <w:rFonts w:hint="eastAsia"/>
          <w:color w:val="auto"/>
          <w:sz w:val="24"/>
          <w:highlight w:val="none"/>
        </w:rPr>
        <w:t>4．监理服务</w:t>
      </w:r>
      <w:bookmarkEnd w:id="1192"/>
      <w:bookmarkEnd w:id="1193"/>
      <w:bookmarkEnd w:id="1194"/>
      <w:bookmarkEnd w:id="1195"/>
    </w:p>
    <w:p w14:paraId="3BCDC77C">
      <w:pPr>
        <w:spacing w:line="324" w:lineRule="auto"/>
        <w:ind w:firstLine="480" w:firstLineChars="200"/>
        <w:rPr>
          <w:color w:val="auto"/>
          <w:sz w:val="24"/>
          <w:highlight w:val="none"/>
        </w:rPr>
      </w:pPr>
      <w:bookmarkStart w:id="1196" w:name="_Toc286759121"/>
      <w:bookmarkStart w:id="1197" w:name="_Toc307991218"/>
      <w:bookmarkStart w:id="1198" w:name="_Toc283559276"/>
      <w:bookmarkStart w:id="1199" w:name="_Toc283558779"/>
      <w:r>
        <w:rPr>
          <w:rFonts w:hint="eastAsia"/>
          <w:color w:val="auto"/>
          <w:sz w:val="24"/>
          <w:highlight w:val="none"/>
        </w:rPr>
        <w:t>4.1  监理机构形式</w:t>
      </w:r>
    </w:p>
    <w:p w14:paraId="11FA5176">
      <w:pPr>
        <w:autoSpaceDE w:val="0"/>
        <w:autoSpaceDN w:val="0"/>
        <w:adjustRightInd w:val="0"/>
        <w:snapToGrid w:val="0"/>
        <w:spacing w:line="324" w:lineRule="auto"/>
        <w:ind w:firstLine="480" w:firstLineChars="200"/>
        <w:rPr>
          <w:rFonts w:cs="宋体"/>
          <w:color w:val="auto"/>
          <w:sz w:val="24"/>
          <w:highlight w:val="none"/>
        </w:rPr>
      </w:pPr>
      <w:bookmarkStart w:id="1200" w:name="_Toc330384475"/>
      <w:bookmarkStart w:id="1201" w:name="_Toc341805312"/>
      <w:bookmarkStart w:id="1202" w:name="_Toc336172261"/>
      <w:bookmarkStart w:id="1203" w:name="_Toc356567990"/>
      <w:bookmarkStart w:id="1204" w:name="_Toc341015687"/>
      <w:r>
        <w:rPr>
          <w:rFonts w:hint="eastAsia" w:cs="宋体"/>
          <w:color w:val="auto"/>
          <w:sz w:val="24"/>
          <w:highlight w:val="none"/>
        </w:rPr>
        <w:t>监理机构形式：</w:t>
      </w:r>
      <w:r>
        <w:rPr>
          <w:rFonts w:hint="eastAsia" w:cs="宋体"/>
          <w:color w:val="auto"/>
          <w:sz w:val="24"/>
          <w:highlight w:val="none"/>
          <w:u w:val="single"/>
        </w:rPr>
        <w:t xml:space="preserve">                                                         </w:t>
      </w:r>
      <w:r>
        <w:rPr>
          <w:rFonts w:hint="eastAsia" w:cs="宋体"/>
          <w:color w:val="auto"/>
          <w:sz w:val="24"/>
          <w:highlight w:val="none"/>
        </w:rPr>
        <w:t>。</w:t>
      </w:r>
      <w:bookmarkEnd w:id="1200"/>
      <w:bookmarkEnd w:id="1201"/>
      <w:bookmarkEnd w:id="1202"/>
      <w:bookmarkEnd w:id="1203"/>
      <w:bookmarkEnd w:id="1204"/>
    </w:p>
    <w:p w14:paraId="77EDBC8C">
      <w:pPr>
        <w:spacing w:line="324" w:lineRule="auto"/>
        <w:ind w:firstLine="480" w:firstLineChars="200"/>
        <w:rPr>
          <w:color w:val="auto"/>
          <w:sz w:val="24"/>
          <w:highlight w:val="none"/>
        </w:rPr>
      </w:pPr>
      <w:bookmarkStart w:id="1205" w:name="_Toc330384476"/>
      <w:bookmarkStart w:id="1206" w:name="_Toc341805313"/>
      <w:bookmarkStart w:id="1207" w:name="_Toc356567991"/>
      <w:bookmarkStart w:id="1208" w:name="_Toc336172262"/>
      <w:bookmarkStart w:id="1209" w:name="_Toc341015688"/>
      <w:r>
        <w:rPr>
          <w:rFonts w:hint="eastAsia"/>
          <w:color w:val="auto"/>
          <w:sz w:val="24"/>
          <w:highlight w:val="none"/>
        </w:rPr>
        <w:t>4.2监理服务范围</w:t>
      </w:r>
    </w:p>
    <w:p w14:paraId="18D50F15">
      <w:pPr>
        <w:autoSpaceDE w:val="0"/>
        <w:autoSpaceDN w:val="0"/>
        <w:adjustRightInd w:val="0"/>
        <w:snapToGrid w:val="0"/>
        <w:spacing w:line="324" w:lineRule="auto"/>
        <w:ind w:firstLine="480" w:firstLineChars="200"/>
        <w:rPr>
          <w:rFonts w:cs="宋体"/>
          <w:color w:val="auto"/>
          <w:sz w:val="24"/>
          <w:highlight w:val="none"/>
        </w:rPr>
      </w:pPr>
      <w:r>
        <w:rPr>
          <w:rFonts w:hint="eastAsia" w:cs="宋体"/>
          <w:color w:val="auto"/>
          <w:sz w:val="24"/>
          <w:highlight w:val="none"/>
        </w:rPr>
        <w:t>4.2.1  监理服务的工程范围</w:t>
      </w:r>
      <w:bookmarkEnd w:id="1196"/>
      <w:bookmarkEnd w:id="1197"/>
      <w:bookmarkEnd w:id="1198"/>
      <w:bookmarkEnd w:id="1199"/>
      <w:r>
        <w:rPr>
          <w:rFonts w:hint="eastAsia" w:cs="宋体"/>
          <w:color w:val="auto"/>
          <w:sz w:val="24"/>
          <w:highlight w:val="none"/>
        </w:rPr>
        <w:t>：</w:t>
      </w:r>
      <w:r>
        <w:rPr>
          <w:rFonts w:hint="eastAsia" w:cs="宋体"/>
          <w:color w:val="auto"/>
          <w:sz w:val="24"/>
          <w:highlight w:val="none"/>
          <w:u w:val="single"/>
        </w:rPr>
        <w:t xml:space="preserve">                                             </w:t>
      </w:r>
      <w:r>
        <w:rPr>
          <w:rFonts w:hint="eastAsia" w:cs="宋体"/>
          <w:color w:val="auto"/>
          <w:sz w:val="24"/>
          <w:highlight w:val="none"/>
        </w:rPr>
        <w:t>。</w:t>
      </w:r>
      <w:bookmarkEnd w:id="1205"/>
      <w:bookmarkEnd w:id="1206"/>
      <w:bookmarkEnd w:id="1207"/>
      <w:bookmarkEnd w:id="1208"/>
      <w:bookmarkEnd w:id="1209"/>
    </w:p>
    <w:p w14:paraId="10C3505A">
      <w:pPr>
        <w:autoSpaceDE w:val="0"/>
        <w:autoSpaceDN w:val="0"/>
        <w:adjustRightInd w:val="0"/>
        <w:snapToGrid w:val="0"/>
        <w:spacing w:line="324" w:lineRule="auto"/>
        <w:ind w:firstLine="480" w:firstLineChars="200"/>
        <w:rPr>
          <w:rFonts w:cs="宋体"/>
          <w:color w:val="auto"/>
          <w:sz w:val="24"/>
          <w:highlight w:val="none"/>
        </w:rPr>
      </w:pPr>
      <w:bookmarkStart w:id="1210" w:name="_Toc286759122"/>
      <w:bookmarkStart w:id="1211" w:name="_Toc283558780"/>
      <w:bookmarkStart w:id="1212" w:name="_Toc307991219"/>
      <w:bookmarkStart w:id="1213" w:name="_Toc341015689"/>
      <w:bookmarkStart w:id="1214" w:name="_Toc283559277"/>
      <w:bookmarkStart w:id="1215" w:name="_Toc330384477"/>
      <w:bookmarkStart w:id="1216" w:name="_Toc356567992"/>
      <w:bookmarkStart w:id="1217" w:name="_Toc336172263"/>
      <w:bookmarkStart w:id="1218" w:name="_Toc341805314"/>
      <w:r>
        <w:rPr>
          <w:rFonts w:hint="eastAsia" w:cs="宋体"/>
          <w:color w:val="auto"/>
          <w:sz w:val="24"/>
          <w:highlight w:val="none"/>
        </w:rPr>
        <w:t>4.2.2  监理服务的工作范围：</w:t>
      </w:r>
      <w:bookmarkEnd w:id="1210"/>
      <w:bookmarkEnd w:id="1211"/>
      <w:bookmarkEnd w:id="1212"/>
      <w:bookmarkEnd w:id="1213"/>
      <w:bookmarkEnd w:id="1214"/>
      <w:bookmarkEnd w:id="1215"/>
      <w:bookmarkEnd w:id="1216"/>
      <w:bookmarkEnd w:id="1217"/>
      <w:bookmarkEnd w:id="1218"/>
    </w:p>
    <w:p w14:paraId="6E2419DD">
      <w:pPr>
        <w:autoSpaceDE w:val="0"/>
        <w:autoSpaceDN w:val="0"/>
        <w:adjustRightInd w:val="0"/>
        <w:snapToGrid w:val="0"/>
        <w:spacing w:line="324" w:lineRule="auto"/>
        <w:ind w:firstLine="480" w:firstLineChars="200"/>
        <w:jc w:val="left"/>
        <w:rPr>
          <w:rFonts w:cs="宋体"/>
          <w:color w:val="auto"/>
          <w:sz w:val="24"/>
          <w:highlight w:val="none"/>
        </w:rPr>
      </w:pPr>
      <w:bookmarkStart w:id="1219" w:name="_Toc341805315"/>
      <w:bookmarkStart w:id="1220" w:name="_Toc336172264"/>
      <w:bookmarkStart w:id="1221" w:name="_Toc330384478"/>
      <w:bookmarkStart w:id="1222" w:name="_Toc341015690"/>
      <w:bookmarkStart w:id="1223" w:name="_Toc356567993"/>
      <w:r>
        <w:rPr>
          <w:rFonts w:hint="eastAsia" w:cs="宋体"/>
          <w:color w:val="auto"/>
          <w:sz w:val="24"/>
          <w:highlight w:val="none"/>
        </w:rPr>
        <w:t>（1）正常监理服务的范围：</w:t>
      </w:r>
      <w:bookmarkEnd w:id="1219"/>
      <w:bookmarkEnd w:id="1220"/>
      <w:bookmarkEnd w:id="1221"/>
      <w:bookmarkEnd w:id="1222"/>
      <w:bookmarkEnd w:id="1223"/>
      <w:r>
        <w:rPr>
          <w:rFonts w:hint="eastAsia" w:cs="宋体"/>
          <w:color w:val="auto"/>
          <w:sz w:val="24"/>
          <w:highlight w:val="none"/>
          <w:u w:val="single"/>
        </w:rPr>
        <w:t xml:space="preserve">                                                </w:t>
      </w:r>
      <w:r>
        <w:rPr>
          <w:rFonts w:hint="eastAsia" w:cs="宋体"/>
          <w:color w:val="auto"/>
          <w:sz w:val="24"/>
          <w:highlight w:val="none"/>
        </w:rPr>
        <w:t>。</w:t>
      </w:r>
    </w:p>
    <w:p w14:paraId="5334A7BB">
      <w:pPr>
        <w:autoSpaceDE w:val="0"/>
        <w:autoSpaceDN w:val="0"/>
        <w:adjustRightInd w:val="0"/>
        <w:snapToGrid w:val="0"/>
        <w:spacing w:line="324" w:lineRule="auto"/>
        <w:ind w:firstLine="480" w:firstLineChars="200"/>
        <w:jc w:val="left"/>
        <w:rPr>
          <w:rFonts w:cs="宋体"/>
          <w:color w:val="auto"/>
          <w:sz w:val="24"/>
          <w:highlight w:val="none"/>
        </w:rPr>
      </w:pPr>
      <w:bookmarkStart w:id="1224" w:name="_Toc330384479"/>
      <w:bookmarkStart w:id="1225" w:name="_Toc341015691"/>
      <w:bookmarkStart w:id="1226" w:name="_Toc356567994"/>
      <w:bookmarkStart w:id="1227" w:name="_Toc336172265"/>
      <w:bookmarkStart w:id="1228" w:name="_Toc341805316"/>
      <w:bookmarkStart w:id="1229" w:name="_Toc286759123"/>
      <w:bookmarkStart w:id="1230" w:name="_Toc283559278"/>
      <w:bookmarkStart w:id="1231" w:name="_Toc307991220"/>
      <w:bookmarkStart w:id="1232" w:name="_Toc283558781"/>
      <w:r>
        <w:rPr>
          <w:rFonts w:hint="eastAsia" w:cs="宋体"/>
          <w:color w:val="auto"/>
          <w:sz w:val="24"/>
          <w:highlight w:val="none"/>
        </w:rPr>
        <w:t>（2）④缺陷责任期的监理服务范围：</w:t>
      </w:r>
      <w:r>
        <w:rPr>
          <w:rFonts w:hint="eastAsia" w:cs="宋体"/>
          <w:color w:val="auto"/>
          <w:sz w:val="24"/>
          <w:highlight w:val="none"/>
          <w:u w:val="single"/>
        </w:rPr>
        <w:t xml:space="preserve">                                      </w:t>
      </w:r>
      <w:r>
        <w:rPr>
          <w:rFonts w:hint="eastAsia" w:cs="宋体"/>
          <w:color w:val="auto"/>
          <w:sz w:val="24"/>
          <w:highlight w:val="none"/>
        </w:rPr>
        <w:t>。</w:t>
      </w:r>
      <w:bookmarkEnd w:id="1224"/>
      <w:bookmarkEnd w:id="1225"/>
      <w:bookmarkEnd w:id="1226"/>
      <w:bookmarkEnd w:id="1227"/>
      <w:bookmarkEnd w:id="1228"/>
    </w:p>
    <w:p w14:paraId="3C6BD9E6">
      <w:pPr>
        <w:spacing w:line="324" w:lineRule="auto"/>
        <w:ind w:firstLine="480" w:firstLineChars="200"/>
        <w:outlineLvl w:val="0"/>
        <w:rPr>
          <w:color w:val="auto"/>
          <w:sz w:val="24"/>
          <w:highlight w:val="none"/>
        </w:rPr>
      </w:pPr>
      <w:bookmarkStart w:id="1233" w:name="_Toc488650915"/>
      <w:bookmarkStart w:id="1234" w:name="_Toc487291594"/>
      <w:bookmarkStart w:id="1235" w:name="_Toc487619565"/>
      <w:bookmarkStart w:id="1236" w:name="_Toc487653483"/>
      <w:r>
        <w:rPr>
          <w:rFonts w:hint="eastAsia"/>
          <w:color w:val="auto"/>
          <w:sz w:val="24"/>
          <w:highlight w:val="none"/>
        </w:rPr>
        <w:t>4.3  服务</w:t>
      </w:r>
      <w:bookmarkEnd w:id="1229"/>
      <w:bookmarkEnd w:id="1230"/>
      <w:bookmarkEnd w:id="1231"/>
      <w:bookmarkEnd w:id="1232"/>
      <w:r>
        <w:rPr>
          <w:rFonts w:hint="eastAsia"/>
          <w:color w:val="auto"/>
          <w:sz w:val="24"/>
          <w:highlight w:val="none"/>
        </w:rPr>
        <w:t>要求</w:t>
      </w:r>
      <w:bookmarkEnd w:id="1233"/>
      <w:bookmarkEnd w:id="1234"/>
      <w:bookmarkEnd w:id="1235"/>
      <w:bookmarkEnd w:id="1236"/>
    </w:p>
    <w:p w14:paraId="43FD8728">
      <w:pPr>
        <w:autoSpaceDE w:val="0"/>
        <w:autoSpaceDN w:val="0"/>
        <w:adjustRightInd w:val="0"/>
        <w:snapToGrid w:val="0"/>
        <w:spacing w:line="324" w:lineRule="auto"/>
        <w:ind w:firstLine="480" w:firstLineChars="200"/>
        <w:jc w:val="left"/>
        <w:rPr>
          <w:rFonts w:cs="宋体"/>
          <w:color w:val="auto"/>
          <w:sz w:val="24"/>
          <w:highlight w:val="none"/>
        </w:rPr>
      </w:pPr>
      <w:bookmarkStart w:id="1237" w:name="_Toc283558782"/>
      <w:bookmarkStart w:id="1238" w:name="_Toc283559279"/>
      <w:bookmarkStart w:id="1239" w:name="_Toc286759124"/>
      <w:bookmarkStart w:id="1240" w:name="_Toc307991221"/>
      <w:bookmarkStart w:id="1241" w:name="_Toc341015692"/>
      <w:bookmarkStart w:id="1242" w:name="_Toc341805317"/>
      <w:bookmarkStart w:id="1243" w:name="_Toc356567995"/>
      <w:bookmarkStart w:id="1244" w:name="_Toc336172266"/>
      <w:bookmarkStart w:id="1245" w:name="_Toc330384480"/>
      <w:r>
        <w:rPr>
          <w:rFonts w:hint="eastAsia" w:cs="宋体"/>
          <w:color w:val="auto"/>
          <w:sz w:val="24"/>
          <w:highlight w:val="none"/>
        </w:rPr>
        <w:t>4.3.2  对第三方履约管理的服务目标：</w:t>
      </w:r>
      <w:bookmarkEnd w:id="1237"/>
      <w:bookmarkEnd w:id="1238"/>
      <w:bookmarkEnd w:id="1239"/>
      <w:bookmarkEnd w:id="1240"/>
      <w:r>
        <w:rPr>
          <w:rFonts w:hint="eastAsia" w:cs="宋体"/>
          <w:color w:val="auto"/>
          <w:sz w:val="24"/>
          <w:highlight w:val="none"/>
          <w:u w:val="single"/>
        </w:rPr>
        <w:t xml:space="preserve">                                     </w:t>
      </w:r>
      <w:r>
        <w:rPr>
          <w:rFonts w:hint="eastAsia" w:cs="宋体"/>
          <w:color w:val="auto"/>
          <w:sz w:val="24"/>
          <w:highlight w:val="none"/>
        </w:rPr>
        <w:t>。</w:t>
      </w:r>
      <w:bookmarkEnd w:id="1241"/>
      <w:bookmarkEnd w:id="1242"/>
      <w:bookmarkEnd w:id="1243"/>
      <w:bookmarkEnd w:id="1244"/>
      <w:bookmarkEnd w:id="1245"/>
    </w:p>
    <w:p w14:paraId="6018108B">
      <w:pPr>
        <w:spacing w:line="324" w:lineRule="auto"/>
        <w:ind w:firstLine="480" w:firstLineChars="200"/>
        <w:outlineLvl w:val="0"/>
        <w:rPr>
          <w:color w:val="auto"/>
          <w:sz w:val="24"/>
          <w:highlight w:val="none"/>
        </w:rPr>
      </w:pPr>
      <w:bookmarkStart w:id="1246" w:name="_Toc283559280"/>
      <w:bookmarkStart w:id="1247" w:name="_Toc286759125"/>
      <w:bookmarkStart w:id="1248" w:name="_Toc307991222"/>
      <w:bookmarkStart w:id="1249" w:name="_Toc283558783"/>
      <w:bookmarkStart w:id="1250" w:name="_Toc488650916"/>
      <w:bookmarkStart w:id="1251" w:name="_Toc487291595"/>
      <w:bookmarkStart w:id="1252" w:name="_Toc487619566"/>
      <w:bookmarkStart w:id="1253" w:name="_Toc487653484"/>
      <w:r>
        <w:rPr>
          <w:rFonts w:hint="eastAsia"/>
          <w:color w:val="auto"/>
          <w:sz w:val="24"/>
          <w:highlight w:val="none"/>
        </w:rPr>
        <w:t xml:space="preserve">4.4  </w:t>
      </w:r>
      <w:bookmarkEnd w:id="1246"/>
      <w:bookmarkEnd w:id="1247"/>
      <w:bookmarkEnd w:id="1248"/>
      <w:bookmarkEnd w:id="1249"/>
      <w:r>
        <w:rPr>
          <w:rFonts w:hint="eastAsia"/>
          <w:color w:val="auto"/>
          <w:sz w:val="24"/>
          <w:highlight w:val="none"/>
        </w:rPr>
        <w:t>服务内容</w:t>
      </w:r>
      <w:bookmarkEnd w:id="1250"/>
      <w:bookmarkEnd w:id="1251"/>
      <w:bookmarkEnd w:id="1252"/>
      <w:bookmarkEnd w:id="1253"/>
    </w:p>
    <w:p w14:paraId="141ECDBF">
      <w:pPr>
        <w:autoSpaceDE w:val="0"/>
        <w:autoSpaceDN w:val="0"/>
        <w:adjustRightInd w:val="0"/>
        <w:snapToGrid w:val="0"/>
        <w:spacing w:line="324" w:lineRule="auto"/>
        <w:ind w:firstLine="480" w:firstLineChars="200"/>
        <w:rPr>
          <w:rFonts w:cs="宋体"/>
          <w:color w:val="auto"/>
          <w:sz w:val="24"/>
          <w:highlight w:val="none"/>
          <w:u w:val="single"/>
        </w:rPr>
      </w:pPr>
      <w:r>
        <w:rPr>
          <w:rFonts w:hint="eastAsia" w:cs="宋体"/>
          <w:color w:val="auto"/>
          <w:sz w:val="24"/>
          <w:highlight w:val="none"/>
        </w:rPr>
        <w:t>服务内容：</w:t>
      </w:r>
      <w:r>
        <w:rPr>
          <w:rFonts w:hint="eastAsia" w:cs="宋体"/>
          <w:color w:val="auto"/>
          <w:sz w:val="24"/>
          <w:highlight w:val="none"/>
          <w:u w:val="single"/>
        </w:rPr>
        <w:t xml:space="preserve">                                                             。</w:t>
      </w:r>
    </w:p>
    <w:p w14:paraId="2A69154F">
      <w:pPr>
        <w:spacing w:line="324" w:lineRule="auto"/>
        <w:ind w:firstLine="480" w:firstLineChars="200"/>
        <w:rPr>
          <w:color w:val="auto"/>
          <w:sz w:val="24"/>
          <w:highlight w:val="none"/>
        </w:rPr>
      </w:pPr>
      <w:bookmarkStart w:id="1254" w:name="_Toc307991223"/>
      <w:bookmarkStart w:id="1255" w:name="_Toc283559281"/>
      <w:bookmarkStart w:id="1256" w:name="_Toc283558784"/>
      <w:bookmarkStart w:id="1257" w:name="_Toc286759126"/>
      <w:r>
        <w:rPr>
          <w:rFonts w:hint="eastAsia"/>
          <w:color w:val="auto"/>
          <w:sz w:val="24"/>
          <w:highlight w:val="none"/>
        </w:rPr>
        <w:t>4.7  发包人对监理人的授权</w:t>
      </w:r>
      <w:bookmarkEnd w:id="1254"/>
      <w:bookmarkEnd w:id="1255"/>
      <w:bookmarkEnd w:id="1256"/>
      <w:bookmarkEnd w:id="1257"/>
    </w:p>
    <w:p w14:paraId="5DD0BDED">
      <w:pPr>
        <w:tabs>
          <w:tab w:val="left" w:pos="8400"/>
        </w:tabs>
        <w:autoSpaceDE w:val="0"/>
        <w:autoSpaceDN w:val="0"/>
        <w:adjustRightInd w:val="0"/>
        <w:snapToGrid w:val="0"/>
        <w:spacing w:line="324" w:lineRule="auto"/>
        <w:ind w:firstLine="480" w:firstLineChars="200"/>
        <w:rPr>
          <w:rFonts w:cs="宋体"/>
          <w:color w:val="auto"/>
          <w:sz w:val="24"/>
          <w:highlight w:val="none"/>
        </w:rPr>
      </w:pPr>
      <w:r>
        <w:rPr>
          <w:rFonts w:hint="eastAsia" w:cs="宋体"/>
          <w:color w:val="auto"/>
          <w:sz w:val="24"/>
          <w:highlight w:val="none"/>
        </w:rPr>
        <w:t>发包人对监理人的授权：</w:t>
      </w:r>
      <w:r>
        <w:rPr>
          <w:rFonts w:hint="eastAsia" w:cs="宋体"/>
          <w:color w:val="auto"/>
          <w:sz w:val="24"/>
          <w:highlight w:val="none"/>
          <w:u w:val="single"/>
        </w:rPr>
        <w:t xml:space="preserve">                                                </w:t>
      </w:r>
      <w:r>
        <w:rPr>
          <w:rFonts w:hint="eastAsia" w:cs="宋体"/>
          <w:color w:val="auto"/>
          <w:sz w:val="24"/>
          <w:highlight w:val="none"/>
        </w:rPr>
        <w:t xml:space="preserve"> 。</w:t>
      </w:r>
    </w:p>
    <w:p w14:paraId="319B1C98">
      <w:pPr>
        <w:spacing w:line="324" w:lineRule="auto"/>
        <w:ind w:firstLine="480" w:firstLineChars="200"/>
        <w:rPr>
          <w:color w:val="auto"/>
          <w:sz w:val="24"/>
          <w:highlight w:val="none"/>
        </w:rPr>
      </w:pPr>
      <w:bookmarkStart w:id="1258" w:name="_Toc283558789"/>
      <w:bookmarkStart w:id="1259" w:name="_Toc341805318"/>
      <w:bookmarkStart w:id="1260" w:name="_Toc283559286"/>
      <w:bookmarkStart w:id="1261" w:name="_Toc286759131"/>
      <w:bookmarkStart w:id="1262" w:name="_Toc330384481"/>
      <w:bookmarkStart w:id="1263" w:name="_Toc307991228"/>
      <w:bookmarkStart w:id="1264" w:name="_Toc341015693"/>
      <w:bookmarkStart w:id="1265" w:name="_Toc336172267"/>
      <w:r>
        <w:rPr>
          <w:color w:val="auto"/>
          <w:sz w:val="24"/>
          <w:highlight w:val="none"/>
        </w:rPr>
        <w:t>5</w:t>
      </w:r>
      <w:r>
        <w:rPr>
          <w:rFonts w:hint="eastAsia"/>
          <w:color w:val="auto"/>
          <w:sz w:val="24"/>
          <w:highlight w:val="none"/>
        </w:rPr>
        <w:t>．合同的生效、终止、服务时间和期限、变更、暂停与解除</w:t>
      </w:r>
      <w:bookmarkEnd w:id="1258"/>
      <w:bookmarkEnd w:id="1259"/>
      <w:bookmarkEnd w:id="1260"/>
      <w:bookmarkEnd w:id="1261"/>
      <w:bookmarkEnd w:id="1262"/>
      <w:bookmarkEnd w:id="1263"/>
      <w:bookmarkEnd w:id="1264"/>
      <w:bookmarkEnd w:id="1265"/>
      <w:r>
        <w:rPr>
          <w:rFonts w:hint="eastAsia"/>
          <w:color w:val="auto"/>
          <w:sz w:val="24"/>
          <w:highlight w:val="none"/>
        </w:rPr>
        <w:t xml:space="preserve"> </w:t>
      </w:r>
    </w:p>
    <w:p w14:paraId="659FDADC">
      <w:pPr>
        <w:spacing w:line="324" w:lineRule="auto"/>
        <w:ind w:firstLine="480" w:firstLineChars="200"/>
        <w:outlineLvl w:val="0"/>
        <w:rPr>
          <w:color w:val="auto"/>
          <w:sz w:val="24"/>
          <w:highlight w:val="none"/>
        </w:rPr>
      </w:pPr>
      <w:bookmarkStart w:id="1266" w:name="_Toc487653485"/>
      <w:bookmarkStart w:id="1267" w:name="_Toc487291596"/>
      <w:bookmarkStart w:id="1268" w:name="_Toc487619567"/>
      <w:bookmarkStart w:id="1269" w:name="_Toc488650917"/>
      <w:r>
        <w:rPr>
          <w:rFonts w:hint="eastAsia"/>
          <w:color w:val="auto"/>
          <w:sz w:val="24"/>
          <w:highlight w:val="none"/>
        </w:rPr>
        <w:t>5.3  监理服务的时间和期限</w:t>
      </w:r>
      <w:bookmarkEnd w:id="1266"/>
      <w:bookmarkEnd w:id="1267"/>
      <w:bookmarkEnd w:id="1268"/>
      <w:bookmarkEnd w:id="1269"/>
    </w:p>
    <w:p w14:paraId="41BEA3FB">
      <w:pPr>
        <w:spacing w:line="420" w:lineRule="exact"/>
        <w:ind w:firstLine="480" w:firstLineChars="200"/>
        <w:rPr>
          <w:color w:val="auto"/>
          <w:sz w:val="24"/>
          <w:highlight w:val="none"/>
        </w:rPr>
      </w:pPr>
      <w:r>
        <w:rPr>
          <w:color w:val="auto"/>
          <w:sz w:val="24"/>
          <w:highlight w:val="none"/>
        </w:rPr>
        <w:t>进场时间：</w:t>
      </w:r>
      <w:r>
        <w:rPr>
          <w:rFonts w:hint="eastAsia"/>
          <w:color w:val="auto"/>
          <w:sz w:val="24"/>
          <w:highlight w:val="none"/>
          <w:u w:val="single"/>
        </w:rPr>
        <w:t xml:space="preserve">                                      </w:t>
      </w:r>
      <w:r>
        <w:rPr>
          <w:rFonts w:hint="eastAsia" w:cs="宋体"/>
          <w:color w:val="auto"/>
          <w:sz w:val="24"/>
          <w:highlight w:val="none"/>
          <w:u w:val="single"/>
        </w:rPr>
        <w:t xml:space="preserve">               </w:t>
      </w:r>
      <w:r>
        <w:rPr>
          <w:rFonts w:hint="eastAsia"/>
          <w:color w:val="auto"/>
          <w:sz w:val="24"/>
          <w:highlight w:val="none"/>
          <w:u w:val="single"/>
        </w:rPr>
        <w:t xml:space="preserve">        </w:t>
      </w:r>
      <w:r>
        <w:rPr>
          <w:color w:val="auto"/>
          <w:sz w:val="24"/>
          <w:highlight w:val="none"/>
        </w:rPr>
        <w:t>。</w:t>
      </w:r>
    </w:p>
    <w:p w14:paraId="7AFF1688">
      <w:pPr>
        <w:spacing w:line="420" w:lineRule="exact"/>
        <w:ind w:firstLine="480" w:firstLineChars="200"/>
        <w:rPr>
          <w:color w:val="auto"/>
          <w:sz w:val="24"/>
          <w:highlight w:val="none"/>
          <w:u w:val="single"/>
        </w:rPr>
      </w:pPr>
      <w:r>
        <w:rPr>
          <w:color w:val="auto"/>
          <w:sz w:val="24"/>
          <w:highlight w:val="none"/>
        </w:rPr>
        <w:t>施工准备阶段</w:t>
      </w:r>
      <w:r>
        <w:rPr>
          <w:rFonts w:hint="eastAsia"/>
          <w:color w:val="auto"/>
          <w:sz w:val="24"/>
          <w:highlight w:val="none"/>
        </w:rPr>
        <w:t>监理</w:t>
      </w:r>
      <w:r>
        <w:rPr>
          <w:color w:val="auto"/>
          <w:sz w:val="24"/>
          <w:highlight w:val="none"/>
        </w:rPr>
        <w:t>服务结束时间：</w:t>
      </w:r>
      <w:r>
        <w:rPr>
          <w:rFonts w:hint="eastAsia"/>
          <w:color w:val="auto"/>
          <w:sz w:val="24"/>
          <w:highlight w:val="none"/>
          <w:u w:val="single"/>
        </w:rPr>
        <w:t xml:space="preserve">                   </w:t>
      </w:r>
      <w:r>
        <w:rPr>
          <w:rFonts w:hint="eastAsia" w:cs="宋体"/>
          <w:color w:val="auto"/>
          <w:sz w:val="24"/>
          <w:highlight w:val="none"/>
          <w:u w:val="single"/>
        </w:rPr>
        <w:t xml:space="preserve">                </w:t>
      </w:r>
      <w:r>
        <w:rPr>
          <w:rFonts w:hint="eastAsia"/>
          <w:color w:val="auto"/>
          <w:sz w:val="24"/>
          <w:highlight w:val="none"/>
          <w:u w:val="single"/>
        </w:rPr>
        <w:t xml:space="preserve">      </w:t>
      </w:r>
      <w:r>
        <w:rPr>
          <w:color w:val="auto"/>
          <w:sz w:val="24"/>
          <w:highlight w:val="none"/>
        </w:rPr>
        <w:t>。</w:t>
      </w:r>
    </w:p>
    <w:p w14:paraId="0A9F6F3E">
      <w:pPr>
        <w:spacing w:line="420" w:lineRule="exact"/>
        <w:ind w:firstLine="480" w:firstLineChars="200"/>
        <w:rPr>
          <w:color w:val="auto"/>
          <w:sz w:val="24"/>
          <w:highlight w:val="none"/>
        </w:rPr>
      </w:pPr>
      <w:r>
        <w:rPr>
          <w:color w:val="auto"/>
          <w:sz w:val="24"/>
          <w:highlight w:val="none"/>
        </w:rPr>
        <w:t>施工阶段监理服务结束时间：</w:t>
      </w:r>
      <w:r>
        <w:rPr>
          <w:rFonts w:hint="eastAsia"/>
          <w:color w:val="auto"/>
          <w:sz w:val="24"/>
          <w:highlight w:val="none"/>
          <w:u w:val="single"/>
        </w:rPr>
        <w:t xml:space="preserve">                          </w:t>
      </w:r>
      <w:r>
        <w:rPr>
          <w:rFonts w:hint="eastAsia" w:cs="宋体"/>
          <w:color w:val="auto"/>
          <w:sz w:val="24"/>
          <w:highlight w:val="none"/>
          <w:u w:val="single"/>
        </w:rPr>
        <w:t xml:space="preserve">            </w:t>
      </w:r>
      <w:r>
        <w:rPr>
          <w:rFonts w:hint="eastAsia"/>
          <w:color w:val="auto"/>
          <w:sz w:val="24"/>
          <w:highlight w:val="none"/>
          <w:u w:val="single"/>
        </w:rPr>
        <w:t xml:space="preserve">       </w:t>
      </w:r>
      <w:r>
        <w:rPr>
          <w:color w:val="auto"/>
          <w:sz w:val="24"/>
          <w:highlight w:val="none"/>
        </w:rPr>
        <w:t>。</w:t>
      </w:r>
    </w:p>
    <w:p w14:paraId="6569B00A">
      <w:pPr>
        <w:spacing w:line="420" w:lineRule="exact"/>
        <w:ind w:firstLine="480" w:firstLineChars="200"/>
        <w:rPr>
          <w:color w:val="auto"/>
          <w:sz w:val="24"/>
          <w:highlight w:val="none"/>
        </w:rPr>
      </w:pPr>
      <w:r>
        <w:rPr>
          <w:color w:val="auto"/>
          <w:sz w:val="24"/>
          <w:highlight w:val="none"/>
        </w:rPr>
        <w:t>缺陷责任期阶段监理服务结束时间：</w:t>
      </w:r>
      <w:r>
        <w:rPr>
          <w:rFonts w:hint="eastAsia"/>
          <w:color w:val="auto"/>
          <w:sz w:val="24"/>
          <w:highlight w:val="none"/>
          <w:u w:val="single"/>
        </w:rPr>
        <w:t xml:space="preserve">                     </w:t>
      </w:r>
      <w:r>
        <w:rPr>
          <w:rFonts w:hint="eastAsia" w:cs="宋体"/>
          <w:color w:val="auto"/>
          <w:sz w:val="24"/>
          <w:highlight w:val="none"/>
          <w:u w:val="single"/>
        </w:rPr>
        <w:t xml:space="preserve">           </w:t>
      </w:r>
      <w:r>
        <w:rPr>
          <w:rFonts w:hint="eastAsia"/>
          <w:color w:val="auto"/>
          <w:sz w:val="24"/>
          <w:highlight w:val="none"/>
          <w:u w:val="single"/>
        </w:rPr>
        <w:t xml:space="preserve">       </w:t>
      </w:r>
      <w:r>
        <w:rPr>
          <w:color w:val="auto"/>
          <w:sz w:val="24"/>
          <w:highlight w:val="none"/>
        </w:rPr>
        <w:t>。</w:t>
      </w:r>
    </w:p>
    <w:p w14:paraId="4A4B377B">
      <w:pPr>
        <w:spacing w:line="420" w:lineRule="exact"/>
        <w:ind w:firstLine="480" w:firstLineChars="200"/>
        <w:rPr>
          <w:color w:val="auto"/>
          <w:sz w:val="24"/>
          <w:highlight w:val="none"/>
        </w:rPr>
      </w:pPr>
      <w:r>
        <w:rPr>
          <w:color w:val="auto"/>
          <w:sz w:val="24"/>
          <w:highlight w:val="none"/>
        </w:rPr>
        <w:t>退场</w:t>
      </w:r>
      <w:r>
        <w:rPr>
          <w:rFonts w:hint="eastAsia"/>
          <w:color w:val="auto"/>
          <w:sz w:val="24"/>
          <w:highlight w:val="none"/>
        </w:rPr>
        <w:t>时间</w:t>
      </w:r>
      <w:r>
        <w:rPr>
          <w:color w:val="auto"/>
          <w:sz w:val="24"/>
          <w:highlight w:val="none"/>
        </w:rPr>
        <w:t>：</w:t>
      </w:r>
      <w:r>
        <w:rPr>
          <w:rFonts w:hint="eastAsia"/>
          <w:color w:val="auto"/>
          <w:sz w:val="24"/>
          <w:highlight w:val="none"/>
          <w:u w:val="single"/>
        </w:rPr>
        <w:t xml:space="preserve">                                                             </w:t>
      </w:r>
      <w:r>
        <w:rPr>
          <w:color w:val="auto"/>
          <w:sz w:val="24"/>
          <w:highlight w:val="none"/>
        </w:rPr>
        <w:t>。</w:t>
      </w:r>
    </w:p>
    <w:p w14:paraId="2A1B8009">
      <w:pPr>
        <w:spacing w:line="324" w:lineRule="auto"/>
        <w:ind w:firstLine="480" w:firstLineChars="200"/>
        <w:outlineLvl w:val="0"/>
        <w:rPr>
          <w:color w:val="auto"/>
          <w:sz w:val="24"/>
          <w:highlight w:val="none"/>
        </w:rPr>
      </w:pPr>
      <w:bookmarkStart w:id="1270" w:name="_Toc487653486"/>
      <w:bookmarkStart w:id="1271" w:name="_Toc488650918"/>
      <w:bookmarkStart w:id="1272" w:name="_Toc487619568"/>
      <w:bookmarkStart w:id="1273" w:name="_Toc487291597"/>
      <w:r>
        <w:rPr>
          <w:rFonts w:hint="eastAsia"/>
          <w:color w:val="auto"/>
          <w:sz w:val="24"/>
          <w:highlight w:val="none"/>
        </w:rPr>
        <w:t>5.4  合同的变更</w:t>
      </w:r>
      <w:bookmarkEnd w:id="1270"/>
      <w:bookmarkEnd w:id="1271"/>
      <w:bookmarkEnd w:id="1272"/>
      <w:bookmarkEnd w:id="1273"/>
    </w:p>
    <w:p w14:paraId="5DDC14A2">
      <w:pPr>
        <w:autoSpaceDE w:val="0"/>
        <w:autoSpaceDN w:val="0"/>
        <w:adjustRightInd w:val="0"/>
        <w:snapToGrid w:val="0"/>
        <w:spacing w:line="420" w:lineRule="exact"/>
        <w:ind w:firstLine="435"/>
        <w:rPr>
          <w:rFonts w:ascii="宋体" w:hAnsi="宋体" w:cs="宋体"/>
          <w:color w:val="auto"/>
          <w:sz w:val="24"/>
          <w:highlight w:val="none"/>
        </w:rPr>
      </w:pPr>
      <w:r>
        <w:rPr>
          <w:rFonts w:hint="eastAsia" w:ascii="宋体" w:hAnsi="宋体" w:cs="宋体"/>
          <w:color w:val="auto"/>
          <w:sz w:val="24"/>
          <w:highlight w:val="none"/>
        </w:rPr>
        <w:t>5.4.4  项目开工时间晚于合同签</w:t>
      </w:r>
      <w:r>
        <w:rPr>
          <w:rFonts w:hint="eastAsia" w:ascii="宋体" w:hAnsi="宋体" w:cs="宋体"/>
          <w:color w:val="auto"/>
          <w:sz w:val="24"/>
          <w:highlight w:val="none"/>
          <w:lang w:val="en-US" w:eastAsia="zh-CN"/>
        </w:rPr>
        <w:t>订</w:t>
      </w:r>
      <w:r>
        <w:rPr>
          <w:rFonts w:hint="eastAsia" w:ascii="宋体" w:hAnsi="宋体" w:cs="宋体"/>
          <w:color w:val="auto"/>
          <w:sz w:val="24"/>
          <w:highlight w:val="none"/>
        </w:rPr>
        <w:t>开工时间90日，或非监理人因素导致监理服务期限超过约定期限的90日，监理服务费用调整办法：</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7FD7E25">
      <w:pPr>
        <w:autoSpaceDE w:val="0"/>
        <w:autoSpaceDN w:val="0"/>
        <w:adjustRightInd w:val="0"/>
        <w:snapToGrid w:val="0"/>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5.4.5  因物价变动等因素而引起监理服务费用的变化的调整办法：</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01EFB45">
      <w:pPr>
        <w:autoSpaceDE w:val="0"/>
        <w:autoSpaceDN w:val="0"/>
        <w:adjustRightInd w:val="0"/>
        <w:snapToGrid w:val="0"/>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5.4.6  因国家或地方政府的法律、法规变动而引起监理服务费用的增加或服务时间的延长，应进行调整，具体调整办法：</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7D43FEB">
      <w:pPr>
        <w:autoSpaceDE w:val="0"/>
        <w:autoSpaceDN w:val="0"/>
        <w:adjustRightInd w:val="0"/>
        <w:snapToGrid w:val="0"/>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5.5.1（3） 本合同约定的不可抗力其他情形：</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EA0E1A9">
      <w:pPr>
        <w:spacing w:line="324" w:lineRule="auto"/>
        <w:ind w:firstLine="480" w:firstLineChars="200"/>
        <w:outlineLvl w:val="0"/>
        <w:rPr>
          <w:color w:val="auto"/>
          <w:sz w:val="24"/>
          <w:highlight w:val="none"/>
        </w:rPr>
      </w:pPr>
      <w:bookmarkStart w:id="1274" w:name="_Toc341015694"/>
      <w:bookmarkStart w:id="1275" w:name="_Toc307991229"/>
      <w:bookmarkStart w:id="1276" w:name="_Toc487619569"/>
      <w:bookmarkStart w:id="1277" w:name="_Toc488650919"/>
      <w:bookmarkStart w:id="1278" w:name="_Toc487291598"/>
      <w:bookmarkStart w:id="1279" w:name="_Toc283559287"/>
      <w:bookmarkStart w:id="1280" w:name="_Toc330384482"/>
      <w:bookmarkStart w:id="1281" w:name="_Toc286759132"/>
      <w:bookmarkStart w:id="1282" w:name="_Toc487653487"/>
      <w:bookmarkStart w:id="1283" w:name="_Toc283558790"/>
      <w:bookmarkStart w:id="1284" w:name="_Toc341805319"/>
      <w:bookmarkStart w:id="1285" w:name="_Toc336172268"/>
      <w:r>
        <w:rPr>
          <w:rFonts w:hint="eastAsia"/>
          <w:color w:val="auto"/>
          <w:sz w:val="24"/>
          <w:highlight w:val="none"/>
        </w:rPr>
        <w:t>6．监理服务费计费与支付</w:t>
      </w:r>
      <w:bookmarkEnd w:id="1274"/>
      <w:bookmarkEnd w:id="1275"/>
      <w:bookmarkEnd w:id="1276"/>
      <w:bookmarkEnd w:id="1277"/>
      <w:bookmarkEnd w:id="1278"/>
      <w:bookmarkEnd w:id="1279"/>
      <w:bookmarkEnd w:id="1280"/>
      <w:bookmarkEnd w:id="1281"/>
      <w:bookmarkEnd w:id="1282"/>
      <w:bookmarkEnd w:id="1283"/>
      <w:bookmarkEnd w:id="1284"/>
      <w:bookmarkEnd w:id="1285"/>
    </w:p>
    <w:p w14:paraId="54E65A47">
      <w:pPr>
        <w:autoSpaceDE w:val="0"/>
        <w:autoSpaceDN w:val="0"/>
        <w:adjustRightInd w:val="0"/>
        <w:snapToGrid w:val="0"/>
        <w:spacing w:line="420" w:lineRule="exact"/>
        <w:ind w:firstLine="480" w:firstLineChars="200"/>
        <w:rPr>
          <w:rFonts w:ascii="宋体" w:hAnsi="宋体" w:cs="宋体"/>
          <w:color w:val="auto"/>
          <w:sz w:val="24"/>
          <w:highlight w:val="none"/>
        </w:rPr>
      </w:pPr>
      <w:bookmarkStart w:id="1286" w:name="_Toc286759133"/>
      <w:bookmarkStart w:id="1287" w:name="_Toc283558791"/>
      <w:bookmarkStart w:id="1288" w:name="_Toc307991230"/>
      <w:bookmarkStart w:id="1289" w:name="_Toc283559288"/>
      <w:r>
        <w:rPr>
          <w:rFonts w:hint="eastAsia" w:ascii="宋体" w:hAnsi="宋体" w:cs="宋体"/>
          <w:color w:val="auto"/>
          <w:sz w:val="24"/>
          <w:highlight w:val="none"/>
        </w:rPr>
        <w:t>6.1.2  附加监理服务费用计算方法：</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B35C6F2">
      <w:pPr>
        <w:autoSpaceDE w:val="0"/>
        <w:autoSpaceDN w:val="0"/>
        <w:adjustRightInd w:val="0"/>
        <w:snapToGrid w:val="0"/>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6.1.3  额外服务费用计算方法：</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0C9B17F">
      <w:pPr>
        <w:autoSpaceDE w:val="0"/>
        <w:autoSpaceDN w:val="0"/>
        <w:adjustRightInd w:val="0"/>
        <w:snapToGrid w:val="0"/>
        <w:spacing w:line="420" w:lineRule="exact"/>
        <w:ind w:left="780" w:leftChars="200" w:hanging="360" w:hangingChars="150"/>
        <w:rPr>
          <w:rFonts w:ascii="宋体" w:hAnsi="宋体" w:cs="宋体"/>
          <w:color w:val="auto"/>
          <w:sz w:val="24"/>
          <w:highlight w:val="none"/>
        </w:rPr>
      </w:pPr>
      <w:r>
        <w:rPr>
          <w:rFonts w:hint="eastAsia" w:ascii="宋体" w:hAnsi="宋体" w:cs="宋体"/>
          <w:color w:val="auto"/>
          <w:sz w:val="24"/>
          <w:highlight w:val="none"/>
        </w:rPr>
        <w:t xml:space="preserve"> 6.2    暂列金额额度：</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67FC5D9">
      <w:pPr>
        <w:autoSpaceDE w:val="0"/>
        <w:autoSpaceDN w:val="0"/>
        <w:adjustRightInd w:val="0"/>
        <w:snapToGrid w:val="0"/>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6.3.1  第一次付款为监理服务费总额的：</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440BC6D4">
      <w:pPr>
        <w:autoSpaceDE w:val="0"/>
        <w:autoSpaceDN w:val="0"/>
        <w:adjustRightInd w:val="0"/>
        <w:snapToGrid w:val="0"/>
        <w:spacing w:line="420" w:lineRule="exact"/>
        <w:rPr>
          <w:rFonts w:ascii="宋体" w:hAnsi="宋体" w:cs="宋体"/>
          <w:color w:val="auto"/>
          <w:sz w:val="24"/>
          <w:highlight w:val="none"/>
        </w:rPr>
      </w:pPr>
      <w:r>
        <w:rPr>
          <w:rFonts w:hint="eastAsia" w:ascii="宋体" w:hAnsi="宋体" w:cs="宋体"/>
          <w:color w:val="auto"/>
          <w:sz w:val="24"/>
          <w:highlight w:val="none"/>
        </w:rPr>
        <w:t xml:space="preserve">    6.3.2（1 ）施工阶段监理服务费支付方式：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bookmarkEnd w:id="1286"/>
    <w:bookmarkEnd w:id="1287"/>
    <w:bookmarkEnd w:id="1288"/>
    <w:bookmarkEnd w:id="1289"/>
    <w:p w14:paraId="179E1D90">
      <w:pPr>
        <w:spacing w:line="324" w:lineRule="auto"/>
        <w:ind w:firstLine="480" w:firstLineChars="200"/>
        <w:outlineLvl w:val="0"/>
        <w:rPr>
          <w:color w:val="auto"/>
          <w:sz w:val="24"/>
          <w:highlight w:val="none"/>
        </w:rPr>
      </w:pPr>
      <w:bookmarkStart w:id="1290" w:name="_Toc487653488"/>
      <w:bookmarkStart w:id="1291" w:name="_Toc488650920"/>
      <w:bookmarkStart w:id="1292" w:name="_Toc487619570"/>
      <w:bookmarkStart w:id="1293" w:name="_Toc487291599"/>
      <w:r>
        <w:rPr>
          <w:rFonts w:hint="eastAsia"/>
          <w:color w:val="auto"/>
          <w:sz w:val="24"/>
          <w:highlight w:val="none"/>
        </w:rPr>
        <w:t>6.4  货币</w:t>
      </w:r>
      <w:bookmarkEnd w:id="1290"/>
      <w:bookmarkEnd w:id="1291"/>
      <w:bookmarkEnd w:id="1292"/>
      <w:bookmarkEnd w:id="1293"/>
    </w:p>
    <w:p w14:paraId="49D09450">
      <w:pPr>
        <w:spacing w:line="324" w:lineRule="auto"/>
        <w:ind w:firstLine="480" w:firstLineChars="200"/>
        <w:rPr>
          <w:rFonts w:cs="宋体"/>
          <w:color w:val="auto"/>
          <w:sz w:val="24"/>
          <w:highlight w:val="none"/>
        </w:rPr>
      </w:pPr>
      <w:r>
        <w:rPr>
          <w:rFonts w:hint="eastAsia"/>
          <w:color w:val="auto"/>
          <w:sz w:val="24"/>
          <w:highlight w:val="none"/>
        </w:rPr>
        <w:t>涉及外币支付的，货币种类、比例和汇率等约定：</w:t>
      </w:r>
      <w:r>
        <w:rPr>
          <w:rFonts w:hint="eastAsia" w:cs="宋体"/>
          <w:color w:val="auto"/>
          <w:sz w:val="24"/>
          <w:highlight w:val="none"/>
          <w:u w:val="single"/>
        </w:rPr>
        <w:t xml:space="preserve">            </w:t>
      </w:r>
      <w:r>
        <w:rPr>
          <w:rFonts w:hint="eastAsia" w:ascii="宋体" w:hAnsi="宋体"/>
          <w:color w:val="auto"/>
          <w:sz w:val="24"/>
          <w:highlight w:val="none"/>
          <w:u w:val="single"/>
        </w:rPr>
        <w:t xml:space="preserve">  </w:t>
      </w:r>
      <w:r>
        <w:rPr>
          <w:rFonts w:hint="eastAsia" w:cs="宋体"/>
          <w:color w:val="auto"/>
          <w:sz w:val="24"/>
          <w:highlight w:val="none"/>
          <w:u w:val="single"/>
        </w:rPr>
        <w:t xml:space="preserve">         </w:t>
      </w:r>
      <w:r>
        <w:rPr>
          <w:rFonts w:hint="eastAsia" w:cs="宋体"/>
          <w:color w:val="auto"/>
          <w:sz w:val="24"/>
          <w:highlight w:val="none"/>
        </w:rPr>
        <w:t>。</w:t>
      </w:r>
    </w:p>
    <w:p w14:paraId="4CEEF83A">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7.违约</w:t>
      </w:r>
    </w:p>
    <w:p w14:paraId="1BB905C8">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7.1监理人的违约及赔偿责任</w:t>
      </w:r>
    </w:p>
    <w:p w14:paraId="799FD2D4">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7.1.2监理人违约的处理</w:t>
      </w:r>
    </w:p>
    <w:p w14:paraId="2A3E2AFB">
      <w:pPr>
        <w:spacing w:line="300" w:lineRule="auto"/>
        <w:ind w:firstLine="480" w:firstLineChars="200"/>
        <w:rPr>
          <w:color w:val="auto"/>
          <w:sz w:val="24"/>
          <w:highlight w:val="none"/>
        </w:rPr>
      </w:pPr>
      <w:r>
        <w:rPr>
          <w:rFonts w:hint="eastAsia" w:ascii="宋体" w:hAnsi="宋体" w:cs="宋体"/>
          <w:color w:val="auto"/>
          <w:sz w:val="24"/>
          <w:highlight w:val="none"/>
        </w:rPr>
        <w:t>未经发包人同意，本工程的项目总监理工程师、试验室主任擅自离开现场的，按每天每人次人民币</w:t>
      </w:r>
      <w:r>
        <w:rPr>
          <w:rFonts w:ascii="宋体" w:hAnsi="宋体" w:cs="宋体"/>
          <w:color w:val="auto"/>
          <w:sz w:val="24"/>
          <w:highlight w:val="none"/>
        </w:rPr>
        <w:t xml:space="preserve">    </w:t>
      </w:r>
      <w:r>
        <w:rPr>
          <w:rFonts w:hint="eastAsia" w:ascii="宋体" w:hAnsi="宋体" w:cs="宋体"/>
          <w:color w:val="auto"/>
          <w:sz w:val="24"/>
          <w:highlight w:val="none"/>
        </w:rPr>
        <w:t>元向</w:t>
      </w:r>
      <w:r>
        <w:rPr>
          <w:rFonts w:hint="eastAsia" w:ascii="宋体" w:hAnsi="宋体" w:cs="宋体"/>
          <w:color w:val="auto"/>
          <w:sz w:val="24"/>
          <w:highlight w:val="none"/>
          <w:lang w:val="en-US" w:eastAsia="zh-CN"/>
        </w:rPr>
        <w:t>监理人</w:t>
      </w:r>
      <w:r>
        <w:rPr>
          <w:rFonts w:hint="eastAsia" w:ascii="宋体" w:hAnsi="宋体" w:cs="宋体"/>
          <w:color w:val="auto"/>
          <w:sz w:val="24"/>
          <w:highlight w:val="none"/>
        </w:rPr>
        <w:t>处罚；经发包人同意后在不影响工作前提下方可离开现场。无论发包人同意与否，</w:t>
      </w:r>
      <w:r>
        <w:rPr>
          <w:rFonts w:hint="eastAsia" w:ascii="宋体" w:hAnsi="宋体" w:cs="宋体"/>
          <w:color w:val="auto"/>
          <w:sz w:val="24"/>
          <w:highlight w:val="none"/>
          <w:lang w:val="en-US" w:eastAsia="zh-CN"/>
        </w:rPr>
        <w:t>监理</w:t>
      </w:r>
      <w:r>
        <w:rPr>
          <w:rFonts w:hint="eastAsia" w:ascii="宋体" w:hAnsi="宋体" w:cs="宋体"/>
          <w:color w:val="auto"/>
          <w:sz w:val="24"/>
          <w:highlight w:val="none"/>
        </w:rPr>
        <w:t>人在施工期间更换本工程项目总监理工程师、试验室主任，每更换一人次，罚款人民币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元；未经项目法人书面同意，投标承诺的总监理工程师、试验室主任不得更换；若有更换，总监理工程师、试验室主任不得低于投标时的人员资格标准。</w:t>
      </w:r>
    </w:p>
    <w:p w14:paraId="76AE4808">
      <w:pPr>
        <w:numPr>
          <w:ilvl w:val="0"/>
          <w:numId w:val="10"/>
        </w:numPr>
        <w:spacing w:line="300" w:lineRule="auto"/>
        <w:ind w:firstLine="480" w:firstLineChars="200"/>
        <w:rPr>
          <w:rFonts w:ascii="宋体" w:hAnsi="宋体" w:cs="宋体"/>
          <w:color w:val="auto"/>
          <w:sz w:val="24"/>
          <w:highlight w:val="none"/>
        </w:rPr>
      </w:pPr>
      <w:bookmarkStart w:id="1294" w:name="_Toc336172269"/>
      <w:bookmarkStart w:id="1295" w:name="_Toc330384485"/>
      <w:bookmarkStart w:id="1296" w:name="_Toc283559292"/>
      <w:bookmarkStart w:id="1297" w:name="_Toc307991233"/>
      <w:bookmarkStart w:id="1298" w:name="_Toc286759136"/>
      <w:bookmarkStart w:id="1299" w:name="_Toc341805320"/>
      <w:bookmarkStart w:id="1300" w:name="_Toc283558795"/>
      <w:bookmarkStart w:id="1301" w:name="_Toc341015695"/>
      <w:r>
        <w:rPr>
          <w:rFonts w:hint="eastAsia" w:ascii="宋体" w:hAnsi="宋体" w:cs="宋体"/>
          <w:color w:val="auto"/>
          <w:sz w:val="24"/>
          <w:highlight w:val="none"/>
        </w:rPr>
        <w:t>党建工作要求：监理人要按照有关要求开展工地党建工作。</w:t>
      </w:r>
    </w:p>
    <w:p w14:paraId="6708A6FF">
      <w:pPr>
        <w:numPr>
          <w:ilvl w:val="0"/>
          <w:numId w:val="10"/>
        </w:numPr>
        <w:spacing w:line="30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农民工工资工作要求：将农民工工资有关工作纳入监理范畴，督促总承包单位创建“无欠薪项目部”，建立农民工工资专用账户管理制度，实行人工费（工资款）与其他工程款分账管理，将应付工程款中的人工费单独拨付到承包人开设的民工工资专用账户，工资专户资金专项用于支付农民工工资。</w:t>
      </w:r>
    </w:p>
    <w:p w14:paraId="03EDD3BD">
      <w:pPr>
        <w:spacing w:line="324" w:lineRule="auto"/>
        <w:ind w:firstLine="480" w:firstLineChars="200"/>
        <w:rPr>
          <w:color w:val="auto"/>
          <w:sz w:val="24"/>
          <w:highlight w:val="none"/>
        </w:rPr>
      </w:pPr>
      <w:r>
        <w:rPr>
          <w:rFonts w:hint="eastAsia"/>
          <w:color w:val="auto"/>
          <w:sz w:val="24"/>
          <w:highlight w:val="none"/>
        </w:rPr>
        <w:t>10．争议的解决</w:t>
      </w:r>
      <w:bookmarkEnd w:id="1294"/>
      <w:bookmarkEnd w:id="1295"/>
      <w:bookmarkEnd w:id="1296"/>
      <w:bookmarkEnd w:id="1297"/>
      <w:bookmarkEnd w:id="1298"/>
      <w:bookmarkEnd w:id="1299"/>
      <w:bookmarkEnd w:id="1300"/>
      <w:bookmarkEnd w:id="1301"/>
    </w:p>
    <w:p w14:paraId="4EFB185F">
      <w:pPr>
        <w:spacing w:line="324" w:lineRule="auto"/>
        <w:ind w:firstLine="480" w:firstLineChars="200"/>
        <w:rPr>
          <w:color w:val="auto"/>
          <w:sz w:val="24"/>
          <w:highlight w:val="none"/>
        </w:rPr>
      </w:pPr>
      <w:r>
        <w:rPr>
          <w:rFonts w:hint="eastAsia"/>
          <w:color w:val="auto"/>
          <w:sz w:val="24"/>
          <w:highlight w:val="none"/>
        </w:rPr>
        <w:t>10.1  争议的解决方式</w:t>
      </w:r>
    </w:p>
    <w:p w14:paraId="1B6920D4">
      <w:pPr>
        <w:autoSpaceDE w:val="0"/>
        <w:autoSpaceDN w:val="0"/>
        <w:adjustRightInd w:val="0"/>
        <w:snapToGrid w:val="0"/>
        <w:spacing w:line="324" w:lineRule="auto"/>
        <w:ind w:firstLine="480" w:firstLineChars="200"/>
        <w:rPr>
          <w:rFonts w:cs="宋体"/>
          <w:color w:val="auto"/>
          <w:sz w:val="24"/>
          <w:highlight w:val="none"/>
        </w:rPr>
      </w:pPr>
      <w:r>
        <w:rPr>
          <w:rFonts w:hint="eastAsia" w:cs="宋体"/>
          <w:color w:val="auto"/>
          <w:sz w:val="24"/>
          <w:highlight w:val="none"/>
        </w:rPr>
        <w:t>争议的解决方式：</w:t>
      </w:r>
      <w:r>
        <w:rPr>
          <w:rFonts w:hint="eastAsia" w:cs="宋体"/>
          <w:color w:val="auto"/>
          <w:sz w:val="24"/>
          <w:highlight w:val="none"/>
          <w:u w:val="single"/>
        </w:rPr>
        <w:t xml:space="preserve">                                                   </w:t>
      </w:r>
      <w:r>
        <w:rPr>
          <w:rFonts w:hint="eastAsia" w:cs="宋体"/>
          <w:color w:val="auto"/>
          <w:sz w:val="24"/>
          <w:highlight w:val="none"/>
        </w:rPr>
        <w:t>。</w:t>
      </w:r>
    </w:p>
    <w:p w14:paraId="411E64D0">
      <w:pPr>
        <w:spacing w:line="324" w:lineRule="auto"/>
        <w:ind w:firstLine="480" w:firstLineChars="200"/>
        <w:rPr>
          <w:color w:val="auto"/>
          <w:sz w:val="24"/>
          <w:highlight w:val="none"/>
        </w:rPr>
      </w:pPr>
      <w:bookmarkStart w:id="1302" w:name="_Toc330384486"/>
      <w:bookmarkStart w:id="1303" w:name="_Toc341805321"/>
      <w:bookmarkStart w:id="1304" w:name="_Toc336172270"/>
      <w:bookmarkStart w:id="1305" w:name="_Toc341015696"/>
      <w:r>
        <w:rPr>
          <w:rFonts w:hint="eastAsia"/>
          <w:color w:val="auto"/>
          <w:sz w:val="24"/>
          <w:highlight w:val="none"/>
        </w:rPr>
        <w:t>11．其他</w:t>
      </w:r>
      <w:bookmarkEnd w:id="1302"/>
      <w:bookmarkEnd w:id="1303"/>
      <w:bookmarkEnd w:id="1304"/>
      <w:bookmarkEnd w:id="1305"/>
    </w:p>
    <w:p w14:paraId="3373FDCB">
      <w:pPr>
        <w:spacing w:line="324" w:lineRule="auto"/>
        <w:ind w:firstLine="480" w:firstLineChars="200"/>
        <w:rPr>
          <w:color w:val="auto"/>
          <w:sz w:val="24"/>
          <w:highlight w:val="none"/>
        </w:rPr>
      </w:pPr>
      <w:r>
        <w:rPr>
          <w:rFonts w:hint="eastAsia"/>
          <w:color w:val="auto"/>
          <w:sz w:val="24"/>
          <w:highlight w:val="none"/>
        </w:rPr>
        <w:t>11.2  奖励</w:t>
      </w:r>
    </w:p>
    <w:p w14:paraId="1983490D">
      <w:pPr>
        <w:autoSpaceDE w:val="0"/>
        <w:autoSpaceDN w:val="0"/>
        <w:adjustRightInd w:val="0"/>
        <w:snapToGrid w:val="0"/>
        <w:spacing w:line="324" w:lineRule="auto"/>
        <w:ind w:firstLine="480" w:firstLineChars="200"/>
        <w:rPr>
          <w:rFonts w:cs="宋体"/>
          <w:color w:val="auto"/>
          <w:sz w:val="24"/>
          <w:highlight w:val="none"/>
        </w:rPr>
      </w:pPr>
      <w:r>
        <w:rPr>
          <w:rFonts w:hint="eastAsia" w:cs="宋体"/>
          <w:color w:val="auto"/>
          <w:sz w:val="24"/>
          <w:highlight w:val="none"/>
        </w:rPr>
        <w:t>11.2.1  监理人提出的合理化建议缩短了工期、降低工程造价或产生了经济效益，发包人对监理人的奖励办法：</w:t>
      </w:r>
      <w:r>
        <w:rPr>
          <w:rFonts w:hint="eastAsia" w:cs="宋体"/>
          <w:color w:val="auto"/>
          <w:sz w:val="24"/>
          <w:highlight w:val="none"/>
          <w:u w:val="single"/>
        </w:rPr>
        <w:t xml:space="preserve">                                                 </w:t>
      </w:r>
      <w:r>
        <w:rPr>
          <w:rFonts w:hint="eastAsia" w:cs="宋体"/>
          <w:color w:val="auto"/>
          <w:sz w:val="24"/>
          <w:highlight w:val="none"/>
        </w:rPr>
        <w:t>。</w:t>
      </w:r>
    </w:p>
    <w:p w14:paraId="15A3035A">
      <w:pPr>
        <w:spacing w:line="324" w:lineRule="auto"/>
        <w:ind w:firstLine="480" w:firstLineChars="200"/>
        <w:rPr>
          <w:rFonts w:cs="宋体"/>
          <w:color w:val="auto"/>
          <w:sz w:val="24"/>
          <w:highlight w:val="none"/>
          <w:u w:val="single"/>
        </w:rPr>
      </w:pPr>
      <w:r>
        <w:rPr>
          <w:rFonts w:hint="eastAsia" w:cs="宋体"/>
          <w:color w:val="auto"/>
          <w:sz w:val="24"/>
          <w:highlight w:val="none"/>
        </w:rPr>
        <w:t>11.2.2  优质监理服务奖励办法：</w:t>
      </w:r>
      <w:r>
        <w:rPr>
          <w:rFonts w:hint="eastAsia" w:cs="宋体"/>
          <w:color w:val="auto"/>
          <w:sz w:val="24"/>
          <w:highlight w:val="none"/>
          <w:u w:val="single"/>
        </w:rPr>
        <w:t xml:space="preserve">                          </w:t>
      </w:r>
      <w:r>
        <w:rPr>
          <w:rFonts w:hint="eastAsia" w:cs="宋体"/>
          <w:color w:val="auto"/>
          <w:sz w:val="24"/>
          <w:highlight w:val="none"/>
        </w:rPr>
        <w:t>。</w:t>
      </w:r>
    </w:p>
    <w:p w14:paraId="3CE10101">
      <w:pPr>
        <w:spacing w:line="324" w:lineRule="auto"/>
        <w:ind w:firstLine="480" w:firstLineChars="200"/>
        <w:rPr>
          <w:color w:val="auto"/>
          <w:sz w:val="24"/>
          <w:highlight w:val="none"/>
        </w:rPr>
      </w:pPr>
      <w:r>
        <w:rPr>
          <w:rFonts w:hint="eastAsia"/>
          <w:color w:val="auto"/>
          <w:sz w:val="24"/>
          <w:highlight w:val="none"/>
        </w:rPr>
        <w:t>11.3  竣工资料</w:t>
      </w:r>
    </w:p>
    <w:p w14:paraId="64644F59">
      <w:pPr>
        <w:spacing w:line="324" w:lineRule="auto"/>
        <w:ind w:firstLine="480" w:firstLineChars="200"/>
        <w:rPr>
          <w:rFonts w:cs="宋体"/>
          <w:color w:val="auto"/>
          <w:sz w:val="24"/>
          <w:highlight w:val="none"/>
        </w:rPr>
      </w:pPr>
      <w:r>
        <w:rPr>
          <w:rFonts w:hint="eastAsia" w:cs="宋体"/>
          <w:color w:val="auto"/>
          <w:sz w:val="24"/>
          <w:highlight w:val="none"/>
        </w:rPr>
        <w:t>竣工资料：</w:t>
      </w:r>
      <w:r>
        <w:rPr>
          <w:rFonts w:hint="eastAsia" w:cs="宋体"/>
          <w:color w:val="auto"/>
          <w:sz w:val="24"/>
          <w:highlight w:val="none"/>
          <w:u w:val="single"/>
        </w:rPr>
        <w:t xml:space="preserve">                                                </w:t>
      </w:r>
      <w:r>
        <w:rPr>
          <w:rFonts w:hint="eastAsia" w:cs="宋体"/>
          <w:color w:val="auto"/>
          <w:sz w:val="24"/>
          <w:highlight w:val="none"/>
        </w:rPr>
        <w:t xml:space="preserve"> 。</w:t>
      </w:r>
      <w:bookmarkStart w:id="1306" w:name="_Toc341805322"/>
      <w:bookmarkStart w:id="1307" w:name="_Toc330384449"/>
    </w:p>
    <w:bookmarkEnd w:id="1306"/>
    <w:bookmarkEnd w:id="1307"/>
    <w:p w14:paraId="2D749785">
      <w:pPr>
        <w:pStyle w:val="5"/>
        <w:spacing w:before="0" w:after="0" w:line="324" w:lineRule="auto"/>
        <w:jc w:val="center"/>
        <w:rPr>
          <w:color w:val="auto"/>
          <w:sz w:val="24"/>
          <w:highlight w:val="none"/>
        </w:rPr>
      </w:pPr>
      <w:r>
        <w:rPr>
          <w:rFonts w:hint="eastAsia"/>
          <w:color w:val="auto"/>
          <w:highlight w:val="none"/>
        </w:rPr>
        <w:br w:type="page"/>
      </w:r>
      <w:bookmarkStart w:id="1308" w:name="_Toc488650921"/>
      <w:bookmarkStart w:id="1309" w:name="_Toc487619571"/>
      <w:bookmarkStart w:id="1310" w:name="_Toc487291600"/>
      <w:r>
        <w:rPr>
          <w:rFonts w:hint="eastAsia"/>
          <w:color w:val="auto"/>
          <w:highlight w:val="none"/>
        </w:rPr>
        <w:t>第三节    监理合同附件格式</w:t>
      </w:r>
      <w:bookmarkEnd w:id="1308"/>
      <w:bookmarkEnd w:id="1309"/>
      <w:bookmarkEnd w:id="1310"/>
    </w:p>
    <w:p w14:paraId="23AE53DB">
      <w:pPr>
        <w:pStyle w:val="5"/>
        <w:spacing w:before="0" w:after="0" w:line="324" w:lineRule="auto"/>
        <w:jc w:val="center"/>
        <w:rPr>
          <w:color w:val="auto"/>
          <w:sz w:val="24"/>
          <w:highlight w:val="none"/>
        </w:rPr>
      </w:pPr>
    </w:p>
    <w:p w14:paraId="6C84E7A4">
      <w:pPr>
        <w:pStyle w:val="5"/>
        <w:spacing w:before="0" w:after="0" w:line="324" w:lineRule="auto"/>
        <w:rPr>
          <w:rFonts w:ascii="黑体" w:hAnsi="宋体"/>
          <w:b w:val="0"/>
          <w:color w:val="auto"/>
          <w:sz w:val="24"/>
          <w:szCs w:val="24"/>
          <w:highlight w:val="none"/>
        </w:rPr>
      </w:pPr>
      <w:bookmarkStart w:id="1311" w:name="_Toc341805323"/>
      <w:bookmarkStart w:id="1312" w:name="_Toc487619572"/>
      <w:bookmarkStart w:id="1313" w:name="_Toc487291601"/>
      <w:bookmarkStart w:id="1314" w:name="_Toc488650922"/>
      <w:r>
        <w:rPr>
          <w:rFonts w:hint="eastAsia" w:ascii="黑体" w:hAnsi="宋体"/>
          <w:b w:val="0"/>
          <w:color w:val="auto"/>
          <w:sz w:val="24"/>
          <w:szCs w:val="24"/>
          <w:highlight w:val="none"/>
        </w:rPr>
        <w:t>附件一：合同协议书格式</w:t>
      </w:r>
      <w:bookmarkEnd w:id="1311"/>
      <w:bookmarkEnd w:id="1312"/>
      <w:bookmarkEnd w:id="1313"/>
      <w:bookmarkEnd w:id="1314"/>
    </w:p>
    <w:p w14:paraId="64532578">
      <w:pPr>
        <w:autoSpaceDE w:val="0"/>
        <w:autoSpaceDN w:val="0"/>
        <w:adjustRightInd w:val="0"/>
        <w:snapToGrid w:val="0"/>
        <w:spacing w:line="324" w:lineRule="auto"/>
        <w:ind w:firstLine="480" w:firstLineChars="200"/>
        <w:jc w:val="center"/>
        <w:rPr>
          <w:rFonts w:ascii="黑体" w:eastAsia="黑体"/>
          <w:color w:val="auto"/>
          <w:sz w:val="24"/>
          <w:highlight w:val="none"/>
        </w:rPr>
      </w:pPr>
    </w:p>
    <w:p w14:paraId="71ECE0E0">
      <w:pPr>
        <w:autoSpaceDE w:val="0"/>
        <w:autoSpaceDN w:val="0"/>
        <w:adjustRightInd w:val="0"/>
        <w:snapToGrid w:val="0"/>
        <w:spacing w:line="324" w:lineRule="auto"/>
        <w:ind w:firstLine="480" w:firstLineChars="200"/>
        <w:jc w:val="center"/>
        <w:rPr>
          <w:rFonts w:ascii="黑体" w:eastAsia="黑体"/>
          <w:color w:val="auto"/>
          <w:sz w:val="24"/>
          <w:highlight w:val="none"/>
        </w:rPr>
      </w:pPr>
      <w:r>
        <w:rPr>
          <w:rFonts w:hint="eastAsia" w:ascii="黑体" w:eastAsia="黑体"/>
          <w:color w:val="auto"/>
          <w:sz w:val="24"/>
          <w:highlight w:val="none"/>
        </w:rPr>
        <w:t>合同协议书</w:t>
      </w:r>
    </w:p>
    <w:p w14:paraId="61148C3B">
      <w:pPr>
        <w:autoSpaceDE w:val="0"/>
        <w:autoSpaceDN w:val="0"/>
        <w:adjustRightInd w:val="0"/>
        <w:snapToGrid w:val="0"/>
        <w:spacing w:line="324" w:lineRule="auto"/>
        <w:ind w:firstLine="480" w:firstLineChars="200"/>
        <w:rPr>
          <w:rFonts w:ascii="宋体" w:hAnsi="宋体"/>
          <w:color w:val="auto"/>
          <w:sz w:val="24"/>
          <w:highlight w:val="none"/>
          <w:u w:val="single"/>
        </w:rPr>
      </w:pPr>
    </w:p>
    <w:p w14:paraId="675FADBF">
      <w:pPr>
        <w:autoSpaceDE w:val="0"/>
        <w:autoSpaceDN w:val="0"/>
        <w:adjustRightInd w:val="0"/>
        <w:snapToGrid w:val="0"/>
        <w:spacing w:line="324" w:lineRule="auto"/>
        <w:ind w:firstLine="480" w:firstLineChars="200"/>
        <w:jc w:val="left"/>
        <w:rPr>
          <w:rFonts w:ascii="宋体" w:hAnsi="宋体" w:cs="宋体"/>
          <w:color w:val="auto"/>
          <w:spacing w:val="14"/>
          <w:kern w:val="0"/>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（发包人名称，以下简称“发包人</w:t>
      </w:r>
      <w:r>
        <w:rPr>
          <w:rFonts w:ascii="宋体" w:hAnsi="宋体"/>
          <w:color w:val="auto"/>
          <w:sz w:val="24"/>
          <w:highlight w:val="none"/>
        </w:rPr>
        <w:t>”</w:t>
      </w:r>
      <w:r>
        <w:rPr>
          <w:rFonts w:hint="eastAsia" w:ascii="宋体" w:hAnsi="宋体"/>
          <w:color w:val="auto"/>
          <w:sz w:val="24"/>
          <w:highlight w:val="none"/>
        </w:rPr>
        <w:t xml:space="preserve"> ）为实施</w:t>
      </w:r>
      <w:r>
        <w:rPr>
          <w:rFonts w:hint="eastAsia" w:ascii="宋体" w:hAnsi="宋体"/>
          <w:color w:val="auto"/>
          <w:sz w:val="24"/>
          <w:highlight w:val="none"/>
          <w:u w:val="single"/>
        </w:rPr>
        <w:t xml:space="preserve">                    </w:t>
      </w:r>
      <w:r>
        <w:rPr>
          <w:rFonts w:hint="eastAsia" w:ascii="宋体" w:hAnsi="宋体"/>
          <w:color w:val="auto"/>
          <w:sz w:val="24"/>
          <w:highlight w:val="none"/>
        </w:rPr>
        <w:t>（项目名称、施工监理标段），</w:t>
      </w:r>
      <w:r>
        <w:rPr>
          <w:rFonts w:hint="eastAsia" w:ascii="宋体" w:hAnsi="宋体"/>
          <w:color w:val="auto"/>
          <w:sz w:val="24"/>
          <w:highlight w:val="none"/>
          <w:lang w:val="en-US" w:eastAsia="zh-CN"/>
        </w:rPr>
        <w:t>已</w:t>
      </w:r>
      <w:r>
        <w:rPr>
          <w:rFonts w:hint="eastAsia" w:ascii="宋体" w:hAnsi="宋体"/>
          <w:color w:val="auto"/>
          <w:sz w:val="24"/>
          <w:highlight w:val="none"/>
        </w:rPr>
        <w:t>接受</w:t>
      </w:r>
      <w:r>
        <w:rPr>
          <w:rFonts w:hint="eastAsia" w:ascii="宋体" w:hAnsi="宋体"/>
          <w:color w:val="auto"/>
          <w:sz w:val="24"/>
          <w:highlight w:val="none"/>
          <w:u w:val="single"/>
        </w:rPr>
        <w:t xml:space="preserve">                     </w:t>
      </w:r>
      <w:r>
        <w:rPr>
          <w:rFonts w:hint="eastAsia" w:ascii="宋体" w:hAnsi="宋体"/>
          <w:color w:val="auto"/>
          <w:sz w:val="24"/>
          <w:highlight w:val="none"/>
        </w:rPr>
        <w:t>（监理人名称，以下简称“监理人</w:t>
      </w:r>
      <w:r>
        <w:rPr>
          <w:rFonts w:ascii="宋体" w:hAnsi="宋体"/>
          <w:color w:val="auto"/>
          <w:sz w:val="24"/>
          <w:highlight w:val="none"/>
        </w:rPr>
        <w:t>”</w:t>
      </w:r>
      <w:r>
        <w:rPr>
          <w:rFonts w:hint="eastAsia" w:ascii="宋体" w:hAnsi="宋体"/>
          <w:color w:val="auto"/>
          <w:sz w:val="24"/>
          <w:highlight w:val="none"/>
        </w:rPr>
        <w:t>）的施工监理投标文件。发包人和监理人共同达成如下协议。</w:t>
      </w:r>
    </w:p>
    <w:p w14:paraId="1B74CF92">
      <w:pPr>
        <w:spacing w:line="324" w:lineRule="auto"/>
        <w:ind w:firstLine="480" w:firstLineChars="200"/>
        <w:rPr>
          <w:rFonts w:ascii="宋体" w:hAnsi="宋体"/>
          <w:color w:val="auto"/>
          <w:sz w:val="24"/>
          <w:highlight w:val="none"/>
        </w:rPr>
      </w:pPr>
      <w:r>
        <w:rPr>
          <w:color w:val="auto"/>
          <w:sz w:val="24"/>
          <w:highlight w:val="none"/>
        </w:rPr>
        <w:t>1</w:t>
      </w:r>
      <w:r>
        <w:rPr>
          <w:rFonts w:hAnsi="宋体"/>
          <w:color w:val="auto"/>
          <w:sz w:val="24"/>
          <w:highlight w:val="none"/>
        </w:rPr>
        <w:t>．</w:t>
      </w:r>
      <w:r>
        <w:rPr>
          <w:rFonts w:hint="eastAsia" w:hAnsi="宋体"/>
          <w:color w:val="auto"/>
          <w:sz w:val="24"/>
          <w:highlight w:val="none"/>
        </w:rPr>
        <w:t>本协议书与</w:t>
      </w:r>
      <w:r>
        <w:rPr>
          <w:rFonts w:hint="eastAsia" w:ascii="宋体" w:hAnsi="宋体"/>
          <w:color w:val="auto"/>
          <w:sz w:val="24"/>
          <w:highlight w:val="none"/>
        </w:rPr>
        <w:t>下列文件一起构成合同文件：</w:t>
      </w:r>
    </w:p>
    <w:p w14:paraId="77FA5725">
      <w:pPr>
        <w:autoSpaceDE w:val="0"/>
        <w:autoSpaceDN w:val="0"/>
        <w:adjustRightInd w:val="0"/>
        <w:snapToGrid w:val="0"/>
        <w:spacing w:line="324" w:lineRule="auto"/>
        <w:ind w:firstLine="480" w:firstLineChars="200"/>
        <w:rPr>
          <w:rFonts w:cs="宋体"/>
          <w:color w:val="auto"/>
          <w:sz w:val="24"/>
          <w:highlight w:val="none"/>
        </w:rPr>
      </w:pPr>
      <w:r>
        <w:rPr>
          <w:color w:val="auto"/>
          <w:sz w:val="24"/>
          <w:highlight w:val="none"/>
        </w:rPr>
        <w:t>（1）</w:t>
      </w:r>
      <w:r>
        <w:rPr>
          <w:rFonts w:hint="eastAsia" w:cs="宋体"/>
          <w:color w:val="auto"/>
          <w:sz w:val="24"/>
          <w:highlight w:val="none"/>
        </w:rPr>
        <w:t>中标通知书；</w:t>
      </w:r>
    </w:p>
    <w:p w14:paraId="2C7A0B5F">
      <w:pPr>
        <w:autoSpaceDE w:val="0"/>
        <w:autoSpaceDN w:val="0"/>
        <w:adjustRightInd w:val="0"/>
        <w:snapToGrid w:val="0"/>
        <w:spacing w:line="324" w:lineRule="auto"/>
        <w:ind w:firstLine="480" w:firstLineChars="200"/>
        <w:rPr>
          <w:rFonts w:cs="宋体"/>
          <w:color w:val="auto"/>
          <w:sz w:val="24"/>
          <w:highlight w:val="none"/>
        </w:rPr>
      </w:pPr>
      <w:r>
        <w:rPr>
          <w:color w:val="auto"/>
          <w:sz w:val="24"/>
          <w:highlight w:val="none"/>
        </w:rPr>
        <w:t>（</w:t>
      </w:r>
      <w:r>
        <w:rPr>
          <w:rFonts w:hint="eastAsia"/>
          <w:color w:val="auto"/>
          <w:sz w:val="24"/>
          <w:highlight w:val="none"/>
        </w:rPr>
        <w:t>2</w:t>
      </w:r>
      <w:r>
        <w:rPr>
          <w:color w:val="auto"/>
          <w:sz w:val="24"/>
          <w:highlight w:val="none"/>
        </w:rPr>
        <w:t>）</w:t>
      </w:r>
      <w:r>
        <w:rPr>
          <w:rFonts w:hint="eastAsia" w:cs="宋体"/>
          <w:color w:val="auto"/>
          <w:sz w:val="24"/>
          <w:highlight w:val="none"/>
        </w:rPr>
        <w:t>投标文件；</w:t>
      </w:r>
    </w:p>
    <w:p w14:paraId="2F0AFDED">
      <w:pPr>
        <w:autoSpaceDE w:val="0"/>
        <w:autoSpaceDN w:val="0"/>
        <w:adjustRightInd w:val="0"/>
        <w:snapToGrid w:val="0"/>
        <w:spacing w:line="324" w:lineRule="auto"/>
        <w:ind w:firstLine="480" w:firstLineChars="200"/>
        <w:rPr>
          <w:rFonts w:cs="宋体"/>
          <w:color w:val="auto"/>
          <w:sz w:val="24"/>
          <w:highlight w:val="none"/>
        </w:rPr>
      </w:pPr>
      <w:r>
        <w:rPr>
          <w:color w:val="auto"/>
          <w:sz w:val="24"/>
          <w:highlight w:val="none"/>
        </w:rPr>
        <w:t>（</w:t>
      </w:r>
      <w:r>
        <w:rPr>
          <w:rFonts w:hint="eastAsia"/>
          <w:color w:val="auto"/>
          <w:sz w:val="24"/>
          <w:highlight w:val="none"/>
        </w:rPr>
        <w:t>3</w:t>
      </w:r>
      <w:r>
        <w:rPr>
          <w:color w:val="auto"/>
          <w:sz w:val="24"/>
          <w:highlight w:val="none"/>
        </w:rPr>
        <w:t>）</w:t>
      </w:r>
      <w:r>
        <w:rPr>
          <w:rFonts w:hint="eastAsia" w:cs="宋体"/>
          <w:color w:val="auto"/>
          <w:sz w:val="24"/>
          <w:highlight w:val="none"/>
        </w:rPr>
        <w:t>招标文件；</w:t>
      </w:r>
    </w:p>
    <w:p w14:paraId="3ED46382">
      <w:pPr>
        <w:autoSpaceDE w:val="0"/>
        <w:autoSpaceDN w:val="0"/>
        <w:adjustRightInd w:val="0"/>
        <w:snapToGrid w:val="0"/>
        <w:spacing w:line="324" w:lineRule="auto"/>
        <w:ind w:firstLine="480" w:firstLineChars="200"/>
        <w:rPr>
          <w:rFonts w:cs="宋体"/>
          <w:color w:val="auto"/>
          <w:sz w:val="24"/>
          <w:highlight w:val="none"/>
        </w:rPr>
      </w:pPr>
      <w:r>
        <w:rPr>
          <w:color w:val="auto"/>
          <w:sz w:val="24"/>
          <w:highlight w:val="none"/>
        </w:rPr>
        <w:t>（</w:t>
      </w:r>
      <w:r>
        <w:rPr>
          <w:rFonts w:hint="eastAsia"/>
          <w:color w:val="auto"/>
          <w:sz w:val="24"/>
          <w:highlight w:val="none"/>
        </w:rPr>
        <w:t>4</w:t>
      </w:r>
      <w:r>
        <w:rPr>
          <w:color w:val="auto"/>
          <w:sz w:val="24"/>
          <w:highlight w:val="none"/>
        </w:rPr>
        <w:t>）</w:t>
      </w:r>
      <w:r>
        <w:rPr>
          <w:rFonts w:hint="eastAsia" w:cs="宋体"/>
          <w:color w:val="auto"/>
          <w:sz w:val="24"/>
          <w:highlight w:val="none"/>
        </w:rPr>
        <w:t>其他相关合同文件。</w:t>
      </w:r>
    </w:p>
    <w:p w14:paraId="608C9E3B">
      <w:pPr>
        <w:spacing w:line="324" w:lineRule="auto"/>
        <w:ind w:firstLine="480" w:firstLineChars="200"/>
        <w:rPr>
          <w:rFonts w:ascii="宋体" w:hAnsi="宋体"/>
          <w:color w:val="auto"/>
          <w:sz w:val="24"/>
          <w:highlight w:val="none"/>
        </w:rPr>
      </w:pPr>
      <w:r>
        <w:rPr>
          <w:rFonts w:hint="eastAsia"/>
          <w:color w:val="auto"/>
          <w:sz w:val="24"/>
          <w:highlight w:val="none"/>
        </w:rPr>
        <w:t>2．</w:t>
      </w:r>
      <w:r>
        <w:rPr>
          <w:rFonts w:hint="eastAsia" w:ascii="宋体" w:hAnsi="宋体"/>
          <w:color w:val="auto"/>
          <w:sz w:val="24"/>
          <w:highlight w:val="none"/>
        </w:rPr>
        <w:t>上述文件互相补充和解释，如有不明确或不一致之处，以合同约定次序在先者为准。</w:t>
      </w:r>
    </w:p>
    <w:p w14:paraId="2DB9C633">
      <w:pPr>
        <w:autoSpaceDE w:val="0"/>
        <w:autoSpaceDN w:val="0"/>
        <w:adjustRightInd w:val="0"/>
        <w:snapToGrid w:val="0"/>
        <w:spacing w:line="324" w:lineRule="auto"/>
        <w:ind w:firstLine="480" w:firstLineChars="200"/>
        <w:rPr>
          <w:rFonts w:ascii="宋体" w:hAnsi="宋体" w:cs="宋体"/>
          <w:color w:val="auto"/>
          <w:spacing w:val="13"/>
          <w:kern w:val="0"/>
          <w:sz w:val="24"/>
          <w:highlight w:val="none"/>
        </w:rPr>
      </w:pPr>
      <w:r>
        <w:rPr>
          <w:rFonts w:hint="eastAsia"/>
          <w:color w:val="auto"/>
          <w:sz w:val="24"/>
          <w:highlight w:val="none"/>
        </w:rPr>
        <w:t>3．</w:t>
      </w:r>
      <w:r>
        <w:rPr>
          <w:rFonts w:hint="eastAsia" w:ascii="宋体" w:hAnsi="宋体" w:cs="宋体"/>
          <w:color w:val="auto"/>
          <w:spacing w:val="13"/>
          <w:kern w:val="0"/>
          <w:sz w:val="24"/>
          <w:highlight w:val="none"/>
        </w:rPr>
        <w:t>监理服务费总价：</w:t>
      </w:r>
      <w:r>
        <w:rPr>
          <w:rFonts w:ascii="宋体" w:hAnsi="宋体" w:cs="宋体"/>
          <w:color w:val="auto"/>
          <w:spacing w:val="13"/>
          <w:kern w:val="0"/>
          <w:sz w:val="24"/>
          <w:highlight w:val="none"/>
        </w:rPr>
        <w:t>(</w:t>
      </w:r>
      <w:r>
        <w:rPr>
          <w:rFonts w:hint="eastAsia" w:ascii="宋体" w:hAnsi="宋体" w:cs="宋体"/>
          <w:color w:val="auto"/>
          <w:spacing w:val="13"/>
          <w:kern w:val="0"/>
          <w:sz w:val="24"/>
          <w:highlight w:val="none"/>
        </w:rPr>
        <w:t>大写</w:t>
      </w:r>
      <w:r>
        <w:rPr>
          <w:rFonts w:ascii="宋体" w:hAnsi="宋体" w:cs="宋体"/>
          <w:color w:val="auto"/>
          <w:spacing w:val="13"/>
          <w:kern w:val="0"/>
          <w:sz w:val="24"/>
          <w:highlight w:val="none"/>
        </w:rPr>
        <w:t>)</w:t>
      </w:r>
      <w:r>
        <w:rPr>
          <w:rFonts w:hint="eastAsia" w:ascii="宋体" w:hAnsi="宋体" w:cs="宋体"/>
          <w:color w:val="auto"/>
          <w:spacing w:val="13"/>
          <w:kern w:val="0"/>
          <w:sz w:val="24"/>
          <w:highlight w:val="none"/>
        </w:rPr>
        <w:t xml:space="preserve"> </w:t>
      </w:r>
      <w:r>
        <w:rPr>
          <w:rFonts w:hint="eastAsia" w:ascii="宋体" w:hAnsi="宋体" w:cs="宋体"/>
          <w:color w:val="auto"/>
          <w:spacing w:val="13"/>
          <w:kern w:val="0"/>
          <w:sz w:val="24"/>
          <w:highlight w:val="none"/>
          <w:u w:val="single"/>
        </w:rPr>
        <w:t xml:space="preserve">             </w:t>
      </w:r>
      <w:r>
        <w:rPr>
          <w:rFonts w:hint="eastAsia" w:ascii="宋体" w:hAnsi="宋体" w:cs="宋体"/>
          <w:color w:val="auto"/>
          <w:spacing w:val="13"/>
          <w:kern w:val="0"/>
          <w:sz w:val="24"/>
          <w:highlight w:val="none"/>
        </w:rPr>
        <w:t>元</w:t>
      </w:r>
      <w:r>
        <w:rPr>
          <w:rFonts w:ascii="宋体" w:hAnsi="宋体" w:cs="宋体"/>
          <w:color w:val="auto"/>
          <w:spacing w:val="13"/>
          <w:kern w:val="0"/>
          <w:sz w:val="24"/>
          <w:highlight w:val="none"/>
        </w:rPr>
        <w:t>(</w:t>
      </w:r>
      <w:r>
        <w:rPr>
          <w:rFonts w:hint="eastAsia" w:ascii="宋体" w:hAnsi="宋体" w:cs="宋体"/>
          <w:color w:val="auto"/>
          <w:spacing w:val="13"/>
          <w:kern w:val="0"/>
          <w:sz w:val="24"/>
          <w:highlight w:val="none"/>
        </w:rPr>
        <w:t>￥</w:t>
      </w:r>
      <w:r>
        <w:rPr>
          <w:rFonts w:hint="eastAsia" w:ascii="宋体" w:hAnsi="宋体" w:cs="宋体"/>
          <w:color w:val="auto"/>
          <w:spacing w:val="13"/>
          <w:kern w:val="0"/>
          <w:sz w:val="24"/>
          <w:highlight w:val="none"/>
          <w:u w:val="single"/>
        </w:rPr>
        <w:t xml:space="preserve">                </w:t>
      </w:r>
      <w:r>
        <w:rPr>
          <w:rFonts w:hint="eastAsia" w:ascii="宋体" w:hAnsi="宋体" w:cs="宋体"/>
          <w:color w:val="auto"/>
          <w:spacing w:val="13"/>
          <w:kern w:val="0"/>
          <w:sz w:val="24"/>
          <w:highlight w:val="none"/>
        </w:rPr>
        <w:t>)。</w:t>
      </w:r>
    </w:p>
    <w:p w14:paraId="559F6A5B">
      <w:pPr>
        <w:spacing w:line="324" w:lineRule="auto"/>
        <w:ind w:firstLine="480" w:firstLineChars="200"/>
        <w:rPr>
          <w:rFonts w:ascii="宋体" w:hAnsi="宋体" w:cs="宋体"/>
          <w:color w:val="auto"/>
          <w:spacing w:val="13"/>
          <w:kern w:val="0"/>
          <w:sz w:val="24"/>
          <w:highlight w:val="none"/>
        </w:rPr>
      </w:pPr>
      <w:r>
        <w:rPr>
          <w:rFonts w:hint="eastAsia"/>
          <w:color w:val="auto"/>
          <w:sz w:val="24"/>
          <w:highlight w:val="none"/>
        </w:rPr>
        <w:t>4．</w:t>
      </w:r>
      <w:r>
        <w:rPr>
          <w:rFonts w:hint="eastAsia" w:ascii="宋体" w:hAnsi="宋体" w:cs="宋体"/>
          <w:color w:val="auto"/>
          <w:spacing w:val="13"/>
          <w:kern w:val="0"/>
          <w:sz w:val="24"/>
          <w:highlight w:val="none"/>
        </w:rPr>
        <w:t>总监理工程师：</w:t>
      </w:r>
      <w:r>
        <w:rPr>
          <w:rFonts w:hint="eastAsia" w:ascii="宋体" w:hAnsi="宋体" w:cs="宋体"/>
          <w:color w:val="auto"/>
          <w:spacing w:val="13"/>
          <w:kern w:val="0"/>
          <w:sz w:val="24"/>
          <w:highlight w:val="none"/>
          <w:u w:val="single"/>
        </w:rPr>
        <w:t xml:space="preserve">              </w:t>
      </w:r>
      <w:r>
        <w:rPr>
          <w:rFonts w:hint="eastAsia" w:ascii="宋体" w:hAnsi="宋体" w:cs="宋体"/>
          <w:color w:val="auto"/>
          <w:spacing w:val="13"/>
          <w:kern w:val="0"/>
          <w:sz w:val="24"/>
          <w:highlight w:val="none"/>
        </w:rPr>
        <w:t>，监理资格证书编号：</w:t>
      </w:r>
      <w:r>
        <w:rPr>
          <w:rFonts w:hint="eastAsia" w:ascii="宋体" w:hAnsi="宋体" w:cs="宋体"/>
          <w:color w:val="auto"/>
          <w:spacing w:val="13"/>
          <w:kern w:val="0"/>
          <w:sz w:val="24"/>
          <w:highlight w:val="none"/>
          <w:u w:val="single"/>
        </w:rPr>
        <w:t xml:space="preserve">             </w:t>
      </w:r>
      <w:r>
        <w:rPr>
          <w:rFonts w:hint="eastAsia" w:ascii="宋体" w:hAnsi="宋体" w:cs="宋体"/>
          <w:color w:val="auto"/>
          <w:spacing w:val="13"/>
          <w:kern w:val="0"/>
          <w:sz w:val="24"/>
          <w:highlight w:val="none"/>
        </w:rPr>
        <w:t>。</w:t>
      </w:r>
    </w:p>
    <w:p w14:paraId="3B705120">
      <w:pPr>
        <w:spacing w:line="324" w:lineRule="auto"/>
        <w:ind w:firstLine="480" w:firstLineChars="200"/>
        <w:outlineLvl w:val="0"/>
        <w:rPr>
          <w:color w:val="auto"/>
          <w:sz w:val="24"/>
          <w:highlight w:val="none"/>
        </w:rPr>
      </w:pPr>
      <w:bookmarkStart w:id="1315" w:name="_Toc488650923"/>
      <w:bookmarkStart w:id="1316" w:name="_Toc487291602"/>
      <w:bookmarkStart w:id="1317" w:name="_Toc487619573"/>
      <w:bookmarkStart w:id="1318" w:name="_Toc487653491"/>
      <w:r>
        <w:rPr>
          <w:rFonts w:hint="eastAsia"/>
          <w:color w:val="auto"/>
          <w:sz w:val="24"/>
          <w:highlight w:val="none"/>
        </w:rPr>
        <w:t>5. 监理人承诺按合同约定提供监理服务。</w:t>
      </w:r>
      <w:bookmarkEnd w:id="1315"/>
      <w:bookmarkEnd w:id="1316"/>
      <w:bookmarkEnd w:id="1317"/>
      <w:bookmarkEnd w:id="1318"/>
    </w:p>
    <w:p w14:paraId="6CE26CE6">
      <w:pPr>
        <w:spacing w:line="324" w:lineRule="auto"/>
        <w:ind w:firstLine="480" w:firstLineChars="200"/>
        <w:rPr>
          <w:rFonts w:ascii="宋体" w:hAnsi="宋体"/>
          <w:color w:val="auto"/>
          <w:sz w:val="24"/>
          <w:highlight w:val="none"/>
        </w:rPr>
      </w:pPr>
      <w:r>
        <w:rPr>
          <w:rFonts w:hint="eastAsia"/>
          <w:color w:val="auto"/>
          <w:sz w:val="24"/>
          <w:highlight w:val="none"/>
        </w:rPr>
        <w:t>6．</w:t>
      </w:r>
      <w:r>
        <w:rPr>
          <w:rFonts w:hint="eastAsia" w:ascii="宋体" w:hAnsi="宋体" w:cs="宋体"/>
          <w:color w:val="auto"/>
          <w:spacing w:val="13"/>
          <w:kern w:val="0"/>
          <w:sz w:val="24"/>
          <w:highlight w:val="none"/>
        </w:rPr>
        <w:t>发包人承诺按合同约定的时间、条件和方式向监理人支付其应支付的监理费用和提供监理工作条件。</w:t>
      </w:r>
    </w:p>
    <w:p w14:paraId="0B14260D">
      <w:pPr>
        <w:autoSpaceDE w:val="0"/>
        <w:autoSpaceDN w:val="0"/>
        <w:adjustRightInd w:val="0"/>
        <w:snapToGrid w:val="0"/>
        <w:spacing w:line="324" w:lineRule="auto"/>
        <w:ind w:firstLine="480" w:firstLineChars="200"/>
        <w:rPr>
          <w:rFonts w:ascii="宋体" w:hAnsi="宋体" w:cs="宋体"/>
          <w:color w:val="auto"/>
          <w:spacing w:val="13"/>
          <w:kern w:val="0"/>
          <w:sz w:val="24"/>
          <w:highlight w:val="none"/>
        </w:rPr>
      </w:pPr>
      <w:r>
        <w:rPr>
          <w:rFonts w:hint="eastAsia"/>
          <w:color w:val="auto"/>
          <w:sz w:val="24"/>
          <w:highlight w:val="none"/>
        </w:rPr>
        <w:t>7．</w:t>
      </w:r>
      <w:r>
        <w:rPr>
          <w:rFonts w:hint="eastAsia" w:ascii="宋体" w:hAnsi="宋体" w:cs="宋体"/>
          <w:color w:val="auto"/>
          <w:spacing w:val="13"/>
          <w:kern w:val="0"/>
          <w:sz w:val="24"/>
          <w:highlight w:val="none"/>
        </w:rPr>
        <w:t>监理服务期：</w:t>
      </w:r>
      <w:r>
        <w:rPr>
          <w:rFonts w:hint="eastAsia" w:ascii="宋体" w:hAnsi="宋体"/>
          <w:color w:val="auto"/>
          <w:sz w:val="24"/>
          <w:highlight w:val="none"/>
          <w:u w:val="single"/>
        </w:rPr>
        <w:t xml:space="preserve">                                    </w:t>
      </w:r>
      <w:r>
        <w:rPr>
          <w:rFonts w:hint="eastAsia" w:ascii="宋体" w:hAnsi="宋体" w:cs="宋体"/>
          <w:bCs/>
          <w:color w:val="auto"/>
          <w:sz w:val="24"/>
          <w:highlight w:val="none"/>
        </w:rPr>
        <w:t>。</w:t>
      </w:r>
    </w:p>
    <w:p w14:paraId="21B8C829">
      <w:pPr>
        <w:spacing w:line="324" w:lineRule="auto"/>
        <w:ind w:firstLine="480" w:firstLineChars="200"/>
        <w:rPr>
          <w:rFonts w:ascii="宋体" w:hAnsi="宋体" w:cs="宋体"/>
          <w:color w:val="auto"/>
          <w:spacing w:val="13"/>
          <w:kern w:val="0"/>
          <w:sz w:val="24"/>
          <w:highlight w:val="none"/>
        </w:rPr>
      </w:pPr>
      <w:r>
        <w:rPr>
          <w:rFonts w:hint="eastAsia"/>
          <w:color w:val="auto"/>
          <w:sz w:val="24"/>
          <w:highlight w:val="none"/>
        </w:rPr>
        <w:t>8．</w:t>
      </w:r>
      <w:r>
        <w:rPr>
          <w:rFonts w:hint="eastAsia" w:ascii="宋体" w:hAnsi="宋体" w:cs="宋体"/>
          <w:color w:val="auto"/>
          <w:spacing w:val="13"/>
          <w:kern w:val="0"/>
          <w:sz w:val="24"/>
          <w:highlight w:val="none"/>
        </w:rPr>
        <w:t>本协议书经双方签字盖章后，监理人按约定提交履约保证金后生效，至双方按照监理合同的约定履行完各自的义务和责任后自然失效。</w:t>
      </w:r>
    </w:p>
    <w:p w14:paraId="6C81DB08">
      <w:pPr>
        <w:spacing w:line="324" w:lineRule="auto"/>
        <w:ind w:firstLine="480" w:firstLineChars="200"/>
        <w:rPr>
          <w:rFonts w:ascii="宋体" w:hAnsi="宋体"/>
          <w:color w:val="auto"/>
          <w:sz w:val="24"/>
          <w:highlight w:val="none"/>
        </w:rPr>
      </w:pPr>
      <w:r>
        <w:rPr>
          <w:rFonts w:hint="eastAsia"/>
          <w:color w:val="auto"/>
          <w:sz w:val="24"/>
          <w:highlight w:val="none"/>
        </w:rPr>
        <w:t>9．</w:t>
      </w:r>
      <w:r>
        <w:rPr>
          <w:rFonts w:hint="eastAsia" w:ascii="宋体" w:hAnsi="宋体"/>
          <w:color w:val="auto"/>
          <w:sz w:val="24"/>
          <w:highlight w:val="none"/>
        </w:rPr>
        <w:t>合同未尽事宜，双方另行签订补充协议。补充协议是合同的组成部分。</w:t>
      </w:r>
    </w:p>
    <w:p w14:paraId="67C5B8F1">
      <w:pPr>
        <w:spacing w:line="324" w:lineRule="auto"/>
        <w:ind w:firstLine="480" w:firstLineChars="200"/>
        <w:rPr>
          <w:color w:val="auto"/>
          <w:sz w:val="24"/>
          <w:highlight w:val="none"/>
        </w:rPr>
      </w:pPr>
      <w:r>
        <w:rPr>
          <w:rFonts w:hint="eastAsia"/>
          <w:color w:val="auto"/>
          <w:sz w:val="24"/>
          <w:highlight w:val="none"/>
        </w:rPr>
        <w:t>10．</w:t>
      </w:r>
      <w:r>
        <w:rPr>
          <w:rFonts w:hint="eastAsia" w:ascii="宋体" w:hAnsi="宋体" w:cs="宋体"/>
          <w:color w:val="auto"/>
          <w:spacing w:val="13"/>
          <w:kern w:val="0"/>
          <w:sz w:val="24"/>
          <w:highlight w:val="none"/>
        </w:rPr>
        <w:t>本监理合同协议书正本一式两份，双方各执一份，具有同等法律效力。 协议书副本</w:t>
      </w:r>
      <w:r>
        <w:rPr>
          <w:rFonts w:hint="eastAsia" w:ascii="宋体" w:hAnsi="宋体" w:cs="宋体"/>
          <w:color w:val="auto"/>
          <w:spacing w:val="13"/>
          <w:kern w:val="0"/>
          <w:sz w:val="24"/>
          <w:highlight w:val="none"/>
          <w:u w:val="single"/>
        </w:rPr>
        <w:t xml:space="preserve">       </w:t>
      </w:r>
      <w:r>
        <w:rPr>
          <w:rFonts w:hint="eastAsia" w:ascii="宋体" w:hAnsi="宋体" w:cs="宋体"/>
          <w:color w:val="auto"/>
          <w:spacing w:val="13"/>
          <w:kern w:val="0"/>
          <w:sz w:val="24"/>
          <w:highlight w:val="none"/>
        </w:rPr>
        <w:t>份，双方各执</w:t>
      </w:r>
      <w:r>
        <w:rPr>
          <w:rFonts w:hint="eastAsia" w:ascii="宋体" w:hAnsi="宋体" w:cs="宋体"/>
          <w:color w:val="auto"/>
          <w:spacing w:val="13"/>
          <w:kern w:val="0"/>
          <w:sz w:val="24"/>
          <w:highlight w:val="none"/>
          <w:u w:val="single"/>
        </w:rPr>
        <w:t xml:space="preserve">      </w:t>
      </w:r>
      <w:r>
        <w:rPr>
          <w:rFonts w:hint="eastAsia" w:ascii="宋体" w:hAnsi="宋体" w:cs="宋体"/>
          <w:color w:val="auto"/>
          <w:spacing w:val="13"/>
          <w:kern w:val="0"/>
          <w:sz w:val="24"/>
          <w:highlight w:val="none"/>
        </w:rPr>
        <w:t>份。</w:t>
      </w:r>
    </w:p>
    <w:p w14:paraId="42F11E00">
      <w:pPr>
        <w:spacing w:line="324" w:lineRule="auto"/>
        <w:rPr>
          <w:color w:val="auto"/>
          <w:sz w:val="24"/>
          <w:highlight w:val="none"/>
        </w:rPr>
      </w:pPr>
    </w:p>
    <w:p w14:paraId="72E639ED">
      <w:pPr>
        <w:spacing w:line="324" w:lineRule="auto"/>
        <w:rPr>
          <w:rFonts w:ascii="宋体" w:hAnsi="宋体" w:cs="宋体"/>
          <w:color w:val="auto"/>
          <w:spacing w:val="13"/>
          <w:kern w:val="0"/>
          <w:sz w:val="24"/>
          <w:highlight w:val="none"/>
        </w:rPr>
      </w:pPr>
      <w:r>
        <w:rPr>
          <w:rFonts w:hint="eastAsia" w:ascii="宋体" w:hAnsi="宋体" w:cs="宋体"/>
          <w:color w:val="auto"/>
          <w:spacing w:val="13"/>
          <w:kern w:val="0"/>
          <w:sz w:val="24"/>
          <w:highlight w:val="none"/>
        </w:rPr>
        <w:t>发包人（全称并盖章）：</w:t>
      </w:r>
      <w:r>
        <w:rPr>
          <w:rFonts w:hint="eastAsia" w:ascii="宋体" w:hAnsi="宋体" w:cs="宋体"/>
          <w:color w:val="auto"/>
          <w:spacing w:val="13"/>
          <w:kern w:val="0"/>
          <w:sz w:val="24"/>
          <w:highlight w:val="none"/>
          <w:u w:val="single"/>
        </w:rPr>
        <w:t xml:space="preserve">      </w:t>
      </w:r>
      <w:r>
        <w:rPr>
          <w:rFonts w:hint="eastAsia" w:ascii="宋体" w:hAnsi="宋体" w:cs="宋体"/>
          <w:color w:val="auto"/>
          <w:spacing w:val="13"/>
          <w:kern w:val="0"/>
          <w:sz w:val="24"/>
          <w:highlight w:val="none"/>
        </w:rPr>
        <w:t xml:space="preserve">         监理人（全称并盖章）：</w:t>
      </w:r>
      <w:r>
        <w:rPr>
          <w:rFonts w:hint="eastAsia" w:ascii="宋体" w:hAnsi="宋体" w:cs="宋体"/>
          <w:color w:val="auto"/>
          <w:spacing w:val="13"/>
          <w:kern w:val="0"/>
          <w:sz w:val="24"/>
          <w:highlight w:val="none"/>
          <w:u w:val="single"/>
        </w:rPr>
        <w:t xml:space="preserve">       </w:t>
      </w:r>
    </w:p>
    <w:p w14:paraId="7BC586B9">
      <w:pPr>
        <w:spacing w:line="324" w:lineRule="auto"/>
        <w:rPr>
          <w:rFonts w:ascii="宋体" w:hAnsi="宋体" w:cs="宋体"/>
          <w:color w:val="auto"/>
          <w:spacing w:val="13"/>
          <w:kern w:val="0"/>
          <w:sz w:val="24"/>
          <w:highlight w:val="none"/>
        </w:rPr>
      </w:pPr>
    </w:p>
    <w:p w14:paraId="3EF0AE2C">
      <w:pPr>
        <w:spacing w:line="324" w:lineRule="auto"/>
        <w:rPr>
          <w:rFonts w:ascii="宋体" w:hAnsi="宋体" w:cs="宋体"/>
          <w:color w:val="auto"/>
          <w:spacing w:val="13"/>
          <w:kern w:val="0"/>
          <w:sz w:val="24"/>
          <w:highlight w:val="none"/>
        </w:rPr>
      </w:pPr>
      <w:r>
        <w:rPr>
          <w:rFonts w:hint="eastAsia" w:ascii="宋体" w:hAnsi="宋体" w:cs="宋体"/>
          <w:color w:val="auto"/>
          <w:spacing w:val="13"/>
          <w:kern w:val="0"/>
          <w:sz w:val="24"/>
          <w:highlight w:val="none"/>
        </w:rPr>
        <w:t>法定代表人                          法定代表人</w:t>
      </w:r>
    </w:p>
    <w:p w14:paraId="0769FDA9">
      <w:pPr>
        <w:spacing w:line="324" w:lineRule="auto"/>
        <w:rPr>
          <w:rFonts w:ascii="宋体" w:hAnsi="宋体" w:cs="宋体"/>
          <w:color w:val="auto"/>
          <w:spacing w:val="13"/>
          <w:kern w:val="0"/>
          <w:sz w:val="24"/>
          <w:highlight w:val="none"/>
        </w:rPr>
      </w:pPr>
      <w:r>
        <w:rPr>
          <w:rFonts w:hint="eastAsia" w:ascii="宋体" w:hAnsi="宋体" w:cs="宋体"/>
          <w:color w:val="auto"/>
          <w:spacing w:val="13"/>
          <w:kern w:val="0"/>
          <w:sz w:val="24"/>
          <w:highlight w:val="none"/>
        </w:rPr>
        <w:t>或其委托代理人（签字）：</w:t>
      </w:r>
      <w:r>
        <w:rPr>
          <w:rFonts w:hint="eastAsia" w:ascii="宋体" w:hAnsi="宋体" w:cs="宋体"/>
          <w:color w:val="auto"/>
          <w:spacing w:val="13"/>
          <w:kern w:val="0"/>
          <w:sz w:val="24"/>
          <w:highlight w:val="none"/>
          <w:u w:val="single"/>
        </w:rPr>
        <w:t xml:space="preserve">     </w:t>
      </w:r>
      <w:r>
        <w:rPr>
          <w:rFonts w:ascii="宋体" w:hAnsi="宋体" w:cs="宋体"/>
          <w:color w:val="auto"/>
          <w:spacing w:val="13"/>
          <w:kern w:val="0"/>
          <w:sz w:val="24"/>
          <w:highlight w:val="none"/>
        </w:rPr>
        <w:t xml:space="preserve">   </w:t>
      </w:r>
      <w:r>
        <w:rPr>
          <w:rFonts w:hint="eastAsia" w:ascii="宋体" w:hAnsi="宋体" w:cs="宋体"/>
          <w:color w:val="auto"/>
          <w:spacing w:val="13"/>
          <w:kern w:val="0"/>
          <w:sz w:val="24"/>
          <w:highlight w:val="none"/>
        </w:rPr>
        <w:t xml:space="preserve">     或其委托代理人（签字）：</w:t>
      </w:r>
      <w:r>
        <w:rPr>
          <w:rFonts w:hint="eastAsia" w:ascii="宋体" w:hAnsi="宋体" w:cs="宋体"/>
          <w:color w:val="auto"/>
          <w:spacing w:val="13"/>
          <w:kern w:val="0"/>
          <w:sz w:val="24"/>
          <w:highlight w:val="none"/>
          <w:u w:val="single"/>
        </w:rPr>
        <w:t xml:space="preserve">        </w:t>
      </w:r>
    </w:p>
    <w:p w14:paraId="242177D7">
      <w:pPr>
        <w:spacing w:line="324" w:lineRule="auto"/>
        <w:rPr>
          <w:rFonts w:ascii="宋体" w:hAnsi="宋体" w:cs="宋体"/>
          <w:color w:val="auto"/>
          <w:spacing w:val="13"/>
          <w:kern w:val="0"/>
          <w:sz w:val="24"/>
          <w:highlight w:val="none"/>
        </w:rPr>
      </w:pPr>
      <w:r>
        <w:rPr>
          <w:rFonts w:hint="eastAsia" w:ascii="宋体" w:hAnsi="宋体" w:cs="宋体"/>
          <w:color w:val="auto"/>
          <w:spacing w:val="13"/>
          <w:kern w:val="0"/>
          <w:sz w:val="24"/>
          <w:highlight w:val="none"/>
        </w:rPr>
        <w:t>日  期：</w:t>
      </w:r>
      <w:r>
        <w:rPr>
          <w:rFonts w:hint="eastAsia" w:ascii="宋体" w:hAnsi="宋体" w:cs="宋体"/>
          <w:color w:val="auto"/>
          <w:spacing w:val="13"/>
          <w:kern w:val="0"/>
          <w:sz w:val="24"/>
          <w:highlight w:val="none"/>
          <w:u w:val="single"/>
        </w:rPr>
        <w:t xml:space="preserve">    </w:t>
      </w:r>
      <w:r>
        <w:rPr>
          <w:rFonts w:hint="eastAsia" w:ascii="宋体" w:hAnsi="宋体" w:cs="宋体"/>
          <w:color w:val="auto"/>
          <w:spacing w:val="13"/>
          <w:kern w:val="0"/>
          <w:sz w:val="24"/>
          <w:highlight w:val="none"/>
        </w:rPr>
        <w:t>年</w:t>
      </w:r>
      <w:r>
        <w:rPr>
          <w:rFonts w:hint="eastAsia" w:ascii="宋体" w:hAnsi="宋体" w:cs="宋体"/>
          <w:color w:val="auto"/>
          <w:spacing w:val="13"/>
          <w:kern w:val="0"/>
          <w:sz w:val="24"/>
          <w:highlight w:val="none"/>
          <w:u w:val="single"/>
        </w:rPr>
        <w:t xml:space="preserve">    </w:t>
      </w:r>
      <w:r>
        <w:rPr>
          <w:rFonts w:hint="eastAsia" w:ascii="宋体" w:hAnsi="宋体" w:cs="宋体"/>
          <w:color w:val="auto"/>
          <w:spacing w:val="13"/>
          <w:kern w:val="0"/>
          <w:sz w:val="24"/>
          <w:highlight w:val="none"/>
        </w:rPr>
        <w:t>月</w:t>
      </w:r>
      <w:r>
        <w:rPr>
          <w:rFonts w:hint="eastAsia" w:ascii="宋体" w:hAnsi="宋体" w:cs="宋体"/>
          <w:color w:val="auto"/>
          <w:spacing w:val="13"/>
          <w:kern w:val="0"/>
          <w:sz w:val="24"/>
          <w:highlight w:val="none"/>
          <w:u w:val="single"/>
        </w:rPr>
        <w:t xml:space="preserve">      </w:t>
      </w:r>
      <w:r>
        <w:rPr>
          <w:rFonts w:hint="eastAsia" w:ascii="宋体" w:hAnsi="宋体" w:cs="宋体"/>
          <w:color w:val="auto"/>
          <w:spacing w:val="13"/>
          <w:kern w:val="0"/>
          <w:sz w:val="24"/>
          <w:highlight w:val="none"/>
        </w:rPr>
        <w:t>日         日  期：</w:t>
      </w:r>
      <w:r>
        <w:rPr>
          <w:rFonts w:hint="eastAsia" w:ascii="宋体" w:hAnsi="宋体" w:cs="宋体"/>
          <w:color w:val="auto"/>
          <w:spacing w:val="13"/>
          <w:kern w:val="0"/>
          <w:sz w:val="24"/>
          <w:highlight w:val="none"/>
          <w:u w:val="single"/>
        </w:rPr>
        <w:t xml:space="preserve">       </w:t>
      </w:r>
      <w:r>
        <w:rPr>
          <w:rFonts w:hint="eastAsia" w:ascii="宋体" w:hAnsi="宋体" w:cs="宋体"/>
          <w:color w:val="auto"/>
          <w:spacing w:val="13"/>
          <w:kern w:val="0"/>
          <w:sz w:val="24"/>
          <w:highlight w:val="none"/>
        </w:rPr>
        <w:t>年</w:t>
      </w:r>
      <w:r>
        <w:rPr>
          <w:rFonts w:hint="eastAsia" w:ascii="宋体" w:hAnsi="宋体" w:cs="宋体"/>
          <w:color w:val="auto"/>
          <w:spacing w:val="13"/>
          <w:kern w:val="0"/>
          <w:sz w:val="24"/>
          <w:highlight w:val="none"/>
          <w:u w:val="single"/>
        </w:rPr>
        <w:t xml:space="preserve">    </w:t>
      </w:r>
      <w:r>
        <w:rPr>
          <w:rFonts w:hint="eastAsia" w:ascii="宋体" w:hAnsi="宋体" w:cs="宋体"/>
          <w:color w:val="auto"/>
          <w:spacing w:val="13"/>
          <w:kern w:val="0"/>
          <w:sz w:val="24"/>
          <w:highlight w:val="none"/>
        </w:rPr>
        <w:t>月</w:t>
      </w:r>
      <w:r>
        <w:rPr>
          <w:rFonts w:hint="eastAsia" w:ascii="宋体" w:hAnsi="宋体" w:cs="宋体"/>
          <w:color w:val="auto"/>
          <w:spacing w:val="13"/>
          <w:kern w:val="0"/>
          <w:sz w:val="24"/>
          <w:highlight w:val="none"/>
          <w:u w:val="single"/>
        </w:rPr>
        <w:t xml:space="preserve">     </w:t>
      </w:r>
      <w:r>
        <w:rPr>
          <w:rFonts w:hint="eastAsia" w:ascii="宋体" w:hAnsi="宋体" w:cs="宋体"/>
          <w:color w:val="auto"/>
          <w:spacing w:val="13"/>
          <w:kern w:val="0"/>
          <w:sz w:val="24"/>
          <w:highlight w:val="none"/>
        </w:rPr>
        <w:t>日</w:t>
      </w:r>
    </w:p>
    <w:p w14:paraId="537D3245">
      <w:pPr>
        <w:spacing w:line="324" w:lineRule="auto"/>
        <w:rPr>
          <w:rFonts w:ascii="宋体" w:hAnsi="宋体" w:cs="宋体"/>
          <w:color w:val="auto"/>
          <w:spacing w:val="13"/>
          <w:kern w:val="0"/>
          <w:sz w:val="24"/>
          <w:highlight w:val="none"/>
          <w:u w:val="single"/>
        </w:rPr>
      </w:pPr>
      <w:r>
        <w:rPr>
          <w:rFonts w:hint="eastAsia" w:ascii="宋体" w:hAnsi="宋体" w:cs="宋体"/>
          <w:color w:val="auto"/>
          <w:spacing w:val="13"/>
          <w:kern w:val="0"/>
          <w:sz w:val="24"/>
          <w:highlight w:val="none"/>
        </w:rPr>
        <w:t>单位地址：</w:t>
      </w:r>
      <w:r>
        <w:rPr>
          <w:rFonts w:hint="eastAsia" w:ascii="宋体" w:hAnsi="宋体" w:cs="宋体"/>
          <w:color w:val="auto"/>
          <w:spacing w:val="13"/>
          <w:kern w:val="0"/>
          <w:sz w:val="24"/>
          <w:highlight w:val="none"/>
          <w:u w:val="single"/>
        </w:rPr>
        <w:t xml:space="preserve">                    </w:t>
      </w:r>
      <w:r>
        <w:rPr>
          <w:rFonts w:hint="eastAsia" w:ascii="宋体" w:hAnsi="宋体" w:cs="宋体"/>
          <w:color w:val="auto"/>
          <w:spacing w:val="13"/>
          <w:kern w:val="0"/>
          <w:sz w:val="24"/>
          <w:highlight w:val="none"/>
        </w:rPr>
        <w:t xml:space="preserve">      单位地址：</w:t>
      </w:r>
      <w:r>
        <w:rPr>
          <w:rFonts w:hint="eastAsia" w:ascii="宋体" w:hAnsi="宋体" w:cs="宋体"/>
          <w:color w:val="auto"/>
          <w:spacing w:val="13"/>
          <w:kern w:val="0"/>
          <w:sz w:val="24"/>
          <w:highlight w:val="none"/>
          <w:u w:val="single"/>
        </w:rPr>
        <w:t xml:space="preserve">                    </w:t>
      </w:r>
    </w:p>
    <w:p w14:paraId="629ED883">
      <w:pPr>
        <w:tabs>
          <w:tab w:val="left" w:pos="5565"/>
        </w:tabs>
        <w:spacing w:line="324" w:lineRule="auto"/>
        <w:rPr>
          <w:rFonts w:ascii="宋体" w:hAnsi="宋体" w:cs="宋体"/>
          <w:color w:val="auto"/>
          <w:spacing w:val="13"/>
          <w:kern w:val="0"/>
          <w:sz w:val="24"/>
          <w:highlight w:val="none"/>
          <w:u w:val="single"/>
        </w:rPr>
      </w:pPr>
      <w:r>
        <w:rPr>
          <w:rFonts w:hint="eastAsia" w:ascii="宋体" w:hAnsi="宋体" w:cs="宋体"/>
          <w:color w:val="auto"/>
          <w:spacing w:val="13"/>
          <w:kern w:val="0"/>
          <w:sz w:val="24"/>
          <w:highlight w:val="none"/>
        </w:rPr>
        <w:t>邮编：</w:t>
      </w:r>
      <w:r>
        <w:rPr>
          <w:rFonts w:hint="eastAsia" w:ascii="宋体" w:hAnsi="宋体" w:cs="宋体"/>
          <w:color w:val="auto"/>
          <w:spacing w:val="13"/>
          <w:kern w:val="0"/>
          <w:sz w:val="24"/>
          <w:highlight w:val="none"/>
          <w:u w:val="single"/>
        </w:rPr>
        <w:t xml:space="preserve">                        </w:t>
      </w:r>
      <w:r>
        <w:rPr>
          <w:rFonts w:hint="eastAsia" w:ascii="宋体" w:hAnsi="宋体" w:cs="宋体"/>
          <w:color w:val="auto"/>
          <w:spacing w:val="13"/>
          <w:kern w:val="0"/>
          <w:sz w:val="24"/>
          <w:highlight w:val="none"/>
        </w:rPr>
        <w:t xml:space="preserve">      邮编：</w:t>
      </w:r>
      <w:r>
        <w:rPr>
          <w:rFonts w:hint="eastAsia" w:ascii="宋体" w:hAnsi="宋体" w:cs="宋体"/>
          <w:color w:val="auto"/>
          <w:spacing w:val="13"/>
          <w:kern w:val="0"/>
          <w:sz w:val="24"/>
          <w:highlight w:val="none"/>
          <w:u w:val="single"/>
        </w:rPr>
        <w:t xml:space="preserve">                       </w:t>
      </w:r>
    </w:p>
    <w:p w14:paraId="385CA1DB">
      <w:pPr>
        <w:spacing w:line="324" w:lineRule="auto"/>
        <w:rPr>
          <w:rFonts w:ascii="宋体" w:hAnsi="宋体" w:cs="宋体"/>
          <w:color w:val="auto"/>
          <w:spacing w:val="13"/>
          <w:kern w:val="0"/>
          <w:sz w:val="24"/>
          <w:highlight w:val="none"/>
          <w:u w:val="single"/>
        </w:rPr>
      </w:pPr>
      <w:r>
        <w:rPr>
          <w:rFonts w:hint="eastAsia" w:ascii="宋体" w:hAnsi="宋体" w:cs="宋体"/>
          <w:color w:val="auto"/>
          <w:spacing w:val="13"/>
          <w:kern w:val="0"/>
          <w:sz w:val="24"/>
          <w:highlight w:val="none"/>
        </w:rPr>
        <w:t>电子邮箱：</w:t>
      </w:r>
      <w:r>
        <w:rPr>
          <w:rFonts w:hint="eastAsia" w:ascii="宋体" w:hAnsi="宋体" w:cs="宋体"/>
          <w:color w:val="auto"/>
          <w:spacing w:val="13"/>
          <w:kern w:val="0"/>
          <w:sz w:val="24"/>
          <w:highlight w:val="none"/>
          <w:u w:val="single"/>
        </w:rPr>
        <w:t xml:space="preserve">                    </w:t>
      </w:r>
      <w:r>
        <w:rPr>
          <w:rFonts w:hint="eastAsia" w:ascii="宋体" w:hAnsi="宋体" w:cs="宋体"/>
          <w:color w:val="auto"/>
          <w:spacing w:val="13"/>
          <w:kern w:val="0"/>
          <w:sz w:val="24"/>
          <w:highlight w:val="none"/>
        </w:rPr>
        <w:t xml:space="preserve">      电子邮箱：</w:t>
      </w:r>
      <w:r>
        <w:rPr>
          <w:rFonts w:hint="eastAsia" w:ascii="宋体" w:hAnsi="宋体" w:cs="宋体"/>
          <w:color w:val="auto"/>
          <w:spacing w:val="13"/>
          <w:kern w:val="0"/>
          <w:sz w:val="24"/>
          <w:highlight w:val="none"/>
          <w:u w:val="single"/>
        </w:rPr>
        <w:t xml:space="preserve">                    </w:t>
      </w:r>
    </w:p>
    <w:p w14:paraId="0B31FF8D">
      <w:pPr>
        <w:spacing w:line="324" w:lineRule="auto"/>
        <w:rPr>
          <w:rFonts w:ascii="宋体" w:hAnsi="宋体" w:cs="宋体"/>
          <w:color w:val="auto"/>
          <w:spacing w:val="13"/>
          <w:kern w:val="0"/>
          <w:sz w:val="24"/>
          <w:highlight w:val="none"/>
          <w:u w:val="single"/>
        </w:rPr>
      </w:pPr>
      <w:r>
        <w:rPr>
          <w:rFonts w:hint="eastAsia" w:ascii="宋体" w:hAnsi="宋体" w:cs="宋体"/>
          <w:color w:val="auto"/>
          <w:spacing w:val="13"/>
          <w:kern w:val="0"/>
          <w:sz w:val="24"/>
          <w:highlight w:val="none"/>
        </w:rPr>
        <w:t>电话：</w:t>
      </w:r>
      <w:r>
        <w:rPr>
          <w:rFonts w:hint="eastAsia" w:ascii="宋体" w:hAnsi="宋体" w:cs="宋体"/>
          <w:color w:val="auto"/>
          <w:spacing w:val="13"/>
          <w:kern w:val="0"/>
          <w:sz w:val="24"/>
          <w:highlight w:val="none"/>
          <w:u w:val="single"/>
        </w:rPr>
        <w:t xml:space="preserve">                       </w:t>
      </w:r>
      <w:r>
        <w:rPr>
          <w:rFonts w:hint="eastAsia" w:ascii="宋体" w:hAnsi="宋体" w:cs="宋体"/>
          <w:color w:val="auto"/>
          <w:spacing w:val="13"/>
          <w:kern w:val="0"/>
          <w:sz w:val="24"/>
          <w:highlight w:val="none"/>
        </w:rPr>
        <w:t xml:space="preserve">       电话：</w:t>
      </w:r>
      <w:r>
        <w:rPr>
          <w:rFonts w:hint="eastAsia" w:ascii="宋体" w:hAnsi="宋体" w:cs="宋体"/>
          <w:color w:val="auto"/>
          <w:spacing w:val="13"/>
          <w:kern w:val="0"/>
          <w:sz w:val="24"/>
          <w:highlight w:val="none"/>
          <w:u w:val="single"/>
        </w:rPr>
        <w:t xml:space="preserve">                       </w:t>
      </w:r>
    </w:p>
    <w:p w14:paraId="49A010BB">
      <w:pPr>
        <w:spacing w:line="324" w:lineRule="auto"/>
        <w:rPr>
          <w:rFonts w:ascii="宋体" w:hAnsi="宋体" w:cs="宋体"/>
          <w:color w:val="auto"/>
          <w:spacing w:val="13"/>
          <w:kern w:val="0"/>
          <w:sz w:val="24"/>
          <w:highlight w:val="none"/>
          <w:u w:val="single"/>
        </w:rPr>
      </w:pPr>
      <w:r>
        <w:rPr>
          <w:rFonts w:hint="eastAsia" w:ascii="宋体" w:hAnsi="宋体" w:cs="宋体"/>
          <w:color w:val="auto"/>
          <w:spacing w:val="13"/>
          <w:kern w:val="0"/>
          <w:sz w:val="24"/>
          <w:highlight w:val="none"/>
        </w:rPr>
        <w:t>传真：</w:t>
      </w:r>
      <w:r>
        <w:rPr>
          <w:rFonts w:hint="eastAsia" w:ascii="宋体" w:hAnsi="宋体" w:cs="宋体"/>
          <w:color w:val="auto"/>
          <w:spacing w:val="13"/>
          <w:kern w:val="0"/>
          <w:sz w:val="24"/>
          <w:highlight w:val="none"/>
          <w:u w:val="single"/>
        </w:rPr>
        <w:t xml:space="preserve">                       </w:t>
      </w:r>
      <w:r>
        <w:rPr>
          <w:rFonts w:hint="eastAsia" w:ascii="宋体" w:hAnsi="宋体" w:cs="宋体"/>
          <w:color w:val="auto"/>
          <w:spacing w:val="13"/>
          <w:kern w:val="0"/>
          <w:sz w:val="24"/>
          <w:highlight w:val="none"/>
        </w:rPr>
        <w:t xml:space="preserve">       传真：</w:t>
      </w:r>
      <w:r>
        <w:rPr>
          <w:rFonts w:hint="eastAsia" w:ascii="宋体" w:hAnsi="宋体" w:cs="宋体"/>
          <w:color w:val="auto"/>
          <w:spacing w:val="13"/>
          <w:kern w:val="0"/>
          <w:sz w:val="24"/>
          <w:highlight w:val="none"/>
          <w:u w:val="single"/>
        </w:rPr>
        <w:t xml:space="preserve">                       </w:t>
      </w:r>
    </w:p>
    <w:p w14:paraId="6A82E23B">
      <w:pPr>
        <w:spacing w:line="324" w:lineRule="auto"/>
        <w:rPr>
          <w:rFonts w:ascii="宋体" w:hAnsi="宋体" w:cs="宋体"/>
          <w:color w:val="auto"/>
          <w:spacing w:val="13"/>
          <w:kern w:val="0"/>
          <w:sz w:val="24"/>
          <w:highlight w:val="none"/>
          <w:u w:val="single"/>
        </w:rPr>
      </w:pPr>
      <w:r>
        <w:rPr>
          <w:rFonts w:hint="eastAsia" w:ascii="宋体" w:hAnsi="宋体" w:cs="宋体"/>
          <w:color w:val="auto"/>
          <w:spacing w:val="13"/>
          <w:kern w:val="0"/>
          <w:sz w:val="24"/>
          <w:highlight w:val="none"/>
        </w:rPr>
        <w:t>开户银行：</w:t>
      </w:r>
      <w:r>
        <w:rPr>
          <w:rFonts w:hint="eastAsia" w:ascii="宋体" w:hAnsi="宋体" w:cs="宋体"/>
          <w:color w:val="auto"/>
          <w:spacing w:val="13"/>
          <w:kern w:val="0"/>
          <w:sz w:val="24"/>
          <w:highlight w:val="none"/>
          <w:u w:val="single"/>
        </w:rPr>
        <w:t xml:space="preserve">                   </w:t>
      </w:r>
      <w:r>
        <w:rPr>
          <w:rFonts w:hint="eastAsia" w:ascii="宋体" w:hAnsi="宋体" w:cs="宋体"/>
          <w:color w:val="auto"/>
          <w:spacing w:val="13"/>
          <w:kern w:val="0"/>
          <w:sz w:val="24"/>
          <w:highlight w:val="none"/>
        </w:rPr>
        <w:t xml:space="preserve">       开户银行：</w:t>
      </w:r>
      <w:r>
        <w:rPr>
          <w:rFonts w:hint="eastAsia" w:ascii="宋体" w:hAnsi="宋体" w:cs="宋体"/>
          <w:color w:val="auto"/>
          <w:spacing w:val="13"/>
          <w:kern w:val="0"/>
          <w:sz w:val="24"/>
          <w:highlight w:val="none"/>
          <w:u w:val="single"/>
        </w:rPr>
        <w:t xml:space="preserve">                    </w:t>
      </w:r>
    </w:p>
    <w:p w14:paraId="24B02463">
      <w:pPr>
        <w:spacing w:line="324" w:lineRule="auto"/>
        <w:rPr>
          <w:rFonts w:ascii="宋体" w:hAnsi="宋体" w:cs="宋体"/>
          <w:color w:val="auto"/>
          <w:spacing w:val="13"/>
          <w:kern w:val="0"/>
          <w:sz w:val="24"/>
          <w:highlight w:val="none"/>
          <w:u w:val="single"/>
        </w:rPr>
      </w:pPr>
      <w:r>
        <w:rPr>
          <w:rFonts w:hint="eastAsia" w:ascii="宋体" w:hAnsi="宋体" w:cs="宋体"/>
          <w:color w:val="auto"/>
          <w:spacing w:val="13"/>
          <w:kern w:val="0"/>
          <w:sz w:val="24"/>
          <w:highlight w:val="none"/>
        </w:rPr>
        <w:t>账号：</w:t>
      </w:r>
      <w:r>
        <w:rPr>
          <w:rFonts w:hint="eastAsia" w:ascii="宋体" w:hAnsi="宋体" w:cs="宋体"/>
          <w:color w:val="auto"/>
          <w:spacing w:val="13"/>
          <w:kern w:val="0"/>
          <w:sz w:val="24"/>
          <w:highlight w:val="none"/>
          <w:u w:val="single"/>
        </w:rPr>
        <w:t xml:space="preserve">                      </w:t>
      </w:r>
      <w:r>
        <w:rPr>
          <w:rFonts w:hint="eastAsia" w:ascii="宋体" w:hAnsi="宋体" w:cs="宋体"/>
          <w:color w:val="auto"/>
          <w:spacing w:val="13"/>
          <w:kern w:val="0"/>
          <w:sz w:val="24"/>
          <w:highlight w:val="none"/>
        </w:rPr>
        <w:t xml:space="preserve">        账号：</w:t>
      </w:r>
      <w:r>
        <w:rPr>
          <w:rFonts w:hint="eastAsia" w:ascii="宋体" w:hAnsi="宋体" w:cs="宋体"/>
          <w:color w:val="auto"/>
          <w:spacing w:val="13"/>
          <w:kern w:val="0"/>
          <w:sz w:val="24"/>
          <w:highlight w:val="none"/>
          <w:u w:val="single"/>
        </w:rPr>
        <w:t xml:space="preserve">                       </w:t>
      </w:r>
    </w:p>
    <w:p w14:paraId="0881AFC6">
      <w:pPr>
        <w:pStyle w:val="5"/>
        <w:spacing w:before="0" w:after="0" w:line="324" w:lineRule="auto"/>
        <w:rPr>
          <w:rFonts w:ascii="黑体" w:hAnsi="宋体"/>
          <w:b w:val="0"/>
          <w:color w:val="auto"/>
          <w:sz w:val="24"/>
          <w:szCs w:val="24"/>
          <w:highlight w:val="none"/>
        </w:rPr>
      </w:pPr>
      <w:bookmarkStart w:id="1319" w:name="_Toc341805324"/>
    </w:p>
    <w:p w14:paraId="33A097DC">
      <w:pPr>
        <w:rPr>
          <w:rFonts w:ascii="黑体" w:hAnsi="宋体"/>
          <w:b/>
          <w:color w:val="auto"/>
          <w:sz w:val="24"/>
          <w:highlight w:val="none"/>
        </w:rPr>
      </w:pPr>
    </w:p>
    <w:p w14:paraId="48B7B741">
      <w:pPr>
        <w:rPr>
          <w:rFonts w:ascii="黑体" w:hAnsi="宋体"/>
          <w:b/>
          <w:color w:val="auto"/>
          <w:sz w:val="24"/>
          <w:highlight w:val="none"/>
        </w:rPr>
      </w:pPr>
    </w:p>
    <w:p w14:paraId="6289B1BE">
      <w:pPr>
        <w:rPr>
          <w:rFonts w:ascii="黑体" w:hAnsi="宋体"/>
          <w:b/>
          <w:color w:val="auto"/>
          <w:sz w:val="24"/>
          <w:highlight w:val="none"/>
        </w:rPr>
      </w:pPr>
    </w:p>
    <w:p w14:paraId="7E98342B">
      <w:pPr>
        <w:rPr>
          <w:rFonts w:ascii="黑体" w:hAnsi="宋体"/>
          <w:b/>
          <w:color w:val="auto"/>
          <w:sz w:val="24"/>
          <w:highlight w:val="none"/>
        </w:rPr>
      </w:pPr>
    </w:p>
    <w:p w14:paraId="5AB376C3">
      <w:pPr>
        <w:rPr>
          <w:rFonts w:ascii="黑体" w:hAnsi="宋体"/>
          <w:b/>
          <w:color w:val="auto"/>
          <w:sz w:val="24"/>
          <w:highlight w:val="none"/>
        </w:rPr>
      </w:pPr>
    </w:p>
    <w:p w14:paraId="186343DA">
      <w:pPr>
        <w:rPr>
          <w:rFonts w:ascii="黑体" w:hAnsi="宋体"/>
          <w:b/>
          <w:color w:val="auto"/>
          <w:sz w:val="24"/>
          <w:highlight w:val="none"/>
        </w:rPr>
      </w:pPr>
    </w:p>
    <w:p w14:paraId="080DD5FD">
      <w:pPr>
        <w:rPr>
          <w:rFonts w:ascii="黑体" w:hAnsi="宋体"/>
          <w:b/>
          <w:color w:val="auto"/>
          <w:sz w:val="24"/>
          <w:highlight w:val="none"/>
        </w:rPr>
      </w:pPr>
    </w:p>
    <w:p w14:paraId="02A25968">
      <w:pPr>
        <w:rPr>
          <w:rFonts w:ascii="黑体" w:hAnsi="宋体"/>
          <w:b/>
          <w:color w:val="auto"/>
          <w:sz w:val="24"/>
          <w:highlight w:val="none"/>
        </w:rPr>
      </w:pPr>
    </w:p>
    <w:p w14:paraId="35A9CAE0">
      <w:pPr>
        <w:rPr>
          <w:rFonts w:ascii="黑体" w:hAnsi="宋体"/>
          <w:b/>
          <w:color w:val="auto"/>
          <w:sz w:val="24"/>
          <w:highlight w:val="none"/>
        </w:rPr>
      </w:pPr>
    </w:p>
    <w:p w14:paraId="59E55FF4">
      <w:pPr>
        <w:rPr>
          <w:rFonts w:ascii="黑体" w:hAnsi="宋体"/>
          <w:b/>
          <w:color w:val="auto"/>
          <w:sz w:val="24"/>
          <w:highlight w:val="none"/>
        </w:rPr>
      </w:pPr>
    </w:p>
    <w:p w14:paraId="30973D5D">
      <w:pPr>
        <w:rPr>
          <w:rFonts w:ascii="黑体" w:hAnsi="宋体"/>
          <w:b/>
          <w:color w:val="auto"/>
          <w:sz w:val="24"/>
          <w:highlight w:val="none"/>
        </w:rPr>
      </w:pPr>
    </w:p>
    <w:p w14:paraId="440C7E99">
      <w:pPr>
        <w:rPr>
          <w:rFonts w:ascii="黑体" w:hAnsi="宋体"/>
          <w:b/>
          <w:color w:val="auto"/>
          <w:sz w:val="24"/>
          <w:highlight w:val="none"/>
        </w:rPr>
      </w:pPr>
    </w:p>
    <w:p w14:paraId="70ACFBC5">
      <w:pPr>
        <w:rPr>
          <w:rFonts w:ascii="黑体" w:hAnsi="宋体"/>
          <w:b/>
          <w:color w:val="auto"/>
          <w:sz w:val="24"/>
          <w:highlight w:val="none"/>
        </w:rPr>
      </w:pPr>
    </w:p>
    <w:p w14:paraId="2A00CAEE">
      <w:pPr>
        <w:rPr>
          <w:rFonts w:ascii="黑体" w:hAnsi="宋体"/>
          <w:b/>
          <w:color w:val="auto"/>
          <w:sz w:val="24"/>
          <w:highlight w:val="none"/>
        </w:rPr>
      </w:pPr>
    </w:p>
    <w:p w14:paraId="71A00DE6">
      <w:pPr>
        <w:rPr>
          <w:rFonts w:ascii="黑体" w:hAnsi="宋体"/>
          <w:b/>
          <w:color w:val="auto"/>
          <w:sz w:val="24"/>
          <w:highlight w:val="none"/>
        </w:rPr>
      </w:pPr>
    </w:p>
    <w:p w14:paraId="277A26A7">
      <w:pPr>
        <w:rPr>
          <w:rFonts w:ascii="黑体" w:hAnsi="宋体"/>
          <w:b/>
          <w:color w:val="auto"/>
          <w:sz w:val="24"/>
          <w:highlight w:val="none"/>
        </w:rPr>
      </w:pPr>
    </w:p>
    <w:p w14:paraId="64D67F8D">
      <w:pPr>
        <w:rPr>
          <w:rFonts w:ascii="黑体" w:hAnsi="宋体"/>
          <w:b/>
          <w:color w:val="auto"/>
          <w:sz w:val="24"/>
          <w:highlight w:val="none"/>
        </w:rPr>
      </w:pPr>
    </w:p>
    <w:p w14:paraId="77903B86">
      <w:pPr>
        <w:rPr>
          <w:rFonts w:ascii="黑体" w:hAnsi="宋体"/>
          <w:b/>
          <w:color w:val="auto"/>
          <w:sz w:val="24"/>
          <w:highlight w:val="none"/>
        </w:rPr>
      </w:pPr>
    </w:p>
    <w:p w14:paraId="42F48EF6">
      <w:pPr>
        <w:rPr>
          <w:rFonts w:ascii="黑体" w:hAnsi="宋体"/>
          <w:b/>
          <w:color w:val="auto"/>
          <w:sz w:val="24"/>
          <w:highlight w:val="none"/>
        </w:rPr>
      </w:pPr>
    </w:p>
    <w:p w14:paraId="0A094AC2">
      <w:pPr>
        <w:rPr>
          <w:rFonts w:ascii="黑体" w:hAnsi="宋体"/>
          <w:b/>
          <w:color w:val="auto"/>
          <w:sz w:val="24"/>
          <w:highlight w:val="none"/>
        </w:rPr>
      </w:pPr>
    </w:p>
    <w:p w14:paraId="126C469D">
      <w:pPr>
        <w:rPr>
          <w:rFonts w:ascii="黑体" w:hAnsi="宋体"/>
          <w:b/>
          <w:color w:val="auto"/>
          <w:sz w:val="24"/>
          <w:highlight w:val="none"/>
        </w:rPr>
      </w:pPr>
    </w:p>
    <w:p w14:paraId="341E01B8">
      <w:pPr>
        <w:rPr>
          <w:rFonts w:ascii="黑体" w:hAnsi="宋体"/>
          <w:b/>
          <w:color w:val="auto"/>
          <w:sz w:val="24"/>
          <w:highlight w:val="none"/>
        </w:rPr>
      </w:pPr>
    </w:p>
    <w:p w14:paraId="65C6D886">
      <w:pPr>
        <w:rPr>
          <w:rFonts w:ascii="黑体" w:hAnsi="宋体"/>
          <w:b/>
          <w:color w:val="auto"/>
          <w:sz w:val="24"/>
          <w:highlight w:val="none"/>
        </w:rPr>
      </w:pPr>
    </w:p>
    <w:p w14:paraId="1E4DFA7E">
      <w:pPr>
        <w:rPr>
          <w:rFonts w:ascii="黑体" w:hAnsi="宋体"/>
          <w:b/>
          <w:color w:val="auto"/>
          <w:sz w:val="24"/>
          <w:highlight w:val="none"/>
        </w:rPr>
      </w:pPr>
    </w:p>
    <w:p w14:paraId="64EC1809">
      <w:pPr>
        <w:rPr>
          <w:rFonts w:ascii="黑体" w:hAnsi="宋体"/>
          <w:b/>
          <w:color w:val="auto"/>
          <w:sz w:val="24"/>
          <w:highlight w:val="none"/>
        </w:rPr>
      </w:pPr>
    </w:p>
    <w:p w14:paraId="5DC7CE5F">
      <w:pPr>
        <w:rPr>
          <w:rFonts w:ascii="黑体" w:hAnsi="宋体"/>
          <w:b/>
          <w:color w:val="auto"/>
          <w:sz w:val="24"/>
          <w:highlight w:val="none"/>
        </w:rPr>
      </w:pPr>
    </w:p>
    <w:p w14:paraId="276AAB29">
      <w:pPr>
        <w:rPr>
          <w:rFonts w:ascii="黑体" w:hAnsi="宋体"/>
          <w:b/>
          <w:color w:val="auto"/>
          <w:sz w:val="24"/>
          <w:highlight w:val="none"/>
        </w:rPr>
      </w:pPr>
    </w:p>
    <w:p w14:paraId="67F7AAF4">
      <w:pPr>
        <w:rPr>
          <w:rFonts w:ascii="黑体" w:hAnsi="宋体"/>
          <w:b/>
          <w:color w:val="auto"/>
          <w:sz w:val="24"/>
          <w:highlight w:val="none"/>
        </w:rPr>
      </w:pPr>
    </w:p>
    <w:p w14:paraId="4A09889F">
      <w:pPr>
        <w:rPr>
          <w:rFonts w:ascii="黑体" w:hAnsi="宋体"/>
          <w:b/>
          <w:color w:val="auto"/>
          <w:sz w:val="24"/>
          <w:highlight w:val="none"/>
        </w:rPr>
      </w:pPr>
    </w:p>
    <w:p w14:paraId="494CAD56">
      <w:pPr>
        <w:rPr>
          <w:rFonts w:ascii="黑体" w:hAnsi="宋体"/>
          <w:b/>
          <w:color w:val="auto"/>
          <w:sz w:val="24"/>
          <w:highlight w:val="none"/>
        </w:rPr>
      </w:pPr>
    </w:p>
    <w:p w14:paraId="207F5EB0">
      <w:pPr>
        <w:pStyle w:val="5"/>
        <w:spacing w:before="0" w:after="0" w:line="324" w:lineRule="auto"/>
        <w:rPr>
          <w:rFonts w:ascii="黑体" w:hAnsi="宋体"/>
          <w:b w:val="0"/>
          <w:color w:val="auto"/>
          <w:sz w:val="24"/>
          <w:szCs w:val="24"/>
          <w:highlight w:val="none"/>
        </w:rPr>
      </w:pPr>
    </w:p>
    <w:p w14:paraId="12BA28A9">
      <w:pPr>
        <w:pStyle w:val="5"/>
        <w:spacing w:before="0" w:after="0" w:line="324" w:lineRule="auto"/>
        <w:rPr>
          <w:rFonts w:ascii="黑体" w:hAnsi="宋体"/>
          <w:b w:val="0"/>
          <w:color w:val="auto"/>
          <w:sz w:val="24"/>
          <w:szCs w:val="24"/>
          <w:highlight w:val="none"/>
        </w:rPr>
      </w:pPr>
      <w:bookmarkStart w:id="1320" w:name="_Toc487619574"/>
      <w:bookmarkStart w:id="1321" w:name="_Toc487291603"/>
      <w:bookmarkStart w:id="1322" w:name="_Toc488650924"/>
      <w:r>
        <w:rPr>
          <w:rFonts w:hint="eastAsia" w:ascii="黑体" w:hAnsi="宋体"/>
          <w:b w:val="0"/>
          <w:color w:val="auto"/>
          <w:sz w:val="24"/>
          <w:szCs w:val="24"/>
          <w:highlight w:val="none"/>
        </w:rPr>
        <w:t>附件二：履约保证金格式</w:t>
      </w:r>
      <w:bookmarkEnd w:id="1319"/>
      <w:bookmarkEnd w:id="1320"/>
      <w:bookmarkEnd w:id="1321"/>
      <w:bookmarkEnd w:id="1322"/>
    </w:p>
    <w:p w14:paraId="24288AB2">
      <w:pPr>
        <w:autoSpaceDE w:val="0"/>
        <w:autoSpaceDN w:val="0"/>
        <w:adjustRightInd w:val="0"/>
        <w:snapToGrid w:val="0"/>
        <w:spacing w:line="324" w:lineRule="auto"/>
        <w:rPr>
          <w:rFonts w:ascii="黑体" w:eastAsia="黑体"/>
          <w:color w:val="auto"/>
          <w:sz w:val="24"/>
          <w:highlight w:val="none"/>
        </w:rPr>
      </w:pPr>
    </w:p>
    <w:p w14:paraId="6F01612F">
      <w:pPr>
        <w:spacing w:line="324" w:lineRule="auto"/>
        <w:rPr>
          <w:rFonts w:ascii="仿宋_GB2312" w:eastAsia="仿宋_GB2312"/>
          <w:color w:val="auto"/>
          <w:sz w:val="24"/>
          <w:highlight w:val="none"/>
        </w:rPr>
      </w:pPr>
    </w:p>
    <w:p w14:paraId="4C4E5C5D">
      <w:pPr>
        <w:spacing w:line="324" w:lineRule="auto"/>
        <w:ind w:firstLine="480" w:firstLineChars="200"/>
        <w:rPr>
          <w:color w:val="auto"/>
          <w:sz w:val="24"/>
          <w:highlight w:val="none"/>
        </w:rPr>
      </w:pPr>
      <w:r>
        <w:rPr>
          <w:rFonts w:hint="eastAsia"/>
          <w:color w:val="auto"/>
          <w:sz w:val="24"/>
          <w:highlight w:val="none"/>
        </w:rPr>
        <w:t>监理人按照第二章“投标人须知”第7.3条履约保证金规定的形式和金额，办理履约保证金。履约担保、履约保函格式执行专业担保人、银行提供的格式。</w:t>
      </w:r>
    </w:p>
    <w:p w14:paraId="62546D2D">
      <w:pPr>
        <w:pStyle w:val="5"/>
        <w:spacing w:before="0" w:after="0" w:line="324" w:lineRule="auto"/>
        <w:rPr>
          <w:rFonts w:ascii="黑体" w:hAnsi="宋体"/>
          <w:b w:val="0"/>
          <w:bCs w:val="0"/>
          <w:color w:val="auto"/>
          <w:sz w:val="24"/>
          <w:szCs w:val="24"/>
          <w:highlight w:val="none"/>
        </w:rPr>
      </w:pPr>
    </w:p>
    <w:p w14:paraId="44BA2E17">
      <w:pPr>
        <w:rPr>
          <w:rFonts w:ascii="黑体" w:hAnsi="宋体"/>
          <w:b/>
          <w:bCs/>
          <w:color w:val="auto"/>
          <w:sz w:val="24"/>
          <w:highlight w:val="none"/>
        </w:rPr>
      </w:pPr>
    </w:p>
    <w:p w14:paraId="7DAC6300">
      <w:pPr>
        <w:rPr>
          <w:rFonts w:ascii="黑体" w:hAnsi="宋体"/>
          <w:b/>
          <w:bCs/>
          <w:color w:val="auto"/>
          <w:sz w:val="24"/>
          <w:highlight w:val="none"/>
        </w:rPr>
      </w:pPr>
    </w:p>
    <w:p w14:paraId="0F081808">
      <w:pPr>
        <w:rPr>
          <w:rFonts w:ascii="黑体" w:hAnsi="宋体"/>
          <w:b/>
          <w:bCs/>
          <w:color w:val="auto"/>
          <w:sz w:val="24"/>
          <w:highlight w:val="none"/>
        </w:rPr>
      </w:pPr>
    </w:p>
    <w:p w14:paraId="38D60626">
      <w:pPr>
        <w:rPr>
          <w:rFonts w:ascii="黑体" w:hAnsi="宋体"/>
          <w:b/>
          <w:bCs/>
          <w:color w:val="auto"/>
          <w:sz w:val="24"/>
          <w:highlight w:val="none"/>
        </w:rPr>
      </w:pPr>
    </w:p>
    <w:p w14:paraId="61B73147">
      <w:pPr>
        <w:rPr>
          <w:rFonts w:ascii="黑体" w:hAnsi="宋体"/>
          <w:b/>
          <w:bCs/>
          <w:color w:val="auto"/>
          <w:sz w:val="24"/>
          <w:highlight w:val="none"/>
        </w:rPr>
      </w:pPr>
    </w:p>
    <w:p w14:paraId="48288FBC">
      <w:pPr>
        <w:rPr>
          <w:rFonts w:ascii="黑体" w:hAnsi="宋体"/>
          <w:b/>
          <w:bCs/>
          <w:color w:val="auto"/>
          <w:sz w:val="24"/>
          <w:highlight w:val="none"/>
        </w:rPr>
      </w:pPr>
    </w:p>
    <w:p w14:paraId="6F4FA180">
      <w:pPr>
        <w:rPr>
          <w:rFonts w:ascii="黑体" w:hAnsi="宋体"/>
          <w:b/>
          <w:bCs/>
          <w:color w:val="auto"/>
          <w:sz w:val="24"/>
          <w:highlight w:val="none"/>
        </w:rPr>
      </w:pPr>
    </w:p>
    <w:p w14:paraId="750D447A">
      <w:pPr>
        <w:rPr>
          <w:rFonts w:ascii="黑体" w:hAnsi="宋体"/>
          <w:b/>
          <w:bCs/>
          <w:color w:val="auto"/>
          <w:sz w:val="24"/>
          <w:highlight w:val="none"/>
        </w:rPr>
      </w:pPr>
    </w:p>
    <w:p w14:paraId="795690ED">
      <w:pPr>
        <w:rPr>
          <w:rFonts w:ascii="黑体" w:hAnsi="宋体"/>
          <w:b/>
          <w:bCs/>
          <w:color w:val="auto"/>
          <w:sz w:val="24"/>
          <w:highlight w:val="none"/>
        </w:rPr>
      </w:pPr>
    </w:p>
    <w:p w14:paraId="11653AC4">
      <w:pPr>
        <w:rPr>
          <w:rFonts w:ascii="黑体" w:hAnsi="宋体"/>
          <w:b/>
          <w:bCs/>
          <w:color w:val="auto"/>
          <w:sz w:val="24"/>
          <w:highlight w:val="none"/>
        </w:rPr>
      </w:pPr>
    </w:p>
    <w:p w14:paraId="51D74E3E">
      <w:pPr>
        <w:rPr>
          <w:rFonts w:ascii="黑体" w:hAnsi="宋体"/>
          <w:b/>
          <w:bCs/>
          <w:color w:val="auto"/>
          <w:sz w:val="24"/>
          <w:highlight w:val="none"/>
        </w:rPr>
      </w:pPr>
    </w:p>
    <w:p w14:paraId="70B90E5C">
      <w:pPr>
        <w:rPr>
          <w:rFonts w:ascii="黑体" w:hAnsi="宋体"/>
          <w:b/>
          <w:bCs/>
          <w:color w:val="auto"/>
          <w:sz w:val="24"/>
          <w:highlight w:val="none"/>
        </w:rPr>
      </w:pPr>
    </w:p>
    <w:p w14:paraId="7240FB50">
      <w:pPr>
        <w:rPr>
          <w:rFonts w:ascii="黑体" w:hAnsi="宋体"/>
          <w:b/>
          <w:bCs/>
          <w:color w:val="auto"/>
          <w:sz w:val="24"/>
          <w:highlight w:val="none"/>
        </w:rPr>
      </w:pPr>
    </w:p>
    <w:p w14:paraId="02EDA85B">
      <w:pPr>
        <w:rPr>
          <w:rFonts w:ascii="黑体" w:hAnsi="宋体"/>
          <w:b/>
          <w:bCs/>
          <w:color w:val="auto"/>
          <w:sz w:val="24"/>
          <w:highlight w:val="none"/>
        </w:rPr>
      </w:pPr>
    </w:p>
    <w:p w14:paraId="0AE729DF">
      <w:pPr>
        <w:rPr>
          <w:rFonts w:ascii="黑体" w:hAnsi="宋体"/>
          <w:b/>
          <w:bCs/>
          <w:color w:val="auto"/>
          <w:sz w:val="24"/>
          <w:highlight w:val="none"/>
        </w:rPr>
      </w:pPr>
    </w:p>
    <w:p w14:paraId="2051BED7">
      <w:pPr>
        <w:rPr>
          <w:rFonts w:ascii="黑体" w:hAnsi="宋体"/>
          <w:b/>
          <w:bCs/>
          <w:color w:val="auto"/>
          <w:sz w:val="24"/>
          <w:highlight w:val="none"/>
        </w:rPr>
      </w:pPr>
    </w:p>
    <w:p w14:paraId="507984FE">
      <w:pPr>
        <w:rPr>
          <w:rFonts w:ascii="黑体" w:hAnsi="宋体"/>
          <w:b/>
          <w:bCs/>
          <w:color w:val="auto"/>
          <w:sz w:val="24"/>
          <w:highlight w:val="none"/>
        </w:rPr>
      </w:pPr>
    </w:p>
    <w:p w14:paraId="17BB8C09">
      <w:pPr>
        <w:rPr>
          <w:rFonts w:ascii="黑体" w:hAnsi="宋体"/>
          <w:b/>
          <w:bCs/>
          <w:color w:val="auto"/>
          <w:sz w:val="24"/>
          <w:highlight w:val="none"/>
        </w:rPr>
      </w:pPr>
    </w:p>
    <w:p w14:paraId="753D68BB">
      <w:pPr>
        <w:rPr>
          <w:rFonts w:ascii="黑体" w:hAnsi="宋体"/>
          <w:b/>
          <w:bCs/>
          <w:color w:val="auto"/>
          <w:sz w:val="24"/>
          <w:highlight w:val="none"/>
        </w:rPr>
      </w:pPr>
    </w:p>
    <w:p w14:paraId="1908E777">
      <w:pPr>
        <w:rPr>
          <w:rFonts w:ascii="黑体" w:hAnsi="宋体"/>
          <w:b/>
          <w:bCs/>
          <w:color w:val="auto"/>
          <w:sz w:val="24"/>
          <w:highlight w:val="none"/>
        </w:rPr>
      </w:pPr>
    </w:p>
    <w:p w14:paraId="5BA79AED">
      <w:pPr>
        <w:rPr>
          <w:rFonts w:ascii="黑体" w:hAnsi="宋体"/>
          <w:b/>
          <w:bCs/>
          <w:color w:val="auto"/>
          <w:sz w:val="24"/>
          <w:highlight w:val="none"/>
        </w:rPr>
      </w:pPr>
    </w:p>
    <w:p w14:paraId="39E642A9">
      <w:pPr>
        <w:rPr>
          <w:rFonts w:ascii="黑体" w:hAnsi="宋体"/>
          <w:b/>
          <w:bCs/>
          <w:color w:val="auto"/>
          <w:sz w:val="24"/>
          <w:highlight w:val="none"/>
        </w:rPr>
      </w:pPr>
    </w:p>
    <w:p w14:paraId="36F5E310">
      <w:pPr>
        <w:rPr>
          <w:rFonts w:ascii="黑体" w:hAnsi="宋体"/>
          <w:b/>
          <w:bCs/>
          <w:color w:val="auto"/>
          <w:sz w:val="24"/>
          <w:highlight w:val="none"/>
        </w:rPr>
      </w:pPr>
    </w:p>
    <w:p w14:paraId="799101E3">
      <w:pPr>
        <w:rPr>
          <w:rFonts w:ascii="黑体" w:hAnsi="宋体"/>
          <w:b/>
          <w:bCs/>
          <w:color w:val="auto"/>
          <w:sz w:val="24"/>
          <w:highlight w:val="none"/>
        </w:rPr>
      </w:pPr>
    </w:p>
    <w:p w14:paraId="68387AF4">
      <w:pPr>
        <w:rPr>
          <w:rFonts w:ascii="黑体" w:hAnsi="宋体"/>
          <w:b/>
          <w:bCs/>
          <w:color w:val="auto"/>
          <w:sz w:val="24"/>
          <w:highlight w:val="none"/>
        </w:rPr>
      </w:pPr>
    </w:p>
    <w:p w14:paraId="4B3DC9F3">
      <w:pPr>
        <w:rPr>
          <w:rFonts w:ascii="黑体" w:hAnsi="宋体"/>
          <w:b/>
          <w:bCs/>
          <w:color w:val="auto"/>
          <w:sz w:val="24"/>
          <w:highlight w:val="none"/>
        </w:rPr>
      </w:pPr>
    </w:p>
    <w:p w14:paraId="4244B772">
      <w:pPr>
        <w:rPr>
          <w:rFonts w:ascii="黑体" w:hAnsi="宋体"/>
          <w:b/>
          <w:bCs/>
          <w:color w:val="auto"/>
          <w:sz w:val="24"/>
          <w:highlight w:val="none"/>
        </w:rPr>
      </w:pPr>
    </w:p>
    <w:p w14:paraId="19AD4501">
      <w:pPr>
        <w:rPr>
          <w:rFonts w:ascii="黑体" w:hAnsi="宋体"/>
          <w:b/>
          <w:bCs/>
          <w:color w:val="auto"/>
          <w:sz w:val="24"/>
          <w:highlight w:val="none"/>
        </w:rPr>
      </w:pPr>
    </w:p>
    <w:p w14:paraId="501724C1">
      <w:pPr>
        <w:rPr>
          <w:rFonts w:ascii="黑体" w:hAnsi="宋体"/>
          <w:b/>
          <w:bCs/>
          <w:color w:val="auto"/>
          <w:sz w:val="24"/>
          <w:highlight w:val="none"/>
        </w:rPr>
      </w:pPr>
    </w:p>
    <w:p w14:paraId="650A3F85">
      <w:pPr>
        <w:rPr>
          <w:rFonts w:ascii="黑体" w:hAnsi="宋体"/>
          <w:b/>
          <w:bCs/>
          <w:color w:val="auto"/>
          <w:sz w:val="24"/>
          <w:highlight w:val="none"/>
        </w:rPr>
      </w:pPr>
    </w:p>
    <w:p w14:paraId="6902099F">
      <w:pPr>
        <w:rPr>
          <w:rFonts w:ascii="黑体" w:hAnsi="宋体"/>
          <w:b/>
          <w:bCs/>
          <w:color w:val="auto"/>
          <w:sz w:val="24"/>
          <w:highlight w:val="none"/>
        </w:rPr>
      </w:pPr>
    </w:p>
    <w:p w14:paraId="7A80830B">
      <w:pPr>
        <w:rPr>
          <w:rFonts w:ascii="黑体" w:hAnsi="宋体"/>
          <w:b/>
          <w:bCs/>
          <w:color w:val="auto"/>
          <w:sz w:val="24"/>
          <w:highlight w:val="none"/>
        </w:rPr>
      </w:pPr>
    </w:p>
    <w:p w14:paraId="4C4B567E">
      <w:pPr>
        <w:rPr>
          <w:rFonts w:ascii="黑体" w:hAnsi="宋体"/>
          <w:b/>
          <w:bCs/>
          <w:color w:val="auto"/>
          <w:sz w:val="24"/>
          <w:highlight w:val="none"/>
        </w:rPr>
      </w:pPr>
    </w:p>
    <w:p w14:paraId="4352F86D">
      <w:pPr>
        <w:rPr>
          <w:rFonts w:ascii="黑体" w:hAnsi="宋体"/>
          <w:b/>
          <w:bCs/>
          <w:color w:val="auto"/>
          <w:sz w:val="24"/>
          <w:highlight w:val="none"/>
        </w:rPr>
      </w:pPr>
    </w:p>
    <w:p w14:paraId="18180729">
      <w:pPr>
        <w:pStyle w:val="5"/>
        <w:spacing w:before="0" w:after="0" w:line="324" w:lineRule="auto"/>
        <w:rPr>
          <w:color w:val="auto"/>
          <w:sz w:val="24"/>
          <w:highlight w:val="none"/>
        </w:rPr>
      </w:pPr>
      <w:bookmarkStart w:id="1323" w:name="_Toc488650925"/>
      <w:bookmarkStart w:id="1324" w:name="_Toc487619575"/>
      <w:bookmarkStart w:id="1325" w:name="_Toc487291604"/>
      <w:r>
        <w:rPr>
          <w:rFonts w:hint="eastAsia" w:ascii="黑体" w:hAnsi="宋体"/>
          <w:b w:val="0"/>
          <w:bCs w:val="0"/>
          <w:color w:val="auto"/>
          <w:sz w:val="24"/>
          <w:szCs w:val="24"/>
          <w:highlight w:val="none"/>
        </w:rPr>
        <w:t>附件三：工程监理廉政合同</w:t>
      </w:r>
      <w:bookmarkEnd w:id="1323"/>
      <w:bookmarkEnd w:id="1324"/>
      <w:bookmarkEnd w:id="1325"/>
    </w:p>
    <w:p w14:paraId="678DD653">
      <w:pPr>
        <w:spacing w:line="324" w:lineRule="auto"/>
        <w:ind w:firstLine="480" w:firstLineChars="200"/>
        <w:rPr>
          <w:color w:val="auto"/>
          <w:sz w:val="24"/>
          <w:highlight w:val="none"/>
        </w:rPr>
      </w:pPr>
      <w:r>
        <w:rPr>
          <w:rFonts w:hint="eastAsia"/>
          <w:color w:val="auto"/>
          <w:sz w:val="24"/>
          <w:highlight w:val="none"/>
        </w:rPr>
        <w:t>工程项目名称：</w:t>
      </w:r>
    </w:p>
    <w:p w14:paraId="177EA4E4">
      <w:pPr>
        <w:spacing w:line="324" w:lineRule="auto"/>
        <w:ind w:firstLine="480" w:firstLineChars="200"/>
        <w:rPr>
          <w:color w:val="auto"/>
          <w:sz w:val="24"/>
          <w:highlight w:val="none"/>
        </w:rPr>
      </w:pPr>
      <w:r>
        <w:rPr>
          <w:rFonts w:hint="eastAsia"/>
          <w:color w:val="auto"/>
          <w:sz w:val="24"/>
          <w:highlight w:val="none"/>
        </w:rPr>
        <w:t>工程项目地址：</w:t>
      </w:r>
    </w:p>
    <w:p w14:paraId="00EB8326">
      <w:pPr>
        <w:spacing w:line="324" w:lineRule="auto"/>
        <w:ind w:firstLine="480" w:firstLineChars="200"/>
        <w:rPr>
          <w:color w:val="auto"/>
          <w:sz w:val="24"/>
          <w:highlight w:val="none"/>
        </w:rPr>
      </w:pPr>
      <w:r>
        <w:rPr>
          <w:rFonts w:hint="eastAsia"/>
          <w:color w:val="auto"/>
          <w:sz w:val="24"/>
          <w:highlight w:val="none"/>
        </w:rPr>
        <w:t>发包人（甲方）：</w:t>
      </w:r>
    </w:p>
    <w:p w14:paraId="1DC940D0">
      <w:pPr>
        <w:spacing w:line="324" w:lineRule="auto"/>
        <w:ind w:firstLine="480" w:firstLineChars="200"/>
        <w:rPr>
          <w:color w:val="auto"/>
          <w:sz w:val="24"/>
          <w:highlight w:val="none"/>
        </w:rPr>
      </w:pPr>
      <w:r>
        <w:rPr>
          <w:rFonts w:hint="eastAsia"/>
          <w:color w:val="auto"/>
          <w:sz w:val="24"/>
          <w:highlight w:val="none"/>
        </w:rPr>
        <w:t>监理人（乙方）：</w:t>
      </w:r>
    </w:p>
    <w:p w14:paraId="736F5A07">
      <w:pPr>
        <w:spacing w:line="324" w:lineRule="auto"/>
        <w:ind w:firstLine="480" w:firstLineChars="200"/>
        <w:rPr>
          <w:color w:val="auto"/>
          <w:sz w:val="24"/>
          <w:highlight w:val="none"/>
        </w:rPr>
      </w:pPr>
      <w:r>
        <w:rPr>
          <w:rFonts w:hint="eastAsia"/>
          <w:color w:val="auto"/>
          <w:sz w:val="24"/>
          <w:highlight w:val="none"/>
        </w:rPr>
        <w:t>为加强工程建设中的廉政建设，规范工程建设监理委托与被委托双方的各项活动，防止发生各种谋取不正当利益的违法违纪行为，保护国家、集体和当事人的合法权益，根据国家有关工程建设的法律法规和廉政建设责任制规定，特订立廉政合同。</w:t>
      </w:r>
    </w:p>
    <w:p w14:paraId="4634DFF5">
      <w:pPr>
        <w:spacing w:line="324" w:lineRule="auto"/>
        <w:ind w:firstLine="480" w:firstLineChars="200"/>
        <w:outlineLvl w:val="0"/>
        <w:rPr>
          <w:color w:val="auto"/>
          <w:sz w:val="24"/>
          <w:highlight w:val="none"/>
        </w:rPr>
      </w:pPr>
      <w:bookmarkStart w:id="1326" w:name="_Toc487619576"/>
      <w:bookmarkStart w:id="1327" w:name="_Toc488650926"/>
      <w:bookmarkStart w:id="1328" w:name="_Toc487291605"/>
      <w:bookmarkStart w:id="1329" w:name="_Toc487653494"/>
      <w:r>
        <w:rPr>
          <w:rFonts w:hint="eastAsia"/>
          <w:color w:val="auto"/>
          <w:sz w:val="24"/>
          <w:highlight w:val="none"/>
        </w:rPr>
        <w:t>第一条  甲乙双方的责任</w:t>
      </w:r>
      <w:bookmarkEnd w:id="1326"/>
      <w:bookmarkEnd w:id="1327"/>
      <w:bookmarkEnd w:id="1328"/>
      <w:bookmarkEnd w:id="1329"/>
    </w:p>
    <w:p w14:paraId="06BAE5B0">
      <w:pPr>
        <w:spacing w:line="324" w:lineRule="auto"/>
        <w:ind w:firstLine="480" w:firstLineChars="200"/>
        <w:rPr>
          <w:color w:val="auto"/>
          <w:sz w:val="24"/>
          <w:highlight w:val="none"/>
        </w:rPr>
      </w:pPr>
      <w:r>
        <w:rPr>
          <w:rFonts w:hint="eastAsia"/>
          <w:color w:val="auto"/>
          <w:sz w:val="24"/>
          <w:highlight w:val="none"/>
        </w:rPr>
        <w:t>（一）应严格遵守国家关于市场准入、项目招标投标、工程建设、工程监理和市场活动的有关法律、法规，相关政策，以及廉政建设的各项规定。</w:t>
      </w:r>
    </w:p>
    <w:p w14:paraId="47EEFE84">
      <w:pPr>
        <w:spacing w:line="324" w:lineRule="auto"/>
        <w:ind w:firstLine="480" w:firstLineChars="200"/>
        <w:rPr>
          <w:color w:val="auto"/>
          <w:sz w:val="24"/>
          <w:highlight w:val="none"/>
        </w:rPr>
      </w:pPr>
      <w:r>
        <w:rPr>
          <w:rFonts w:hint="eastAsia"/>
          <w:color w:val="auto"/>
          <w:sz w:val="24"/>
          <w:highlight w:val="none"/>
        </w:rPr>
        <w:t>（二）严格执行建设工程项目监理合同文件，自觉按合同办事。</w:t>
      </w:r>
    </w:p>
    <w:p w14:paraId="62696AE7">
      <w:pPr>
        <w:spacing w:line="324" w:lineRule="auto"/>
        <w:ind w:firstLine="480" w:firstLineChars="200"/>
        <w:rPr>
          <w:color w:val="auto"/>
          <w:sz w:val="24"/>
          <w:highlight w:val="none"/>
        </w:rPr>
      </w:pPr>
      <w:r>
        <w:rPr>
          <w:rFonts w:hint="eastAsia"/>
          <w:color w:val="auto"/>
          <w:sz w:val="24"/>
          <w:highlight w:val="none"/>
        </w:rPr>
        <w:t>（三）业务活动必须坚持公开、公平、公正、诚信、透明的原则（除法律法规另有规定者外），不得为获取不正当的利益，损害国家、集体和对方利益，不得违反工程建设管理、建设监理的规章制度。</w:t>
      </w:r>
    </w:p>
    <w:p w14:paraId="0FBA8BC7">
      <w:pPr>
        <w:spacing w:line="324" w:lineRule="auto"/>
        <w:ind w:firstLine="480" w:firstLineChars="200"/>
        <w:rPr>
          <w:color w:val="auto"/>
          <w:sz w:val="24"/>
          <w:highlight w:val="none"/>
        </w:rPr>
      </w:pPr>
      <w:r>
        <w:rPr>
          <w:rFonts w:hint="eastAsia"/>
          <w:color w:val="auto"/>
          <w:sz w:val="24"/>
          <w:highlight w:val="none"/>
        </w:rPr>
        <w:t>（四）发现对方在业务活动中有违规、违纪、违法行为的，应及时提醒对方，情节严重的，应向其上级主管部门或纪检监察、司法等有关机关举报。</w:t>
      </w:r>
    </w:p>
    <w:p w14:paraId="54A9A88E">
      <w:pPr>
        <w:spacing w:line="324" w:lineRule="auto"/>
        <w:ind w:firstLine="480" w:firstLineChars="200"/>
        <w:outlineLvl w:val="0"/>
        <w:rPr>
          <w:color w:val="auto"/>
          <w:sz w:val="24"/>
          <w:highlight w:val="none"/>
        </w:rPr>
      </w:pPr>
      <w:bookmarkStart w:id="1330" w:name="_Toc488650927"/>
      <w:bookmarkStart w:id="1331" w:name="_Toc487619577"/>
      <w:bookmarkStart w:id="1332" w:name="_Toc487291606"/>
      <w:bookmarkStart w:id="1333" w:name="_Toc487653495"/>
      <w:r>
        <w:rPr>
          <w:rFonts w:hint="eastAsia"/>
          <w:color w:val="auto"/>
          <w:sz w:val="24"/>
          <w:highlight w:val="none"/>
        </w:rPr>
        <w:t>第二条  甲方的责任</w:t>
      </w:r>
      <w:bookmarkEnd w:id="1330"/>
      <w:bookmarkEnd w:id="1331"/>
      <w:bookmarkEnd w:id="1332"/>
      <w:bookmarkEnd w:id="1333"/>
    </w:p>
    <w:p w14:paraId="73383B89">
      <w:pPr>
        <w:spacing w:line="324" w:lineRule="auto"/>
        <w:ind w:firstLine="480" w:firstLineChars="200"/>
        <w:rPr>
          <w:color w:val="auto"/>
          <w:sz w:val="24"/>
          <w:highlight w:val="none"/>
        </w:rPr>
      </w:pPr>
      <w:r>
        <w:rPr>
          <w:rFonts w:hint="eastAsia"/>
          <w:color w:val="auto"/>
          <w:sz w:val="24"/>
          <w:highlight w:val="none"/>
        </w:rPr>
        <w:t>甲方的领导和从事该建设工程项目的工作人员在工程建设的事前、事中、事后应遵守以下规定：</w:t>
      </w:r>
    </w:p>
    <w:p w14:paraId="1CBC219F">
      <w:pPr>
        <w:spacing w:line="324" w:lineRule="auto"/>
        <w:ind w:firstLine="480" w:firstLineChars="200"/>
        <w:rPr>
          <w:color w:val="auto"/>
          <w:sz w:val="24"/>
          <w:highlight w:val="none"/>
        </w:rPr>
      </w:pPr>
      <w:r>
        <w:rPr>
          <w:rFonts w:hint="eastAsia"/>
          <w:color w:val="auto"/>
          <w:sz w:val="24"/>
          <w:highlight w:val="none"/>
        </w:rPr>
        <w:t>（一）不准向乙方和相关单位索要或接受回扣、礼金、有价证券、贵重物品和好处费、感谢费等。</w:t>
      </w:r>
    </w:p>
    <w:p w14:paraId="6F2BA9D1">
      <w:pPr>
        <w:spacing w:line="324" w:lineRule="auto"/>
        <w:ind w:firstLine="480" w:firstLineChars="200"/>
        <w:rPr>
          <w:color w:val="auto"/>
          <w:sz w:val="24"/>
          <w:highlight w:val="none"/>
        </w:rPr>
      </w:pPr>
      <w:r>
        <w:rPr>
          <w:rFonts w:hint="eastAsia"/>
          <w:color w:val="auto"/>
          <w:sz w:val="24"/>
          <w:highlight w:val="none"/>
        </w:rPr>
        <w:t>（二）不准在乙方和相关单位报销任何应由甲方或个人支付的费用。</w:t>
      </w:r>
    </w:p>
    <w:p w14:paraId="17E869D0">
      <w:pPr>
        <w:spacing w:line="324" w:lineRule="auto"/>
        <w:ind w:firstLine="480" w:firstLineChars="200"/>
        <w:rPr>
          <w:color w:val="auto"/>
          <w:sz w:val="24"/>
          <w:highlight w:val="none"/>
        </w:rPr>
      </w:pPr>
      <w:r>
        <w:rPr>
          <w:rFonts w:hint="eastAsia"/>
          <w:color w:val="auto"/>
          <w:sz w:val="24"/>
          <w:highlight w:val="none"/>
        </w:rPr>
        <w:t>（三）不准要求、暗示或接受乙方和相关单位为个人装修住房、婚丧嫁娶、配偶子女的工作安排以及出国（境）、旅游等提供方便。</w:t>
      </w:r>
    </w:p>
    <w:p w14:paraId="732730A2">
      <w:pPr>
        <w:spacing w:line="324" w:lineRule="auto"/>
        <w:ind w:firstLine="480" w:firstLineChars="200"/>
        <w:rPr>
          <w:color w:val="auto"/>
          <w:sz w:val="24"/>
          <w:highlight w:val="none"/>
        </w:rPr>
      </w:pPr>
      <w:r>
        <w:rPr>
          <w:rFonts w:hint="eastAsia"/>
          <w:color w:val="auto"/>
          <w:sz w:val="24"/>
          <w:highlight w:val="none"/>
        </w:rPr>
        <w:t>（四）不准参加有可能影响公正执行公务的乙方和相关单位的宴请、健身、娱乐等活动。</w:t>
      </w:r>
    </w:p>
    <w:p w14:paraId="49D2A431">
      <w:pPr>
        <w:spacing w:line="324" w:lineRule="auto"/>
        <w:ind w:firstLine="480" w:firstLineChars="200"/>
        <w:rPr>
          <w:color w:val="auto"/>
          <w:sz w:val="24"/>
          <w:highlight w:val="none"/>
        </w:rPr>
      </w:pPr>
      <w:r>
        <w:rPr>
          <w:rFonts w:hint="eastAsia"/>
          <w:color w:val="auto"/>
          <w:sz w:val="24"/>
          <w:highlight w:val="none"/>
        </w:rPr>
        <w:t>（五）不准向乙方和相关单位介绍或为配偶、子女、亲属参与同甲方工程项目合同有关的监理分包项目等活动。不准向乙方和相关单位介绍或为配偶、子女、亲属参加与同项目工程合同有关的设备、材料、工程分包、劳务等经济活动。不得以任何理由向乙方和相关单位推荐分包单位和要求购买与项目工程合同规定以外的材料、设备等。</w:t>
      </w:r>
    </w:p>
    <w:p w14:paraId="70C1A302">
      <w:pPr>
        <w:spacing w:line="324" w:lineRule="auto"/>
        <w:ind w:firstLine="480" w:firstLineChars="200"/>
        <w:outlineLvl w:val="0"/>
        <w:rPr>
          <w:color w:val="auto"/>
          <w:sz w:val="24"/>
          <w:highlight w:val="none"/>
        </w:rPr>
      </w:pPr>
      <w:bookmarkStart w:id="1334" w:name="_Toc487619578"/>
      <w:bookmarkStart w:id="1335" w:name="_Toc487653496"/>
      <w:bookmarkStart w:id="1336" w:name="_Toc487291607"/>
      <w:bookmarkStart w:id="1337" w:name="_Toc488650928"/>
      <w:r>
        <w:rPr>
          <w:rFonts w:hint="eastAsia"/>
          <w:color w:val="auto"/>
          <w:sz w:val="24"/>
          <w:highlight w:val="none"/>
        </w:rPr>
        <w:t>第三条  乙方的责任</w:t>
      </w:r>
      <w:bookmarkEnd w:id="1334"/>
      <w:bookmarkEnd w:id="1335"/>
      <w:bookmarkEnd w:id="1336"/>
      <w:bookmarkEnd w:id="1337"/>
    </w:p>
    <w:p w14:paraId="78A3C560">
      <w:pPr>
        <w:spacing w:line="324" w:lineRule="auto"/>
        <w:ind w:firstLine="480" w:firstLineChars="200"/>
        <w:rPr>
          <w:color w:val="auto"/>
          <w:sz w:val="24"/>
          <w:highlight w:val="none"/>
        </w:rPr>
      </w:pPr>
      <w:r>
        <w:rPr>
          <w:rFonts w:hint="eastAsia"/>
          <w:color w:val="auto"/>
          <w:sz w:val="24"/>
          <w:highlight w:val="none"/>
        </w:rPr>
        <w:t>应与甲方和相关单位保持正常的业务交往，按照有关法律法规和程序开展业务工作。严格执行工程建设的方针、政策，尤其是有关勘察设计、建筑施工安装的强制性标准和规范，以及监理法规，认真履行监理职责，并遵守以下规定：</w:t>
      </w:r>
    </w:p>
    <w:p w14:paraId="4E398121">
      <w:pPr>
        <w:spacing w:line="324" w:lineRule="auto"/>
        <w:ind w:firstLine="480" w:firstLineChars="200"/>
        <w:rPr>
          <w:color w:val="auto"/>
          <w:sz w:val="24"/>
          <w:highlight w:val="none"/>
        </w:rPr>
      </w:pPr>
      <w:r>
        <w:rPr>
          <w:rFonts w:hint="eastAsia"/>
          <w:color w:val="auto"/>
          <w:sz w:val="24"/>
          <w:highlight w:val="none"/>
        </w:rPr>
        <w:t>（一）不准以任何理由向甲方和相关单位及其工作人员索要、接受或赠送礼金、有价证券、贵重物品及回扣、好处费、感谢费等。</w:t>
      </w:r>
    </w:p>
    <w:p w14:paraId="5EC888F3">
      <w:pPr>
        <w:spacing w:line="324" w:lineRule="auto"/>
        <w:ind w:firstLine="480" w:firstLineChars="200"/>
        <w:rPr>
          <w:color w:val="auto"/>
          <w:sz w:val="24"/>
          <w:highlight w:val="none"/>
        </w:rPr>
      </w:pPr>
      <w:r>
        <w:rPr>
          <w:rFonts w:hint="eastAsia"/>
          <w:color w:val="auto"/>
          <w:sz w:val="24"/>
          <w:highlight w:val="none"/>
        </w:rPr>
        <w:t>（二）不准以任何理由为甲方和相关单位报销应由对方或个人支付的费用。</w:t>
      </w:r>
    </w:p>
    <w:p w14:paraId="60017186">
      <w:pPr>
        <w:spacing w:line="324" w:lineRule="auto"/>
        <w:ind w:firstLine="480" w:firstLineChars="200"/>
        <w:rPr>
          <w:color w:val="auto"/>
          <w:sz w:val="24"/>
          <w:highlight w:val="none"/>
        </w:rPr>
      </w:pPr>
      <w:r>
        <w:rPr>
          <w:rFonts w:hint="eastAsia"/>
          <w:color w:val="auto"/>
          <w:sz w:val="24"/>
          <w:highlight w:val="none"/>
        </w:rPr>
        <w:t>（三）不准接受或暗示为甲方、相关单位或个人装修住房、婚丧嫁娶、配偶子女的工作安排以及出国（境）、旅游等提供方便。</w:t>
      </w:r>
    </w:p>
    <w:p w14:paraId="552E9311">
      <w:pPr>
        <w:spacing w:line="324" w:lineRule="auto"/>
        <w:ind w:firstLine="480" w:firstLineChars="200"/>
        <w:rPr>
          <w:color w:val="auto"/>
          <w:sz w:val="24"/>
          <w:highlight w:val="none"/>
        </w:rPr>
      </w:pPr>
      <w:r>
        <w:rPr>
          <w:rFonts w:hint="eastAsia"/>
          <w:color w:val="auto"/>
          <w:sz w:val="24"/>
          <w:highlight w:val="none"/>
        </w:rPr>
        <w:t>（四）不准违反合同约定而使用甲方、相关单位提供的通信、交通工具和高档办公用品。</w:t>
      </w:r>
    </w:p>
    <w:p w14:paraId="1B49046A">
      <w:pPr>
        <w:spacing w:line="324" w:lineRule="auto"/>
        <w:ind w:firstLine="480" w:firstLineChars="200"/>
        <w:rPr>
          <w:color w:val="auto"/>
          <w:sz w:val="24"/>
          <w:highlight w:val="none"/>
        </w:rPr>
      </w:pPr>
      <w:r>
        <w:rPr>
          <w:rFonts w:hint="eastAsia"/>
          <w:color w:val="auto"/>
          <w:sz w:val="24"/>
          <w:highlight w:val="none"/>
        </w:rPr>
        <w:t>（五）不准以任何理由为甲方、相关单位或个人组织有可能影响公正执行公务的宴请、健身、娱乐等活动。</w:t>
      </w:r>
    </w:p>
    <w:p w14:paraId="2E0311DA">
      <w:pPr>
        <w:spacing w:line="324" w:lineRule="auto"/>
        <w:ind w:firstLine="480" w:firstLineChars="200"/>
        <w:outlineLvl w:val="0"/>
        <w:rPr>
          <w:color w:val="auto"/>
          <w:sz w:val="24"/>
          <w:highlight w:val="none"/>
        </w:rPr>
      </w:pPr>
      <w:bookmarkStart w:id="1338" w:name="_Toc487653497"/>
      <w:bookmarkStart w:id="1339" w:name="_Toc487291608"/>
      <w:bookmarkStart w:id="1340" w:name="_Toc487619579"/>
      <w:bookmarkStart w:id="1341" w:name="_Toc488650929"/>
      <w:r>
        <w:rPr>
          <w:rFonts w:hint="eastAsia"/>
          <w:color w:val="auto"/>
          <w:sz w:val="24"/>
          <w:highlight w:val="none"/>
        </w:rPr>
        <w:t>第四条  违约责任</w:t>
      </w:r>
      <w:bookmarkEnd w:id="1338"/>
      <w:bookmarkEnd w:id="1339"/>
      <w:bookmarkEnd w:id="1340"/>
      <w:bookmarkEnd w:id="1341"/>
    </w:p>
    <w:p w14:paraId="4CE6F9A2">
      <w:pPr>
        <w:spacing w:line="324" w:lineRule="auto"/>
        <w:ind w:firstLine="480" w:firstLineChars="200"/>
        <w:rPr>
          <w:color w:val="auto"/>
          <w:sz w:val="24"/>
          <w:highlight w:val="none"/>
        </w:rPr>
      </w:pPr>
      <w:r>
        <w:rPr>
          <w:rFonts w:hint="eastAsia"/>
          <w:color w:val="auto"/>
          <w:sz w:val="24"/>
          <w:highlight w:val="none"/>
        </w:rPr>
        <w:t>（一）甲方工作人员有违反本合同第一、二条责任行为的，按照管理权限，依据有关法律法规和规定给予党纪、政纪处分或组织处理；涉嫌犯罪的，移交司法机关追究刑事责任；给乙方单位造成经济损失的，应予以赔偿。</w:t>
      </w:r>
    </w:p>
    <w:p w14:paraId="7BE00C68">
      <w:pPr>
        <w:spacing w:line="324" w:lineRule="auto"/>
        <w:ind w:firstLine="480" w:firstLineChars="200"/>
        <w:rPr>
          <w:color w:val="auto"/>
          <w:sz w:val="24"/>
          <w:highlight w:val="none"/>
        </w:rPr>
      </w:pPr>
      <w:r>
        <w:rPr>
          <w:rFonts w:hint="eastAsia"/>
          <w:color w:val="auto"/>
          <w:sz w:val="24"/>
          <w:highlight w:val="none"/>
        </w:rPr>
        <w:t>（二）乙方工作人员有违反本合同第一、三条责任行为的，按照管理权限，依据有关法律法规和规定给予党纪、政纪处分或组织处理；涉嫌犯罪的，移交司法机关追究刑事责任；给甲方单位造成经济损失的，应予以赔偿。</w:t>
      </w:r>
    </w:p>
    <w:p w14:paraId="486EA11A">
      <w:pPr>
        <w:spacing w:line="324" w:lineRule="auto"/>
        <w:ind w:firstLine="480" w:firstLineChars="200"/>
        <w:outlineLvl w:val="0"/>
        <w:rPr>
          <w:color w:val="auto"/>
          <w:sz w:val="24"/>
          <w:highlight w:val="none"/>
        </w:rPr>
      </w:pPr>
      <w:bookmarkStart w:id="1342" w:name="_Toc487653498"/>
      <w:bookmarkStart w:id="1343" w:name="_Toc487291609"/>
      <w:bookmarkStart w:id="1344" w:name="_Toc487619580"/>
      <w:bookmarkStart w:id="1345" w:name="_Toc488650930"/>
      <w:r>
        <w:rPr>
          <w:rFonts w:hint="eastAsia"/>
          <w:color w:val="auto"/>
          <w:sz w:val="24"/>
          <w:highlight w:val="none"/>
        </w:rPr>
        <w:t>第五条  本合同作为工程监理合同的附件，与工程监理合同具有同等法律效力。经双方签署后立即生效。</w:t>
      </w:r>
      <w:bookmarkEnd w:id="1342"/>
      <w:bookmarkEnd w:id="1343"/>
      <w:bookmarkEnd w:id="1344"/>
      <w:bookmarkEnd w:id="1345"/>
    </w:p>
    <w:p w14:paraId="736198C0">
      <w:pPr>
        <w:spacing w:line="324" w:lineRule="auto"/>
        <w:ind w:firstLine="480" w:firstLineChars="200"/>
        <w:outlineLvl w:val="0"/>
        <w:rPr>
          <w:color w:val="auto"/>
          <w:sz w:val="24"/>
          <w:highlight w:val="none"/>
        </w:rPr>
      </w:pPr>
      <w:bookmarkStart w:id="1346" w:name="_Toc487653499"/>
      <w:bookmarkStart w:id="1347" w:name="_Toc487619581"/>
      <w:bookmarkStart w:id="1348" w:name="_Toc487291610"/>
      <w:bookmarkStart w:id="1349" w:name="_Toc488650931"/>
      <w:r>
        <w:rPr>
          <w:rFonts w:hint="eastAsia"/>
          <w:color w:val="auto"/>
          <w:sz w:val="24"/>
          <w:highlight w:val="none"/>
        </w:rPr>
        <w:t>第六条  本合同的有效期为双方签署之日起至该工程项目竣工验收合格时止。</w:t>
      </w:r>
      <w:bookmarkEnd w:id="1346"/>
      <w:bookmarkEnd w:id="1347"/>
      <w:bookmarkEnd w:id="1348"/>
      <w:bookmarkEnd w:id="1349"/>
    </w:p>
    <w:p w14:paraId="42ED352E">
      <w:pPr>
        <w:spacing w:line="324" w:lineRule="auto"/>
        <w:ind w:firstLine="480" w:firstLineChars="200"/>
        <w:outlineLvl w:val="0"/>
        <w:rPr>
          <w:color w:val="auto"/>
          <w:sz w:val="24"/>
          <w:highlight w:val="none"/>
        </w:rPr>
      </w:pPr>
      <w:bookmarkStart w:id="1350" w:name="_Toc487291611"/>
      <w:bookmarkStart w:id="1351" w:name="_Toc487653500"/>
      <w:bookmarkStart w:id="1352" w:name="_Toc487619582"/>
      <w:bookmarkStart w:id="1353" w:name="_Toc488650932"/>
      <w:r>
        <w:rPr>
          <w:rFonts w:hint="eastAsia"/>
          <w:color w:val="auto"/>
          <w:sz w:val="24"/>
          <w:highlight w:val="none"/>
        </w:rPr>
        <w:t>第七条  本合同一式四份，由甲乙双方各执一份，送交甲乙双方的监督单位各一份。</w:t>
      </w:r>
      <w:bookmarkEnd w:id="1350"/>
      <w:bookmarkEnd w:id="1351"/>
      <w:bookmarkEnd w:id="1352"/>
      <w:bookmarkEnd w:id="1353"/>
    </w:p>
    <w:p w14:paraId="738E501E">
      <w:pPr>
        <w:spacing w:line="324" w:lineRule="auto"/>
        <w:ind w:firstLine="480" w:firstLineChars="200"/>
        <w:rPr>
          <w:color w:val="auto"/>
          <w:sz w:val="24"/>
          <w:highlight w:val="none"/>
        </w:rPr>
      </w:pPr>
      <w:r>
        <w:rPr>
          <w:rFonts w:hint="eastAsia"/>
          <w:color w:val="auto"/>
          <w:sz w:val="24"/>
          <w:highlight w:val="none"/>
        </w:rPr>
        <w:t xml:space="preserve">               </w:t>
      </w:r>
    </w:p>
    <w:p w14:paraId="0750767F">
      <w:pPr>
        <w:spacing w:line="324" w:lineRule="auto"/>
        <w:ind w:firstLine="480" w:firstLineChars="200"/>
        <w:rPr>
          <w:color w:val="auto"/>
          <w:sz w:val="24"/>
          <w:highlight w:val="none"/>
        </w:rPr>
      </w:pPr>
      <w:r>
        <w:rPr>
          <w:rFonts w:hint="eastAsia"/>
          <w:color w:val="auto"/>
          <w:sz w:val="24"/>
          <w:highlight w:val="none"/>
        </w:rPr>
        <w:t xml:space="preserve">发包人：（单位全称）(盖 章)             监理人：（单位全称）(盖 章)     </w:t>
      </w:r>
    </w:p>
    <w:p w14:paraId="63262561">
      <w:pPr>
        <w:spacing w:line="324" w:lineRule="auto"/>
        <w:ind w:firstLine="480" w:firstLineChars="200"/>
        <w:rPr>
          <w:color w:val="auto"/>
          <w:sz w:val="24"/>
          <w:highlight w:val="none"/>
        </w:rPr>
      </w:pPr>
      <w:r>
        <w:rPr>
          <w:rFonts w:hint="eastAsia"/>
          <w:color w:val="auto"/>
          <w:sz w:val="24"/>
          <w:highlight w:val="none"/>
        </w:rPr>
        <w:t xml:space="preserve">            </w:t>
      </w:r>
    </w:p>
    <w:p w14:paraId="3CA8866C">
      <w:pPr>
        <w:spacing w:line="324" w:lineRule="auto"/>
        <w:ind w:firstLine="480" w:firstLineChars="200"/>
        <w:rPr>
          <w:color w:val="auto"/>
          <w:sz w:val="24"/>
          <w:highlight w:val="none"/>
        </w:rPr>
      </w:pPr>
      <w:r>
        <w:rPr>
          <w:rFonts w:hint="eastAsia"/>
          <w:color w:val="auto"/>
          <w:sz w:val="24"/>
          <w:highlight w:val="none"/>
        </w:rPr>
        <w:t xml:space="preserve">法定代表人：(签字并盖章)                法定代表人：   (签字并盖章)  </w:t>
      </w:r>
    </w:p>
    <w:p w14:paraId="7A321852">
      <w:pPr>
        <w:spacing w:line="324" w:lineRule="auto"/>
        <w:ind w:firstLine="480" w:firstLineChars="200"/>
        <w:rPr>
          <w:color w:val="auto"/>
          <w:sz w:val="24"/>
          <w:highlight w:val="none"/>
        </w:rPr>
      </w:pPr>
      <w:r>
        <w:rPr>
          <w:rFonts w:hint="eastAsia"/>
          <w:color w:val="auto"/>
          <w:sz w:val="24"/>
          <w:highlight w:val="none"/>
        </w:rPr>
        <w:t xml:space="preserve">地址：                                 地址：                        </w:t>
      </w:r>
    </w:p>
    <w:p w14:paraId="1AAF683B">
      <w:pPr>
        <w:spacing w:line="324" w:lineRule="auto"/>
        <w:ind w:firstLine="480" w:firstLineChars="200"/>
        <w:rPr>
          <w:color w:val="auto"/>
          <w:sz w:val="24"/>
          <w:highlight w:val="none"/>
        </w:rPr>
      </w:pPr>
      <w:r>
        <w:rPr>
          <w:rFonts w:hint="eastAsia"/>
          <w:color w:val="auto"/>
          <w:sz w:val="24"/>
          <w:highlight w:val="none"/>
        </w:rPr>
        <w:t xml:space="preserve">电话：                                 电话：                         </w:t>
      </w:r>
    </w:p>
    <w:p w14:paraId="0257E1D3">
      <w:pPr>
        <w:spacing w:line="324" w:lineRule="auto"/>
        <w:ind w:firstLine="480" w:firstLineChars="200"/>
        <w:rPr>
          <w:color w:val="auto"/>
          <w:sz w:val="24"/>
          <w:highlight w:val="none"/>
        </w:rPr>
      </w:pPr>
      <w:r>
        <w:rPr>
          <w:rFonts w:hint="eastAsia"/>
          <w:color w:val="auto"/>
          <w:sz w:val="24"/>
          <w:highlight w:val="none"/>
        </w:rPr>
        <w:t xml:space="preserve">日期：                                 日期：                            </w:t>
      </w:r>
    </w:p>
    <w:p w14:paraId="2A613924">
      <w:pPr>
        <w:spacing w:line="324" w:lineRule="auto"/>
        <w:ind w:firstLine="480" w:firstLineChars="200"/>
        <w:rPr>
          <w:color w:val="auto"/>
          <w:sz w:val="24"/>
          <w:highlight w:val="none"/>
        </w:rPr>
      </w:pPr>
      <w:r>
        <w:rPr>
          <w:rFonts w:hint="eastAsia"/>
          <w:color w:val="auto"/>
          <w:sz w:val="24"/>
          <w:highlight w:val="none"/>
        </w:rPr>
        <w:t xml:space="preserve">甲方监督单位：（盖章）                  乙方监督单位：（盖章）         </w:t>
      </w:r>
    </w:p>
    <w:p w14:paraId="122EC21F">
      <w:pPr>
        <w:spacing w:line="324" w:lineRule="auto"/>
        <w:ind w:firstLine="480" w:firstLineChars="200"/>
        <w:rPr>
          <w:color w:val="auto"/>
          <w:sz w:val="24"/>
          <w:highlight w:val="none"/>
        </w:rPr>
      </w:pPr>
      <w:r>
        <w:rPr>
          <w:rFonts w:hint="eastAsia"/>
          <w:color w:val="auto"/>
          <w:sz w:val="24"/>
          <w:highlight w:val="none"/>
        </w:rPr>
        <w:t xml:space="preserve">日期：                                 日期:                         </w:t>
      </w:r>
    </w:p>
    <w:p w14:paraId="51BBE3D2">
      <w:pPr>
        <w:spacing w:line="324" w:lineRule="auto"/>
        <w:ind w:firstLine="480" w:firstLineChars="200"/>
        <w:rPr>
          <w:color w:val="auto"/>
          <w:sz w:val="24"/>
          <w:highlight w:val="none"/>
        </w:rPr>
      </w:pPr>
    </w:p>
    <w:p w14:paraId="0D8055D4">
      <w:pPr>
        <w:spacing w:line="324" w:lineRule="auto"/>
        <w:ind w:firstLine="480" w:firstLineChars="200"/>
        <w:rPr>
          <w:color w:val="auto"/>
          <w:sz w:val="24"/>
          <w:highlight w:val="none"/>
        </w:rPr>
      </w:pPr>
    </w:p>
    <w:p w14:paraId="10C8639D">
      <w:pPr>
        <w:pStyle w:val="5"/>
        <w:spacing w:before="0" w:after="0" w:line="324" w:lineRule="auto"/>
        <w:rPr>
          <w:rFonts w:ascii="黑体" w:hAnsi="宋体"/>
          <w:b w:val="0"/>
          <w:bCs w:val="0"/>
          <w:color w:val="auto"/>
          <w:sz w:val="24"/>
          <w:szCs w:val="24"/>
          <w:highlight w:val="none"/>
        </w:rPr>
      </w:pPr>
      <w:bookmarkStart w:id="1354" w:name="_Toc488650933"/>
      <w:bookmarkStart w:id="1355" w:name="_Toc487291612"/>
      <w:bookmarkStart w:id="1356" w:name="_Toc487619583"/>
      <w:r>
        <w:rPr>
          <w:rFonts w:hint="eastAsia" w:ascii="黑体" w:hAnsi="宋体"/>
          <w:b w:val="0"/>
          <w:bCs w:val="0"/>
          <w:color w:val="auto"/>
          <w:sz w:val="24"/>
          <w:szCs w:val="24"/>
          <w:highlight w:val="none"/>
        </w:rPr>
        <w:t>附件四：安全监理责任合同格式</w:t>
      </w:r>
      <w:bookmarkEnd w:id="1354"/>
      <w:bookmarkEnd w:id="1355"/>
      <w:bookmarkEnd w:id="1356"/>
    </w:p>
    <w:p w14:paraId="0BEF9CBB">
      <w:pPr>
        <w:spacing w:line="324" w:lineRule="auto"/>
        <w:ind w:firstLine="480" w:firstLineChars="200"/>
        <w:rPr>
          <w:color w:val="auto"/>
          <w:sz w:val="24"/>
          <w:highlight w:val="none"/>
        </w:rPr>
      </w:pPr>
      <w:r>
        <w:rPr>
          <w:rFonts w:hint="eastAsia"/>
          <w:color w:val="auto"/>
          <w:sz w:val="24"/>
          <w:highlight w:val="none"/>
        </w:rPr>
        <w:t>(本格式为安全监理责任合同标准格式，投标时不需填写)</w:t>
      </w:r>
    </w:p>
    <w:p w14:paraId="70C445BD">
      <w:pPr>
        <w:spacing w:line="324" w:lineRule="auto"/>
        <w:ind w:firstLine="480" w:firstLineChars="200"/>
        <w:rPr>
          <w:color w:val="auto"/>
          <w:sz w:val="24"/>
          <w:highlight w:val="none"/>
        </w:rPr>
      </w:pPr>
      <w:r>
        <w:rPr>
          <w:rFonts w:hint="eastAsia"/>
          <w:color w:val="auto"/>
          <w:sz w:val="24"/>
          <w:highlight w:val="none"/>
        </w:rPr>
        <w:t xml:space="preserve">根据国务院《建设工程安全生产管理条例》，为在 </w:t>
      </w:r>
      <w:r>
        <w:rPr>
          <w:rFonts w:hint="eastAsia"/>
          <w:color w:val="auto"/>
          <w:sz w:val="24"/>
          <w:highlight w:val="none"/>
          <w:u w:val="single"/>
        </w:rPr>
        <w:t xml:space="preserve">            </w:t>
      </w:r>
      <w:r>
        <w:rPr>
          <w:rFonts w:hint="eastAsia"/>
          <w:color w:val="auto"/>
          <w:sz w:val="24"/>
          <w:highlight w:val="none"/>
        </w:rPr>
        <w:t>监理服务合同的实施过程中切实搞好本工程的安全生产管理工作，发包人</w:t>
      </w:r>
      <w:r>
        <w:rPr>
          <w:rFonts w:hint="eastAsia"/>
          <w:color w:val="auto"/>
          <w:sz w:val="24"/>
          <w:highlight w:val="none"/>
          <w:u w:val="single"/>
        </w:rPr>
        <w:t xml:space="preserve">                </w:t>
      </w:r>
      <w:r>
        <w:rPr>
          <w:rFonts w:hint="eastAsia"/>
          <w:color w:val="auto"/>
          <w:sz w:val="24"/>
          <w:highlight w:val="none"/>
        </w:rPr>
        <w:t xml:space="preserve"> (以下简称“甲方”)与监理人</w:t>
      </w:r>
      <w:r>
        <w:rPr>
          <w:rFonts w:hint="eastAsia"/>
          <w:color w:val="auto"/>
          <w:sz w:val="24"/>
          <w:highlight w:val="none"/>
          <w:u w:val="single"/>
        </w:rPr>
        <w:t xml:space="preserve">                    </w:t>
      </w:r>
      <w:r>
        <w:rPr>
          <w:rFonts w:hint="eastAsia"/>
          <w:color w:val="auto"/>
          <w:sz w:val="24"/>
          <w:highlight w:val="none"/>
        </w:rPr>
        <w:t>(以下简称“乙方”)签订如下安全监理责任合同：</w:t>
      </w:r>
    </w:p>
    <w:p w14:paraId="1BB9C1B2">
      <w:pPr>
        <w:spacing w:line="324" w:lineRule="auto"/>
        <w:ind w:firstLine="480" w:firstLineChars="200"/>
        <w:outlineLvl w:val="0"/>
        <w:rPr>
          <w:color w:val="auto"/>
          <w:sz w:val="24"/>
          <w:highlight w:val="none"/>
        </w:rPr>
      </w:pPr>
      <w:bookmarkStart w:id="1357" w:name="_Toc487291613"/>
      <w:bookmarkStart w:id="1358" w:name="_Toc488650934"/>
      <w:bookmarkStart w:id="1359" w:name="_Toc487653502"/>
      <w:bookmarkStart w:id="1360" w:name="_Toc487619584"/>
      <w:r>
        <w:rPr>
          <w:rFonts w:hint="eastAsia"/>
          <w:color w:val="auto"/>
          <w:sz w:val="24"/>
          <w:highlight w:val="none"/>
        </w:rPr>
        <w:t>一、甲方职责</w:t>
      </w:r>
      <w:bookmarkEnd w:id="1357"/>
      <w:bookmarkEnd w:id="1358"/>
      <w:bookmarkEnd w:id="1359"/>
      <w:bookmarkEnd w:id="1360"/>
    </w:p>
    <w:p w14:paraId="3DD43E01">
      <w:pPr>
        <w:spacing w:line="324" w:lineRule="auto"/>
        <w:ind w:firstLine="480" w:firstLineChars="200"/>
        <w:rPr>
          <w:color w:val="auto"/>
          <w:sz w:val="24"/>
          <w:highlight w:val="none"/>
        </w:rPr>
      </w:pPr>
      <w:r>
        <w:rPr>
          <w:rFonts w:hint="eastAsia"/>
          <w:color w:val="auto"/>
          <w:sz w:val="24"/>
          <w:highlight w:val="none"/>
        </w:rPr>
        <w:t>1．严格遵守国家有关安全生产的法律法规，支持乙方按条例要求对规定的施工安全实施监理。</w:t>
      </w:r>
    </w:p>
    <w:p w14:paraId="110AC77D">
      <w:pPr>
        <w:spacing w:line="324" w:lineRule="auto"/>
        <w:ind w:firstLine="480" w:firstLineChars="200"/>
        <w:rPr>
          <w:color w:val="auto"/>
          <w:sz w:val="24"/>
          <w:highlight w:val="none"/>
        </w:rPr>
      </w:pPr>
      <w:r>
        <w:rPr>
          <w:rFonts w:hint="eastAsia"/>
          <w:color w:val="auto"/>
          <w:sz w:val="24"/>
          <w:highlight w:val="none"/>
        </w:rPr>
        <w:t>2．按照“安全第一、预防为主</w:t>
      </w:r>
      <w:r>
        <w:rPr>
          <w:rFonts w:hint="eastAsia" w:ascii="宋体" w:hAnsi="宋体" w:cs="宋体"/>
          <w:color w:val="auto"/>
          <w:sz w:val="24"/>
        </w:rPr>
        <w:t>、综合治理</w:t>
      </w:r>
      <w:r>
        <w:rPr>
          <w:rFonts w:hint="eastAsia"/>
          <w:color w:val="auto"/>
          <w:sz w:val="24"/>
          <w:highlight w:val="none"/>
        </w:rPr>
        <w:t>”和坚持“管生产必须管安全”的原则进行安全生产管理，做到生产与安全工作同时计划、布置、检查、总结和评比。</w:t>
      </w:r>
    </w:p>
    <w:p w14:paraId="03C51630">
      <w:pPr>
        <w:spacing w:line="324" w:lineRule="auto"/>
        <w:ind w:firstLine="480" w:firstLineChars="200"/>
        <w:rPr>
          <w:color w:val="auto"/>
          <w:sz w:val="24"/>
          <w:highlight w:val="none"/>
        </w:rPr>
      </w:pPr>
      <w:r>
        <w:rPr>
          <w:rFonts w:hint="eastAsia"/>
          <w:color w:val="auto"/>
          <w:sz w:val="24"/>
          <w:highlight w:val="none"/>
        </w:rPr>
        <w:t>3．重要的安全设施必须坚持与主体工程“三同时”的原则，即：同时设计、审批，同时施工，同时验收，投入使用。</w:t>
      </w:r>
    </w:p>
    <w:p w14:paraId="5614E46F">
      <w:pPr>
        <w:spacing w:line="324" w:lineRule="auto"/>
        <w:ind w:firstLine="480" w:firstLineChars="200"/>
        <w:rPr>
          <w:color w:val="auto"/>
          <w:sz w:val="24"/>
          <w:highlight w:val="none"/>
        </w:rPr>
      </w:pPr>
      <w:r>
        <w:rPr>
          <w:rFonts w:hint="eastAsia"/>
          <w:color w:val="auto"/>
          <w:sz w:val="24"/>
          <w:highlight w:val="none"/>
        </w:rPr>
        <w:t>4．定期召开安全生产调度会，及时传达中央及地方有关安全生产的精神。</w:t>
      </w:r>
    </w:p>
    <w:p w14:paraId="540FDDEF">
      <w:pPr>
        <w:spacing w:line="324" w:lineRule="auto"/>
        <w:ind w:firstLine="480" w:firstLineChars="200"/>
        <w:rPr>
          <w:color w:val="auto"/>
          <w:sz w:val="24"/>
          <w:highlight w:val="none"/>
        </w:rPr>
      </w:pPr>
      <w:r>
        <w:rPr>
          <w:rFonts w:hint="eastAsia"/>
          <w:color w:val="auto"/>
          <w:sz w:val="24"/>
          <w:highlight w:val="none"/>
        </w:rPr>
        <w:t>5．组织对施工现场的安全生产检查，监督施工单位及时处理发现的各项安全隐患。</w:t>
      </w:r>
    </w:p>
    <w:p w14:paraId="3424FD36">
      <w:pPr>
        <w:spacing w:line="324" w:lineRule="auto"/>
        <w:ind w:firstLine="480" w:firstLineChars="200"/>
        <w:outlineLvl w:val="0"/>
        <w:rPr>
          <w:color w:val="auto"/>
          <w:sz w:val="24"/>
          <w:highlight w:val="none"/>
        </w:rPr>
      </w:pPr>
      <w:bookmarkStart w:id="1361" w:name="_Toc488650935"/>
      <w:bookmarkStart w:id="1362" w:name="_Toc487619585"/>
      <w:bookmarkStart w:id="1363" w:name="_Toc487653503"/>
      <w:bookmarkStart w:id="1364" w:name="_Toc487291614"/>
      <w:r>
        <w:rPr>
          <w:rFonts w:hint="eastAsia"/>
          <w:color w:val="auto"/>
          <w:sz w:val="24"/>
          <w:highlight w:val="none"/>
        </w:rPr>
        <w:t>二、乙方职责</w:t>
      </w:r>
      <w:bookmarkEnd w:id="1361"/>
      <w:bookmarkEnd w:id="1362"/>
      <w:bookmarkEnd w:id="1363"/>
      <w:bookmarkEnd w:id="1364"/>
    </w:p>
    <w:p w14:paraId="23E3C232">
      <w:pPr>
        <w:spacing w:line="324" w:lineRule="auto"/>
        <w:ind w:firstLine="480" w:firstLineChars="200"/>
        <w:rPr>
          <w:color w:val="auto"/>
          <w:sz w:val="24"/>
          <w:highlight w:val="none"/>
        </w:rPr>
      </w:pPr>
      <w:r>
        <w:rPr>
          <w:rFonts w:hint="eastAsia"/>
          <w:color w:val="auto"/>
          <w:sz w:val="24"/>
          <w:highlight w:val="none"/>
        </w:rPr>
        <w:t>1．督促施工单位严格遵守国家有关安全生产的法律法规、交通运输部有关安全生产的规定，认真执行工程承包合同中的有关安全要求。</w:t>
      </w:r>
    </w:p>
    <w:p w14:paraId="0A5907FC">
      <w:pPr>
        <w:spacing w:line="324" w:lineRule="auto"/>
        <w:ind w:firstLine="480" w:firstLineChars="200"/>
        <w:rPr>
          <w:color w:val="auto"/>
          <w:sz w:val="24"/>
          <w:highlight w:val="none"/>
        </w:rPr>
      </w:pPr>
      <w:r>
        <w:rPr>
          <w:rFonts w:hint="eastAsia"/>
          <w:color w:val="auto"/>
          <w:sz w:val="24"/>
          <w:highlight w:val="none"/>
        </w:rPr>
        <w:t>2．坚持“安全第一、预防为主”和“管生产必须管安全”的原则，督促施工单位加强安全生产宣传教育，增强全员安全生产意识，建立健全各项安全生产的管理机构和安全生产管理制度，配备专职及兼职安全检查人员，有组织有领导地开展安全生产活动。</w:t>
      </w:r>
    </w:p>
    <w:p w14:paraId="01BA144C">
      <w:pPr>
        <w:spacing w:line="324" w:lineRule="auto"/>
        <w:ind w:firstLine="480" w:firstLineChars="200"/>
        <w:rPr>
          <w:color w:val="auto"/>
          <w:sz w:val="24"/>
          <w:highlight w:val="none"/>
        </w:rPr>
      </w:pPr>
      <w:r>
        <w:rPr>
          <w:rFonts w:hint="eastAsia"/>
          <w:color w:val="auto"/>
          <w:sz w:val="24"/>
          <w:highlight w:val="none"/>
        </w:rPr>
        <w:t>3．建立健全安全监理制度，加强安全知识教育培训，明确各岗位监理人员的安全监理职责，增强安全意识。</w:t>
      </w:r>
    </w:p>
    <w:p w14:paraId="6931CD50">
      <w:pPr>
        <w:spacing w:line="324" w:lineRule="auto"/>
        <w:ind w:firstLine="480" w:firstLineChars="200"/>
        <w:rPr>
          <w:color w:val="auto"/>
          <w:sz w:val="24"/>
          <w:highlight w:val="none"/>
        </w:rPr>
      </w:pPr>
      <w:r>
        <w:rPr>
          <w:rFonts w:hint="eastAsia"/>
          <w:color w:val="auto"/>
          <w:sz w:val="24"/>
          <w:highlight w:val="none"/>
        </w:rPr>
        <w:t>4．在审查施工组织设计的同时，要同步审查施工组织设计中的安全技术措施，审查专项施工方案是否符合工程建设强制性标准。</w:t>
      </w:r>
    </w:p>
    <w:p w14:paraId="33207C52">
      <w:pPr>
        <w:spacing w:line="324" w:lineRule="auto"/>
        <w:ind w:firstLine="480" w:firstLineChars="200"/>
        <w:rPr>
          <w:color w:val="auto"/>
          <w:sz w:val="24"/>
          <w:highlight w:val="none"/>
        </w:rPr>
      </w:pPr>
      <w:r>
        <w:rPr>
          <w:rFonts w:hint="eastAsia"/>
          <w:color w:val="auto"/>
          <w:sz w:val="24"/>
          <w:highlight w:val="none"/>
        </w:rPr>
        <w:t>5．在实施监理过程中，发现存在安全事故隐患的，应立即要求施工单位整改；情况严重的，应立即要求施工单位停止施工，并及时报告建设单位。施工单位拒不整改或不停止施工的，乙方应及时向有关主管部门报告。</w:t>
      </w:r>
    </w:p>
    <w:p w14:paraId="54F87092">
      <w:pPr>
        <w:spacing w:line="324" w:lineRule="auto"/>
        <w:ind w:firstLine="480" w:firstLineChars="200"/>
        <w:rPr>
          <w:color w:val="auto"/>
          <w:sz w:val="24"/>
          <w:highlight w:val="none"/>
        </w:rPr>
      </w:pPr>
      <w:r>
        <w:rPr>
          <w:rFonts w:hint="eastAsia"/>
          <w:color w:val="auto"/>
          <w:sz w:val="24"/>
          <w:highlight w:val="none"/>
        </w:rPr>
        <w:t>6．乙方及其监理工程师应当按照法律、法规和工程建设强制性标准实施监理，并对建设工程安全生产承担监理责任。</w:t>
      </w:r>
    </w:p>
    <w:p w14:paraId="4CCE6263">
      <w:pPr>
        <w:spacing w:line="324" w:lineRule="auto"/>
        <w:ind w:firstLine="480" w:firstLineChars="200"/>
        <w:rPr>
          <w:color w:val="auto"/>
          <w:sz w:val="24"/>
          <w:highlight w:val="none"/>
        </w:rPr>
      </w:pPr>
      <w:r>
        <w:rPr>
          <w:rFonts w:hint="eastAsia"/>
          <w:color w:val="auto"/>
          <w:sz w:val="24"/>
          <w:highlight w:val="none"/>
        </w:rPr>
        <w:t>7．乙方应督促施工单位按照本工程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1D8EDBE2">
      <w:pPr>
        <w:spacing w:line="324" w:lineRule="auto"/>
        <w:ind w:firstLine="480" w:firstLineChars="200"/>
        <w:outlineLvl w:val="0"/>
        <w:rPr>
          <w:color w:val="auto"/>
          <w:sz w:val="24"/>
          <w:highlight w:val="none"/>
        </w:rPr>
      </w:pPr>
      <w:bookmarkStart w:id="1365" w:name="_Toc488650936"/>
      <w:bookmarkStart w:id="1366" w:name="_Toc487653504"/>
      <w:bookmarkStart w:id="1367" w:name="_Toc487291615"/>
      <w:bookmarkStart w:id="1368" w:name="_Toc487619586"/>
      <w:r>
        <w:rPr>
          <w:rFonts w:hint="eastAsia"/>
          <w:color w:val="auto"/>
          <w:sz w:val="24"/>
          <w:highlight w:val="none"/>
        </w:rPr>
        <w:t>三、违约责任</w:t>
      </w:r>
      <w:bookmarkEnd w:id="1365"/>
      <w:bookmarkEnd w:id="1366"/>
      <w:bookmarkEnd w:id="1367"/>
      <w:bookmarkEnd w:id="1368"/>
    </w:p>
    <w:p w14:paraId="3967ACDC">
      <w:pPr>
        <w:spacing w:line="324" w:lineRule="auto"/>
        <w:ind w:firstLine="480" w:firstLineChars="200"/>
        <w:rPr>
          <w:color w:val="auto"/>
          <w:sz w:val="24"/>
          <w:highlight w:val="none"/>
        </w:rPr>
      </w:pPr>
      <w:r>
        <w:rPr>
          <w:rFonts w:hint="eastAsia"/>
          <w:color w:val="auto"/>
          <w:sz w:val="24"/>
          <w:highlight w:val="none"/>
        </w:rPr>
        <w:t>如因甲方或乙方违约造成安全事故，将依法追究责任。</w:t>
      </w:r>
    </w:p>
    <w:p w14:paraId="29DF8659">
      <w:pPr>
        <w:spacing w:line="324" w:lineRule="auto"/>
        <w:ind w:firstLine="480" w:firstLineChars="200"/>
        <w:rPr>
          <w:color w:val="auto"/>
          <w:sz w:val="24"/>
          <w:highlight w:val="none"/>
        </w:rPr>
      </w:pPr>
      <w:r>
        <w:rPr>
          <w:rFonts w:hint="eastAsia"/>
          <w:color w:val="auto"/>
          <w:sz w:val="24"/>
          <w:highlight w:val="none"/>
        </w:rPr>
        <w:t>本合同一式十二份，具有同等法律效力，甲方执八份、乙方执四份，其中双方监督单位各执一份。</w:t>
      </w:r>
    </w:p>
    <w:p w14:paraId="3E1C68A6">
      <w:pPr>
        <w:spacing w:line="324" w:lineRule="auto"/>
        <w:ind w:firstLine="480" w:firstLineChars="200"/>
        <w:rPr>
          <w:color w:val="auto"/>
          <w:sz w:val="24"/>
          <w:highlight w:val="none"/>
        </w:rPr>
      </w:pPr>
      <w:r>
        <w:rPr>
          <w:rFonts w:hint="eastAsia"/>
          <w:color w:val="auto"/>
          <w:sz w:val="24"/>
          <w:highlight w:val="none"/>
        </w:rPr>
        <w:t>由双方法定代表人或其授权的代理人签署并加盖公章之日起生效，全部工程竣工验收后失效。</w:t>
      </w:r>
    </w:p>
    <w:p w14:paraId="18BC3876">
      <w:pPr>
        <w:spacing w:line="324" w:lineRule="auto"/>
        <w:ind w:firstLine="480" w:firstLineChars="200"/>
        <w:rPr>
          <w:color w:val="auto"/>
          <w:sz w:val="24"/>
          <w:highlight w:val="none"/>
        </w:rPr>
      </w:pPr>
    </w:p>
    <w:p w14:paraId="21E7D0C2">
      <w:pPr>
        <w:spacing w:line="324" w:lineRule="auto"/>
        <w:ind w:firstLine="480" w:firstLineChars="200"/>
        <w:rPr>
          <w:color w:val="auto"/>
          <w:sz w:val="24"/>
          <w:highlight w:val="none"/>
        </w:rPr>
      </w:pPr>
      <w:r>
        <w:rPr>
          <w:rFonts w:hint="eastAsia"/>
          <w:color w:val="auto"/>
          <w:sz w:val="24"/>
          <w:highlight w:val="none"/>
        </w:rPr>
        <w:t>发包人:</w:t>
      </w:r>
      <w:r>
        <w:rPr>
          <w:rFonts w:hint="eastAsia"/>
          <w:color w:val="auto"/>
          <w:sz w:val="24"/>
          <w:highlight w:val="none"/>
        </w:rPr>
        <w:tab/>
      </w:r>
      <w:r>
        <w:rPr>
          <w:rFonts w:hint="eastAsia"/>
          <w:color w:val="auto"/>
          <w:sz w:val="24"/>
          <w:highlight w:val="none"/>
        </w:rPr>
        <w:t>（单位全称）(盖 章)</w:t>
      </w:r>
      <w:r>
        <w:rPr>
          <w:rFonts w:hint="eastAsia"/>
          <w:color w:val="auto"/>
          <w:sz w:val="24"/>
          <w:highlight w:val="none"/>
        </w:rPr>
        <w:tab/>
      </w:r>
      <w:r>
        <w:rPr>
          <w:rFonts w:hint="eastAsia"/>
          <w:color w:val="auto"/>
          <w:sz w:val="24"/>
          <w:highlight w:val="none"/>
        </w:rPr>
        <w:tab/>
      </w:r>
      <w:r>
        <w:rPr>
          <w:rFonts w:hint="eastAsia"/>
          <w:color w:val="auto"/>
          <w:sz w:val="24"/>
          <w:highlight w:val="none"/>
        </w:rPr>
        <w:t>监理人：</w:t>
      </w:r>
      <w:r>
        <w:rPr>
          <w:rFonts w:hint="eastAsia"/>
          <w:color w:val="auto"/>
          <w:sz w:val="24"/>
          <w:highlight w:val="none"/>
        </w:rPr>
        <w:tab/>
      </w:r>
      <w:r>
        <w:rPr>
          <w:rFonts w:hint="eastAsia"/>
          <w:color w:val="auto"/>
          <w:sz w:val="24"/>
          <w:highlight w:val="none"/>
        </w:rPr>
        <w:t>（单位全称）(盖 章)</w:t>
      </w:r>
    </w:p>
    <w:p w14:paraId="15ED2AF8">
      <w:pPr>
        <w:spacing w:line="324" w:lineRule="auto"/>
        <w:ind w:firstLine="480" w:firstLineChars="200"/>
        <w:rPr>
          <w:color w:val="auto"/>
          <w:sz w:val="24"/>
          <w:highlight w:val="none"/>
        </w:rPr>
      </w:pPr>
      <w:r>
        <w:rPr>
          <w:rFonts w:hint="eastAsia"/>
          <w:color w:val="auto"/>
          <w:sz w:val="24"/>
          <w:highlight w:val="none"/>
        </w:rPr>
        <w:t>法定代表人                        法定代表人</w:t>
      </w:r>
    </w:p>
    <w:p w14:paraId="70FC965F">
      <w:pPr>
        <w:spacing w:line="324" w:lineRule="auto"/>
        <w:ind w:firstLine="480" w:firstLineChars="200"/>
        <w:rPr>
          <w:color w:val="auto"/>
          <w:sz w:val="24"/>
          <w:highlight w:val="none"/>
        </w:rPr>
      </w:pPr>
      <w:r>
        <w:rPr>
          <w:rFonts w:hint="eastAsia"/>
          <w:color w:val="auto"/>
          <w:sz w:val="24"/>
          <w:highlight w:val="none"/>
        </w:rPr>
        <w:t>或                                或</w:t>
      </w:r>
    </w:p>
    <w:p w14:paraId="2D423F12">
      <w:pPr>
        <w:spacing w:line="324" w:lineRule="auto"/>
        <w:ind w:firstLine="480" w:firstLineChars="200"/>
        <w:rPr>
          <w:color w:val="auto"/>
          <w:sz w:val="24"/>
          <w:highlight w:val="none"/>
        </w:rPr>
      </w:pPr>
      <w:r>
        <w:rPr>
          <w:rFonts w:hint="eastAsia"/>
          <w:color w:val="auto"/>
          <w:sz w:val="24"/>
          <w:highlight w:val="none"/>
        </w:rPr>
        <w:t>其授权的代理人：</w:t>
      </w:r>
      <w:r>
        <w:rPr>
          <w:rFonts w:hint="eastAsia"/>
          <w:color w:val="auto"/>
          <w:sz w:val="24"/>
          <w:highlight w:val="none"/>
        </w:rPr>
        <w:tab/>
      </w:r>
      <w:r>
        <w:rPr>
          <w:rFonts w:hint="eastAsia"/>
          <w:color w:val="auto"/>
          <w:sz w:val="24"/>
          <w:highlight w:val="none"/>
        </w:rPr>
        <w:t>(签 字)</w:t>
      </w:r>
      <w:r>
        <w:rPr>
          <w:rFonts w:hint="eastAsia"/>
          <w:color w:val="auto"/>
          <w:sz w:val="24"/>
          <w:highlight w:val="none"/>
        </w:rPr>
        <w:tab/>
      </w:r>
      <w:r>
        <w:rPr>
          <w:rFonts w:hint="eastAsia"/>
          <w:color w:val="auto"/>
          <w:sz w:val="24"/>
          <w:highlight w:val="none"/>
        </w:rPr>
        <w:tab/>
      </w:r>
      <w:r>
        <w:rPr>
          <w:rFonts w:hint="eastAsia"/>
          <w:color w:val="auto"/>
          <w:sz w:val="24"/>
          <w:highlight w:val="none"/>
        </w:rPr>
        <w:t xml:space="preserve">      其授权的代理人：</w:t>
      </w:r>
      <w:r>
        <w:rPr>
          <w:rFonts w:hint="eastAsia"/>
          <w:color w:val="auto"/>
          <w:sz w:val="24"/>
          <w:highlight w:val="none"/>
        </w:rPr>
        <w:tab/>
      </w:r>
      <w:r>
        <w:rPr>
          <w:rFonts w:hint="eastAsia"/>
          <w:color w:val="auto"/>
          <w:sz w:val="24"/>
          <w:highlight w:val="none"/>
        </w:rPr>
        <w:t>(签 字)</w:t>
      </w:r>
    </w:p>
    <w:p w14:paraId="01A0F165">
      <w:pPr>
        <w:spacing w:line="324" w:lineRule="auto"/>
        <w:ind w:firstLine="480" w:firstLineChars="200"/>
        <w:rPr>
          <w:color w:val="auto"/>
          <w:sz w:val="24"/>
          <w:highlight w:val="none"/>
        </w:rPr>
      </w:pPr>
      <w:r>
        <w:rPr>
          <w:rFonts w:hint="eastAsia"/>
          <w:color w:val="auto"/>
          <w:sz w:val="24"/>
          <w:highlight w:val="none"/>
        </w:rPr>
        <w:tab/>
      </w:r>
      <w:r>
        <w:rPr>
          <w:rFonts w:hint="eastAsia"/>
          <w:color w:val="auto"/>
          <w:sz w:val="24"/>
          <w:highlight w:val="none"/>
        </w:rPr>
        <w:t>（姓 名）</w:t>
      </w:r>
      <w:r>
        <w:rPr>
          <w:rFonts w:hint="eastAsia"/>
          <w:color w:val="auto"/>
          <w:sz w:val="24"/>
          <w:highlight w:val="none"/>
        </w:rPr>
        <w:tab/>
      </w:r>
      <w:r>
        <w:rPr>
          <w:rFonts w:hint="eastAsia"/>
          <w:color w:val="auto"/>
          <w:sz w:val="24"/>
          <w:highlight w:val="none"/>
        </w:rPr>
        <w:tab/>
      </w:r>
      <w:r>
        <w:rPr>
          <w:rFonts w:hint="eastAsia"/>
          <w:color w:val="auto"/>
          <w:sz w:val="24"/>
          <w:highlight w:val="none"/>
        </w:rPr>
        <w:t xml:space="preserve">                  </w:t>
      </w:r>
      <w:r>
        <w:rPr>
          <w:rFonts w:hint="eastAsia"/>
          <w:color w:val="auto"/>
          <w:sz w:val="24"/>
          <w:highlight w:val="none"/>
        </w:rPr>
        <w:tab/>
      </w:r>
      <w:r>
        <w:rPr>
          <w:rFonts w:hint="eastAsia"/>
          <w:color w:val="auto"/>
          <w:sz w:val="24"/>
          <w:highlight w:val="none"/>
        </w:rPr>
        <w:t>（姓 名）</w:t>
      </w:r>
    </w:p>
    <w:p w14:paraId="43A01D18">
      <w:pPr>
        <w:spacing w:line="324" w:lineRule="auto"/>
        <w:ind w:firstLine="480" w:firstLineChars="200"/>
        <w:rPr>
          <w:color w:val="auto"/>
          <w:sz w:val="24"/>
          <w:highlight w:val="none"/>
        </w:rPr>
      </w:pPr>
      <w:r>
        <w:rPr>
          <w:rFonts w:hint="eastAsia"/>
          <w:color w:val="auto"/>
          <w:sz w:val="24"/>
          <w:highlight w:val="none"/>
        </w:rPr>
        <w:tab/>
      </w:r>
      <w:r>
        <w:rPr>
          <w:rFonts w:hint="eastAsia"/>
          <w:color w:val="auto"/>
          <w:sz w:val="24"/>
          <w:highlight w:val="none"/>
        </w:rPr>
        <w:t>（签 字）</w:t>
      </w:r>
      <w:r>
        <w:rPr>
          <w:rFonts w:hint="eastAsia"/>
          <w:color w:val="auto"/>
          <w:sz w:val="24"/>
          <w:highlight w:val="none"/>
        </w:rPr>
        <w:tab/>
      </w:r>
      <w:r>
        <w:rPr>
          <w:rFonts w:hint="eastAsia"/>
          <w:color w:val="auto"/>
          <w:sz w:val="24"/>
          <w:highlight w:val="none"/>
        </w:rPr>
        <w:tab/>
      </w:r>
      <w:r>
        <w:rPr>
          <w:rFonts w:hint="eastAsia"/>
          <w:color w:val="auto"/>
          <w:sz w:val="24"/>
          <w:highlight w:val="none"/>
        </w:rPr>
        <w:tab/>
      </w:r>
      <w:r>
        <w:rPr>
          <w:rFonts w:hint="eastAsia"/>
          <w:color w:val="auto"/>
          <w:sz w:val="24"/>
          <w:highlight w:val="none"/>
        </w:rPr>
        <w:t xml:space="preserve">                  （签 字）</w:t>
      </w:r>
    </w:p>
    <w:p w14:paraId="1BFF0A1D">
      <w:pPr>
        <w:spacing w:line="324" w:lineRule="auto"/>
        <w:ind w:firstLine="480" w:firstLineChars="200"/>
        <w:rPr>
          <w:color w:val="auto"/>
          <w:sz w:val="24"/>
          <w:highlight w:val="none"/>
        </w:rPr>
      </w:pPr>
      <w:r>
        <w:rPr>
          <w:rFonts w:hint="eastAsia"/>
          <w:color w:val="auto"/>
          <w:sz w:val="24"/>
          <w:highlight w:val="none"/>
        </w:rPr>
        <w:t>日    期：</w:t>
      </w:r>
      <w:r>
        <w:rPr>
          <w:rFonts w:hint="eastAsia"/>
          <w:color w:val="auto"/>
          <w:sz w:val="24"/>
          <w:highlight w:val="none"/>
        </w:rPr>
        <w:tab/>
      </w:r>
      <w:r>
        <w:rPr>
          <w:rFonts w:hint="eastAsia"/>
          <w:color w:val="auto"/>
          <w:sz w:val="24"/>
          <w:highlight w:val="none"/>
        </w:rPr>
        <w:tab/>
      </w:r>
      <w:r>
        <w:rPr>
          <w:rFonts w:hint="eastAsia"/>
          <w:color w:val="auto"/>
          <w:sz w:val="24"/>
          <w:highlight w:val="none"/>
        </w:rPr>
        <w:t xml:space="preserve">              </w:t>
      </w:r>
      <w:r>
        <w:rPr>
          <w:rFonts w:hint="eastAsia"/>
          <w:color w:val="auto"/>
          <w:sz w:val="24"/>
          <w:highlight w:val="none"/>
        </w:rPr>
        <w:tab/>
      </w:r>
      <w:r>
        <w:rPr>
          <w:rFonts w:hint="eastAsia"/>
          <w:color w:val="auto"/>
          <w:sz w:val="24"/>
          <w:highlight w:val="none"/>
        </w:rPr>
        <w:t>日      期：</w:t>
      </w:r>
      <w:r>
        <w:rPr>
          <w:rFonts w:hint="eastAsia"/>
          <w:color w:val="auto"/>
          <w:sz w:val="24"/>
          <w:highlight w:val="none"/>
        </w:rPr>
        <w:tab/>
      </w:r>
    </w:p>
    <w:p w14:paraId="110D64FE">
      <w:pPr>
        <w:spacing w:line="324" w:lineRule="auto"/>
        <w:ind w:firstLine="480" w:firstLineChars="200"/>
        <w:rPr>
          <w:color w:val="auto"/>
          <w:sz w:val="24"/>
          <w:highlight w:val="none"/>
        </w:rPr>
      </w:pPr>
    </w:p>
    <w:p w14:paraId="35A6D8A5">
      <w:pPr>
        <w:pStyle w:val="4"/>
        <w:rPr>
          <w:color w:val="auto"/>
          <w:highlight w:val="none"/>
        </w:rPr>
      </w:pPr>
      <w:r>
        <w:rPr>
          <w:rFonts w:hint="eastAsia"/>
          <w:color w:val="auto"/>
          <w:highlight w:val="none"/>
        </w:rPr>
        <w:br w:type="page"/>
      </w:r>
      <w:r>
        <w:rPr>
          <w:rFonts w:hint="eastAsia"/>
          <w:color w:val="auto"/>
          <w:highlight w:val="none"/>
        </w:rPr>
        <w:t xml:space="preserve"> </w:t>
      </w:r>
      <w:bookmarkStart w:id="1369" w:name="_Toc488650937"/>
      <w:r>
        <w:rPr>
          <w:rFonts w:hint="eastAsia"/>
          <w:color w:val="auto"/>
          <w:highlight w:val="none"/>
        </w:rPr>
        <w:t>第六章  监理服务费报价</w:t>
      </w:r>
      <w:bookmarkEnd w:id="1369"/>
    </w:p>
    <w:p w14:paraId="7EDE9EB7">
      <w:pPr>
        <w:pStyle w:val="4"/>
        <w:spacing w:before="0" w:after="0"/>
        <w:rPr>
          <w:rFonts w:ascii="宋体" w:hAnsi="宋体" w:eastAsia="宋体"/>
          <w:b w:val="0"/>
          <w:color w:val="auto"/>
          <w:sz w:val="21"/>
          <w:szCs w:val="21"/>
          <w:highlight w:val="none"/>
        </w:rPr>
      </w:pPr>
      <w:bookmarkStart w:id="1370" w:name="_Toc487653506"/>
      <w:bookmarkStart w:id="1371" w:name="_Toc487291617"/>
      <w:bookmarkStart w:id="1372" w:name="_Toc488650938"/>
      <w:r>
        <w:rPr>
          <w:rFonts w:hint="eastAsia" w:ascii="宋体" w:hAnsi="宋体" w:eastAsia="宋体"/>
          <w:b w:val="0"/>
          <w:color w:val="auto"/>
          <w:sz w:val="21"/>
          <w:szCs w:val="21"/>
          <w:highlight w:val="none"/>
        </w:rPr>
        <w:t>1.监理服务费报价说明</w:t>
      </w:r>
      <w:bookmarkEnd w:id="1370"/>
      <w:bookmarkEnd w:id="1371"/>
      <w:bookmarkEnd w:id="1372"/>
    </w:p>
    <w:p w14:paraId="759A1D5A">
      <w:pPr>
        <w:spacing w:line="324" w:lineRule="auto"/>
        <w:ind w:firstLine="420" w:firstLineChars="200"/>
        <w:rPr>
          <w:rFonts w:ascii="宋体" w:hAnsi="宋体"/>
          <w:color w:val="auto"/>
          <w:szCs w:val="21"/>
          <w:highlight w:val="none"/>
        </w:rPr>
      </w:pPr>
      <w:r>
        <w:rPr>
          <w:rFonts w:hint="eastAsia" w:ascii="宋体" w:hAnsi="宋体"/>
          <w:color w:val="auto"/>
          <w:szCs w:val="21"/>
          <w:highlight w:val="none"/>
        </w:rPr>
        <w:t>1.1  本监理服务费报价是根据招标文件及施工监理规范，完成合同条款中约定监理服务阶段的监理服务范围和内容所需要的监理服务费用。</w:t>
      </w:r>
    </w:p>
    <w:p w14:paraId="36362839">
      <w:pPr>
        <w:spacing w:line="324" w:lineRule="auto"/>
        <w:ind w:firstLine="420" w:firstLineChars="200"/>
        <w:rPr>
          <w:rFonts w:ascii="宋体" w:hAnsi="宋体"/>
          <w:color w:val="auto"/>
          <w:szCs w:val="21"/>
          <w:highlight w:val="none"/>
        </w:rPr>
      </w:pPr>
      <w:r>
        <w:rPr>
          <w:rFonts w:hint="eastAsia" w:ascii="宋体" w:hAnsi="宋体"/>
          <w:color w:val="auto"/>
          <w:szCs w:val="21"/>
          <w:highlight w:val="none"/>
        </w:rPr>
        <w:t>1.2  本监理服务费报价应与招标文件中的投标人须知、通用合同条款、专用合同条款、标准以及招标范围涵盖工程内容一起阅读和理解。</w:t>
      </w:r>
    </w:p>
    <w:p w14:paraId="34A198B5">
      <w:pPr>
        <w:pStyle w:val="4"/>
        <w:spacing w:before="0" w:after="0"/>
        <w:rPr>
          <w:rFonts w:ascii="宋体" w:hAnsi="宋体" w:eastAsia="宋体"/>
          <w:b w:val="0"/>
          <w:color w:val="auto"/>
          <w:sz w:val="21"/>
          <w:szCs w:val="21"/>
          <w:highlight w:val="none"/>
        </w:rPr>
      </w:pPr>
      <w:bookmarkStart w:id="1373" w:name="_Toc488650939"/>
      <w:bookmarkStart w:id="1374" w:name="_Toc487291618"/>
      <w:bookmarkStart w:id="1375" w:name="_Toc487653507"/>
      <w:r>
        <w:rPr>
          <w:rFonts w:hint="eastAsia" w:ascii="宋体" w:hAnsi="宋体" w:eastAsia="宋体"/>
          <w:b w:val="0"/>
          <w:color w:val="auto"/>
          <w:sz w:val="21"/>
          <w:szCs w:val="21"/>
          <w:highlight w:val="none"/>
        </w:rPr>
        <w:t>2.监理服务费报价表</w:t>
      </w:r>
      <w:bookmarkEnd w:id="1373"/>
      <w:bookmarkEnd w:id="1374"/>
      <w:bookmarkEnd w:id="1375"/>
    </w:p>
    <w:p w14:paraId="71D8C9B3">
      <w:pPr>
        <w:pStyle w:val="7"/>
        <w:spacing w:before="0" w:after="0" w:line="30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2.1监理服务费报价</w:t>
      </w:r>
      <w:r>
        <w:rPr>
          <w:rFonts w:ascii="宋体" w:hAnsi="宋体"/>
          <w:b w:val="0"/>
          <w:color w:val="auto"/>
          <w:sz w:val="21"/>
          <w:szCs w:val="21"/>
          <w:highlight w:val="none"/>
        </w:rPr>
        <w:t>汇总</w:t>
      </w:r>
      <w:r>
        <w:rPr>
          <w:rFonts w:hint="eastAsia" w:ascii="宋体" w:hAnsi="宋体"/>
          <w:b w:val="0"/>
          <w:color w:val="auto"/>
          <w:sz w:val="21"/>
          <w:szCs w:val="21"/>
          <w:highlight w:val="none"/>
        </w:rPr>
        <w:t>表</w:t>
      </w:r>
    </w:p>
    <w:p w14:paraId="555D777C">
      <w:pPr>
        <w:pStyle w:val="7"/>
        <w:spacing w:before="0" w:after="0" w:line="300" w:lineRule="auto"/>
        <w:ind w:firstLine="525"/>
        <w:rPr>
          <w:rFonts w:ascii="宋体" w:hAnsi="宋体"/>
          <w:b w:val="0"/>
          <w:color w:val="auto"/>
          <w:sz w:val="21"/>
          <w:szCs w:val="21"/>
          <w:highlight w:val="none"/>
        </w:rPr>
      </w:pPr>
      <w:r>
        <w:rPr>
          <w:rFonts w:hint="eastAsia" w:ascii="宋体" w:hAnsi="宋体"/>
          <w:b w:val="0"/>
          <w:color w:val="auto"/>
          <w:sz w:val="21"/>
          <w:szCs w:val="21"/>
          <w:highlight w:val="none"/>
        </w:rPr>
        <w:t>监理标段名称：</w:t>
      </w:r>
      <w:r>
        <w:rPr>
          <w:rFonts w:hint="eastAsia" w:ascii="宋体" w:hAnsi="宋体"/>
          <w:b w:val="0"/>
          <w:color w:val="auto"/>
          <w:sz w:val="21"/>
          <w:szCs w:val="21"/>
          <w:highlight w:val="none"/>
          <w:u w:val="single"/>
        </w:rPr>
        <w:t xml:space="preserve">  </w:t>
      </w:r>
      <w:r>
        <w:rPr>
          <w:rFonts w:hint="eastAsia" w:ascii="宋体" w:hAnsi="宋体" w:cs="宋体"/>
          <w:b w:val="0"/>
          <w:color w:val="auto"/>
          <w:sz w:val="21"/>
          <w:szCs w:val="21"/>
          <w:highlight w:val="none"/>
          <w:u w:val="single"/>
        </w:rPr>
        <w:t xml:space="preserve">                                    </w:t>
      </w:r>
      <w:r>
        <w:rPr>
          <w:rFonts w:hint="eastAsia" w:ascii="宋体" w:hAnsi="宋体"/>
          <w:b w:val="0"/>
          <w:color w:val="auto"/>
          <w:sz w:val="21"/>
          <w:szCs w:val="21"/>
          <w:highlight w:val="none"/>
          <w:u w:val="single"/>
        </w:rPr>
        <w:t xml:space="preserve">             </w:t>
      </w:r>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01"/>
        <w:gridCol w:w="2803"/>
        <w:gridCol w:w="2565"/>
        <w:gridCol w:w="2360"/>
      </w:tblGrid>
      <w:tr w14:paraId="5BD4C3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7" w:hRule="atLeast"/>
          <w:jc w:val="center"/>
        </w:trPr>
        <w:tc>
          <w:tcPr>
            <w:tcW w:w="1401" w:type="dxa"/>
            <w:vAlign w:val="center"/>
          </w:tcPr>
          <w:p w14:paraId="27D0D08F">
            <w:pPr>
              <w:pStyle w:val="4"/>
              <w:spacing w:before="0" w:after="0"/>
              <w:rPr>
                <w:rFonts w:ascii="宋体" w:hAnsi="宋体" w:eastAsia="宋体"/>
                <w:b w:val="0"/>
                <w:color w:val="auto"/>
                <w:sz w:val="21"/>
                <w:szCs w:val="21"/>
                <w:highlight w:val="none"/>
              </w:rPr>
            </w:pPr>
            <w:bookmarkStart w:id="1376" w:name="_Toc488650940"/>
            <w:bookmarkStart w:id="1377" w:name="_Toc487653508"/>
            <w:r>
              <w:rPr>
                <w:rFonts w:ascii="宋体" w:hAnsi="宋体" w:eastAsia="宋体"/>
                <w:b w:val="0"/>
                <w:color w:val="auto"/>
                <w:sz w:val="21"/>
                <w:szCs w:val="21"/>
                <w:highlight w:val="none"/>
              </w:rPr>
              <w:t>序</w:t>
            </w:r>
            <w:r>
              <w:rPr>
                <w:rFonts w:hint="eastAsia" w:ascii="宋体" w:hAnsi="宋体" w:eastAsia="宋体"/>
                <w:b w:val="0"/>
                <w:color w:val="auto"/>
                <w:sz w:val="21"/>
                <w:szCs w:val="21"/>
                <w:highlight w:val="none"/>
              </w:rPr>
              <w:t xml:space="preserve">  </w:t>
            </w:r>
            <w:r>
              <w:rPr>
                <w:rFonts w:ascii="宋体" w:hAnsi="宋体" w:eastAsia="宋体"/>
                <w:b w:val="0"/>
                <w:color w:val="auto"/>
                <w:sz w:val="21"/>
                <w:szCs w:val="21"/>
                <w:highlight w:val="none"/>
              </w:rPr>
              <w:t>号</w:t>
            </w:r>
            <w:bookmarkEnd w:id="1376"/>
            <w:bookmarkEnd w:id="1377"/>
          </w:p>
        </w:tc>
        <w:tc>
          <w:tcPr>
            <w:tcW w:w="2803" w:type="dxa"/>
            <w:vAlign w:val="center"/>
          </w:tcPr>
          <w:p w14:paraId="25FECB8F">
            <w:pPr>
              <w:pStyle w:val="4"/>
              <w:spacing w:before="0" w:after="0"/>
              <w:rPr>
                <w:rFonts w:ascii="宋体" w:hAnsi="宋体" w:eastAsia="宋体"/>
                <w:b w:val="0"/>
                <w:color w:val="auto"/>
                <w:sz w:val="21"/>
                <w:szCs w:val="21"/>
                <w:highlight w:val="none"/>
              </w:rPr>
            </w:pPr>
            <w:bookmarkStart w:id="1378" w:name="_Toc488650941"/>
            <w:bookmarkStart w:id="1379" w:name="_Toc487653509"/>
            <w:r>
              <w:rPr>
                <w:rFonts w:ascii="宋体" w:hAnsi="宋体" w:eastAsia="宋体"/>
                <w:b w:val="0"/>
                <w:color w:val="auto"/>
                <w:sz w:val="21"/>
                <w:szCs w:val="21"/>
                <w:highlight w:val="none"/>
              </w:rPr>
              <w:t>项目名称</w:t>
            </w:r>
            <w:bookmarkEnd w:id="1378"/>
            <w:bookmarkEnd w:id="1379"/>
          </w:p>
        </w:tc>
        <w:tc>
          <w:tcPr>
            <w:tcW w:w="2565" w:type="dxa"/>
            <w:vAlign w:val="center"/>
          </w:tcPr>
          <w:p w14:paraId="73292D4F">
            <w:pPr>
              <w:pStyle w:val="4"/>
              <w:spacing w:before="0" w:after="0"/>
              <w:rPr>
                <w:rFonts w:ascii="宋体" w:hAnsi="宋体" w:eastAsia="宋体"/>
                <w:b w:val="0"/>
                <w:color w:val="auto"/>
                <w:sz w:val="21"/>
                <w:szCs w:val="21"/>
                <w:highlight w:val="none"/>
              </w:rPr>
            </w:pPr>
            <w:bookmarkStart w:id="1380" w:name="_Toc487653510"/>
            <w:bookmarkStart w:id="1381" w:name="_Toc488650942"/>
            <w:r>
              <w:rPr>
                <w:rFonts w:ascii="宋体" w:hAnsi="宋体" w:eastAsia="宋体"/>
                <w:b w:val="0"/>
                <w:color w:val="auto"/>
                <w:sz w:val="21"/>
                <w:szCs w:val="21"/>
                <w:highlight w:val="none"/>
              </w:rPr>
              <w:t>合计（元）</w:t>
            </w:r>
            <w:bookmarkEnd w:id="1380"/>
            <w:bookmarkEnd w:id="1381"/>
          </w:p>
        </w:tc>
        <w:tc>
          <w:tcPr>
            <w:tcW w:w="2360" w:type="dxa"/>
            <w:vAlign w:val="center"/>
          </w:tcPr>
          <w:p w14:paraId="6253AFB8">
            <w:pPr>
              <w:pStyle w:val="4"/>
              <w:spacing w:before="0" w:after="0"/>
              <w:rPr>
                <w:rFonts w:ascii="宋体" w:hAnsi="宋体" w:eastAsia="宋体"/>
                <w:b w:val="0"/>
                <w:color w:val="auto"/>
                <w:sz w:val="21"/>
                <w:szCs w:val="21"/>
                <w:highlight w:val="none"/>
              </w:rPr>
            </w:pPr>
            <w:bookmarkStart w:id="1382" w:name="_Toc487653511"/>
            <w:bookmarkStart w:id="1383" w:name="_Toc488650943"/>
            <w:r>
              <w:rPr>
                <w:rFonts w:ascii="宋体" w:hAnsi="宋体" w:eastAsia="宋体"/>
                <w:b w:val="0"/>
                <w:color w:val="auto"/>
                <w:sz w:val="21"/>
                <w:szCs w:val="21"/>
                <w:highlight w:val="none"/>
              </w:rPr>
              <w:t>备</w:t>
            </w:r>
            <w:r>
              <w:rPr>
                <w:rFonts w:hint="eastAsia" w:ascii="宋体" w:hAnsi="宋体" w:eastAsia="宋体"/>
                <w:b w:val="0"/>
                <w:color w:val="auto"/>
                <w:sz w:val="21"/>
                <w:szCs w:val="21"/>
                <w:highlight w:val="none"/>
              </w:rPr>
              <w:t xml:space="preserve">  </w:t>
            </w:r>
            <w:r>
              <w:rPr>
                <w:rFonts w:ascii="宋体" w:hAnsi="宋体" w:eastAsia="宋体"/>
                <w:b w:val="0"/>
                <w:color w:val="auto"/>
                <w:sz w:val="21"/>
                <w:szCs w:val="21"/>
                <w:highlight w:val="none"/>
              </w:rPr>
              <w:t>注</w:t>
            </w:r>
            <w:bookmarkEnd w:id="1382"/>
            <w:bookmarkEnd w:id="1383"/>
          </w:p>
        </w:tc>
      </w:tr>
      <w:tr w14:paraId="35F3CD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4" w:hRule="exact"/>
          <w:jc w:val="center"/>
        </w:trPr>
        <w:tc>
          <w:tcPr>
            <w:tcW w:w="1401" w:type="dxa"/>
            <w:vAlign w:val="center"/>
          </w:tcPr>
          <w:p w14:paraId="040ED39D">
            <w:pPr>
              <w:pStyle w:val="4"/>
              <w:spacing w:before="0" w:after="0"/>
              <w:rPr>
                <w:rFonts w:ascii="宋体" w:hAnsi="宋体" w:eastAsia="宋体"/>
                <w:b w:val="0"/>
                <w:color w:val="auto"/>
                <w:sz w:val="21"/>
                <w:szCs w:val="21"/>
                <w:highlight w:val="none"/>
              </w:rPr>
            </w:pPr>
            <w:bookmarkStart w:id="1384" w:name="_Toc488650944"/>
            <w:bookmarkStart w:id="1385" w:name="_Toc487653512"/>
            <w:r>
              <w:rPr>
                <w:rFonts w:ascii="宋体" w:hAnsi="宋体" w:eastAsia="宋体"/>
                <w:b w:val="0"/>
                <w:color w:val="auto"/>
                <w:sz w:val="21"/>
                <w:szCs w:val="21"/>
                <w:highlight w:val="none"/>
              </w:rPr>
              <w:t>1</w:t>
            </w:r>
            <w:bookmarkEnd w:id="1384"/>
            <w:bookmarkEnd w:id="1385"/>
          </w:p>
        </w:tc>
        <w:tc>
          <w:tcPr>
            <w:tcW w:w="2803" w:type="dxa"/>
            <w:vAlign w:val="center"/>
          </w:tcPr>
          <w:p w14:paraId="5B4FE9ED">
            <w:pPr>
              <w:pStyle w:val="4"/>
              <w:spacing w:before="0" w:after="0"/>
              <w:rPr>
                <w:rFonts w:ascii="宋体" w:hAnsi="宋体" w:eastAsia="宋体"/>
                <w:b w:val="0"/>
                <w:color w:val="auto"/>
                <w:sz w:val="21"/>
                <w:szCs w:val="21"/>
                <w:highlight w:val="none"/>
              </w:rPr>
            </w:pPr>
            <w:bookmarkStart w:id="1386" w:name="_Toc487653513"/>
            <w:bookmarkStart w:id="1387" w:name="_Toc488650945"/>
            <w:r>
              <w:rPr>
                <w:rFonts w:ascii="宋体" w:hAnsi="宋体" w:eastAsia="宋体"/>
                <w:b w:val="0"/>
                <w:color w:val="auto"/>
                <w:sz w:val="21"/>
                <w:szCs w:val="21"/>
                <w:highlight w:val="none"/>
              </w:rPr>
              <w:t>施工监理服务</w:t>
            </w:r>
            <w:r>
              <w:rPr>
                <w:rFonts w:hint="eastAsia" w:ascii="宋体" w:hAnsi="宋体" w:eastAsia="宋体"/>
                <w:b w:val="0"/>
                <w:color w:val="auto"/>
                <w:sz w:val="21"/>
                <w:szCs w:val="21"/>
                <w:highlight w:val="none"/>
              </w:rPr>
              <w:t>（含施工准备、施工、交工验收阶段）</w:t>
            </w:r>
            <w:bookmarkEnd w:id="1386"/>
            <w:bookmarkEnd w:id="1387"/>
          </w:p>
        </w:tc>
        <w:tc>
          <w:tcPr>
            <w:tcW w:w="2565" w:type="dxa"/>
            <w:vAlign w:val="center"/>
          </w:tcPr>
          <w:p w14:paraId="374CA7A9">
            <w:pPr>
              <w:pStyle w:val="4"/>
              <w:spacing w:before="0" w:after="0"/>
              <w:rPr>
                <w:rFonts w:ascii="宋体" w:hAnsi="宋体" w:eastAsia="宋体"/>
                <w:b w:val="0"/>
                <w:color w:val="auto"/>
                <w:sz w:val="21"/>
                <w:szCs w:val="21"/>
                <w:highlight w:val="none"/>
              </w:rPr>
            </w:pPr>
          </w:p>
        </w:tc>
        <w:tc>
          <w:tcPr>
            <w:tcW w:w="2360" w:type="dxa"/>
            <w:vAlign w:val="center"/>
          </w:tcPr>
          <w:p w14:paraId="744991E6">
            <w:pPr>
              <w:pStyle w:val="4"/>
              <w:spacing w:before="0" w:after="0"/>
              <w:rPr>
                <w:rFonts w:ascii="宋体" w:hAnsi="宋体" w:eastAsia="宋体"/>
                <w:b w:val="0"/>
                <w:color w:val="auto"/>
                <w:sz w:val="21"/>
                <w:szCs w:val="21"/>
                <w:highlight w:val="none"/>
              </w:rPr>
            </w:pPr>
          </w:p>
        </w:tc>
      </w:tr>
      <w:tr w14:paraId="5B1A37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2" w:hRule="exact"/>
          <w:jc w:val="center"/>
        </w:trPr>
        <w:tc>
          <w:tcPr>
            <w:tcW w:w="1401" w:type="dxa"/>
            <w:vAlign w:val="center"/>
          </w:tcPr>
          <w:p w14:paraId="2EECEE90">
            <w:pPr>
              <w:pStyle w:val="4"/>
              <w:spacing w:before="0" w:after="0"/>
              <w:rPr>
                <w:rFonts w:ascii="宋体" w:hAnsi="宋体" w:eastAsia="宋体"/>
                <w:b w:val="0"/>
                <w:color w:val="auto"/>
                <w:sz w:val="21"/>
                <w:szCs w:val="21"/>
                <w:highlight w:val="none"/>
              </w:rPr>
            </w:pPr>
            <w:bookmarkStart w:id="1388" w:name="_Toc488650946"/>
            <w:bookmarkStart w:id="1389" w:name="_Toc487653514"/>
            <w:r>
              <w:rPr>
                <w:rFonts w:ascii="宋体" w:hAnsi="宋体" w:eastAsia="宋体"/>
                <w:b w:val="0"/>
                <w:color w:val="auto"/>
                <w:sz w:val="21"/>
                <w:szCs w:val="21"/>
                <w:highlight w:val="none"/>
              </w:rPr>
              <w:t>2</w:t>
            </w:r>
            <w:bookmarkEnd w:id="1388"/>
            <w:bookmarkEnd w:id="1389"/>
          </w:p>
        </w:tc>
        <w:tc>
          <w:tcPr>
            <w:tcW w:w="2803" w:type="dxa"/>
            <w:vAlign w:val="center"/>
          </w:tcPr>
          <w:p w14:paraId="4AE29866">
            <w:pPr>
              <w:pStyle w:val="4"/>
              <w:spacing w:before="0" w:after="0"/>
              <w:rPr>
                <w:rFonts w:ascii="宋体" w:hAnsi="宋体" w:eastAsia="宋体"/>
                <w:b w:val="0"/>
                <w:color w:val="auto"/>
                <w:sz w:val="21"/>
                <w:szCs w:val="21"/>
                <w:highlight w:val="none"/>
              </w:rPr>
            </w:pPr>
            <w:bookmarkStart w:id="1390" w:name="_Toc487653515"/>
            <w:bookmarkStart w:id="1391" w:name="_Toc488650947"/>
            <w:r>
              <w:rPr>
                <w:rFonts w:ascii="宋体" w:hAnsi="宋体" w:eastAsia="宋体"/>
                <w:b w:val="0"/>
                <w:color w:val="auto"/>
                <w:sz w:val="21"/>
                <w:szCs w:val="21"/>
                <w:highlight w:val="none"/>
              </w:rPr>
              <w:t>缺陷责任期</w:t>
            </w:r>
            <w:r>
              <w:rPr>
                <w:rFonts w:hint="eastAsia" w:ascii="宋体" w:hAnsi="宋体" w:eastAsia="宋体"/>
                <w:b w:val="0"/>
                <w:color w:val="auto"/>
                <w:sz w:val="21"/>
                <w:szCs w:val="21"/>
                <w:highlight w:val="none"/>
              </w:rPr>
              <w:t>阶段监理服务费（含试运行、竣工验收阶段）</w:t>
            </w:r>
            <w:bookmarkEnd w:id="1390"/>
            <w:bookmarkEnd w:id="1391"/>
          </w:p>
        </w:tc>
        <w:tc>
          <w:tcPr>
            <w:tcW w:w="2565" w:type="dxa"/>
            <w:vAlign w:val="center"/>
          </w:tcPr>
          <w:p w14:paraId="683A52A3">
            <w:pPr>
              <w:pStyle w:val="4"/>
              <w:spacing w:before="0" w:after="0"/>
              <w:rPr>
                <w:rFonts w:ascii="宋体" w:hAnsi="宋体" w:eastAsia="宋体"/>
                <w:b w:val="0"/>
                <w:color w:val="auto"/>
                <w:sz w:val="21"/>
                <w:szCs w:val="21"/>
                <w:highlight w:val="none"/>
              </w:rPr>
            </w:pPr>
          </w:p>
        </w:tc>
        <w:tc>
          <w:tcPr>
            <w:tcW w:w="2360" w:type="dxa"/>
            <w:vAlign w:val="center"/>
          </w:tcPr>
          <w:p w14:paraId="1AD4EAB2">
            <w:pPr>
              <w:pStyle w:val="4"/>
              <w:spacing w:before="0" w:after="0"/>
              <w:rPr>
                <w:rFonts w:ascii="宋体" w:hAnsi="宋体" w:eastAsia="宋体"/>
                <w:b w:val="0"/>
                <w:color w:val="auto"/>
                <w:sz w:val="21"/>
                <w:szCs w:val="21"/>
                <w:highlight w:val="none"/>
              </w:rPr>
            </w:pPr>
          </w:p>
        </w:tc>
      </w:tr>
      <w:tr w14:paraId="3C9D66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7" w:hRule="exact"/>
          <w:jc w:val="center"/>
        </w:trPr>
        <w:tc>
          <w:tcPr>
            <w:tcW w:w="1401" w:type="dxa"/>
            <w:vAlign w:val="center"/>
          </w:tcPr>
          <w:p w14:paraId="671F641C">
            <w:pPr>
              <w:pStyle w:val="4"/>
              <w:spacing w:before="0" w:after="0"/>
              <w:rPr>
                <w:rFonts w:ascii="宋体" w:hAnsi="宋体" w:eastAsia="宋体"/>
                <w:b w:val="0"/>
                <w:color w:val="auto"/>
                <w:sz w:val="21"/>
                <w:szCs w:val="21"/>
                <w:highlight w:val="none"/>
              </w:rPr>
            </w:pPr>
            <w:bookmarkStart w:id="1392" w:name="_Toc488650948"/>
            <w:bookmarkStart w:id="1393" w:name="_Toc487653516"/>
            <w:r>
              <w:rPr>
                <w:rFonts w:hint="eastAsia" w:ascii="宋体" w:hAnsi="宋体" w:eastAsia="宋体"/>
                <w:b w:val="0"/>
                <w:color w:val="auto"/>
                <w:sz w:val="21"/>
                <w:szCs w:val="21"/>
                <w:highlight w:val="none"/>
              </w:rPr>
              <w:t>3</w:t>
            </w:r>
            <w:bookmarkEnd w:id="1392"/>
            <w:bookmarkEnd w:id="1393"/>
          </w:p>
        </w:tc>
        <w:tc>
          <w:tcPr>
            <w:tcW w:w="2803" w:type="dxa"/>
            <w:vAlign w:val="center"/>
          </w:tcPr>
          <w:p w14:paraId="26CFF6F2">
            <w:pPr>
              <w:pStyle w:val="4"/>
              <w:spacing w:before="0" w:after="0"/>
              <w:rPr>
                <w:rFonts w:ascii="宋体" w:hAnsi="宋体" w:eastAsia="宋体"/>
                <w:b w:val="0"/>
                <w:color w:val="auto"/>
                <w:sz w:val="21"/>
                <w:szCs w:val="21"/>
                <w:highlight w:val="none"/>
              </w:rPr>
            </w:pPr>
            <w:bookmarkStart w:id="1394" w:name="_Toc487653517"/>
            <w:bookmarkStart w:id="1395" w:name="_Toc488650949"/>
            <w:r>
              <w:rPr>
                <w:rFonts w:hint="eastAsia" w:ascii="宋体" w:hAnsi="宋体" w:eastAsia="宋体"/>
                <w:b w:val="0"/>
                <w:color w:val="auto"/>
                <w:sz w:val="21"/>
                <w:szCs w:val="21"/>
                <w:highlight w:val="none"/>
              </w:rPr>
              <w:t>其他</w:t>
            </w:r>
            <w:bookmarkEnd w:id="1394"/>
            <w:bookmarkEnd w:id="1395"/>
          </w:p>
        </w:tc>
        <w:tc>
          <w:tcPr>
            <w:tcW w:w="2565" w:type="dxa"/>
            <w:vAlign w:val="center"/>
          </w:tcPr>
          <w:p w14:paraId="75A7F724">
            <w:pPr>
              <w:pStyle w:val="4"/>
              <w:spacing w:before="0" w:after="0"/>
              <w:rPr>
                <w:rFonts w:ascii="宋体" w:hAnsi="宋体" w:eastAsia="宋体"/>
                <w:b w:val="0"/>
                <w:color w:val="auto"/>
                <w:sz w:val="21"/>
                <w:szCs w:val="21"/>
                <w:highlight w:val="none"/>
              </w:rPr>
            </w:pPr>
          </w:p>
        </w:tc>
        <w:tc>
          <w:tcPr>
            <w:tcW w:w="2360" w:type="dxa"/>
            <w:vAlign w:val="center"/>
          </w:tcPr>
          <w:p w14:paraId="4A5D258A">
            <w:pPr>
              <w:pStyle w:val="4"/>
              <w:spacing w:before="0" w:after="0"/>
              <w:rPr>
                <w:rFonts w:ascii="宋体" w:hAnsi="宋体" w:eastAsia="宋体"/>
                <w:b w:val="0"/>
                <w:color w:val="auto"/>
                <w:sz w:val="21"/>
                <w:szCs w:val="21"/>
                <w:highlight w:val="none"/>
              </w:rPr>
            </w:pPr>
          </w:p>
        </w:tc>
      </w:tr>
      <w:tr w14:paraId="46A772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4" w:hRule="exact"/>
          <w:jc w:val="center"/>
        </w:trPr>
        <w:tc>
          <w:tcPr>
            <w:tcW w:w="1401" w:type="dxa"/>
            <w:vAlign w:val="center"/>
          </w:tcPr>
          <w:p w14:paraId="47C50E9F">
            <w:pPr>
              <w:pStyle w:val="4"/>
              <w:spacing w:before="0" w:after="0"/>
              <w:rPr>
                <w:rFonts w:ascii="宋体" w:hAnsi="宋体" w:eastAsia="宋体"/>
                <w:b w:val="0"/>
                <w:color w:val="auto"/>
                <w:sz w:val="21"/>
                <w:szCs w:val="21"/>
                <w:highlight w:val="none"/>
              </w:rPr>
            </w:pPr>
            <w:bookmarkStart w:id="1396" w:name="_Toc487653518"/>
            <w:bookmarkStart w:id="1397" w:name="_Toc488650950"/>
            <w:r>
              <w:rPr>
                <w:rFonts w:hint="eastAsia" w:ascii="宋体" w:hAnsi="宋体" w:eastAsia="宋体"/>
                <w:b w:val="0"/>
                <w:color w:val="auto"/>
                <w:sz w:val="21"/>
                <w:szCs w:val="21"/>
                <w:highlight w:val="none"/>
              </w:rPr>
              <w:t>4</w:t>
            </w:r>
            <w:bookmarkEnd w:id="1396"/>
            <w:bookmarkEnd w:id="1397"/>
          </w:p>
        </w:tc>
        <w:tc>
          <w:tcPr>
            <w:tcW w:w="2803" w:type="dxa"/>
            <w:vAlign w:val="center"/>
          </w:tcPr>
          <w:p w14:paraId="6064BCF8">
            <w:pPr>
              <w:pStyle w:val="4"/>
              <w:spacing w:before="0" w:after="0"/>
              <w:rPr>
                <w:rFonts w:ascii="宋体" w:hAnsi="宋体" w:eastAsia="宋体"/>
                <w:b w:val="0"/>
                <w:color w:val="auto"/>
                <w:sz w:val="21"/>
                <w:szCs w:val="21"/>
                <w:highlight w:val="none"/>
              </w:rPr>
            </w:pPr>
            <w:bookmarkStart w:id="1398" w:name="_Toc487653519"/>
            <w:bookmarkStart w:id="1399" w:name="_Toc488650951"/>
            <w:r>
              <w:rPr>
                <w:rFonts w:ascii="宋体" w:hAnsi="宋体" w:eastAsia="宋体"/>
                <w:b w:val="0"/>
                <w:color w:val="auto"/>
                <w:sz w:val="21"/>
                <w:szCs w:val="21"/>
                <w:highlight w:val="none"/>
              </w:rPr>
              <w:t>监理服务费</w:t>
            </w:r>
            <w:r>
              <w:rPr>
                <w:rFonts w:hint="eastAsia" w:ascii="宋体" w:hAnsi="宋体" w:eastAsia="宋体"/>
                <w:b w:val="0"/>
                <w:color w:val="auto"/>
                <w:sz w:val="21"/>
                <w:szCs w:val="21"/>
                <w:highlight w:val="none"/>
              </w:rPr>
              <w:t>总价</w:t>
            </w:r>
            <w:bookmarkEnd w:id="1398"/>
            <w:bookmarkEnd w:id="1399"/>
          </w:p>
        </w:tc>
        <w:tc>
          <w:tcPr>
            <w:tcW w:w="2565" w:type="dxa"/>
            <w:vAlign w:val="center"/>
          </w:tcPr>
          <w:p w14:paraId="748A89BF">
            <w:pPr>
              <w:pStyle w:val="4"/>
              <w:spacing w:before="0" w:after="0"/>
              <w:rPr>
                <w:rFonts w:ascii="宋体" w:hAnsi="宋体" w:eastAsia="宋体"/>
                <w:b w:val="0"/>
                <w:color w:val="auto"/>
                <w:sz w:val="21"/>
                <w:szCs w:val="21"/>
                <w:highlight w:val="none"/>
              </w:rPr>
            </w:pPr>
          </w:p>
        </w:tc>
        <w:tc>
          <w:tcPr>
            <w:tcW w:w="2360" w:type="dxa"/>
            <w:vAlign w:val="center"/>
          </w:tcPr>
          <w:p w14:paraId="2E7280EE">
            <w:pPr>
              <w:pStyle w:val="4"/>
              <w:spacing w:before="0" w:after="0"/>
              <w:rPr>
                <w:rFonts w:ascii="宋体" w:hAnsi="宋体" w:eastAsia="宋体"/>
                <w:b w:val="0"/>
                <w:color w:val="auto"/>
                <w:sz w:val="21"/>
                <w:szCs w:val="21"/>
                <w:highlight w:val="none"/>
              </w:rPr>
            </w:pPr>
          </w:p>
        </w:tc>
      </w:tr>
    </w:tbl>
    <w:p w14:paraId="3187D460">
      <w:pPr>
        <w:pStyle w:val="4"/>
        <w:spacing w:before="0" w:after="0"/>
        <w:rPr>
          <w:rFonts w:ascii="宋体" w:hAnsi="宋体" w:eastAsia="宋体"/>
          <w:b w:val="0"/>
          <w:color w:val="auto"/>
          <w:sz w:val="21"/>
          <w:szCs w:val="21"/>
          <w:highlight w:val="none"/>
        </w:rPr>
      </w:pPr>
    </w:p>
    <w:p w14:paraId="046BE3E3">
      <w:pPr>
        <w:pStyle w:val="4"/>
        <w:spacing w:before="0" w:after="156"/>
        <w:rPr>
          <w:rFonts w:ascii="宋体" w:hAnsi="宋体" w:eastAsia="宋体"/>
          <w:b w:val="0"/>
          <w:color w:val="auto"/>
          <w:sz w:val="21"/>
          <w:szCs w:val="21"/>
          <w:highlight w:val="none"/>
          <w:u w:val="single"/>
        </w:rPr>
      </w:pPr>
      <w:bookmarkStart w:id="1400" w:name="_Toc488650953"/>
      <w:bookmarkStart w:id="1401" w:name="_Toc487653521"/>
      <w:r>
        <w:rPr>
          <w:rFonts w:hint="eastAsia" w:ascii="宋体" w:hAnsi="宋体" w:eastAsia="宋体"/>
          <w:b w:val="0"/>
          <w:color w:val="auto"/>
          <w:sz w:val="21"/>
          <w:szCs w:val="21"/>
          <w:highlight w:val="none"/>
        </w:rPr>
        <w:t>投标人（盖单位电子章）：</w:t>
      </w:r>
      <w:bookmarkEnd w:id="1400"/>
      <w:bookmarkEnd w:id="1401"/>
      <w:r>
        <w:rPr>
          <w:rFonts w:hint="eastAsia" w:ascii="宋体" w:hAnsi="宋体" w:eastAsia="宋体"/>
          <w:b w:val="0"/>
          <w:color w:val="auto"/>
          <w:sz w:val="21"/>
          <w:szCs w:val="21"/>
          <w:highlight w:val="none"/>
          <w:u w:val="single"/>
        </w:rPr>
        <w:t xml:space="preserve">              </w:t>
      </w:r>
    </w:p>
    <w:p w14:paraId="7C7AEE38">
      <w:pPr>
        <w:pStyle w:val="4"/>
        <w:spacing w:before="0" w:after="0"/>
        <w:rPr>
          <w:rFonts w:ascii="宋体" w:hAnsi="宋体" w:eastAsia="宋体"/>
          <w:b w:val="0"/>
          <w:color w:val="auto"/>
          <w:sz w:val="21"/>
          <w:szCs w:val="21"/>
          <w:highlight w:val="none"/>
        </w:rPr>
      </w:pPr>
      <w:r>
        <w:rPr>
          <w:rFonts w:hint="eastAsia" w:ascii="宋体" w:hAnsi="宋体" w:eastAsia="宋体"/>
          <w:b w:val="0"/>
          <w:color w:val="auto"/>
          <w:sz w:val="21"/>
          <w:szCs w:val="21"/>
          <w:highlight w:val="none"/>
        </w:rPr>
        <w:t xml:space="preserve">                              </w:t>
      </w:r>
      <w:bookmarkStart w:id="1402" w:name="_Toc487653522"/>
      <w:bookmarkStart w:id="1403" w:name="_Toc488650954"/>
      <w:r>
        <w:rPr>
          <w:rFonts w:ascii="宋体" w:hAnsi="宋体" w:eastAsia="宋体"/>
          <w:b w:val="0"/>
          <w:color w:val="auto"/>
          <w:sz w:val="21"/>
          <w:szCs w:val="21"/>
          <w:highlight w:val="none"/>
        </w:rPr>
        <w:t>日</w:t>
      </w:r>
      <w:r>
        <w:rPr>
          <w:rFonts w:hint="eastAsia" w:ascii="宋体" w:hAnsi="宋体" w:eastAsia="宋体"/>
          <w:b w:val="0"/>
          <w:color w:val="auto"/>
          <w:sz w:val="21"/>
          <w:szCs w:val="21"/>
          <w:highlight w:val="none"/>
        </w:rPr>
        <w:t xml:space="preserve">  </w:t>
      </w:r>
      <w:r>
        <w:rPr>
          <w:rFonts w:ascii="宋体" w:hAnsi="宋体" w:eastAsia="宋体"/>
          <w:b w:val="0"/>
          <w:color w:val="auto"/>
          <w:sz w:val="21"/>
          <w:szCs w:val="21"/>
          <w:highlight w:val="none"/>
        </w:rPr>
        <w:t>期：</w:t>
      </w:r>
      <w:r>
        <w:rPr>
          <w:rFonts w:ascii="宋体" w:hAnsi="宋体" w:eastAsia="宋体"/>
          <w:b w:val="0"/>
          <w:color w:val="auto"/>
          <w:sz w:val="21"/>
          <w:szCs w:val="21"/>
          <w:highlight w:val="none"/>
          <w:u w:val="single"/>
        </w:rPr>
        <w:t xml:space="preserve"> </w:t>
      </w:r>
      <w:r>
        <w:rPr>
          <w:rFonts w:hint="eastAsia" w:ascii="宋体" w:hAnsi="宋体" w:eastAsia="宋体"/>
          <w:b w:val="0"/>
          <w:color w:val="auto"/>
          <w:sz w:val="21"/>
          <w:szCs w:val="21"/>
          <w:highlight w:val="none"/>
          <w:u w:val="single"/>
        </w:rPr>
        <w:t xml:space="preserve">     </w:t>
      </w:r>
      <w:r>
        <w:rPr>
          <w:rFonts w:ascii="宋体" w:hAnsi="宋体" w:eastAsia="宋体"/>
          <w:b w:val="0"/>
          <w:color w:val="auto"/>
          <w:sz w:val="21"/>
          <w:szCs w:val="21"/>
          <w:highlight w:val="none"/>
          <w:u w:val="single"/>
        </w:rPr>
        <w:t xml:space="preserve">    </w:t>
      </w:r>
      <w:r>
        <w:rPr>
          <w:rFonts w:ascii="宋体" w:hAnsi="宋体" w:eastAsia="宋体"/>
          <w:b w:val="0"/>
          <w:color w:val="auto"/>
          <w:sz w:val="21"/>
          <w:szCs w:val="21"/>
          <w:highlight w:val="none"/>
        </w:rPr>
        <w:t>年</w:t>
      </w:r>
      <w:r>
        <w:rPr>
          <w:rFonts w:ascii="宋体" w:hAnsi="宋体" w:eastAsia="宋体"/>
          <w:b w:val="0"/>
          <w:color w:val="auto"/>
          <w:sz w:val="21"/>
          <w:szCs w:val="21"/>
          <w:highlight w:val="none"/>
          <w:u w:val="single"/>
        </w:rPr>
        <w:t xml:space="preserve">   </w:t>
      </w:r>
      <w:r>
        <w:rPr>
          <w:rFonts w:hint="eastAsia" w:ascii="宋体" w:hAnsi="宋体" w:eastAsia="宋体"/>
          <w:b w:val="0"/>
          <w:color w:val="auto"/>
          <w:sz w:val="21"/>
          <w:szCs w:val="21"/>
          <w:highlight w:val="none"/>
          <w:u w:val="single"/>
        </w:rPr>
        <w:t xml:space="preserve">  </w:t>
      </w:r>
      <w:r>
        <w:rPr>
          <w:rFonts w:ascii="宋体" w:hAnsi="宋体" w:eastAsia="宋体"/>
          <w:b w:val="0"/>
          <w:color w:val="auto"/>
          <w:sz w:val="21"/>
          <w:szCs w:val="21"/>
          <w:highlight w:val="none"/>
          <w:u w:val="single"/>
        </w:rPr>
        <w:t xml:space="preserve">  </w:t>
      </w:r>
      <w:r>
        <w:rPr>
          <w:rFonts w:ascii="宋体" w:hAnsi="宋体" w:eastAsia="宋体"/>
          <w:b w:val="0"/>
          <w:color w:val="auto"/>
          <w:sz w:val="21"/>
          <w:szCs w:val="21"/>
          <w:highlight w:val="none"/>
        </w:rPr>
        <w:t>月</w:t>
      </w:r>
      <w:r>
        <w:rPr>
          <w:rFonts w:ascii="宋体" w:hAnsi="宋体" w:eastAsia="宋体"/>
          <w:b w:val="0"/>
          <w:color w:val="auto"/>
          <w:sz w:val="21"/>
          <w:szCs w:val="21"/>
          <w:highlight w:val="none"/>
          <w:u w:val="single"/>
        </w:rPr>
        <w:t xml:space="preserve">  </w:t>
      </w:r>
      <w:r>
        <w:rPr>
          <w:rFonts w:hint="eastAsia" w:ascii="宋体" w:hAnsi="宋体" w:eastAsia="宋体"/>
          <w:b w:val="0"/>
          <w:color w:val="auto"/>
          <w:sz w:val="21"/>
          <w:szCs w:val="21"/>
          <w:highlight w:val="none"/>
          <w:u w:val="single"/>
        </w:rPr>
        <w:t xml:space="preserve">  </w:t>
      </w:r>
      <w:r>
        <w:rPr>
          <w:rFonts w:ascii="宋体" w:hAnsi="宋体" w:eastAsia="宋体"/>
          <w:b w:val="0"/>
          <w:color w:val="auto"/>
          <w:sz w:val="21"/>
          <w:szCs w:val="21"/>
          <w:highlight w:val="none"/>
          <w:u w:val="single"/>
        </w:rPr>
        <w:t xml:space="preserve">  </w:t>
      </w:r>
      <w:r>
        <w:rPr>
          <w:rFonts w:ascii="宋体" w:hAnsi="宋体" w:eastAsia="宋体"/>
          <w:b w:val="0"/>
          <w:color w:val="auto"/>
          <w:sz w:val="21"/>
          <w:szCs w:val="21"/>
          <w:highlight w:val="none"/>
        </w:rPr>
        <w:t>日</w:t>
      </w:r>
      <w:bookmarkEnd w:id="1402"/>
      <w:bookmarkEnd w:id="1403"/>
    </w:p>
    <w:p w14:paraId="10DBA78B">
      <w:pPr>
        <w:pStyle w:val="4"/>
        <w:spacing w:before="0" w:after="0"/>
        <w:rPr>
          <w:rFonts w:ascii="宋体" w:hAnsi="宋体" w:eastAsia="宋体"/>
          <w:b w:val="0"/>
          <w:color w:val="auto"/>
          <w:sz w:val="21"/>
          <w:szCs w:val="21"/>
          <w:highlight w:val="none"/>
        </w:rPr>
      </w:pPr>
      <w:r>
        <w:rPr>
          <w:rFonts w:hint="eastAsia" w:ascii="宋体" w:hAnsi="宋体" w:eastAsia="宋体"/>
          <w:b w:val="0"/>
          <w:color w:val="auto"/>
          <w:sz w:val="21"/>
          <w:szCs w:val="21"/>
          <w:highlight w:val="none"/>
        </w:rPr>
        <w:br w:type="page"/>
      </w:r>
      <w:bookmarkStart w:id="1404" w:name="_Toc488650979"/>
      <w:bookmarkStart w:id="1405" w:name="_Toc487653547"/>
      <w:r>
        <w:rPr>
          <w:rFonts w:hint="eastAsia" w:ascii="宋体" w:hAnsi="宋体" w:eastAsia="宋体"/>
          <w:b w:val="0"/>
          <w:color w:val="auto"/>
          <w:sz w:val="21"/>
          <w:szCs w:val="21"/>
          <w:highlight w:val="none"/>
        </w:rPr>
        <w:t>2.3 缺陷责任期阶段监理服务费计算表</w:t>
      </w:r>
      <w:bookmarkEnd w:id="1404"/>
      <w:bookmarkEnd w:id="1405"/>
    </w:p>
    <w:p w14:paraId="56396A1F">
      <w:pPr>
        <w:pStyle w:val="4"/>
        <w:spacing w:before="0" w:after="0"/>
        <w:ind w:firstLine="420"/>
        <w:rPr>
          <w:rFonts w:ascii="宋体" w:hAnsi="宋体" w:eastAsia="宋体"/>
          <w:b w:val="0"/>
          <w:color w:val="auto"/>
          <w:sz w:val="21"/>
          <w:szCs w:val="21"/>
          <w:highlight w:val="none"/>
        </w:rPr>
      </w:pPr>
      <w:bookmarkStart w:id="1406" w:name="_Toc488650980"/>
      <w:bookmarkStart w:id="1407" w:name="_Toc487653548"/>
      <w:r>
        <w:rPr>
          <w:rFonts w:hint="eastAsia" w:ascii="宋体" w:hAnsi="宋体" w:eastAsia="宋体"/>
          <w:b w:val="0"/>
          <w:color w:val="auto"/>
          <w:sz w:val="21"/>
          <w:szCs w:val="21"/>
          <w:highlight w:val="none"/>
        </w:rPr>
        <w:t>监理标段名称：</w:t>
      </w:r>
      <w:bookmarkEnd w:id="1406"/>
      <w:bookmarkEnd w:id="1407"/>
      <w:r>
        <w:rPr>
          <w:rFonts w:hint="eastAsia" w:ascii="宋体" w:hAnsi="宋体" w:eastAsia="宋体"/>
          <w:b w:val="0"/>
          <w:color w:val="auto"/>
          <w:sz w:val="21"/>
          <w:szCs w:val="21"/>
          <w:highlight w:val="none"/>
          <w:u w:val="single"/>
        </w:rPr>
        <w:t xml:space="preserve">                                        </w:t>
      </w:r>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1559"/>
        <w:gridCol w:w="1471"/>
        <w:gridCol w:w="1364"/>
        <w:gridCol w:w="1417"/>
        <w:gridCol w:w="1327"/>
        <w:gridCol w:w="1046"/>
      </w:tblGrid>
      <w:tr w14:paraId="4F0D0D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016" w:type="dxa"/>
            <w:vAlign w:val="center"/>
          </w:tcPr>
          <w:p w14:paraId="2A4D5F28">
            <w:pPr>
              <w:pStyle w:val="4"/>
              <w:spacing w:before="0" w:after="0"/>
              <w:rPr>
                <w:rFonts w:ascii="宋体" w:hAnsi="宋体" w:eastAsia="宋体"/>
                <w:b w:val="0"/>
                <w:color w:val="auto"/>
                <w:sz w:val="21"/>
                <w:szCs w:val="21"/>
                <w:highlight w:val="none"/>
              </w:rPr>
            </w:pPr>
            <w:bookmarkStart w:id="1408" w:name="_Toc488650981"/>
            <w:bookmarkStart w:id="1409" w:name="_Toc487653549"/>
            <w:r>
              <w:rPr>
                <w:rFonts w:ascii="宋体" w:hAnsi="宋体" w:eastAsia="宋体"/>
                <w:b w:val="0"/>
                <w:color w:val="auto"/>
                <w:sz w:val="21"/>
                <w:szCs w:val="21"/>
                <w:highlight w:val="none"/>
              </w:rPr>
              <w:t>序号</w:t>
            </w:r>
            <w:bookmarkEnd w:id="1408"/>
            <w:bookmarkEnd w:id="1409"/>
          </w:p>
        </w:tc>
        <w:tc>
          <w:tcPr>
            <w:tcW w:w="1559" w:type="dxa"/>
            <w:vAlign w:val="center"/>
          </w:tcPr>
          <w:p w14:paraId="7127A1EC">
            <w:pPr>
              <w:pStyle w:val="4"/>
              <w:spacing w:before="0" w:after="0"/>
              <w:rPr>
                <w:rFonts w:ascii="宋体" w:hAnsi="宋体" w:eastAsia="宋体"/>
                <w:b w:val="0"/>
                <w:color w:val="auto"/>
                <w:sz w:val="21"/>
                <w:szCs w:val="21"/>
                <w:highlight w:val="none"/>
              </w:rPr>
            </w:pPr>
            <w:bookmarkStart w:id="1410" w:name="_Toc487653550"/>
            <w:bookmarkStart w:id="1411" w:name="_Toc488650982"/>
            <w:r>
              <w:rPr>
                <w:rFonts w:hint="eastAsia" w:ascii="宋体" w:hAnsi="宋体" w:eastAsia="宋体"/>
                <w:b w:val="0"/>
                <w:color w:val="auto"/>
                <w:sz w:val="21"/>
                <w:szCs w:val="21"/>
                <w:highlight w:val="none"/>
              </w:rPr>
              <w:t>建设工程监理与相关服务人员职级</w:t>
            </w:r>
            <w:bookmarkEnd w:id="1410"/>
            <w:bookmarkEnd w:id="1411"/>
          </w:p>
        </w:tc>
        <w:tc>
          <w:tcPr>
            <w:tcW w:w="1471" w:type="dxa"/>
            <w:vAlign w:val="center"/>
          </w:tcPr>
          <w:p w14:paraId="19C92028">
            <w:pPr>
              <w:pStyle w:val="4"/>
              <w:spacing w:before="0" w:after="0"/>
              <w:rPr>
                <w:rFonts w:ascii="宋体" w:hAnsi="宋体" w:eastAsia="宋体"/>
                <w:b w:val="0"/>
                <w:color w:val="auto"/>
                <w:sz w:val="21"/>
                <w:szCs w:val="21"/>
                <w:highlight w:val="none"/>
              </w:rPr>
            </w:pPr>
            <w:bookmarkStart w:id="1412" w:name="_Toc488650983"/>
            <w:bookmarkStart w:id="1413" w:name="_Toc487653551"/>
            <w:r>
              <w:rPr>
                <w:rFonts w:hint="eastAsia" w:ascii="宋体" w:hAnsi="宋体" w:eastAsia="宋体"/>
                <w:b w:val="0"/>
                <w:color w:val="auto"/>
                <w:sz w:val="21"/>
                <w:szCs w:val="21"/>
                <w:highlight w:val="none"/>
              </w:rPr>
              <w:t>拟投入监理人员数量</w:t>
            </w:r>
            <w:bookmarkEnd w:id="1412"/>
            <w:bookmarkEnd w:id="1413"/>
          </w:p>
        </w:tc>
        <w:tc>
          <w:tcPr>
            <w:tcW w:w="1364" w:type="dxa"/>
            <w:vAlign w:val="center"/>
          </w:tcPr>
          <w:p w14:paraId="265EFEDE">
            <w:pPr>
              <w:pStyle w:val="4"/>
              <w:spacing w:before="0" w:after="0"/>
              <w:rPr>
                <w:rFonts w:ascii="宋体" w:hAnsi="宋体" w:eastAsia="宋体"/>
                <w:b w:val="0"/>
                <w:color w:val="auto"/>
                <w:sz w:val="21"/>
                <w:szCs w:val="21"/>
                <w:highlight w:val="none"/>
              </w:rPr>
            </w:pPr>
            <w:bookmarkStart w:id="1414" w:name="_Toc487653552"/>
            <w:bookmarkStart w:id="1415" w:name="_Toc488650984"/>
            <w:r>
              <w:rPr>
                <w:rFonts w:hint="eastAsia" w:ascii="宋体" w:hAnsi="宋体" w:eastAsia="宋体"/>
                <w:b w:val="0"/>
                <w:color w:val="auto"/>
                <w:sz w:val="21"/>
                <w:szCs w:val="21"/>
                <w:highlight w:val="none"/>
              </w:rPr>
              <w:t>服务时间（日）</w:t>
            </w:r>
            <w:bookmarkEnd w:id="1414"/>
            <w:bookmarkEnd w:id="1415"/>
          </w:p>
        </w:tc>
        <w:tc>
          <w:tcPr>
            <w:tcW w:w="1417" w:type="dxa"/>
            <w:vAlign w:val="center"/>
          </w:tcPr>
          <w:p w14:paraId="3D5FD9C9">
            <w:pPr>
              <w:pStyle w:val="4"/>
              <w:spacing w:before="0" w:after="0"/>
              <w:rPr>
                <w:rFonts w:ascii="宋体" w:hAnsi="宋体" w:eastAsia="宋体"/>
                <w:b w:val="0"/>
                <w:color w:val="auto"/>
                <w:sz w:val="21"/>
                <w:szCs w:val="21"/>
                <w:highlight w:val="none"/>
              </w:rPr>
            </w:pPr>
            <w:bookmarkStart w:id="1416" w:name="_Toc488650985"/>
            <w:bookmarkStart w:id="1417" w:name="_Toc487653553"/>
            <w:r>
              <w:rPr>
                <w:rFonts w:hint="eastAsia" w:ascii="宋体" w:hAnsi="宋体" w:eastAsia="宋体"/>
                <w:b w:val="0"/>
                <w:color w:val="auto"/>
                <w:sz w:val="21"/>
                <w:szCs w:val="21"/>
                <w:highlight w:val="none"/>
              </w:rPr>
              <w:t>工日费用  标准（元）</w:t>
            </w:r>
            <w:bookmarkEnd w:id="1416"/>
            <w:bookmarkEnd w:id="1417"/>
          </w:p>
        </w:tc>
        <w:tc>
          <w:tcPr>
            <w:tcW w:w="1327" w:type="dxa"/>
            <w:vAlign w:val="center"/>
          </w:tcPr>
          <w:p w14:paraId="6D32E168">
            <w:pPr>
              <w:pStyle w:val="4"/>
              <w:spacing w:before="0" w:after="0"/>
              <w:rPr>
                <w:rFonts w:ascii="宋体" w:hAnsi="宋体" w:eastAsia="宋体"/>
                <w:b w:val="0"/>
                <w:color w:val="auto"/>
                <w:sz w:val="21"/>
                <w:szCs w:val="21"/>
                <w:highlight w:val="none"/>
              </w:rPr>
            </w:pPr>
            <w:bookmarkStart w:id="1418" w:name="_Toc488650986"/>
            <w:bookmarkStart w:id="1419" w:name="_Toc487653554"/>
            <w:r>
              <w:rPr>
                <w:rFonts w:hint="eastAsia" w:ascii="宋体" w:hAnsi="宋体" w:eastAsia="宋体"/>
                <w:b w:val="0"/>
                <w:color w:val="auto"/>
                <w:sz w:val="21"/>
                <w:szCs w:val="21"/>
                <w:highlight w:val="none"/>
              </w:rPr>
              <w:t>小计（元）</w:t>
            </w:r>
            <w:bookmarkEnd w:id="1418"/>
            <w:bookmarkEnd w:id="1419"/>
          </w:p>
        </w:tc>
        <w:tc>
          <w:tcPr>
            <w:tcW w:w="1046" w:type="dxa"/>
            <w:vAlign w:val="center"/>
          </w:tcPr>
          <w:p w14:paraId="3E0758C5">
            <w:pPr>
              <w:pStyle w:val="4"/>
              <w:spacing w:before="0" w:after="0"/>
              <w:rPr>
                <w:rFonts w:ascii="宋体" w:hAnsi="宋体" w:eastAsia="宋体"/>
                <w:b w:val="0"/>
                <w:color w:val="auto"/>
                <w:sz w:val="21"/>
                <w:szCs w:val="21"/>
                <w:highlight w:val="none"/>
              </w:rPr>
            </w:pPr>
            <w:bookmarkStart w:id="1420" w:name="_Toc488650987"/>
            <w:bookmarkStart w:id="1421" w:name="_Toc487653555"/>
            <w:r>
              <w:rPr>
                <w:rFonts w:hint="eastAsia" w:ascii="宋体" w:hAnsi="宋体" w:eastAsia="宋体"/>
                <w:b w:val="0"/>
                <w:color w:val="auto"/>
                <w:sz w:val="21"/>
                <w:szCs w:val="21"/>
                <w:highlight w:val="none"/>
              </w:rPr>
              <w:t>备注</w:t>
            </w:r>
            <w:bookmarkEnd w:id="1420"/>
            <w:bookmarkEnd w:id="1421"/>
          </w:p>
        </w:tc>
      </w:tr>
      <w:tr w14:paraId="1E1028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016" w:type="dxa"/>
            <w:vAlign w:val="center"/>
          </w:tcPr>
          <w:p w14:paraId="41CBE388">
            <w:pPr>
              <w:pStyle w:val="4"/>
              <w:spacing w:before="0" w:after="0"/>
              <w:rPr>
                <w:rFonts w:ascii="宋体" w:hAnsi="宋体" w:eastAsia="宋体"/>
                <w:b w:val="0"/>
                <w:color w:val="auto"/>
                <w:sz w:val="21"/>
                <w:szCs w:val="21"/>
                <w:highlight w:val="none"/>
              </w:rPr>
            </w:pPr>
            <w:bookmarkStart w:id="1422" w:name="_Toc488650988"/>
            <w:bookmarkStart w:id="1423" w:name="_Toc487653556"/>
            <w:r>
              <w:rPr>
                <w:rFonts w:hint="eastAsia" w:ascii="宋体" w:hAnsi="宋体" w:eastAsia="宋体"/>
                <w:b w:val="0"/>
                <w:color w:val="auto"/>
                <w:sz w:val="21"/>
                <w:szCs w:val="21"/>
                <w:highlight w:val="none"/>
              </w:rPr>
              <w:t>1</w:t>
            </w:r>
            <w:bookmarkEnd w:id="1422"/>
            <w:bookmarkEnd w:id="1423"/>
          </w:p>
        </w:tc>
        <w:tc>
          <w:tcPr>
            <w:tcW w:w="1559" w:type="dxa"/>
            <w:vAlign w:val="center"/>
          </w:tcPr>
          <w:p w14:paraId="1BDC20FF">
            <w:pPr>
              <w:pStyle w:val="4"/>
              <w:spacing w:before="0" w:after="0"/>
              <w:rPr>
                <w:rFonts w:ascii="宋体" w:hAnsi="宋体" w:eastAsia="宋体"/>
                <w:b w:val="0"/>
                <w:color w:val="auto"/>
                <w:sz w:val="21"/>
                <w:szCs w:val="21"/>
                <w:highlight w:val="none"/>
              </w:rPr>
            </w:pPr>
            <w:bookmarkStart w:id="1424" w:name="_Toc487653557"/>
            <w:bookmarkStart w:id="1425" w:name="_Toc488650989"/>
            <w:r>
              <w:rPr>
                <w:rFonts w:hint="eastAsia" w:ascii="宋体" w:hAnsi="宋体" w:eastAsia="宋体"/>
                <w:b w:val="0"/>
                <w:color w:val="auto"/>
                <w:sz w:val="21"/>
                <w:szCs w:val="21"/>
                <w:highlight w:val="none"/>
              </w:rPr>
              <w:t>高级专家</w:t>
            </w:r>
            <w:bookmarkEnd w:id="1424"/>
            <w:bookmarkEnd w:id="1425"/>
          </w:p>
        </w:tc>
        <w:tc>
          <w:tcPr>
            <w:tcW w:w="1471" w:type="dxa"/>
            <w:vAlign w:val="center"/>
          </w:tcPr>
          <w:p w14:paraId="7FB2E50E">
            <w:pPr>
              <w:pStyle w:val="4"/>
              <w:spacing w:before="0" w:after="0"/>
              <w:rPr>
                <w:rFonts w:ascii="宋体" w:hAnsi="宋体" w:eastAsia="宋体"/>
                <w:b w:val="0"/>
                <w:color w:val="auto"/>
                <w:sz w:val="21"/>
                <w:szCs w:val="21"/>
                <w:highlight w:val="none"/>
              </w:rPr>
            </w:pPr>
          </w:p>
        </w:tc>
        <w:tc>
          <w:tcPr>
            <w:tcW w:w="1364" w:type="dxa"/>
            <w:vAlign w:val="center"/>
          </w:tcPr>
          <w:p w14:paraId="2D0C78C5">
            <w:pPr>
              <w:pStyle w:val="4"/>
              <w:spacing w:before="0" w:after="0"/>
              <w:rPr>
                <w:rFonts w:ascii="宋体" w:hAnsi="宋体" w:eastAsia="宋体"/>
                <w:b w:val="0"/>
                <w:color w:val="auto"/>
                <w:sz w:val="21"/>
                <w:szCs w:val="21"/>
                <w:highlight w:val="none"/>
              </w:rPr>
            </w:pPr>
          </w:p>
        </w:tc>
        <w:tc>
          <w:tcPr>
            <w:tcW w:w="1417" w:type="dxa"/>
            <w:vAlign w:val="center"/>
          </w:tcPr>
          <w:p w14:paraId="699B9A89">
            <w:pPr>
              <w:pStyle w:val="4"/>
              <w:spacing w:before="0" w:after="0"/>
              <w:rPr>
                <w:rFonts w:ascii="宋体" w:hAnsi="宋体" w:eastAsia="宋体"/>
                <w:b w:val="0"/>
                <w:color w:val="auto"/>
                <w:sz w:val="21"/>
                <w:szCs w:val="21"/>
                <w:highlight w:val="none"/>
              </w:rPr>
            </w:pPr>
          </w:p>
        </w:tc>
        <w:tc>
          <w:tcPr>
            <w:tcW w:w="1327" w:type="dxa"/>
            <w:vAlign w:val="center"/>
          </w:tcPr>
          <w:p w14:paraId="3BAAE9CD">
            <w:pPr>
              <w:pStyle w:val="4"/>
              <w:spacing w:before="0" w:after="0"/>
              <w:rPr>
                <w:rFonts w:ascii="宋体" w:hAnsi="宋体" w:eastAsia="宋体"/>
                <w:b w:val="0"/>
                <w:color w:val="auto"/>
                <w:sz w:val="21"/>
                <w:szCs w:val="21"/>
                <w:highlight w:val="none"/>
              </w:rPr>
            </w:pPr>
          </w:p>
        </w:tc>
        <w:tc>
          <w:tcPr>
            <w:tcW w:w="1046" w:type="dxa"/>
            <w:vAlign w:val="center"/>
          </w:tcPr>
          <w:p w14:paraId="45864191">
            <w:pPr>
              <w:pStyle w:val="4"/>
              <w:spacing w:before="0" w:after="0"/>
              <w:rPr>
                <w:rFonts w:ascii="宋体" w:hAnsi="宋体" w:eastAsia="宋体"/>
                <w:b w:val="0"/>
                <w:color w:val="auto"/>
                <w:sz w:val="21"/>
                <w:szCs w:val="21"/>
                <w:highlight w:val="none"/>
              </w:rPr>
            </w:pPr>
          </w:p>
        </w:tc>
      </w:tr>
      <w:tr w14:paraId="6657E2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016" w:type="dxa"/>
            <w:vAlign w:val="center"/>
          </w:tcPr>
          <w:p w14:paraId="261535FF">
            <w:pPr>
              <w:pStyle w:val="4"/>
              <w:spacing w:before="0" w:after="0"/>
              <w:rPr>
                <w:rFonts w:ascii="宋体" w:hAnsi="宋体" w:eastAsia="宋体"/>
                <w:b w:val="0"/>
                <w:color w:val="auto"/>
                <w:sz w:val="21"/>
                <w:szCs w:val="21"/>
                <w:highlight w:val="none"/>
              </w:rPr>
            </w:pPr>
            <w:bookmarkStart w:id="1426" w:name="_Toc487653558"/>
            <w:bookmarkStart w:id="1427" w:name="_Toc488650990"/>
            <w:r>
              <w:rPr>
                <w:rFonts w:hint="eastAsia" w:ascii="宋体" w:hAnsi="宋体" w:eastAsia="宋体"/>
                <w:b w:val="0"/>
                <w:color w:val="auto"/>
                <w:sz w:val="21"/>
                <w:szCs w:val="21"/>
                <w:highlight w:val="none"/>
              </w:rPr>
              <w:t>2</w:t>
            </w:r>
            <w:bookmarkEnd w:id="1426"/>
            <w:bookmarkEnd w:id="1427"/>
          </w:p>
        </w:tc>
        <w:tc>
          <w:tcPr>
            <w:tcW w:w="1559" w:type="dxa"/>
            <w:vAlign w:val="center"/>
          </w:tcPr>
          <w:p w14:paraId="5CDB9DE5">
            <w:pPr>
              <w:pStyle w:val="4"/>
              <w:spacing w:before="0" w:after="0"/>
              <w:rPr>
                <w:rFonts w:ascii="宋体" w:hAnsi="宋体" w:eastAsia="宋体"/>
                <w:b w:val="0"/>
                <w:color w:val="auto"/>
                <w:sz w:val="21"/>
                <w:szCs w:val="21"/>
                <w:highlight w:val="none"/>
              </w:rPr>
            </w:pPr>
            <w:bookmarkStart w:id="1428" w:name="_Toc488650991"/>
            <w:bookmarkStart w:id="1429" w:name="_Toc487653559"/>
            <w:r>
              <w:rPr>
                <w:rFonts w:hint="eastAsia" w:ascii="宋体" w:hAnsi="宋体" w:eastAsia="宋体"/>
                <w:b w:val="0"/>
                <w:color w:val="auto"/>
                <w:sz w:val="21"/>
                <w:szCs w:val="21"/>
                <w:highlight w:val="none"/>
              </w:rPr>
              <w:t>具有高级专业技术职称</w:t>
            </w:r>
            <w:bookmarkEnd w:id="1428"/>
            <w:bookmarkEnd w:id="1429"/>
          </w:p>
        </w:tc>
        <w:tc>
          <w:tcPr>
            <w:tcW w:w="1471" w:type="dxa"/>
            <w:vAlign w:val="center"/>
          </w:tcPr>
          <w:p w14:paraId="33C9C180">
            <w:pPr>
              <w:pStyle w:val="4"/>
              <w:spacing w:before="0" w:after="0"/>
              <w:rPr>
                <w:rFonts w:ascii="宋体" w:hAnsi="宋体" w:eastAsia="宋体"/>
                <w:b w:val="0"/>
                <w:color w:val="auto"/>
                <w:sz w:val="21"/>
                <w:szCs w:val="21"/>
                <w:highlight w:val="none"/>
              </w:rPr>
            </w:pPr>
          </w:p>
        </w:tc>
        <w:tc>
          <w:tcPr>
            <w:tcW w:w="1364" w:type="dxa"/>
            <w:vAlign w:val="center"/>
          </w:tcPr>
          <w:p w14:paraId="0BC96DC2">
            <w:pPr>
              <w:pStyle w:val="4"/>
              <w:spacing w:before="0" w:after="0"/>
              <w:rPr>
                <w:rFonts w:ascii="宋体" w:hAnsi="宋体" w:eastAsia="宋体"/>
                <w:b w:val="0"/>
                <w:color w:val="auto"/>
                <w:sz w:val="21"/>
                <w:szCs w:val="21"/>
                <w:highlight w:val="none"/>
              </w:rPr>
            </w:pPr>
          </w:p>
        </w:tc>
        <w:tc>
          <w:tcPr>
            <w:tcW w:w="1417" w:type="dxa"/>
            <w:vAlign w:val="center"/>
          </w:tcPr>
          <w:p w14:paraId="2F010773">
            <w:pPr>
              <w:pStyle w:val="4"/>
              <w:spacing w:before="0" w:after="0"/>
              <w:rPr>
                <w:rFonts w:ascii="宋体" w:hAnsi="宋体" w:eastAsia="宋体"/>
                <w:b w:val="0"/>
                <w:color w:val="auto"/>
                <w:sz w:val="21"/>
                <w:szCs w:val="21"/>
                <w:highlight w:val="none"/>
              </w:rPr>
            </w:pPr>
          </w:p>
        </w:tc>
        <w:tc>
          <w:tcPr>
            <w:tcW w:w="1327" w:type="dxa"/>
            <w:vAlign w:val="center"/>
          </w:tcPr>
          <w:p w14:paraId="390FA178">
            <w:pPr>
              <w:pStyle w:val="4"/>
              <w:spacing w:before="0" w:after="0"/>
              <w:rPr>
                <w:rFonts w:ascii="宋体" w:hAnsi="宋体" w:eastAsia="宋体"/>
                <w:b w:val="0"/>
                <w:color w:val="auto"/>
                <w:sz w:val="21"/>
                <w:szCs w:val="21"/>
                <w:highlight w:val="none"/>
              </w:rPr>
            </w:pPr>
          </w:p>
        </w:tc>
        <w:tc>
          <w:tcPr>
            <w:tcW w:w="1046" w:type="dxa"/>
            <w:vAlign w:val="center"/>
          </w:tcPr>
          <w:p w14:paraId="1655DA9A">
            <w:pPr>
              <w:pStyle w:val="4"/>
              <w:spacing w:before="0" w:after="0"/>
              <w:rPr>
                <w:rFonts w:ascii="宋体" w:hAnsi="宋体" w:eastAsia="宋体"/>
                <w:b w:val="0"/>
                <w:color w:val="auto"/>
                <w:sz w:val="21"/>
                <w:szCs w:val="21"/>
                <w:highlight w:val="none"/>
              </w:rPr>
            </w:pPr>
          </w:p>
        </w:tc>
      </w:tr>
      <w:tr w14:paraId="276AC1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016" w:type="dxa"/>
            <w:vAlign w:val="center"/>
          </w:tcPr>
          <w:p w14:paraId="530F34E3">
            <w:pPr>
              <w:pStyle w:val="4"/>
              <w:spacing w:before="0" w:after="0"/>
              <w:rPr>
                <w:rFonts w:ascii="宋体" w:hAnsi="宋体" w:eastAsia="宋体"/>
                <w:b w:val="0"/>
                <w:color w:val="auto"/>
                <w:sz w:val="21"/>
                <w:szCs w:val="21"/>
                <w:highlight w:val="none"/>
              </w:rPr>
            </w:pPr>
            <w:bookmarkStart w:id="1430" w:name="_Toc487653560"/>
            <w:bookmarkStart w:id="1431" w:name="_Toc488650992"/>
            <w:r>
              <w:rPr>
                <w:rFonts w:hint="eastAsia" w:ascii="宋体" w:hAnsi="宋体" w:eastAsia="宋体"/>
                <w:b w:val="0"/>
                <w:color w:val="auto"/>
                <w:sz w:val="21"/>
                <w:szCs w:val="21"/>
                <w:highlight w:val="none"/>
              </w:rPr>
              <w:t>3</w:t>
            </w:r>
            <w:bookmarkEnd w:id="1430"/>
            <w:bookmarkEnd w:id="1431"/>
          </w:p>
        </w:tc>
        <w:tc>
          <w:tcPr>
            <w:tcW w:w="1559" w:type="dxa"/>
            <w:vAlign w:val="center"/>
          </w:tcPr>
          <w:p w14:paraId="3E10DE29">
            <w:pPr>
              <w:pStyle w:val="4"/>
              <w:spacing w:before="0" w:after="0"/>
              <w:rPr>
                <w:rFonts w:ascii="宋体" w:hAnsi="宋体" w:eastAsia="宋体"/>
                <w:b w:val="0"/>
                <w:color w:val="auto"/>
                <w:sz w:val="21"/>
                <w:szCs w:val="21"/>
                <w:highlight w:val="none"/>
              </w:rPr>
            </w:pPr>
            <w:bookmarkStart w:id="1432" w:name="_Toc488650993"/>
            <w:bookmarkStart w:id="1433" w:name="_Toc487653561"/>
            <w:r>
              <w:rPr>
                <w:rFonts w:hint="eastAsia" w:ascii="宋体" w:hAnsi="宋体" w:eastAsia="宋体"/>
                <w:b w:val="0"/>
                <w:color w:val="auto"/>
                <w:sz w:val="21"/>
                <w:szCs w:val="21"/>
                <w:highlight w:val="none"/>
              </w:rPr>
              <w:t>具有中级专业技术职称</w:t>
            </w:r>
            <w:bookmarkEnd w:id="1432"/>
            <w:bookmarkEnd w:id="1433"/>
          </w:p>
        </w:tc>
        <w:tc>
          <w:tcPr>
            <w:tcW w:w="1471" w:type="dxa"/>
            <w:vAlign w:val="center"/>
          </w:tcPr>
          <w:p w14:paraId="7E9584A6">
            <w:pPr>
              <w:pStyle w:val="4"/>
              <w:spacing w:before="0" w:after="0"/>
              <w:rPr>
                <w:rFonts w:ascii="宋体" w:hAnsi="宋体" w:eastAsia="宋体"/>
                <w:b w:val="0"/>
                <w:color w:val="auto"/>
                <w:sz w:val="21"/>
                <w:szCs w:val="21"/>
                <w:highlight w:val="none"/>
              </w:rPr>
            </w:pPr>
          </w:p>
        </w:tc>
        <w:tc>
          <w:tcPr>
            <w:tcW w:w="1364" w:type="dxa"/>
            <w:vAlign w:val="center"/>
          </w:tcPr>
          <w:p w14:paraId="2D5B66F0">
            <w:pPr>
              <w:pStyle w:val="4"/>
              <w:spacing w:before="0" w:after="0"/>
              <w:rPr>
                <w:rFonts w:ascii="宋体" w:hAnsi="宋体" w:eastAsia="宋体"/>
                <w:b w:val="0"/>
                <w:color w:val="auto"/>
                <w:sz w:val="21"/>
                <w:szCs w:val="21"/>
                <w:highlight w:val="none"/>
              </w:rPr>
            </w:pPr>
          </w:p>
        </w:tc>
        <w:tc>
          <w:tcPr>
            <w:tcW w:w="1417" w:type="dxa"/>
            <w:vAlign w:val="center"/>
          </w:tcPr>
          <w:p w14:paraId="1F86CF02">
            <w:pPr>
              <w:pStyle w:val="4"/>
              <w:spacing w:before="0" w:after="0"/>
              <w:rPr>
                <w:rFonts w:ascii="宋体" w:hAnsi="宋体" w:eastAsia="宋体"/>
                <w:b w:val="0"/>
                <w:color w:val="auto"/>
                <w:sz w:val="21"/>
                <w:szCs w:val="21"/>
                <w:highlight w:val="none"/>
              </w:rPr>
            </w:pPr>
          </w:p>
        </w:tc>
        <w:tc>
          <w:tcPr>
            <w:tcW w:w="1327" w:type="dxa"/>
            <w:vAlign w:val="center"/>
          </w:tcPr>
          <w:p w14:paraId="361F3918">
            <w:pPr>
              <w:pStyle w:val="4"/>
              <w:spacing w:before="0" w:after="0"/>
              <w:rPr>
                <w:rFonts w:ascii="宋体" w:hAnsi="宋体" w:eastAsia="宋体"/>
                <w:b w:val="0"/>
                <w:color w:val="auto"/>
                <w:sz w:val="21"/>
                <w:szCs w:val="21"/>
                <w:highlight w:val="none"/>
              </w:rPr>
            </w:pPr>
          </w:p>
        </w:tc>
        <w:tc>
          <w:tcPr>
            <w:tcW w:w="1046" w:type="dxa"/>
            <w:vAlign w:val="center"/>
          </w:tcPr>
          <w:p w14:paraId="45A944A2">
            <w:pPr>
              <w:pStyle w:val="4"/>
              <w:spacing w:before="0" w:after="0"/>
              <w:rPr>
                <w:rFonts w:ascii="宋体" w:hAnsi="宋体" w:eastAsia="宋体"/>
                <w:b w:val="0"/>
                <w:color w:val="auto"/>
                <w:sz w:val="21"/>
                <w:szCs w:val="21"/>
                <w:highlight w:val="none"/>
              </w:rPr>
            </w:pPr>
          </w:p>
        </w:tc>
      </w:tr>
      <w:tr w14:paraId="24F5F4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016" w:type="dxa"/>
            <w:vAlign w:val="center"/>
          </w:tcPr>
          <w:p w14:paraId="6E79A6C9">
            <w:pPr>
              <w:pStyle w:val="4"/>
              <w:spacing w:before="0" w:after="0"/>
              <w:rPr>
                <w:rFonts w:ascii="宋体" w:hAnsi="宋体" w:eastAsia="宋体"/>
                <w:b w:val="0"/>
                <w:color w:val="auto"/>
                <w:sz w:val="21"/>
                <w:szCs w:val="21"/>
                <w:highlight w:val="none"/>
              </w:rPr>
            </w:pPr>
            <w:bookmarkStart w:id="1434" w:name="_Toc488650994"/>
            <w:bookmarkStart w:id="1435" w:name="_Toc487653562"/>
            <w:r>
              <w:rPr>
                <w:rFonts w:hint="eastAsia" w:ascii="宋体" w:hAnsi="宋体" w:eastAsia="宋体"/>
                <w:b w:val="0"/>
                <w:color w:val="auto"/>
                <w:sz w:val="21"/>
                <w:szCs w:val="21"/>
                <w:highlight w:val="none"/>
              </w:rPr>
              <w:t>4</w:t>
            </w:r>
            <w:bookmarkEnd w:id="1434"/>
            <w:bookmarkEnd w:id="1435"/>
          </w:p>
        </w:tc>
        <w:tc>
          <w:tcPr>
            <w:tcW w:w="1559" w:type="dxa"/>
            <w:vAlign w:val="center"/>
          </w:tcPr>
          <w:p w14:paraId="5FB741A0">
            <w:pPr>
              <w:pStyle w:val="4"/>
              <w:spacing w:before="0" w:after="0"/>
              <w:rPr>
                <w:rFonts w:ascii="宋体" w:hAnsi="宋体" w:eastAsia="宋体"/>
                <w:b w:val="0"/>
                <w:color w:val="auto"/>
                <w:sz w:val="21"/>
                <w:szCs w:val="21"/>
                <w:highlight w:val="none"/>
              </w:rPr>
            </w:pPr>
            <w:bookmarkStart w:id="1436" w:name="_Toc488650995"/>
            <w:bookmarkStart w:id="1437" w:name="_Toc487653563"/>
            <w:r>
              <w:rPr>
                <w:rFonts w:hint="eastAsia" w:ascii="宋体" w:hAnsi="宋体" w:eastAsia="宋体"/>
                <w:b w:val="0"/>
                <w:color w:val="auto"/>
                <w:sz w:val="21"/>
                <w:szCs w:val="21"/>
                <w:highlight w:val="none"/>
              </w:rPr>
              <w:t>具有初级专业技术职称</w:t>
            </w:r>
            <w:bookmarkEnd w:id="1436"/>
            <w:bookmarkEnd w:id="1437"/>
          </w:p>
        </w:tc>
        <w:tc>
          <w:tcPr>
            <w:tcW w:w="1471" w:type="dxa"/>
            <w:vAlign w:val="center"/>
          </w:tcPr>
          <w:p w14:paraId="595481D1">
            <w:pPr>
              <w:pStyle w:val="4"/>
              <w:spacing w:before="0" w:after="0"/>
              <w:rPr>
                <w:rFonts w:ascii="宋体" w:hAnsi="宋体" w:eastAsia="宋体"/>
                <w:b w:val="0"/>
                <w:color w:val="auto"/>
                <w:sz w:val="21"/>
                <w:szCs w:val="21"/>
                <w:highlight w:val="none"/>
              </w:rPr>
            </w:pPr>
          </w:p>
        </w:tc>
        <w:tc>
          <w:tcPr>
            <w:tcW w:w="1364" w:type="dxa"/>
            <w:vAlign w:val="center"/>
          </w:tcPr>
          <w:p w14:paraId="71E99ADF">
            <w:pPr>
              <w:pStyle w:val="4"/>
              <w:spacing w:before="0" w:after="0"/>
              <w:rPr>
                <w:rFonts w:ascii="宋体" w:hAnsi="宋体" w:eastAsia="宋体"/>
                <w:b w:val="0"/>
                <w:color w:val="auto"/>
                <w:sz w:val="21"/>
                <w:szCs w:val="21"/>
                <w:highlight w:val="none"/>
              </w:rPr>
            </w:pPr>
          </w:p>
        </w:tc>
        <w:tc>
          <w:tcPr>
            <w:tcW w:w="1417" w:type="dxa"/>
            <w:vAlign w:val="center"/>
          </w:tcPr>
          <w:p w14:paraId="2548CD26">
            <w:pPr>
              <w:pStyle w:val="4"/>
              <w:spacing w:before="0" w:after="0"/>
              <w:rPr>
                <w:rFonts w:ascii="宋体" w:hAnsi="宋体" w:eastAsia="宋体"/>
                <w:b w:val="0"/>
                <w:color w:val="auto"/>
                <w:sz w:val="21"/>
                <w:szCs w:val="21"/>
                <w:highlight w:val="none"/>
              </w:rPr>
            </w:pPr>
          </w:p>
        </w:tc>
        <w:tc>
          <w:tcPr>
            <w:tcW w:w="1327" w:type="dxa"/>
            <w:vAlign w:val="center"/>
          </w:tcPr>
          <w:p w14:paraId="2D1B223E">
            <w:pPr>
              <w:pStyle w:val="4"/>
              <w:spacing w:before="0" w:after="0"/>
              <w:rPr>
                <w:rFonts w:ascii="宋体" w:hAnsi="宋体" w:eastAsia="宋体"/>
                <w:b w:val="0"/>
                <w:color w:val="auto"/>
                <w:sz w:val="21"/>
                <w:szCs w:val="21"/>
                <w:highlight w:val="none"/>
              </w:rPr>
            </w:pPr>
          </w:p>
        </w:tc>
        <w:tc>
          <w:tcPr>
            <w:tcW w:w="1046" w:type="dxa"/>
            <w:vAlign w:val="center"/>
          </w:tcPr>
          <w:p w14:paraId="1E5D6044">
            <w:pPr>
              <w:pStyle w:val="4"/>
              <w:spacing w:before="0" w:after="0"/>
              <w:rPr>
                <w:rFonts w:ascii="宋体" w:hAnsi="宋体" w:eastAsia="宋体"/>
                <w:b w:val="0"/>
                <w:color w:val="auto"/>
                <w:sz w:val="21"/>
                <w:szCs w:val="21"/>
                <w:highlight w:val="none"/>
              </w:rPr>
            </w:pPr>
          </w:p>
        </w:tc>
      </w:tr>
      <w:tr w14:paraId="699C36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016" w:type="dxa"/>
            <w:vAlign w:val="center"/>
          </w:tcPr>
          <w:p w14:paraId="15C7315B">
            <w:pPr>
              <w:pStyle w:val="4"/>
              <w:spacing w:before="0" w:after="0"/>
              <w:rPr>
                <w:rFonts w:ascii="宋体" w:hAnsi="宋体" w:eastAsia="宋体"/>
                <w:b w:val="0"/>
                <w:color w:val="auto"/>
                <w:sz w:val="21"/>
                <w:szCs w:val="21"/>
                <w:highlight w:val="none"/>
              </w:rPr>
            </w:pPr>
            <w:bookmarkStart w:id="1438" w:name="_Toc488650996"/>
            <w:bookmarkStart w:id="1439" w:name="_Toc487653564"/>
            <w:r>
              <w:rPr>
                <w:rFonts w:hint="eastAsia" w:ascii="宋体" w:hAnsi="宋体" w:eastAsia="宋体"/>
                <w:b w:val="0"/>
                <w:color w:val="auto"/>
                <w:sz w:val="21"/>
                <w:szCs w:val="21"/>
                <w:highlight w:val="none"/>
              </w:rPr>
              <w:t>5</w:t>
            </w:r>
            <w:bookmarkEnd w:id="1438"/>
            <w:bookmarkEnd w:id="1439"/>
          </w:p>
        </w:tc>
        <w:tc>
          <w:tcPr>
            <w:tcW w:w="1559" w:type="dxa"/>
            <w:vAlign w:val="center"/>
          </w:tcPr>
          <w:p w14:paraId="088FF950">
            <w:pPr>
              <w:pStyle w:val="4"/>
              <w:spacing w:before="0" w:after="0"/>
              <w:rPr>
                <w:rFonts w:ascii="宋体" w:hAnsi="宋体" w:eastAsia="宋体"/>
                <w:b w:val="0"/>
                <w:color w:val="auto"/>
                <w:sz w:val="21"/>
                <w:szCs w:val="21"/>
                <w:highlight w:val="none"/>
              </w:rPr>
            </w:pPr>
          </w:p>
        </w:tc>
        <w:tc>
          <w:tcPr>
            <w:tcW w:w="1471" w:type="dxa"/>
            <w:vAlign w:val="center"/>
          </w:tcPr>
          <w:p w14:paraId="4DD16F8D">
            <w:pPr>
              <w:pStyle w:val="4"/>
              <w:spacing w:before="0" w:after="0"/>
              <w:rPr>
                <w:rFonts w:ascii="宋体" w:hAnsi="宋体" w:eastAsia="宋体"/>
                <w:b w:val="0"/>
                <w:color w:val="auto"/>
                <w:sz w:val="21"/>
                <w:szCs w:val="21"/>
                <w:highlight w:val="none"/>
              </w:rPr>
            </w:pPr>
          </w:p>
        </w:tc>
        <w:tc>
          <w:tcPr>
            <w:tcW w:w="1364" w:type="dxa"/>
            <w:vAlign w:val="center"/>
          </w:tcPr>
          <w:p w14:paraId="6D0BD998">
            <w:pPr>
              <w:pStyle w:val="4"/>
              <w:spacing w:before="0" w:after="0"/>
              <w:rPr>
                <w:rFonts w:ascii="宋体" w:hAnsi="宋体" w:eastAsia="宋体"/>
                <w:b w:val="0"/>
                <w:color w:val="auto"/>
                <w:sz w:val="21"/>
                <w:szCs w:val="21"/>
                <w:highlight w:val="none"/>
              </w:rPr>
            </w:pPr>
          </w:p>
        </w:tc>
        <w:tc>
          <w:tcPr>
            <w:tcW w:w="1417" w:type="dxa"/>
            <w:vAlign w:val="center"/>
          </w:tcPr>
          <w:p w14:paraId="112A1E8E">
            <w:pPr>
              <w:pStyle w:val="4"/>
              <w:spacing w:before="0" w:after="0"/>
              <w:rPr>
                <w:rFonts w:ascii="宋体" w:hAnsi="宋体" w:eastAsia="宋体"/>
                <w:b w:val="0"/>
                <w:color w:val="auto"/>
                <w:sz w:val="21"/>
                <w:szCs w:val="21"/>
                <w:highlight w:val="none"/>
              </w:rPr>
            </w:pPr>
          </w:p>
        </w:tc>
        <w:tc>
          <w:tcPr>
            <w:tcW w:w="1327" w:type="dxa"/>
            <w:vAlign w:val="center"/>
          </w:tcPr>
          <w:p w14:paraId="297A1213">
            <w:pPr>
              <w:pStyle w:val="4"/>
              <w:spacing w:before="0" w:after="0"/>
              <w:rPr>
                <w:rFonts w:ascii="宋体" w:hAnsi="宋体" w:eastAsia="宋体"/>
                <w:b w:val="0"/>
                <w:color w:val="auto"/>
                <w:sz w:val="21"/>
                <w:szCs w:val="21"/>
                <w:highlight w:val="none"/>
              </w:rPr>
            </w:pPr>
          </w:p>
        </w:tc>
        <w:tc>
          <w:tcPr>
            <w:tcW w:w="1046" w:type="dxa"/>
            <w:vAlign w:val="center"/>
          </w:tcPr>
          <w:p w14:paraId="26C72D62">
            <w:pPr>
              <w:pStyle w:val="4"/>
              <w:spacing w:before="0" w:after="0"/>
              <w:rPr>
                <w:rFonts w:ascii="宋体" w:hAnsi="宋体" w:eastAsia="宋体"/>
                <w:b w:val="0"/>
                <w:color w:val="auto"/>
                <w:sz w:val="21"/>
                <w:szCs w:val="21"/>
                <w:highlight w:val="none"/>
              </w:rPr>
            </w:pPr>
          </w:p>
        </w:tc>
      </w:tr>
      <w:tr w14:paraId="2763FE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016" w:type="dxa"/>
            <w:vAlign w:val="center"/>
          </w:tcPr>
          <w:p w14:paraId="5CB1F74B">
            <w:pPr>
              <w:pStyle w:val="4"/>
              <w:spacing w:before="0" w:after="0"/>
              <w:rPr>
                <w:rFonts w:ascii="宋体" w:hAnsi="宋体" w:eastAsia="宋体"/>
                <w:b w:val="0"/>
                <w:color w:val="auto"/>
                <w:sz w:val="21"/>
                <w:szCs w:val="21"/>
                <w:highlight w:val="none"/>
              </w:rPr>
            </w:pPr>
            <w:bookmarkStart w:id="1440" w:name="_Toc488650997"/>
            <w:bookmarkStart w:id="1441" w:name="_Toc487653565"/>
            <w:r>
              <w:rPr>
                <w:rFonts w:hint="eastAsia" w:ascii="宋体" w:hAnsi="宋体" w:eastAsia="宋体"/>
                <w:b w:val="0"/>
                <w:color w:val="auto"/>
                <w:sz w:val="21"/>
                <w:szCs w:val="21"/>
                <w:highlight w:val="none"/>
              </w:rPr>
              <w:t>…</w:t>
            </w:r>
            <w:bookmarkEnd w:id="1440"/>
            <w:bookmarkEnd w:id="1441"/>
          </w:p>
        </w:tc>
        <w:tc>
          <w:tcPr>
            <w:tcW w:w="1559" w:type="dxa"/>
            <w:vAlign w:val="center"/>
          </w:tcPr>
          <w:p w14:paraId="7B02CEA3">
            <w:pPr>
              <w:pStyle w:val="4"/>
              <w:spacing w:before="0" w:after="0"/>
              <w:rPr>
                <w:rFonts w:ascii="宋体" w:hAnsi="宋体" w:eastAsia="宋体"/>
                <w:b w:val="0"/>
                <w:color w:val="auto"/>
                <w:sz w:val="21"/>
                <w:szCs w:val="21"/>
                <w:highlight w:val="none"/>
              </w:rPr>
            </w:pPr>
          </w:p>
        </w:tc>
        <w:tc>
          <w:tcPr>
            <w:tcW w:w="1471" w:type="dxa"/>
            <w:vAlign w:val="center"/>
          </w:tcPr>
          <w:p w14:paraId="7949FD7E">
            <w:pPr>
              <w:pStyle w:val="4"/>
              <w:spacing w:before="0" w:after="0"/>
              <w:rPr>
                <w:rFonts w:ascii="宋体" w:hAnsi="宋体" w:eastAsia="宋体"/>
                <w:b w:val="0"/>
                <w:color w:val="auto"/>
                <w:sz w:val="21"/>
                <w:szCs w:val="21"/>
                <w:highlight w:val="none"/>
              </w:rPr>
            </w:pPr>
          </w:p>
        </w:tc>
        <w:tc>
          <w:tcPr>
            <w:tcW w:w="1364" w:type="dxa"/>
            <w:vAlign w:val="center"/>
          </w:tcPr>
          <w:p w14:paraId="3041DBAC">
            <w:pPr>
              <w:pStyle w:val="4"/>
              <w:spacing w:before="0" w:after="0"/>
              <w:rPr>
                <w:rFonts w:ascii="宋体" w:hAnsi="宋体" w:eastAsia="宋体"/>
                <w:b w:val="0"/>
                <w:color w:val="auto"/>
                <w:sz w:val="21"/>
                <w:szCs w:val="21"/>
                <w:highlight w:val="none"/>
              </w:rPr>
            </w:pPr>
          </w:p>
        </w:tc>
        <w:tc>
          <w:tcPr>
            <w:tcW w:w="1417" w:type="dxa"/>
            <w:vAlign w:val="center"/>
          </w:tcPr>
          <w:p w14:paraId="127A70C0">
            <w:pPr>
              <w:pStyle w:val="4"/>
              <w:spacing w:before="0" w:after="0"/>
              <w:rPr>
                <w:rFonts w:ascii="宋体" w:hAnsi="宋体" w:eastAsia="宋体"/>
                <w:b w:val="0"/>
                <w:color w:val="auto"/>
                <w:sz w:val="21"/>
                <w:szCs w:val="21"/>
                <w:highlight w:val="none"/>
              </w:rPr>
            </w:pPr>
          </w:p>
        </w:tc>
        <w:tc>
          <w:tcPr>
            <w:tcW w:w="1327" w:type="dxa"/>
            <w:vAlign w:val="center"/>
          </w:tcPr>
          <w:p w14:paraId="2F6E03AC">
            <w:pPr>
              <w:pStyle w:val="4"/>
              <w:spacing w:before="0" w:after="0"/>
              <w:rPr>
                <w:rFonts w:ascii="宋体" w:hAnsi="宋体" w:eastAsia="宋体"/>
                <w:b w:val="0"/>
                <w:color w:val="auto"/>
                <w:sz w:val="21"/>
                <w:szCs w:val="21"/>
                <w:highlight w:val="none"/>
              </w:rPr>
            </w:pPr>
          </w:p>
        </w:tc>
        <w:tc>
          <w:tcPr>
            <w:tcW w:w="1046" w:type="dxa"/>
            <w:vAlign w:val="center"/>
          </w:tcPr>
          <w:p w14:paraId="5A8263CC">
            <w:pPr>
              <w:pStyle w:val="4"/>
              <w:spacing w:before="0" w:after="0"/>
              <w:rPr>
                <w:rFonts w:ascii="宋体" w:hAnsi="宋体" w:eastAsia="宋体"/>
                <w:b w:val="0"/>
                <w:color w:val="auto"/>
                <w:sz w:val="21"/>
                <w:szCs w:val="21"/>
                <w:highlight w:val="none"/>
              </w:rPr>
            </w:pPr>
          </w:p>
        </w:tc>
      </w:tr>
      <w:tr w14:paraId="065806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6827" w:type="dxa"/>
            <w:gridSpan w:val="5"/>
            <w:vAlign w:val="center"/>
          </w:tcPr>
          <w:p w14:paraId="27DB6483">
            <w:pPr>
              <w:pStyle w:val="4"/>
              <w:spacing w:before="0" w:after="0"/>
              <w:rPr>
                <w:rFonts w:ascii="宋体" w:hAnsi="宋体" w:eastAsia="宋体"/>
                <w:b w:val="0"/>
                <w:color w:val="auto"/>
                <w:sz w:val="21"/>
                <w:szCs w:val="21"/>
                <w:highlight w:val="none"/>
              </w:rPr>
            </w:pPr>
            <w:bookmarkStart w:id="1442" w:name="_Toc488650998"/>
            <w:bookmarkStart w:id="1443" w:name="_Toc487653566"/>
            <w:r>
              <w:rPr>
                <w:rFonts w:ascii="宋体" w:hAnsi="宋体" w:eastAsia="宋体"/>
                <w:b w:val="0"/>
                <w:color w:val="auto"/>
                <w:sz w:val="21"/>
                <w:szCs w:val="21"/>
                <w:highlight w:val="none"/>
              </w:rPr>
              <w:t>缺陷责任期</w:t>
            </w:r>
            <w:r>
              <w:rPr>
                <w:rFonts w:hint="eastAsia" w:ascii="宋体" w:hAnsi="宋体" w:eastAsia="宋体"/>
                <w:b w:val="0"/>
                <w:color w:val="auto"/>
                <w:sz w:val="21"/>
                <w:szCs w:val="21"/>
                <w:highlight w:val="none"/>
              </w:rPr>
              <w:t>阶段</w:t>
            </w:r>
            <w:r>
              <w:rPr>
                <w:rFonts w:ascii="宋体" w:hAnsi="宋体" w:eastAsia="宋体"/>
                <w:b w:val="0"/>
                <w:color w:val="auto"/>
                <w:sz w:val="21"/>
                <w:szCs w:val="21"/>
                <w:highlight w:val="none"/>
              </w:rPr>
              <w:t>监理服务费</w:t>
            </w:r>
            <w:r>
              <w:rPr>
                <w:rFonts w:hint="eastAsia" w:ascii="宋体" w:hAnsi="宋体" w:eastAsia="宋体"/>
                <w:b w:val="0"/>
                <w:color w:val="auto"/>
                <w:sz w:val="21"/>
                <w:szCs w:val="21"/>
                <w:highlight w:val="none"/>
              </w:rPr>
              <w:t>合计</w:t>
            </w:r>
            <w:bookmarkEnd w:id="1442"/>
            <w:bookmarkEnd w:id="1443"/>
          </w:p>
        </w:tc>
        <w:tc>
          <w:tcPr>
            <w:tcW w:w="1327" w:type="dxa"/>
            <w:vAlign w:val="center"/>
          </w:tcPr>
          <w:p w14:paraId="27F9E7F1">
            <w:pPr>
              <w:pStyle w:val="4"/>
              <w:spacing w:before="0" w:after="0"/>
              <w:rPr>
                <w:rFonts w:ascii="宋体" w:hAnsi="宋体" w:eastAsia="宋体"/>
                <w:b w:val="0"/>
                <w:color w:val="auto"/>
                <w:sz w:val="21"/>
                <w:szCs w:val="21"/>
                <w:highlight w:val="none"/>
              </w:rPr>
            </w:pPr>
          </w:p>
        </w:tc>
        <w:tc>
          <w:tcPr>
            <w:tcW w:w="1046" w:type="dxa"/>
            <w:vAlign w:val="center"/>
          </w:tcPr>
          <w:p w14:paraId="3A2BEA3D">
            <w:pPr>
              <w:pStyle w:val="4"/>
              <w:spacing w:before="0" w:after="0"/>
              <w:rPr>
                <w:rFonts w:ascii="宋体" w:hAnsi="宋体" w:eastAsia="宋体"/>
                <w:b w:val="0"/>
                <w:color w:val="auto"/>
                <w:sz w:val="21"/>
                <w:szCs w:val="21"/>
                <w:highlight w:val="none"/>
              </w:rPr>
            </w:pPr>
          </w:p>
        </w:tc>
      </w:tr>
    </w:tbl>
    <w:p w14:paraId="22010EB2">
      <w:pPr>
        <w:pStyle w:val="4"/>
        <w:spacing w:before="0" w:after="0"/>
        <w:rPr>
          <w:rFonts w:ascii="宋体" w:hAnsi="宋体" w:eastAsia="宋体"/>
          <w:b w:val="0"/>
          <w:color w:val="auto"/>
          <w:sz w:val="21"/>
          <w:szCs w:val="21"/>
          <w:highlight w:val="none"/>
        </w:rPr>
      </w:pPr>
    </w:p>
    <w:p w14:paraId="7939DF37">
      <w:pPr>
        <w:pStyle w:val="4"/>
        <w:spacing w:before="0" w:after="0"/>
        <w:rPr>
          <w:rFonts w:ascii="宋体" w:hAnsi="宋体" w:eastAsia="宋体"/>
          <w:b w:val="0"/>
          <w:color w:val="auto"/>
          <w:sz w:val="21"/>
          <w:szCs w:val="21"/>
          <w:highlight w:val="none"/>
          <w:u w:val="single"/>
        </w:rPr>
      </w:pPr>
      <w:bookmarkStart w:id="1444" w:name="_Toc488650999"/>
      <w:bookmarkStart w:id="1445" w:name="_Toc487653567"/>
      <w:r>
        <w:rPr>
          <w:rFonts w:ascii="宋体" w:hAnsi="宋体" w:eastAsia="宋体"/>
          <w:b w:val="0"/>
          <w:color w:val="auto"/>
          <w:sz w:val="21"/>
          <w:szCs w:val="21"/>
          <w:highlight w:val="none"/>
        </w:rPr>
        <w:t>投标人（盖</w:t>
      </w:r>
      <w:r>
        <w:rPr>
          <w:rFonts w:hint="eastAsia" w:ascii="宋体" w:hAnsi="宋体" w:eastAsia="宋体"/>
          <w:b w:val="0"/>
          <w:color w:val="auto"/>
          <w:sz w:val="21"/>
          <w:szCs w:val="21"/>
          <w:highlight w:val="none"/>
        </w:rPr>
        <w:t>单位电子</w:t>
      </w:r>
      <w:r>
        <w:rPr>
          <w:rFonts w:ascii="宋体" w:hAnsi="宋体" w:eastAsia="宋体"/>
          <w:b w:val="0"/>
          <w:color w:val="auto"/>
          <w:sz w:val="21"/>
          <w:szCs w:val="21"/>
          <w:highlight w:val="none"/>
        </w:rPr>
        <w:t>章）：</w:t>
      </w:r>
      <w:bookmarkEnd w:id="1444"/>
      <w:bookmarkEnd w:id="1445"/>
      <w:r>
        <w:rPr>
          <w:rFonts w:ascii="宋体" w:hAnsi="宋体" w:eastAsia="宋体"/>
          <w:b w:val="0"/>
          <w:color w:val="auto"/>
          <w:sz w:val="21"/>
          <w:szCs w:val="21"/>
          <w:highlight w:val="none"/>
          <w:u w:val="single"/>
        </w:rPr>
        <w:t xml:space="preserve">     </w:t>
      </w:r>
      <w:r>
        <w:rPr>
          <w:rFonts w:hint="eastAsia" w:ascii="宋体" w:hAnsi="宋体" w:eastAsia="宋体"/>
          <w:b w:val="0"/>
          <w:color w:val="auto"/>
          <w:sz w:val="21"/>
          <w:szCs w:val="21"/>
          <w:highlight w:val="none"/>
          <w:u w:val="single"/>
        </w:rPr>
        <w:t xml:space="preserve">   </w:t>
      </w:r>
      <w:r>
        <w:rPr>
          <w:rFonts w:ascii="宋体" w:hAnsi="宋体" w:eastAsia="宋体"/>
          <w:b w:val="0"/>
          <w:color w:val="auto"/>
          <w:sz w:val="21"/>
          <w:szCs w:val="21"/>
          <w:highlight w:val="none"/>
          <w:u w:val="single"/>
        </w:rPr>
        <w:t xml:space="preserve"> </w:t>
      </w:r>
      <w:r>
        <w:rPr>
          <w:rFonts w:hint="eastAsia" w:ascii="宋体" w:hAnsi="宋体" w:eastAsia="宋体"/>
          <w:b w:val="0"/>
          <w:color w:val="auto"/>
          <w:sz w:val="21"/>
          <w:szCs w:val="21"/>
          <w:highlight w:val="none"/>
          <w:u w:val="single"/>
        </w:rPr>
        <w:t xml:space="preserve">     </w:t>
      </w:r>
      <w:r>
        <w:rPr>
          <w:rFonts w:ascii="宋体" w:hAnsi="宋体" w:eastAsia="宋体"/>
          <w:b w:val="0"/>
          <w:color w:val="auto"/>
          <w:sz w:val="21"/>
          <w:szCs w:val="21"/>
          <w:highlight w:val="none"/>
          <w:u w:val="single"/>
        </w:rPr>
        <w:t xml:space="preserve">   </w:t>
      </w:r>
    </w:p>
    <w:p w14:paraId="3CD8B039">
      <w:pPr>
        <w:pStyle w:val="4"/>
        <w:spacing w:before="0" w:after="0"/>
        <w:rPr>
          <w:rFonts w:ascii="宋体" w:hAnsi="宋体" w:eastAsia="宋体"/>
          <w:b w:val="0"/>
          <w:color w:val="auto"/>
          <w:sz w:val="21"/>
          <w:szCs w:val="21"/>
          <w:highlight w:val="none"/>
          <w:u w:val="single"/>
        </w:rPr>
      </w:pPr>
    </w:p>
    <w:p w14:paraId="3B3830A6">
      <w:pPr>
        <w:pStyle w:val="4"/>
        <w:spacing w:before="0" w:after="0"/>
        <w:rPr>
          <w:rFonts w:ascii="宋体" w:hAnsi="宋体" w:eastAsia="宋体"/>
          <w:b w:val="0"/>
          <w:color w:val="auto"/>
          <w:sz w:val="21"/>
          <w:szCs w:val="21"/>
          <w:highlight w:val="none"/>
        </w:rPr>
      </w:pPr>
      <w:r>
        <w:rPr>
          <w:rFonts w:hint="eastAsia" w:ascii="宋体" w:hAnsi="宋体" w:eastAsia="宋体"/>
          <w:b w:val="0"/>
          <w:color w:val="auto"/>
          <w:sz w:val="21"/>
          <w:szCs w:val="21"/>
          <w:highlight w:val="none"/>
        </w:rPr>
        <w:t xml:space="preserve">                                                </w:t>
      </w:r>
      <w:bookmarkStart w:id="1446" w:name="_Toc488651002"/>
      <w:bookmarkStart w:id="1447" w:name="_Toc487653570"/>
      <w:r>
        <w:rPr>
          <w:rFonts w:ascii="宋体" w:hAnsi="宋体" w:eastAsia="宋体"/>
          <w:b w:val="0"/>
          <w:color w:val="auto"/>
          <w:sz w:val="21"/>
          <w:szCs w:val="21"/>
          <w:highlight w:val="none"/>
        </w:rPr>
        <w:t>日</w:t>
      </w:r>
      <w:r>
        <w:rPr>
          <w:rFonts w:hint="eastAsia" w:ascii="宋体" w:hAnsi="宋体" w:eastAsia="宋体"/>
          <w:b w:val="0"/>
          <w:color w:val="auto"/>
          <w:sz w:val="21"/>
          <w:szCs w:val="21"/>
          <w:highlight w:val="none"/>
        </w:rPr>
        <w:t xml:space="preserve">  </w:t>
      </w:r>
      <w:r>
        <w:rPr>
          <w:rFonts w:ascii="宋体" w:hAnsi="宋体" w:eastAsia="宋体"/>
          <w:b w:val="0"/>
          <w:color w:val="auto"/>
          <w:sz w:val="21"/>
          <w:szCs w:val="21"/>
          <w:highlight w:val="none"/>
        </w:rPr>
        <w:t>期：</w:t>
      </w:r>
      <w:r>
        <w:rPr>
          <w:rFonts w:ascii="宋体" w:hAnsi="宋体" w:eastAsia="宋体"/>
          <w:b w:val="0"/>
          <w:color w:val="auto"/>
          <w:sz w:val="21"/>
          <w:szCs w:val="21"/>
          <w:highlight w:val="none"/>
          <w:u w:val="single"/>
        </w:rPr>
        <w:t xml:space="preserve"> </w:t>
      </w:r>
      <w:r>
        <w:rPr>
          <w:rFonts w:hint="eastAsia" w:ascii="宋体" w:hAnsi="宋体" w:eastAsia="宋体"/>
          <w:b w:val="0"/>
          <w:color w:val="auto"/>
          <w:sz w:val="21"/>
          <w:szCs w:val="21"/>
          <w:highlight w:val="none"/>
          <w:u w:val="single"/>
        </w:rPr>
        <w:t xml:space="preserve">     </w:t>
      </w:r>
      <w:r>
        <w:rPr>
          <w:rFonts w:ascii="宋体" w:hAnsi="宋体" w:eastAsia="宋体"/>
          <w:b w:val="0"/>
          <w:color w:val="auto"/>
          <w:sz w:val="21"/>
          <w:szCs w:val="21"/>
          <w:highlight w:val="none"/>
          <w:u w:val="single"/>
        </w:rPr>
        <w:t xml:space="preserve">    </w:t>
      </w:r>
      <w:r>
        <w:rPr>
          <w:rFonts w:ascii="宋体" w:hAnsi="宋体" w:eastAsia="宋体"/>
          <w:b w:val="0"/>
          <w:color w:val="auto"/>
          <w:sz w:val="21"/>
          <w:szCs w:val="21"/>
          <w:highlight w:val="none"/>
        </w:rPr>
        <w:t>年</w:t>
      </w:r>
      <w:r>
        <w:rPr>
          <w:rFonts w:ascii="宋体" w:hAnsi="宋体" w:eastAsia="宋体"/>
          <w:b w:val="0"/>
          <w:color w:val="auto"/>
          <w:sz w:val="21"/>
          <w:szCs w:val="21"/>
          <w:highlight w:val="none"/>
          <w:u w:val="single"/>
        </w:rPr>
        <w:t xml:space="preserve">   </w:t>
      </w:r>
      <w:r>
        <w:rPr>
          <w:rFonts w:hint="eastAsia" w:ascii="宋体" w:hAnsi="宋体" w:eastAsia="宋体"/>
          <w:b w:val="0"/>
          <w:color w:val="auto"/>
          <w:sz w:val="21"/>
          <w:szCs w:val="21"/>
          <w:highlight w:val="none"/>
          <w:u w:val="single"/>
        </w:rPr>
        <w:t xml:space="preserve">  </w:t>
      </w:r>
      <w:r>
        <w:rPr>
          <w:rFonts w:ascii="宋体" w:hAnsi="宋体" w:eastAsia="宋体"/>
          <w:b w:val="0"/>
          <w:color w:val="auto"/>
          <w:sz w:val="21"/>
          <w:szCs w:val="21"/>
          <w:highlight w:val="none"/>
          <w:u w:val="single"/>
        </w:rPr>
        <w:t xml:space="preserve">  </w:t>
      </w:r>
      <w:r>
        <w:rPr>
          <w:rFonts w:ascii="宋体" w:hAnsi="宋体" w:eastAsia="宋体"/>
          <w:b w:val="0"/>
          <w:color w:val="auto"/>
          <w:sz w:val="21"/>
          <w:szCs w:val="21"/>
          <w:highlight w:val="none"/>
        </w:rPr>
        <w:t>月</w:t>
      </w:r>
      <w:r>
        <w:rPr>
          <w:rFonts w:ascii="宋体" w:hAnsi="宋体" w:eastAsia="宋体"/>
          <w:b w:val="0"/>
          <w:color w:val="auto"/>
          <w:sz w:val="21"/>
          <w:szCs w:val="21"/>
          <w:highlight w:val="none"/>
          <w:u w:val="single"/>
        </w:rPr>
        <w:t xml:space="preserve">  </w:t>
      </w:r>
      <w:r>
        <w:rPr>
          <w:rFonts w:hint="eastAsia" w:ascii="宋体" w:hAnsi="宋体" w:eastAsia="宋体"/>
          <w:b w:val="0"/>
          <w:color w:val="auto"/>
          <w:sz w:val="21"/>
          <w:szCs w:val="21"/>
          <w:highlight w:val="none"/>
          <w:u w:val="single"/>
        </w:rPr>
        <w:t xml:space="preserve">  </w:t>
      </w:r>
      <w:r>
        <w:rPr>
          <w:rFonts w:ascii="宋体" w:hAnsi="宋体" w:eastAsia="宋体"/>
          <w:b w:val="0"/>
          <w:color w:val="auto"/>
          <w:sz w:val="21"/>
          <w:szCs w:val="21"/>
          <w:highlight w:val="none"/>
          <w:u w:val="single"/>
        </w:rPr>
        <w:t xml:space="preserve">  </w:t>
      </w:r>
      <w:r>
        <w:rPr>
          <w:rFonts w:ascii="宋体" w:hAnsi="宋体" w:eastAsia="宋体"/>
          <w:b w:val="0"/>
          <w:color w:val="auto"/>
          <w:sz w:val="21"/>
          <w:szCs w:val="21"/>
          <w:highlight w:val="none"/>
        </w:rPr>
        <w:t>日</w:t>
      </w:r>
      <w:bookmarkEnd w:id="1446"/>
      <w:bookmarkEnd w:id="1447"/>
    </w:p>
    <w:p w14:paraId="13FC6BB6">
      <w:pPr>
        <w:pStyle w:val="4"/>
        <w:rPr>
          <w:color w:val="auto"/>
          <w:sz w:val="24"/>
          <w:highlight w:val="none"/>
        </w:rPr>
      </w:pPr>
    </w:p>
    <w:p w14:paraId="3C3A355C">
      <w:pPr>
        <w:pStyle w:val="4"/>
        <w:rPr>
          <w:color w:val="auto"/>
          <w:sz w:val="24"/>
          <w:highlight w:val="none"/>
        </w:rPr>
      </w:pPr>
    </w:p>
    <w:p w14:paraId="1A4BBB4A">
      <w:pPr>
        <w:pStyle w:val="4"/>
        <w:rPr>
          <w:color w:val="auto"/>
          <w:sz w:val="24"/>
          <w:highlight w:val="none"/>
        </w:rPr>
      </w:pPr>
    </w:p>
    <w:p w14:paraId="46EE438A">
      <w:pPr>
        <w:pStyle w:val="4"/>
        <w:rPr>
          <w:color w:val="auto"/>
          <w:sz w:val="24"/>
          <w:highlight w:val="none"/>
        </w:rPr>
      </w:pPr>
    </w:p>
    <w:p w14:paraId="1AFCB49E">
      <w:pPr>
        <w:pStyle w:val="4"/>
        <w:rPr>
          <w:color w:val="auto"/>
          <w:sz w:val="24"/>
          <w:highlight w:val="none"/>
        </w:rPr>
      </w:pPr>
    </w:p>
    <w:p w14:paraId="61A8525C">
      <w:pPr>
        <w:pStyle w:val="4"/>
        <w:rPr>
          <w:color w:val="auto"/>
          <w:sz w:val="24"/>
          <w:highlight w:val="none"/>
        </w:rPr>
      </w:pPr>
    </w:p>
    <w:p w14:paraId="678619A4">
      <w:pPr>
        <w:pStyle w:val="4"/>
        <w:rPr>
          <w:color w:val="auto"/>
          <w:highlight w:val="none"/>
        </w:rPr>
      </w:pPr>
      <w:bookmarkStart w:id="1448" w:name="_Toc488651004"/>
      <w:bookmarkStart w:id="1449" w:name="_Toc341805329"/>
      <w:bookmarkStart w:id="1450" w:name="_Toc330384503"/>
      <w:r>
        <w:rPr>
          <w:rFonts w:hint="eastAsia"/>
          <w:color w:val="auto"/>
          <w:highlight w:val="none"/>
        </w:rPr>
        <w:t>第七章  图纸和资料</w:t>
      </w:r>
      <w:bookmarkEnd w:id="1448"/>
      <w:bookmarkEnd w:id="1449"/>
      <w:bookmarkEnd w:id="1450"/>
    </w:p>
    <w:p w14:paraId="4AE824D3">
      <w:pPr>
        <w:jc w:val="center"/>
        <w:rPr>
          <w:color w:val="auto"/>
          <w:sz w:val="36"/>
          <w:highlight w:val="none"/>
        </w:rPr>
      </w:pPr>
      <w:bookmarkStart w:id="1451" w:name="_Toc487653573"/>
      <w:r>
        <w:rPr>
          <w:rFonts w:hint="eastAsia"/>
          <w:color w:val="auto"/>
          <w:highlight w:val="none"/>
        </w:rPr>
        <w:t>（附件上传</w:t>
      </w:r>
      <w:bookmarkEnd w:id="1451"/>
      <w:r>
        <w:rPr>
          <w:rFonts w:hint="eastAsia"/>
          <w:color w:val="auto"/>
          <w:highlight w:val="none"/>
        </w:rPr>
        <w:t>）</w:t>
      </w:r>
    </w:p>
    <w:p w14:paraId="4216BFFA">
      <w:pPr>
        <w:pStyle w:val="4"/>
        <w:rPr>
          <w:rFonts w:ascii="黑体"/>
          <w:color w:val="auto"/>
          <w:highlight w:val="none"/>
        </w:rPr>
      </w:pPr>
      <w:bookmarkStart w:id="1452" w:name="_Toc330384498"/>
      <w:bookmarkStart w:id="1453" w:name="_Toc341805332"/>
    </w:p>
    <w:bookmarkEnd w:id="1452"/>
    <w:bookmarkEnd w:id="1453"/>
    <w:p w14:paraId="5D11F3AA">
      <w:pPr>
        <w:pStyle w:val="4"/>
        <w:rPr>
          <w:color w:val="auto"/>
          <w:highlight w:val="none"/>
        </w:rPr>
      </w:pPr>
      <w:bookmarkStart w:id="1454" w:name="_Toc330384499"/>
      <w:bookmarkStart w:id="1455" w:name="_Toc341805333"/>
      <w:bookmarkStart w:id="1456" w:name="_Toc488651006"/>
      <w:r>
        <w:rPr>
          <w:rFonts w:hint="eastAsia"/>
          <w:color w:val="auto"/>
          <w:highlight w:val="none"/>
        </w:rPr>
        <w:t xml:space="preserve">第八章  </w:t>
      </w:r>
      <w:bookmarkEnd w:id="1454"/>
      <w:r>
        <w:rPr>
          <w:rFonts w:hint="eastAsia"/>
          <w:color w:val="auto"/>
          <w:highlight w:val="none"/>
        </w:rPr>
        <w:t>技术标准</w:t>
      </w:r>
      <w:bookmarkEnd w:id="1455"/>
      <w:bookmarkEnd w:id="1456"/>
    </w:p>
    <w:p w14:paraId="14CC09E6">
      <w:pPr>
        <w:pStyle w:val="4"/>
        <w:spacing w:before="0" w:after="0" w:line="360" w:lineRule="auto"/>
        <w:ind w:firstLine="420"/>
        <w:jc w:val="left"/>
        <w:rPr>
          <w:rFonts w:ascii="宋体" w:hAnsi="宋体" w:eastAsia="宋体"/>
          <w:b w:val="0"/>
          <w:color w:val="auto"/>
          <w:sz w:val="21"/>
          <w:szCs w:val="21"/>
          <w:highlight w:val="none"/>
        </w:rPr>
      </w:pPr>
      <w:bookmarkStart w:id="1457" w:name="_Toc487653576"/>
      <w:bookmarkStart w:id="1458" w:name="_Toc488651007"/>
      <w:r>
        <w:rPr>
          <w:rFonts w:hint="eastAsia" w:ascii="宋体" w:hAnsi="宋体" w:eastAsia="宋体"/>
          <w:b w:val="0"/>
          <w:color w:val="auto"/>
          <w:sz w:val="21"/>
          <w:szCs w:val="21"/>
          <w:highlight w:val="none"/>
        </w:rPr>
        <w:t>本合同执行以下</w:t>
      </w:r>
      <w:bookmarkEnd w:id="1457"/>
      <w:r>
        <w:rPr>
          <w:rFonts w:hint="eastAsia" w:ascii="宋体" w:hAnsi="宋体" w:eastAsia="宋体"/>
          <w:b w:val="0"/>
          <w:color w:val="auto"/>
          <w:sz w:val="21"/>
          <w:szCs w:val="21"/>
          <w:highlight w:val="none"/>
        </w:rPr>
        <w:t>国家、地方有关工程建设的现行规范、技术标准，主要如下（不限于）</w:t>
      </w:r>
      <w:bookmarkEnd w:id="1458"/>
    </w:p>
    <w:p w14:paraId="1FBD6CDD">
      <w:pPr>
        <w:pStyle w:val="4"/>
        <w:spacing w:before="0" w:after="0" w:line="360" w:lineRule="auto"/>
        <w:ind w:firstLine="420"/>
        <w:jc w:val="left"/>
        <w:rPr>
          <w:rFonts w:ascii="宋体" w:hAnsi="宋体" w:eastAsia="宋体" w:cs="宋体"/>
          <w:b w:val="0"/>
          <w:color w:val="auto"/>
          <w:sz w:val="21"/>
          <w:szCs w:val="21"/>
          <w:highlight w:val="none"/>
        </w:rPr>
      </w:pPr>
      <w:bookmarkStart w:id="1459" w:name="_Toc488651008"/>
      <w:bookmarkStart w:id="1460" w:name="_Toc487653577"/>
      <w:r>
        <w:rPr>
          <w:rFonts w:hint="eastAsia" w:ascii="宋体" w:hAnsi="宋体" w:eastAsia="宋体"/>
          <w:b w:val="0"/>
          <w:color w:val="auto"/>
          <w:sz w:val="21"/>
          <w:szCs w:val="21"/>
          <w:highlight w:val="none"/>
        </w:rPr>
        <w:t>1.《水运工程施工监理规范》（JTS252－2015）、《设备工程监理规范》（</w:t>
      </w:r>
      <w:r>
        <w:rPr>
          <w:rFonts w:ascii="宋体" w:hAnsi="宋体" w:eastAsia="宋体"/>
          <w:b w:val="0"/>
          <w:color w:val="auto"/>
          <w:sz w:val="21"/>
          <w:szCs w:val="21"/>
          <w:highlight w:val="none"/>
        </w:rPr>
        <w:t>GB/T26429-2010</w:t>
      </w:r>
      <w:r>
        <w:rPr>
          <w:rFonts w:hint="eastAsia" w:ascii="宋体" w:hAnsi="宋体" w:eastAsia="宋体"/>
          <w:b w:val="0"/>
          <w:color w:val="auto"/>
          <w:sz w:val="21"/>
          <w:szCs w:val="21"/>
          <w:highlight w:val="none"/>
        </w:rPr>
        <w:t>）、《水运工程机电专项监理规范》（JTS252-1——2013）；</w:t>
      </w:r>
      <w:bookmarkEnd w:id="1459"/>
      <w:bookmarkEnd w:id="1460"/>
    </w:p>
    <w:p w14:paraId="5233A149">
      <w:pPr>
        <w:pStyle w:val="4"/>
        <w:spacing w:before="0" w:after="0" w:line="360" w:lineRule="auto"/>
        <w:ind w:firstLine="420"/>
        <w:jc w:val="left"/>
        <w:rPr>
          <w:rFonts w:ascii="宋体" w:hAnsi="宋体" w:eastAsia="宋体"/>
          <w:b w:val="0"/>
          <w:color w:val="auto"/>
          <w:sz w:val="21"/>
          <w:szCs w:val="21"/>
          <w:highlight w:val="none"/>
        </w:rPr>
      </w:pPr>
      <w:bookmarkStart w:id="1461" w:name="_Toc488651009"/>
      <w:bookmarkStart w:id="1462" w:name="_Toc487653578"/>
      <w:r>
        <w:rPr>
          <w:rFonts w:hint="eastAsia" w:ascii="宋体" w:hAnsi="宋体" w:eastAsia="宋体"/>
          <w:b w:val="0"/>
          <w:color w:val="auto"/>
          <w:sz w:val="21"/>
          <w:szCs w:val="21"/>
          <w:highlight w:val="none"/>
        </w:rPr>
        <w:t>2.《水运工程质量检验标准》（JTS257-2008）；</w:t>
      </w:r>
      <w:bookmarkEnd w:id="1461"/>
      <w:bookmarkEnd w:id="1462"/>
    </w:p>
    <w:p w14:paraId="2A9D0E3F">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3、《水运工程施工通则》；</w:t>
      </w:r>
    </w:p>
    <w:p w14:paraId="49F0355B">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4、《海上用太阳能电池组件总规范》；</w:t>
      </w:r>
    </w:p>
    <w:p w14:paraId="71E8C18B">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5、《中国海区水上助航标志》；</w:t>
      </w:r>
    </w:p>
    <w:p w14:paraId="0893664A">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6、《航标灯光信号颜色》；</w:t>
      </w:r>
    </w:p>
    <w:p w14:paraId="7B45C8F7">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7、《爆破安全规程》；</w:t>
      </w:r>
    </w:p>
    <w:p w14:paraId="3A7973BD">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8、《浮标锚链》；</w:t>
      </w:r>
    </w:p>
    <w:p w14:paraId="145400A6">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9、《水运工程质量检验标准》；</w:t>
      </w:r>
    </w:p>
    <w:p w14:paraId="2F3B25F2">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10、《水运工程测量质量检验标准》；</w:t>
      </w:r>
    </w:p>
    <w:p w14:paraId="6746B656">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11、《水运工程施工安全防护技术规范》；</w:t>
      </w:r>
    </w:p>
    <w:p w14:paraId="6DFCDABB">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12、《水运工程爆破技术规范》；</w:t>
      </w:r>
    </w:p>
    <w:p w14:paraId="6B36150A">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13、《中华人民共和国水上水下活动通航安全管理规定》；</w:t>
      </w:r>
    </w:p>
    <w:p w14:paraId="67EDC1AC">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14、《海区浮动助航标志配布导则》；</w:t>
      </w:r>
    </w:p>
    <w:p w14:paraId="28B9348A">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15、《疏浚与吹填工程设计规范》；</w:t>
      </w:r>
    </w:p>
    <w:p w14:paraId="361D48F3">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16、《疏浚与吹填工程施工规范》；</w:t>
      </w:r>
    </w:p>
    <w:p w14:paraId="615603EB">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17、《水运工程测量规范》；</w:t>
      </w:r>
    </w:p>
    <w:p w14:paraId="76379930">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18、《港口与航道水文规范》；</w:t>
      </w:r>
    </w:p>
    <w:p w14:paraId="5CC54639">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19、《水运工程岩土勘察规范》；</w:t>
      </w:r>
    </w:p>
    <w:p w14:paraId="48955A5A">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20、水运工程施工通则；</w:t>
      </w:r>
    </w:p>
    <w:p w14:paraId="26C559E8">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21、</w:t>
      </w:r>
      <w:r>
        <w:rPr>
          <w:color w:val="auto"/>
          <w:highlight w:val="none"/>
        </w:rPr>
        <w:fldChar w:fldCharType="begin"/>
      </w:r>
      <w:r>
        <w:rPr>
          <w:color w:val="auto"/>
          <w:highlight w:val="none"/>
        </w:rPr>
        <w:instrText xml:space="preserve"> HYPERLINK "file:///G:\\水运工程标准规范\\《水运工程混凝土施工规范》(JTS202-2011).pdf" </w:instrText>
      </w:r>
      <w:r>
        <w:rPr>
          <w:color w:val="auto"/>
          <w:highlight w:val="none"/>
        </w:rPr>
        <w:fldChar w:fldCharType="separate"/>
      </w:r>
      <w:r>
        <w:rPr>
          <w:rFonts w:hint="eastAsia" w:ascii="宋体" w:hAnsi="宋体"/>
          <w:color w:val="auto"/>
          <w:szCs w:val="21"/>
          <w:highlight w:val="none"/>
        </w:rPr>
        <w:t>《水运工程混凝土施工规范》</w:t>
      </w:r>
      <w:r>
        <w:rPr>
          <w:rFonts w:hint="eastAsia" w:ascii="宋体" w:hAnsi="宋体"/>
          <w:color w:val="auto"/>
          <w:szCs w:val="21"/>
          <w:highlight w:val="none"/>
        </w:rPr>
        <w:fldChar w:fldCharType="end"/>
      </w:r>
    </w:p>
    <w:p w14:paraId="1D408AE2">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22、</w:t>
      </w:r>
      <w:r>
        <w:rPr>
          <w:color w:val="auto"/>
          <w:highlight w:val="none"/>
        </w:rPr>
        <w:fldChar w:fldCharType="begin"/>
      </w:r>
      <w:r>
        <w:rPr>
          <w:color w:val="auto"/>
          <w:highlight w:val="none"/>
        </w:rPr>
        <w:instrText xml:space="preserve"> HYPERLINK "file:///G:\\水运工程标准规范\\《水运工程施工安全防护技术规范》(JTS205-1-2008).pdf" </w:instrText>
      </w:r>
      <w:r>
        <w:rPr>
          <w:color w:val="auto"/>
          <w:highlight w:val="none"/>
        </w:rPr>
        <w:fldChar w:fldCharType="separate"/>
      </w:r>
      <w:r>
        <w:rPr>
          <w:rFonts w:hint="eastAsia" w:ascii="宋体" w:hAnsi="宋体"/>
          <w:color w:val="auto"/>
          <w:szCs w:val="21"/>
          <w:highlight w:val="none"/>
        </w:rPr>
        <w:t>《水运工程施工安全防护技术规范》</w:t>
      </w:r>
      <w:r>
        <w:rPr>
          <w:rFonts w:hint="eastAsia" w:ascii="宋体" w:hAnsi="宋体"/>
          <w:color w:val="auto"/>
          <w:szCs w:val="21"/>
          <w:highlight w:val="none"/>
        </w:rPr>
        <w:fldChar w:fldCharType="end"/>
      </w:r>
    </w:p>
    <w:p w14:paraId="49F8909B">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23、</w:t>
      </w:r>
      <w:r>
        <w:rPr>
          <w:color w:val="auto"/>
          <w:highlight w:val="none"/>
        </w:rPr>
        <w:fldChar w:fldCharType="begin"/>
      </w:r>
      <w:r>
        <w:rPr>
          <w:color w:val="auto"/>
          <w:highlight w:val="none"/>
        </w:rPr>
        <w:instrText xml:space="preserve"> HYPERLINK "file:///G:\\水运工程标准规范\\《水运工程大体积混凝土温度裂缝控制技术规程》(JTS%20202-1-2010%20).pdf" </w:instrText>
      </w:r>
      <w:r>
        <w:rPr>
          <w:color w:val="auto"/>
          <w:highlight w:val="none"/>
        </w:rPr>
        <w:fldChar w:fldCharType="separate"/>
      </w:r>
      <w:r>
        <w:rPr>
          <w:rFonts w:hint="eastAsia" w:ascii="宋体" w:hAnsi="宋体"/>
          <w:color w:val="auto"/>
          <w:szCs w:val="21"/>
          <w:highlight w:val="none"/>
        </w:rPr>
        <w:t>《水运工程大体积混凝土温度裂缝控制技术规程》</w:t>
      </w:r>
      <w:r>
        <w:rPr>
          <w:rFonts w:hint="eastAsia" w:ascii="宋体" w:hAnsi="宋体"/>
          <w:color w:val="auto"/>
          <w:szCs w:val="21"/>
          <w:highlight w:val="none"/>
        </w:rPr>
        <w:fldChar w:fldCharType="end"/>
      </w:r>
    </w:p>
    <w:p w14:paraId="4C640EF7">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24、</w:t>
      </w:r>
      <w:r>
        <w:rPr>
          <w:color w:val="auto"/>
          <w:highlight w:val="none"/>
        </w:rPr>
        <w:fldChar w:fldCharType="begin"/>
      </w:r>
      <w:r>
        <w:rPr>
          <w:color w:val="auto"/>
          <w:highlight w:val="none"/>
        </w:rPr>
        <w:instrText xml:space="preserve"> HYPERLINK "file:///G:\\水运工程标准规范\\《水运工程塑料排水板应用技术规程》(JTS206-1-2009).pdf" </w:instrText>
      </w:r>
      <w:r>
        <w:rPr>
          <w:color w:val="auto"/>
          <w:highlight w:val="none"/>
        </w:rPr>
        <w:fldChar w:fldCharType="separate"/>
      </w:r>
      <w:r>
        <w:rPr>
          <w:rFonts w:hint="eastAsia" w:ascii="宋体" w:hAnsi="宋体"/>
          <w:color w:val="auto"/>
          <w:szCs w:val="21"/>
          <w:highlight w:val="none"/>
        </w:rPr>
        <w:t>《水运工程塑料排水板应用技术规程》</w:t>
      </w:r>
      <w:r>
        <w:rPr>
          <w:rFonts w:hint="eastAsia" w:ascii="宋体" w:hAnsi="宋体"/>
          <w:color w:val="auto"/>
          <w:szCs w:val="21"/>
          <w:highlight w:val="none"/>
        </w:rPr>
        <w:fldChar w:fldCharType="end"/>
      </w:r>
    </w:p>
    <w:p w14:paraId="2C33324C">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25、</w:t>
      </w:r>
      <w:r>
        <w:rPr>
          <w:color w:val="auto"/>
          <w:highlight w:val="none"/>
        </w:rPr>
        <w:fldChar w:fldCharType="begin"/>
      </w:r>
      <w:r>
        <w:rPr>
          <w:color w:val="auto"/>
          <w:highlight w:val="none"/>
        </w:rPr>
        <w:instrText xml:space="preserve"> HYPERLINK "file:///G:\\水运工程标准规范\\《航道整治工程施工规范》（JTS%20224-2016）.pdf" </w:instrText>
      </w:r>
      <w:r>
        <w:rPr>
          <w:color w:val="auto"/>
          <w:highlight w:val="none"/>
        </w:rPr>
        <w:fldChar w:fldCharType="separate"/>
      </w:r>
      <w:r>
        <w:rPr>
          <w:rFonts w:hint="eastAsia" w:ascii="宋体" w:hAnsi="宋体"/>
          <w:color w:val="auto"/>
          <w:szCs w:val="21"/>
          <w:highlight w:val="none"/>
        </w:rPr>
        <w:t>《航道整治工程施工规范》</w:t>
      </w:r>
      <w:r>
        <w:rPr>
          <w:rFonts w:hint="eastAsia" w:ascii="宋体" w:hAnsi="宋体"/>
          <w:color w:val="auto"/>
          <w:szCs w:val="21"/>
          <w:highlight w:val="none"/>
        </w:rPr>
        <w:fldChar w:fldCharType="end"/>
      </w:r>
    </w:p>
    <w:p w14:paraId="20174775">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26、</w:t>
      </w:r>
      <w:r>
        <w:rPr>
          <w:color w:val="auto"/>
          <w:highlight w:val="none"/>
        </w:rPr>
        <w:fldChar w:fldCharType="begin"/>
      </w:r>
      <w:r>
        <w:rPr>
          <w:color w:val="auto"/>
          <w:highlight w:val="none"/>
        </w:rPr>
        <w:instrText xml:space="preserve"> HYPERLINK "file:///G:\\水运工程标准规范\\《港口工程碎石桩复合地基设计与施工规程》(JTJ%20246-2004%20).pdf" </w:instrText>
      </w:r>
      <w:r>
        <w:rPr>
          <w:color w:val="auto"/>
          <w:highlight w:val="none"/>
        </w:rPr>
        <w:fldChar w:fldCharType="separate"/>
      </w:r>
      <w:r>
        <w:rPr>
          <w:rFonts w:hint="eastAsia" w:ascii="宋体" w:hAnsi="宋体"/>
          <w:color w:val="auto"/>
          <w:szCs w:val="21"/>
          <w:highlight w:val="none"/>
        </w:rPr>
        <w:t>《</w:t>
      </w:r>
      <w:r>
        <w:rPr>
          <w:rFonts w:hint="eastAsia" w:ascii="宋体" w:hAnsi="宋体"/>
          <w:color w:val="auto"/>
          <w:szCs w:val="21"/>
          <w:highlight w:val="none"/>
          <w:lang w:val="en-US" w:eastAsia="zh-CN"/>
        </w:rPr>
        <w:t>水运</w:t>
      </w:r>
      <w:r>
        <w:rPr>
          <w:rFonts w:hint="eastAsia" w:ascii="宋体" w:hAnsi="宋体"/>
          <w:color w:val="auto"/>
          <w:szCs w:val="21"/>
          <w:highlight w:val="none"/>
        </w:rPr>
        <w:t>工程地基</w:t>
      </w:r>
      <w:r>
        <w:rPr>
          <w:rFonts w:hint="eastAsia" w:ascii="宋体" w:hAnsi="宋体"/>
          <w:color w:val="auto"/>
          <w:szCs w:val="21"/>
          <w:highlight w:val="none"/>
          <w:lang w:val="en-US" w:eastAsia="zh-CN"/>
        </w:rPr>
        <w:t>基础</w:t>
      </w:r>
      <w:r>
        <w:rPr>
          <w:rFonts w:hint="eastAsia" w:ascii="宋体" w:hAnsi="宋体"/>
          <w:color w:val="auto"/>
          <w:szCs w:val="21"/>
          <w:highlight w:val="none"/>
        </w:rPr>
        <w:t>施工</w:t>
      </w:r>
      <w:r>
        <w:rPr>
          <w:rFonts w:hint="eastAsia" w:ascii="宋体" w:hAnsi="宋体"/>
          <w:color w:val="auto"/>
          <w:szCs w:val="21"/>
          <w:highlight w:val="none"/>
          <w:lang w:val="en-US" w:eastAsia="zh-CN"/>
        </w:rPr>
        <w:t>规范</w:t>
      </w:r>
      <w:r>
        <w:rPr>
          <w:rFonts w:hint="eastAsia" w:ascii="宋体" w:hAnsi="宋体"/>
          <w:color w:val="auto"/>
          <w:szCs w:val="21"/>
          <w:highlight w:val="none"/>
        </w:rPr>
        <w:t>》</w:t>
      </w:r>
      <w:r>
        <w:rPr>
          <w:rFonts w:hint="eastAsia" w:ascii="宋体" w:hAnsi="宋体"/>
          <w:color w:val="auto"/>
          <w:szCs w:val="21"/>
          <w:highlight w:val="none"/>
        </w:rPr>
        <w:fldChar w:fldCharType="end"/>
      </w:r>
    </w:p>
    <w:p w14:paraId="3F9754BB">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27、</w:t>
      </w:r>
      <w:r>
        <w:rPr>
          <w:color w:val="auto"/>
          <w:highlight w:val="none"/>
        </w:rPr>
        <w:fldChar w:fldCharType="begin"/>
      </w:r>
      <w:r>
        <w:rPr>
          <w:color w:val="auto"/>
          <w:highlight w:val="none"/>
        </w:rPr>
        <w:instrText xml:space="preserve"> HYPERLINK "file:///G:\\水运工程标准规范\\《海港工程混凝土结构防腐蚀技术规范》(JTJ275-2000).pdf" </w:instrText>
      </w:r>
      <w:r>
        <w:rPr>
          <w:color w:val="auto"/>
          <w:highlight w:val="none"/>
        </w:rPr>
        <w:fldChar w:fldCharType="separate"/>
      </w:r>
      <w:r>
        <w:rPr>
          <w:rFonts w:hint="eastAsia" w:ascii="宋体" w:hAnsi="宋体"/>
          <w:color w:val="auto"/>
          <w:szCs w:val="21"/>
          <w:highlight w:val="none"/>
        </w:rPr>
        <w:t>《海港工程混凝土结构防腐蚀技术规范》</w:t>
      </w:r>
      <w:r>
        <w:rPr>
          <w:rFonts w:hint="eastAsia" w:ascii="宋体" w:hAnsi="宋体"/>
          <w:color w:val="auto"/>
          <w:szCs w:val="21"/>
          <w:highlight w:val="none"/>
        </w:rPr>
        <w:fldChar w:fldCharType="end"/>
      </w:r>
    </w:p>
    <w:p w14:paraId="2B742418">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28、</w:t>
      </w:r>
      <w:r>
        <w:rPr>
          <w:color w:val="auto"/>
          <w:highlight w:val="none"/>
        </w:rPr>
        <w:fldChar w:fldCharType="begin"/>
      </w:r>
      <w:r>
        <w:rPr>
          <w:color w:val="auto"/>
          <w:highlight w:val="none"/>
        </w:rPr>
        <w:instrText xml:space="preserve"> HYPERLINK "file:///G:\\水运工程标准规范\\《海港工程钢结构防腐蚀技术规范》(JTS%20153-3-2007).pdf" </w:instrText>
      </w:r>
      <w:r>
        <w:rPr>
          <w:color w:val="auto"/>
          <w:highlight w:val="none"/>
        </w:rPr>
        <w:fldChar w:fldCharType="separate"/>
      </w:r>
      <w:r>
        <w:rPr>
          <w:rFonts w:hint="eastAsia" w:ascii="宋体" w:hAnsi="宋体"/>
          <w:color w:val="auto"/>
          <w:szCs w:val="21"/>
          <w:highlight w:val="none"/>
        </w:rPr>
        <w:t>《海港工程钢结构防腐蚀技术规范》</w:t>
      </w:r>
      <w:r>
        <w:rPr>
          <w:rFonts w:hint="eastAsia" w:ascii="宋体" w:hAnsi="宋体"/>
          <w:color w:val="auto"/>
          <w:szCs w:val="21"/>
          <w:highlight w:val="none"/>
        </w:rPr>
        <w:fldChar w:fldCharType="end"/>
      </w:r>
    </w:p>
    <w:p w14:paraId="3DE6C7DD">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29、</w:t>
      </w:r>
      <w:r>
        <w:rPr>
          <w:color w:val="auto"/>
          <w:highlight w:val="none"/>
        </w:rPr>
        <w:fldChar w:fldCharType="begin"/>
      </w:r>
      <w:r>
        <w:rPr>
          <w:color w:val="auto"/>
          <w:highlight w:val="none"/>
        </w:rPr>
        <w:instrText xml:space="preserve"> HYPERLINK "file:///G:\\水运工程标准规范\\《港口及航道护岸工程设计与施工规范》(JTJ%20300-2000).pdf" </w:instrText>
      </w:r>
      <w:r>
        <w:rPr>
          <w:color w:val="auto"/>
          <w:highlight w:val="none"/>
        </w:rPr>
        <w:fldChar w:fldCharType="separate"/>
      </w:r>
      <w:r>
        <w:rPr>
          <w:rFonts w:hint="eastAsia" w:ascii="宋体" w:hAnsi="宋体"/>
          <w:color w:val="auto"/>
          <w:szCs w:val="21"/>
          <w:highlight w:val="none"/>
        </w:rPr>
        <w:t>《</w:t>
      </w:r>
      <w:r>
        <w:rPr>
          <w:rFonts w:hint="eastAsia" w:ascii="宋体" w:hAnsi="宋体"/>
          <w:color w:val="auto"/>
          <w:szCs w:val="21"/>
          <w:highlight w:val="none"/>
          <w:lang w:val="en-US" w:eastAsia="zh-CN"/>
        </w:rPr>
        <w:t>防波堤与</w:t>
      </w:r>
      <w:r>
        <w:rPr>
          <w:rFonts w:hint="eastAsia" w:ascii="宋体" w:hAnsi="宋体"/>
          <w:color w:val="auto"/>
          <w:szCs w:val="21"/>
          <w:highlight w:val="none"/>
        </w:rPr>
        <w:t>护岸施工规范》</w:t>
      </w:r>
      <w:r>
        <w:rPr>
          <w:rFonts w:hint="eastAsia" w:ascii="宋体" w:hAnsi="宋体"/>
          <w:color w:val="auto"/>
          <w:szCs w:val="21"/>
          <w:highlight w:val="none"/>
        </w:rPr>
        <w:fldChar w:fldCharType="end"/>
      </w:r>
    </w:p>
    <w:p w14:paraId="4B7C3A61">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30、</w:t>
      </w:r>
      <w:r>
        <w:rPr>
          <w:color w:val="auto"/>
          <w:highlight w:val="none"/>
        </w:rPr>
        <w:fldChar w:fldCharType="begin"/>
      </w:r>
      <w:r>
        <w:rPr>
          <w:color w:val="auto"/>
          <w:highlight w:val="none"/>
        </w:rPr>
        <w:instrText xml:space="preserve"> HYPERLINK "file:///G:\\水运工程标准规范\\《河港工程总体设计规范》(JTJ212-2006).pdf" </w:instrText>
      </w:r>
      <w:r>
        <w:rPr>
          <w:color w:val="auto"/>
          <w:highlight w:val="none"/>
        </w:rPr>
        <w:fldChar w:fldCharType="separate"/>
      </w:r>
      <w:r>
        <w:rPr>
          <w:rFonts w:hint="eastAsia" w:ascii="宋体" w:hAnsi="宋体"/>
          <w:color w:val="auto"/>
          <w:szCs w:val="21"/>
          <w:highlight w:val="none"/>
        </w:rPr>
        <w:t>《河港工程总体设计规范》</w:t>
      </w:r>
      <w:r>
        <w:rPr>
          <w:rFonts w:hint="eastAsia" w:ascii="宋体" w:hAnsi="宋体"/>
          <w:color w:val="auto"/>
          <w:szCs w:val="21"/>
          <w:highlight w:val="none"/>
        </w:rPr>
        <w:fldChar w:fldCharType="end"/>
      </w:r>
    </w:p>
    <w:p w14:paraId="0513D772">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31、</w:t>
      </w:r>
      <w:r>
        <w:rPr>
          <w:color w:val="auto"/>
          <w:highlight w:val="none"/>
        </w:rPr>
        <w:fldChar w:fldCharType="begin"/>
      </w:r>
      <w:r>
        <w:rPr>
          <w:color w:val="auto"/>
          <w:highlight w:val="none"/>
        </w:rPr>
        <w:instrText xml:space="preserve"> HYPERLINK "file:///G:\\水运工程标准规范\\《高桩码头设计与施工规范》(JTS167-1-2010).pdf" </w:instrText>
      </w:r>
      <w:r>
        <w:rPr>
          <w:color w:val="auto"/>
          <w:highlight w:val="none"/>
        </w:rPr>
        <w:fldChar w:fldCharType="separate"/>
      </w:r>
      <w:r>
        <w:rPr>
          <w:rFonts w:hint="eastAsia" w:ascii="宋体" w:hAnsi="宋体"/>
          <w:color w:val="auto"/>
          <w:szCs w:val="21"/>
          <w:highlight w:val="none"/>
        </w:rPr>
        <w:t>《</w:t>
      </w:r>
      <w:r>
        <w:rPr>
          <w:rFonts w:hint="eastAsia" w:ascii="宋体" w:hAnsi="宋体"/>
          <w:color w:val="auto"/>
          <w:szCs w:val="21"/>
          <w:highlight w:val="none"/>
          <w:lang w:val="en-US" w:eastAsia="zh-CN"/>
        </w:rPr>
        <w:t>水运工程混凝土质量控制标准</w:t>
      </w:r>
      <w:r>
        <w:rPr>
          <w:rFonts w:hint="eastAsia" w:ascii="宋体" w:hAnsi="宋体"/>
          <w:color w:val="auto"/>
          <w:szCs w:val="21"/>
          <w:highlight w:val="none"/>
        </w:rPr>
        <w:t>》</w:t>
      </w:r>
      <w:r>
        <w:rPr>
          <w:rFonts w:hint="eastAsia" w:ascii="宋体" w:hAnsi="宋体"/>
          <w:color w:val="auto"/>
          <w:szCs w:val="21"/>
          <w:highlight w:val="none"/>
        </w:rPr>
        <w:fldChar w:fldCharType="end"/>
      </w:r>
    </w:p>
    <w:p w14:paraId="7DF98858">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32、</w:t>
      </w:r>
      <w:r>
        <w:rPr>
          <w:color w:val="auto"/>
          <w:highlight w:val="none"/>
        </w:rPr>
        <w:fldChar w:fldCharType="begin"/>
      </w:r>
      <w:r>
        <w:rPr>
          <w:color w:val="auto"/>
          <w:highlight w:val="none"/>
        </w:rPr>
        <w:instrText xml:space="preserve"> HYPERLINK "file:///G:\\水运工程标准规范\\《重力式码头设计与施工规范》(JTS%20167-2-2009).pdf" </w:instrText>
      </w:r>
      <w:r>
        <w:rPr>
          <w:color w:val="auto"/>
          <w:highlight w:val="none"/>
        </w:rPr>
        <w:fldChar w:fldCharType="separate"/>
      </w:r>
      <w:r>
        <w:rPr>
          <w:rFonts w:hint="eastAsia" w:ascii="宋体" w:hAnsi="宋体"/>
          <w:color w:val="auto"/>
          <w:szCs w:val="21"/>
          <w:highlight w:val="none"/>
        </w:rPr>
        <w:t>《</w:t>
      </w:r>
      <w:r>
        <w:rPr>
          <w:rFonts w:hint="eastAsia" w:ascii="宋体" w:hAnsi="宋体"/>
          <w:color w:val="auto"/>
          <w:szCs w:val="21"/>
          <w:highlight w:val="none"/>
          <w:lang w:val="en-US" w:eastAsia="zh-CN"/>
        </w:rPr>
        <w:t>水运工程桩基</w:t>
      </w:r>
      <w:r>
        <w:rPr>
          <w:rFonts w:hint="eastAsia" w:ascii="宋体" w:hAnsi="宋体"/>
          <w:color w:val="auto"/>
          <w:szCs w:val="21"/>
          <w:highlight w:val="none"/>
        </w:rPr>
        <w:t>施工规范》</w:t>
      </w:r>
      <w:r>
        <w:rPr>
          <w:rFonts w:hint="eastAsia" w:ascii="宋体" w:hAnsi="宋体"/>
          <w:color w:val="auto"/>
          <w:szCs w:val="21"/>
          <w:highlight w:val="none"/>
        </w:rPr>
        <w:fldChar w:fldCharType="end"/>
      </w:r>
    </w:p>
    <w:p w14:paraId="35118386">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33、</w:t>
      </w:r>
      <w:r>
        <w:rPr>
          <w:color w:val="auto"/>
          <w:highlight w:val="none"/>
        </w:rPr>
        <w:fldChar w:fldCharType="begin"/>
      </w:r>
      <w:r>
        <w:rPr>
          <w:color w:val="auto"/>
          <w:highlight w:val="none"/>
        </w:rPr>
        <w:instrText xml:space="preserve"> HYPERLINK "file:///G:\\水运工程标准规范\\《板桩码头设计与施工规范》(JTS%20167-3-2009).pdf" </w:instrText>
      </w:r>
      <w:r>
        <w:rPr>
          <w:color w:val="auto"/>
          <w:highlight w:val="none"/>
        </w:rPr>
        <w:fldChar w:fldCharType="separate"/>
      </w:r>
      <w:r>
        <w:rPr>
          <w:rFonts w:hint="eastAsia" w:ascii="宋体" w:hAnsi="宋体"/>
          <w:color w:val="auto"/>
          <w:szCs w:val="21"/>
          <w:highlight w:val="none"/>
        </w:rPr>
        <w:t>《码头</w:t>
      </w:r>
      <w:r>
        <w:rPr>
          <w:rFonts w:hint="eastAsia" w:ascii="宋体" w:hAnsi="宋体"/>
          <w:color w:val="auto"/>
          <w:szCs w:val="21"/>
          <w:highlight w:val="none"/>
          <w:lang w:val="en-US" w:eastAsia="zh-CN"/>
        </w:rPr>
        <w:t>结构</w:t>
      </w:r>
      <w:r>
        <w:rPr>
          <w:rFonts w:hint="eastAsia" w:ascii="宋体" w:hAnsi="宋体"/>
          <w:color w:val="auto"/>
          <w:szCs w:val="21"/>
          <w:highlight w:val="none"/>
        </w:rPr>
        <w:t>施工规范》</w:t>
      </w:r>
      <w:r>
        <w:rPr>
          <w:rFonts w:hint="eastAsia" w:ascii="宋体" w:hAnsi="宋体"/>
          <w:color w:val="auto"/>
          <w:szCs w:val="21"/>
          <w:highlight w:val="none"/>
        </w:rPr>
        <w:fldChar w:fldCharType="end"/>
      </w:r>
    </w:p>
    <w:p w14:paraId="6D3CD522">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34、</w:t>
      </w:r>
      <w:r>
        <w:rPr>
          <w:color w:val="auto"/>
          <w:highlight w:val="none"/>
        </w:rPr>
        <w:fldChar w:fldCharType="begin"/>
      </w:r>
      <w:r>
        <w:rPr>
          <w:color w:val="auto"/>
          <w:highlight w:val="none"/>
        </w:rPr>
        <w:instrText xml:space="preserve"> HYPERLINK "file:///G:\\水运工程标准规范\\《斜坡码头及浮码头设计与施工规范》(JTJ294-98%20).pdf" </w:instrText>
      </w:r>
      <w:r>
        <w:rPr>
          <w:color w:val="auto"/>
          <w:highlight w:val="none"/>
        </w:rPr>
        <w:fldChar w:fldCharType="separate"/>
      </w:r>
      <w:r>
        <w:rPr>
          <w:rFonts w:hint="eastAsia" w:ascii="宋体" w:hAnsi="宋体"/>
          <w:color w:val="auto"/>
          <w:szCs w:val="21"/>
          <w:highlight w:val="none"/>
        </w:rPr>
        <w:t>《</w:t>
      </w:r>
      <w:r>
        <w:rPr>
          <w:rFonts w:hint="eastAsia" w:ascii="宋体" w:hAnsi="宋体"/>
          <w:color w:val="auto"/>
          <w:szCs w:val="21"/>
          <w:highlight w:val="none"/>
          <w:lang w:val="en-US" w:eastAsia="zh-CN"/>
        </w:rPr>
        <w:t>船闸工程</w:t>
      </w:r>
      <w:r>
        <w:rPr>
          <w:rFonts w:hint="eastAsia" w:ascii="宋体" w:hAnsi="宋体"/>
          <w:color w:val="auto"/>
          <w:szCs w:val="21"/>
          <w:highlight w:val="none"/>
        </w:rPr>
        <w:t>施工规范》</w:t>
      </w:r>
      <w:r>
        <w:rPr>
          <w:rFonts w:hint="eastAsia" w:ascii="宋体" w:hAnsi="宋体"/>
          <w:color w:val="auto"/>
          <w:szCs w:val="21"/>
          <w:highlight w:val="none"/>
        </w:rPr>
        <w:fldChar w:fldCharType="end"/>
      </w:r>
    </w:p>
    <w:p w14:paraId="0D79FD0C">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35、</w:t>
      </w:r>
      <w:r>
        <w:rPr>
          <w:color w:val="auto"/>
          <w:highlight w:val="none"/>
        </w:rPr>
        <w:fldChar w:fldCharType="begin"/>
      </w:r>
      <w:r>
        <w:rPr>
          <w:color w:val="auto"/>
          <w:highlight w:val="none"/>
        </w:rPr>
        <w:instrText xml:space="preserve"> HYPERLINK "file:///G:\\水运工程标准规范\\《港口工程桩式柔性靠船设施设计与施工技术规程》(JTJ279-2005).pdf" </w:instrText>
      </w:r>
      <w:r>
        <w:rPr>
          <w:color w:val="auto"/>
          <w:highlight w:val="none"/>
        </w:rPr>
        <w:fldChar w:fldCharType="separate"/>
      </w:r>
      <w:r>
        <w:rPr>
          <w:rFonts w:hint="eastAsia" w:ascii="宋体" w:hAnsi="宋体"/>
          <w:color w:val="auto"/>
          <w:szCs w:val="21"/>
          <w:highlight w:val="none"/>
        </w:rPr>
        <w:t>《</w:t>
      </w:r>
      <w:r>
        <w:rPr>
          <w:rFonts w:hint="eastAsia" w:ascii="宋体" w:hAnsi="宋体"/>
          <w:color w:val="auto"/>
          <w:szCs w:val="21"/>
          <w:highlight w:val="none"/>
          <w:lang w:val="en-US" w:eastAsia="zh-CN"/>
        </w:rPr>
        <w:t>船厂水工</w:t>
      </w:r>
      <w:r>
        <w:rPr>
          <w:rFonts w:hint="eastAsia" w:ascii="宋体" w:hAnsi="宋体"/>
          <w:color w:val="auto"/>
          <w:szCs w:val="21"/>
          <w:highlight w:val="none"/>
        </w:rPr>
        <w:t>工程施工</w:t>
      </w:r>
      <w:r>
        <w:rPr>
          <w:rFonts w:hint="eastAsia" w:ascii="宋体" w:hAnsi="宋体"/>
          <w:color w:val="auto"/>
          <w:szCs w:val="21"/>
          <w:highlight w:val="none"/>
          <w:lang w:val="en-US" w:eastAsia="zh-CN"/>
        </w:rPr>
        <w:t>规范</w:t>
      </w:r>
      <w:r>
        <w:rPr>
          <w:rFonts w:hint="eastAsia" w:ascii="宋体" w:hAnsi="宋体"/>
          <w:color w:val="auto"/>
          <w:szCs w:val="21"/>
          <w:highlight w:val="none"/>
        </w:rPr>
        <w:t>》</w:t>
      </w:r>
      <w:r>
        <w:rPr>
          <w:rFonts w:hint="eastAsia" w:ascii="宋体" w:hAnsi="宋体"/>
          <w:color w:val="auto"/>
          <w:szCs w:val="21"/>
          <w:highlight w:val="none"/>
        </w:rPr>
        <w:fldChar w:fldCharType="end"/>
      </w:r>
    </w:p>
    <w:p w14:paraId="7325674F">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36、</w:t>
      </w:r>
      <w:r>
        <w:rPr>
          <w:color w:val="auto"/>
          <w:highlight w:val="none"/>
        </w:rPr>
        <w:fldChar w:fldCharType="begin"/>
      </w:r>
      <w:r>
        <w:rPr>
          <w:color w:val="auto"/>
          <w:highlight w:val="none"/>
        </w:rPr>
        <w:instrText xml:space="preserve"> HYPERLINK "file:///G:\\水运工程标准规范\\《斜坡码头及浮码头设计与施工规范》(JTJ294-98%20).pdf" </w:instrText>
      </w:r>
      <w:r>
        <w:rPr>
          <w:color w:val="auto"/>
          <w:highlight w:val="none"/>
        </w:rPr>
        <w:fldChar w:fldCharType="separate"/>
      </w:r>
      <w:r>
        <w:rPr>
          <w:rFonts w:hint="eastAsia" w:ascii="宋体" w:hAnsi="宋体"/>
          <w:color w:val="auto"/>
          <w:szCs w:val="21"/>
          <w:highlight w:val="none"/>
        </w:rPr>
        <w:t>《</w:t>
      </w:r>
      <w:r>
        <w:rPr>
          <w:rFonts w:hint="eastAsia" w:ascii="宋体" w:hAnsi="宋体"/>
          <w:color w:val="auto"/>
          <w:szCs w:val="21"/>
          <w:highlight w:val="none"/>
          <w:lang w:val="en-US" w:eastAsia="zh-CN"/>
        </w:rPr>
        <w:t>港口道路与堆场</w:t>
      </w:r>
      <w:r>
        <w:rPr>
          <w:rFonts w:hint="eastAsia" w:ascii="宋体" w:hAnsi="宋体"/>
          <w:color w:val="auto"/>
          <w:szCs w:val="21"/>
          <w:highlight w:val="none"/>
        </w:rPr>
        <w:t>施工规范》</w:t>
      </w:r>
      <w:r>
        <w:rPr>
          <w:rFonts w:hint="eastAsia" w:ascii="宋体" w:hAnsi="宋体"/>
          <w:color w:val="auto"/>
          <w:szCs w:val="21"/>
          <w:highlight w:val="none"/>
        </w:rPr>
        <w:fldChar w:fldCharType="end"/>
      </w:r>
    </w:p>
    <w:p w14:paraId="508CC737">
      <w:pPr>
        <w:spacing w:line="360" w:lineRule="auto"/>
        <w:ind w:firstLine="420"/>
        <w:jc w:val="left"/>
        <w:rPr>
          <w:rFonts w:ascii="宋体" w:hAnsi="宋体"/>
          <w:color w:val="auto"/>
          <w:szCs w:val="21"/>
          <w:highlight w:val="none"/>
        </w:rPr>
      </w:pPr>
      <w:r>
        <w:rPr>
          <w:rFonts w:hint="eastAsia" w:ascii="宋体" w:hAnsi="宋体"/>
          <w:color w:val="auto"/>
          <w:szCs w:val="21"/>
          <w:highlight w:val="none"/>
          <w:lang w:val="en-US" w:eastAsia="zh-CN"/>
        </w:rPr>
        <w:t>37</w:t>
      </w:r>
      <w:r>
        <w:rPr>
          <w:rFonts w:hint="eastAsia" w:ascii="宋体" w:hAnsi="宋体"/>
          <w:color w:val="auto"/>
          <w:szCs w:val="21"/>
          <w:highlight w:val="none"/>
        </w:rPr>
        <w:t>、《工程建设标准强制性条文》(水运工程部分)；</w:t>
      </w:r>
    </w:p>
    <w:p w14:paraId="26BCD643">
      <w:pPr>
        <w:spacing w:line="360" w:lineRule="auto"/>
        <w:ind w:firstLine="420"/>
        <w:jc w:val="left"/>
        <w:rPr>
          <w:rFonts w:ascii="宋体" w:hAnsi="宋体"/>
          <w:color w:val="auto"/>
          <w:szCs w:val="21"/>
          <w:highlight w:val="none"/>
        </w:rPr>
      </w:pPr>
      <w:r>
        <w:rPr>
          <w:rFonts w:hint="eastAsia" w:ascii="宋体" w:hAnsi="宋体"/>
          <w:color w:val="auto"/>
          <w:szCs w:val="21"/>
          <w:highlight w:val="none"/>
          <w:lang w:val="en-US" w:eastAsia="zh-CN"/>
        </w:rPr>
        <w:t>38</w:t>
      </w:r>
      <w:r>
        <w:rPr>
          <w:rFonts w:hint="eastAsia" w:ascii="宋体" w:hAnsi="宋体"/>
          <w:color w:val="auto"/>
          <w:szCs w:val="21"/>
          <w:highlight w:val="none"/>
        </w:rPr>
        <w:t>、《水运工程设计通则》</w:t>
      </w:r>
    </w:p>
    <w:p w14:paraId="681158EC">
      <w:pPr>
        <w:spacing w:line="360" w:lineRule="auto"/>
        <w:ind w:firstLine="420"/>
        <w:jc w:val="left"/>
        <w:rPr>
          <w:rFonts w:ascii="宋体" w:hAnsi="宋体"/>
          <w:color w:val="auto"/>
          <w:szCs w:val="21"/>
          <w:highlight w:val="none"/>
        </w:rPr>
      </w:pPr>
      <w:r>
        <w:rPr>
          <w:rFonts w:hint="eastAsia" w:ascii="宋体" w:hAnsi="宋体"/>
          <w:color w:val="auto"/>
          <w:szCs w:val="21"/>
          <w:highlight w:val="none"/>
          <w:lang w:val="en-US" w:eastAsia="zh-CN"/>
        </w:rPr>
        <w:t>39</w:t>
      </w:r>
      <w:r>
        <w:rPr>
          <w:rFonts w:hint="eastAsia" w:ascii="宋体" w:hAnsi="宋体"/>
          <w:color w:val="auto"/>
          <w:szCs w:val="21"/>
          <w:highlight w:val="none"/>
        </w:rPr>
        <w:t>、</w:t>
      </w:r>
      <w:bookmarkStart w:id="1463" w:name="_Toc487653600"/>
      <w:r>
        <w:rPr>
          <w:rFonts w:hint="eastAsia" w:ascii="宋体" w:hAnsi="宋体"/>
          <w:color w:val="auto"/>
          <w:szCs w:val="21"/>
          <w:highlight w:val="none"/>
        </w:rPr>
        <w:t>其他现行规范及标准</w:t>
      </w:r>
      <w:r>
        <w:rPr>
          <w:rFonts w:hint="eastAsia" w:ascii="宋体" w:hAnsi="宋体"/>
          <w:color w:val="auto"/>
          <w:szCs w:val="21"/>
          <w:highlight w:val="none"/>
          <w:lang w:eastAsia="zh-CN"/>
        </w:rPr>
        <w:t>：</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bookmarkEnd w:id="1463"/>
    </w:p>
    <w:p w14:paraId="1C5DFE95">
      <w:pPr>
        <w:pStyle w:val="4"/>
        <w:spacing w:before="0" w:after="0" w:line="360" w:lineRule="auto"/>
        <w:ind w:firstLine="420"/>
        <w:jc w:val="left"/>
        <w:rPr>
          <w:rFonts w:ascii="宋体" w:hAnsi="宋体" w:eastAsia="宋体"/>
          <w:b w:val="0"/>
          <w:color w:val="auto"/>
          <w:sz w:val="21"/>
          <w:szCs w:val="21"/>
          <w:highlight w:val="none"/>
        </w:rPr>
      </w:pPr>
      <w:bookmarkStart w:id="1464" w:name="_Toc487653601"/>
      <w:bookmarkStart w:id="1465" w:name="_Toc488651010"/>
      <w:r>
        <w:rPr>
          <w:rFonts w:hint="eastAsia" w:ascii="宋体" w:hAnsi="宋体" w:eastAsia="宋体"/>
          <w:b w:val="0"/>
          <w:color w:val="auto"/>
          <w:sz w:val="21"/>
          <w:szCs w:val="21"/>
          <w:highlight w:val="none"/>
        </w:rPr>
        <w:t>以上标准均按照最新版执行。</w:t>
      </w:r>
      <w:r>
        <w:rPr>
          <w:rFonts w:ascii="宋体" w:hAnsi="宋体" w:eastAsia="宋体"/>
          <w:b w:val="0"/>
          <w:color w:val="auto"/>
          <w:sz w:val="21"/>
          <w:szCs w:val="21"/>
          <w:highlight w:val="none"/>
        </w:rPr>
        <w:t>在合同履行期间，若上述标准有修改或重新颁布，监理单位</w:t>
      </w:r>
      <w:r>
        <w:rPr>
          <w:rFonts w:hint="eastAsia" w:ascii="宋体" w:hAnsi="宋体" w:eastAsia="宋体"/>
          <w:b w:val="0"/>
          <w:color w:val="auto"/>
          <w:sz w:val="21"/>
          <w:szCs w:val="21"/>
          <w:highlight w:val="none"/>
        </w:rPr>
        <w:t>将及时收集</w:t>
      </w:r>
      <w:r>
        <w:rPr>
          <w:rFonts w:ascii="宋体" w:hAnsi="宋体" w:eastAsia="宋体"/>
          <w:b w:val="0"/>
          <w:color w:val="auto"/>
          <w:sz w:val="21"/>
          <w:szCs w:val="21"/>
          <w:highlight w:val="none"/>
        </w:rPr>
        <w:t>新的标准或规范</w:t>
      </w:r>
      <w:r>
        <w:rPr>
          <w:rFonts w:hint="eastAsia" w:ascii="宋体" w:hAnsi="宋体" w:eastAsia="宋体"/>
          <w:b w:val="0"/>
          <w:color w:val="auto"/>
          <w:sz w:val="21"/>
          <w:szCs w:val="21"/>
          <w:highlight w:val="none"/>
        </w:rPr>
        <w:t>，并按照其执行</w:t>
      </w:r>
      <w:r>
        <w:rPr>
          <w:rFonts w:ascii="宋体" w:hAnsi="宋体" w:eastAsia="宋体"/>
          <w:b w:val="0"/>
          <w:color w:val="auto"/>
          <w:sz w:val="21"/>
          <w:szCs w:val="21"/>
          <w:highlight w:val="none"/>
        </w:rPr>
        <w:t>。</w:t>
      </w:r>
      <w:bookmarkEnd w:id="1464"/>
      <w:bookmarkEnd w:id="1465"/>
    </w:p>
    <w:p w14:paraId="4BC890CF">
      <w:pPr>
        <w:pStyle w:val="4"/>
        <w:rPr>
          <w:color w:val="auto"/>
          <w:sz w:val="24"/>
          <w:highlight w:val="none"/>
        </w:rPr>
        <w:sectPr>
          <w:pgSz w:w="11906" w:h="16838"/>
          <w:pgMar w:top="1418" w:right="1304" w:bottom="1418" w:left="1304" w:header="851" w:footer="992" w:gutter="0"/>
          <w:cols w:space="720" w:num="1"/>
          <w:docGrid w:type="lines" w:linePitch="312" w:charSpace="0"/>
        </w:sectPr>
      </w:pPr>
    </w:p>
    <w:p w14:paraId="4346213D">
      <w:pPr>
        <w:pStyle w:val="4"/>
        <w:rPr>
          <w:color w:val="auto"/>
          <w:sz w:val="24"/>
          <w:highlight w:val="none"/>
        </w:rPr>
      </w:pPr>
    </w:p>
    <w:p w14:paraId="1CE6C6F8">
      <w:pPr>
        <w:pStyle w:val="4"/>
        <w:rPr>
          <w:color w:val="auto"/>
          <w:highlight w:val="none"/>
        </w:rPr>
      </w:pPr>
      <w:bookmarkStart w:id="1466" w:name="_Toc341805335"/>
      <w:bookmarkStart w:id="1467" w:name="_Toc488651012"/>
      <w:r>
        <w:rPr>
          <w:rFonts w:hint="eastAsia"/>
          <w:color w:val="auto"/>
          <w:highlight w:val="none"/>
        </w:rPr>
        <w:t xml:space="preserve">第九章  </w:t>
      </w:r>
      <w:r>
        <w:rPr>
          <w:color w:val="auto"/>
          <w:highlight w:val="none"/>
        </w:rPr>
        <w:t>投标文件格式</w:t>
      </w:r>
      <w:bookmarkEnd w:id="1466"/>
      <w:bookmarkEnd w:id="1467"/>
    </w:p>
    <w:p w14:paraId="05D33FC0">
      <w:pPr>
        <w:rPr>
          <w:color w:val="auto"/>
          <w:sz w:val="24"/>
          <w:highlight w:val="none"/>
        </w:rPr>
      </w:pPr>
    </w:p>
    <w:p w14:paraId="7E4C572C">
      <w:pPr>
        <w:rPr>
          <w:color w:val="auto"/>
          <w:sz w:val="24"/>
          <w:highlight w:val="none"/>
        </w:rPr>
      </w:pPr>
    </w:p>
    <w:p w14:paraId="428354B5">
      <w:pPr>
        <w:rPr>
          <w:color w:val="auto"/>
          <w:sz w:val="24"/>
          <w:highlight w:val="none"/>
        </w:rPr>
      </w:pPr>
    </w:p>
    <w:p w14:paraId="58773002">
      <w:pPr>
        <w:rPr>
          <w:color w:val="auto"/>
          <w:sz w:val="24"/>
          <w:highlight w:val="none"/>
        </w:rPr>
      </w:pPr>
    </w:p>
    <w:p w14:paraId="7053159E">
      <w:pPr>
        <w:rPr>
          <w:color w:val="auto"/>
          <w:sz w:val="24"/>
          <w:highlight w:val="none"/>
        </w:rPr>
      </w:pPr>
    </w:p>
    <w:p w14:paraId="6B1E6D72">
      <w:pPr>
        <w:rPr>
          <w:color w:val="auto"/>
          <w:sz w:val="24"/>
          <w:highlight w:val="none"/>
        </w:rPr>
      </w:pPr>
    </w:p>
    <w:p w14:paraId="1430A0D5">
      <w:pPr>
        <w:rPr>
          <w:color w:val="auto"/>
          <w:sz w:val="24"/>
          <w:highlight w:val="none"/>
        </w:rPr>
      </w:pPr>
    </w:p>
    <w:p w14:paraId="628C97CD">
      <w:pPr>
        <w:rPr>
          <w:color w:val="auto"/>
          <w:sz w:val="24"/>
          <w:highlight w:val="none"/>
        </w:rPr>
      </w:pPr>
    </w:p>
    <w:p w14:paraId="643BAC96">
      <w:pPr>
        <w:rPr>
          <w:color w:val="auto"/>
          <w:sz w:val="24"/>
          <w:highlight w:val="none"/>
        </w:rPr>
      </w:pPr>
    </w:p>
    <w:p w14:paraId="2B3B7B9C">
      <w:pPr>
        <w:rPr>
          <w:color w:val="auto"/>
          <w:sz w:val="24"/>
          <w:highlight w:val="none"/>
        </w:rPr>
      </w:pPr>
    </w:p>
    <w:p w14:paraId="59822498">
      <w:pPr>
        <w:rPr>
          <w:color w:val="auto"/>
          <w:sz w:val="24"/>
          <w:highlight w:val="none"/>
        </w:rPr>
      </w:pPr>
    </w:p>
    <w:p w14:paraId="0DCC4612">
      <w:pPr>
        <w:rPr>
          <w:color w:val="auto"/>
          <w:sz w:val="24"/>
          <w:highlight w:val="none"/>
        </w:rPr>
      </w:pPr>
    </w:p>
    <w:p w14:paraId="7177530C">
      <w:pPr>
        <w:rPr>
          <w:color w:val="auto"/>
          <w:sz w:val="24"/>
          <w:highlight w:val="none"/>
        </w:rPr>
      </w:pPr>
    </w:p>
    <w:p w14:paraId="7C24746D">
      <w:pPr>
        <w:rPr>
          <w:color w:val="auto"/>
          <w:sz w:val="24"/>
          <w:highlight w:val="none"/>
        </w:rPr>
      </w:pPr>
    </w:p>
    <w:p w14:paraId="7D25EE46">
      <w:pPr>
        <w:rPr>
          <w:color w:val="auto"/>
          <w:sz w:val="24"/>
          <w:highlight w:val="none"/>
        </w:rPr>
      </w:pPr>
    </w:p>
    <w:p w14:paraId="4D8DFC6B">
      <w:pPr>
        <w:rPr>
          <w:color w:val="auto"/>
          <w:sz w:val="24"/>
          <w:highlight w:val="none"/>
        </w:rPr>
      </w:pPr>
    </w:p>
    <w:p w14:paraId="6C2F363D">
      <w:pPr>
        <w:rPr>
          <w:color w:val="auto"/>
          <w:sz w:val="24"/>
          <w:highlight w:val="none"/>
        </w:rPr>
      </w:pPr>
    </w:p>
    <w:p w14:paraId="3FE73A1C">
      <w:pPr>
        <w:rPr>
          <w:color w:val="auto"/>
          <w:sz w:val="24"/>
          <w:highlight w:val="none"/>
        </w:rPr>
      </w:pPr>
    </w:p>
    <w:p w14:paraId="29D823EF">
      <w:pPr>
        <w:rPr>
          <w:color w:val="auto"/>
          <w:sz w:val="24"/>
          <w:highlight w:val="none"/>
        </w:rPr>
      </w:pPr>
    </w:p>
    <w:p w14:paraId="3B30FB29">
      <w:pPr>
        <w:rPr>
          <w:color w:val="auto"/>
          <w:sz w:val="24"/>
          <w:highlight w:val="none"/>
        </w:rPr>
      </w:pPr>
    </w:p>
    <w:p w14:paraId="10A59D2E">
      <w:pPr>
        <w:rPr>
          <w:color w:val="auto"/>
          <w:sz w:val="24"/>
          <w:highlight w:val="none"/>
        </w:rPr>
      </w:pPr>
    </w:p>
    <w:p w14:paraId="0D0E8DBF">
      <w:pPr>
        <w:rPr>
          <w:color w:val="auto"/>
          <w:sz w:val="24"/>
          <w:highlight w:val="none"/>
        </w:rPr>
      </w:pPr>
    </w:p>
    <w:p w14:paraId="08FC3AB5">
      <w:pPr>
        <w:rPr>
          <w:color w:val="auto"/>
          <w:sz w:val="24"/>
          <w:highlight w:val="none"/>
        </w:rPr>
      </w:pPr>
    </w:p>
    <w:p w14:paraId="7D88A545">
      <w:pPr>
        <w:rPr>
          <w:color w:val="auto"/>
          <w:sz w:val="24"/>
          <w:highlight w:val="none"/>
        </w:rPr>
      </w:pPr>
    </w:p>
    <w:p w14:paraId="3427EDD0">
      <w:pPr>
        <w:rPr>
          <w:color w:val="auto"/>
          <w:sz w:val="24"/>
          <w:highlight w:val="none"/>
        </w:rPr>
      </w:pPr>
    </w:p>
    <w:p w14:paraId="3A540CDF">
      <w:pPr>
        <w:rPr>
          <w:color w:val="auto"/>
          <w:sz w:val="24"/>
          <w:highlight w:val="none"/>
        </w:rPr>
      </w:pPr>
    </w:p>
    <w:p w14:paraId="06D1BDA7">
      <w:pPr>
        <w:rPr>
          <w:color w:val="auto"/>
          <w:sz w:val="24"/>
          <w:highlight w:val="none"/>
        </w:rPr>
      </w:pPr>
    </w:p>
    <w:p w14:paraId="1D4E7C98">
      <w:pPr>
        <w:rPr>
          <w:color w:val="auto"/>
          <w:sz w:val="24"/>
          <w:highlight w:val="none"/>
        </w:rPr>
      </w:pPr>
    </w:p>
    <w:p w14:paraId="4160C5E7">
      <w:pPr>
        <w:rPr>
          <w:color w:val="auto"/>
          <w:sz w:val="24"/>
          <w:highlight w:val="none"/>
        </w:rPr>
      </w:pPr>
    </w:p>
    <w:p w14:paraId="798FED3A">
      <w:pPr>
        <w:rPr>
          <w:color w:val="auto"/>
          <w:sz w:val="24"/>
          <w:highlight w:val="none"/>
        </w:rPr>
      </w:pPr>
    </w:p>
    <w:p w14:paraId="7119A6C2">
      <w:pPr>
        <w:rPr>
          <w:color w:val="auto"/>
          <w:sz w:val="24"/>
          <w:highlight w:val="none"/>
        </w:rPr>
      </w:pPr>
    </w:p>
    <w:p w14:paraId="32F90E1C">
      <w:pPr>
        <w:rPr>
          <w:color w:val="auto"/>
          <w:sz w:val="24"/>
          <w:highlight w:val="none"/>
        </w:rPr>
      </w:pPr>
    </w:p>
    <w:p w14:paraId="30E5C186">
      <w:pPr>
        <w:rPr>
          <w:color w:val="auto"/>
          <w:sz w:val="24"/>
          <w:highlight w:val="none"/>
        </w:rPr>
      </w:pPr>
    </w:p>
    <w:p w14:paraId="60EF5E24">
      <w:pPr>
        <w:rPr>
          <w:color w:val="auto"/>
          <w:sz w:val="24"/>
          <w:highlight w:val="none"/>
        </w:rPr>
      </w:pPr>
    </w:p>
    <w:p w14:paraId="19FF1540">
      <w:pPr>
        <w:rPr>
          <w:color w:val="auto"/>
          <w:sz w:val="24"/>
          <w:highlight w:val="none"/>
        </w:rPr>
      </w:pPr>
    </w:p>
    <w:p w14:paraId="06E4D951">
      <w:pPr>
        <w:rPr>
          <w:color w:val="auto"/>
          <w:sz w:val="24"/>
          <w:highlight w:val="none"/>
        </w:rPr>
      </w:pPr>
    </w:p>
    <w:p w14:paraId="7F9DCC07">
      <w:pPr>
        <w:rPr>
          <w:color w:val="auto"/>
          <w:sz w:val="24"/>
          <w:highlight w:val="none"/>
        </w:rPr>
      </w:pPr>
    </w:p>
    <w:p w14:paraId="1CF6FE22">
      <w:pPr>
        <w:rPr>
          <w:color w:val="auto"/>
          <w:sz w:val="24"/>
          <w:highlight w:val="none"/>
        </w:rPr>
      </w:pPr>
    </w:p>
    <w:p w14:paraId="75B3B4D6">
      <w:pPr>
        <w:rPr>
          <w:color w:val="auto"/>
          <w:sz w:val="24"/>
          <w:highlight w:val="none"/>
        </w:rPr>
      </w:pPr>
    </w:p>
    <w:p w14:paraId="6AA70A58">
      <w:pPr>
        <w:pStyle w:val="4"/>
        <w:pageBreakBefore/>
        <w:rPr>
          <w:color w:val="auto"/>
          <w:highlight w:val="none"/>
        </w:rPr>
      </w:pPr>
      <w:bookmarkStart w:id="1468" w:name="_Toc487653604"/>
      <w:bookmarkStart w:id="1469" w:name="_Toc488651013"/>
      <w:bookmarkStart w:id="1470" w:name="_Toc341805336"/>
      <w:bookmarkStart w:id="1471" w:name="_Toc487291625"/>
      <w:r>
        <w:rPr>
          <w:rFonts w:hint="eastAsia"/>
          <w:color w:val="auto"/>
          <w:highlight w:val="none"/>
        </w:rPr>
        <w:t>封面样式</w:t>
      </w:r>
      <w:bookmarkEnd w:id="1468"/>
      <w:bookmarkEnd w:id="1469"/>
      <w:bookmarkEnd w:id="1470"/>
      <w:bookmarkEnd w:id="1471"/>
    </w:p>
    <w:p w14:paraId="6062D44F">
      <w:pPr>
        <w:spacing w:line="500" w:lineRule="exact"/>
        <w:ind w:firstLine="1120" w:firstLineChars="400"/>
        <w:rPr>
          <w:rFonts w:ascii="黑体" w:eastAsia="黑体"/>
          <w:color w:val="auto"/>
          <w:sz w:val="28"/>
          <w:szCs w:val="28"/>
          <w:highlight w:val="none"/>
          <w:u w:val="single"/>
        </w:rPr>
      </w:pPr>
    </w:p>
    <w:p w14:paraId="3FA0454C">
      <w:pPr>
        <w:spacing w:line="500" w:lineRule="exact"/>
        <w:ind w:firstLine="1120" w:firstLineChars="400"/>
        <w:rPr>
          <w:rFonts w:ascii="黑体" w:eastAsia="黑体"/>
          <w:color w:val="auto"/>
          <w:sz w:val="28"/>
          <w:szCs w:val="28"/>
          <w:highlight w:val="none"/>
          <w:u w:val="single"/>
        </w:rPr>
      </w:pPr>
    </w:p>
    <w:p w14:paraId="16607B87">
      <w:pPr>
        <w:spacing w:line="500" w:lineRule="exact"/>
        <w:ind w:firstLine="1400" w:firstLineChars="500"/>
        <w:rPr>
          <w:rFonts w:ascii="黑体" w:eastAsia="黑体"/>
          <w:color w:val="auto"/>
          <w:sz w:val="28"/>
          <w:szCs w:val="28"/>
          <w:highlight w:val="none"/>
        </w:rPr>
      </w:pP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w:t>
      </w:r>
      <w:r>
        <w:rPr>
          <w:rFonts w:ascii="黑体" w:eastAsia="黑体"/>
          <w:color w:val="auto"/>
          <w:sz w:val="28"/>
          <w:szCs w:val="28"/>
          <w:highlight w:val="none"/>
        </w:rPr>
        <w:t>项目</w:t>
      </w:r>
      <w:r>
        <w:rPr>
          <w:rFonts w:hint="eastAsia" w:ascii="黑体" w:eastAsia="黑体"/>
          <w:color w:val="auto"/>
          <w:sz w:val="28"/>
          <w:szCs w:val="28"/>
          <w:highlight w:val="none"/>
        </w:rPr>
        <w:t>名称）</w:t>
      </w:r>
      <w:r>
        <w:rPr>
          <w:rFonts w:ascii="黑体" w:eastAsia="黑体"/>
          <w:color w:val="auto"/>
          <w:sz w:val="28"/>
          <w:szCs w:val="28"/>
          <w:highlight w:val="none"/>
        </w:rPr>
        <w:t>施工</w:t>
      </w:r>
      <w:r>
        <w:rPr>
          <w:rFonts w:hint="eastAsia" w:ascii="黑体" w:eastAsia="黑体"/>
          <w:color w:val="auto"/>
          <w:sz w:val="28"/>
          <w:szCs w:val="28"/>
          <w:highlight w:val="none"/>
        </w:rPr>
        <w:t>监理</w:t>
      </w:r>
      <w:r>
        <w:rPr>
          <w:rFonts w:ascii="黑体" w:eastAsia="黑体"/>
          <w:color w:val="auto"/>
          <w:sz w:val="28"/>
          <w:szCs w:val="28"/>
          <w:highlight w:val="none"/>
        </w:rPr>
        <w:t>招标</w:t>
      </w:r>
    </w:p>
    <w:p w14:paraId="41DC7D7F">
      <w:pPr>
        <w:spacing w:line="500" w:lineRule="exact"/>
        <w:ind w:firstLine="1120" w:firstLineChars="400"/>
        <w:rPr>
          <w:rFonts w:ascii="黑体" w:eastAsia="黑体"/>
          <w:color w:val="auto"/>
          <w:sz w:val="28"/>
          <w:szCs w:val="28"/>
          <w:highlight w:val="none"/>
        </w:rPr>
      </w:pPr>
    </w:p>
    <w:p w14:paraId="7B8B7FF4">
      <w:pPr>
        <w:spacing w:line="500" w:lineRule="exact"/>
        <w:ind w:firstLine="1120" w:firstLineChars="400"/>
        <w:rPr>
          <w:rFonts w:ascii="黑体" w:eastAsia="黑体"/>
          <w:color w:val="auto"/>
          <w:sz w:val="28"/>
          <w:szCs w:val="28"/>
          <w:highlight w:val="none"/>
        </w:rPr>
      </w:pPr>
    </w:p>
    <w:p w14:paraId="5F393A71">
      <w:pPr>
        <w:spacing w:line="500" w:lineRule="exact"/>
        <w:ind w:firstLine="1120" w:firstLineChars="400"/>
        <w:rPr>
          <w:rFonts w:ascii="黑体" w:eastAsia="黑体"/>
          <w:color w:val="auto"/>
          <w:sz w:val="28"/>
          <w:szCs w:val="28"/>
          <w:highlight w:val="none"/>
        </w:rPr>
      </w:pPr>
    </w:p>
    <w:p w14:paraId="64DDA921">
      <w:pPr>
        <w:spacing w:line="500" w:lineRule="exact"/>
        <w:jc w:val="center"/>
        <w:rPr>
          <w:rFonts w:ascii="黑体" w:eastAsia="黑体"/>
          <w:color w:val="auto"/>
          <w:sz w:val="44"/>
          <w:szCs w:val="44"/>
          <w:highlight w:val="none"/>
        </w:rPr>
      </w:pPr>
      <w:r>
        <w:rPr>
          <w:rFonts w:hint="eastAsia" w:ascii="黑体" w:eastAsia="黑体"/>
          <w:color w:val="auto"/>
          <w:sz w:val="44"/>
          <w:szCs w:val="44"/>
          <w:highlight w:val="none"/>
        </w:rPr>
        <w:t>投  标  文  件</w:t>
      </w:r>
    </w:p>
    <w:p w14:paraId="55AD79AB">
      <w:pPr>
        <w:spacing w:line="500" w:lineRule="exact"/>
        <w:jc w:val="center"/>
        <w:rPr>
          <w:rFonts w:ascii="黑体" w:eastAsia="黑体"/>
          <w:color w:val="auto"/>
          <w:sz w:val="44"/>
          <w:szCs w:val="44"/>
          <w:highlight w:val="none"/>
        </w:rPr>
      </w:pPr>
    </w:p>
    <w:p w14:paraId="4D54BA42">
      <w:pPr>
        <w:spacing w:line="500" w:lineRule="exact"/>
        <w:jc w:val="center"/>
        <w:rPr>
          <w:rFonts w:ascii="黑体" w:eastAsia="黑体"/>
          <w:color w:val="auto"/>
          <w:sz w:val="44"/>
          <w:szCs w:val="44"/>
          <w:highlight w:val="none"/>
        </w:rPr>
      </w:pPr>
    </w:p>
    <w:p w14:paraId="453EADAE">
      <w:pPr>
        <w:spacing w:line="500" w:lineRule="exact"/>
        <w:jc w:val="center"/>
        <w:rPr>
          <w:rFonts w:ascii="黑体" w:eastAsia="黑体"/>
          <w:color w:val="auto"/>
          <w:sz w:val="44"/>
          <w:szCs w:val="44"/>
          <w:highlight w:val="none"/>
        </w:rPr>
      </w:pPr>
    </w:p>
    <w:p w14:paraId="23FBB80A">
      <w:pPr>
        <w:spacing w:line="500" w:lineRule="exact"/>
        <w:jc w:val="center"/>
        <w:rPr>
          <w:rFonts w:ascii="黑体" w:eastAsia="黑体"/>
          <w:color w:val="auto"/>
          <w:sz w:val="44"/>
          <w:szCs w:val="44"/>
          <w:highlight w:val="none"/>
        </w:rPr>
      </w:pPr>
    </w:p>
    <w:p w14:paraId="4FD6C287">
      <w:pPr>
        <w:spacing w:line="500" w:lineRule="exact"/>
        <w:jc w:val="center"/>
        <w:rPr>
          <w:rFonts w:ascii="黑体" w:eastAsia="黑体"/>
          <w:color w:val="auto"/>
          <w:sz w:val="44"/>
          <w:szCs w:val="44"/>
          <w:highlight w:val="none"/>
        </w:rPr>
      </w:pPr>
    </w:p>
    <w:p w14:paraId="2A7B14AA">
      <w:pPr>
        <w:spacing w:line="500" w:lineRule="exact"/>
        <w:jc w:val="center"/>
        <w:rPr>
          <w:rFonts w:ascii="黑体" w:eastAsia="黑体"/>
          <w:color w:val="auto"/>
          <w:sz w:val="44"/>
          <w:szCs w:val="44"/>
          <w:highlight w:val="none"/>
        </w:rPr>
      </w:pPr>
    </w:p>
    <w:p w14:paraId="5EC3393B">
      <w:pPr>
        <w:spacing w:line="500" w:lineRule="exact"/>
        <w:jc w:val="center"/>
        <w:rPr>
          <w:rFonts w:ascii="黑体" w:eastAsia="黑体"/>
          <w:color w:val="auto"/>
          <w:sz w:val="44"/>
          <w:szCs w:val="44"/>
          <w:highlight w:val="none"/>
        </w:rPr>
      </w:pPr>
    </w:p>
    <w:p w14:paraId="2C34CC15">
      <w:pPr>
        <w:spacing w:line="500" w:lineRule="exact"/>
        <w:jc w:val="center"/>
        <w:rPr>
          <w:rFonts w:ascii="黑体" w:eastAsia="黑体"/>
          <w:color w:val="auto"/>
          <w:sz w:val="44"/>
          <w:szCs w:val="44"/>
          <w:highlight w:val="none"/>
        </w:rPr>
      </w:pPr>
    </w:p>
    <w:p w14:paraId="488245D1">
      <w:pPr>
        <w:spacing w:line="500" w:lineRule="exact"/>
        <w:jc w:val="center"/>
        <w:rPr>
          <w:rFonts w:ascii="黑体" w:eastAsia="黑体"/>
          <w:color w:val="auto"/>
          <w:sz w:val="44"/>
          <w:szCs w:val="44"/>
          <w:highlight w:val="none"/>
        </w:rPr>
      </w:pPr>
    </w:p>
    <w:p w14:paraId="619C5BDC">
      <w:pPr>
        <w:spacing w:line="500" w:lineRule="exact"/>
        <w:jc w:val="center"/>
        <w:rPr>
          <w:rFonts w:ascii="黑体" w:eastAsia="黑体"/>
          <w:color w:val="auto"/>
          <w:sz w:val="44"/>
          <w:szCs w:val="44"/>
          <w:highlight w:val="none"/>
        </w:rPr>
      </w:pPr>
    </w:p>
    <w:p w14:paraId="219E448B">
      <w:pPr>
        <w:spacing w:line="500" w:lineRule="exact"/>
        <w:jc w:val="center"/>
        <w:rPr>
          <w:rFonts w:ascii="黑体" w:eastAsia="黑体"/>
          <w:color w:val="auto"/>
          <w:sz w:val="44"/>
          <w:szCs w:val="44"/>
          <w:highlight w:val="none"/>
        </w:rPr>
      </w:pPr>
    </w:p>
    <w:p w14:paraId="3660B24F">
      <w:pPr>
        <w:spacing w:line="500" w:lineRule="exact"/>
        <w:ind w:firstLine="1680" w:firstLineChars="600"/>
        <w:rPr>
          <w:rFonts w:ascii="黑体" w:eastAsia="黑体"/>
          <w:color w:val="auto"/>
          <w:sz w:val="28"/>
          <w:szCs w:val="28"/>
          <w:highlight w:val="none"/>
        </w:rPr>
      </w:pPr>
      <w:r>
        <w:rPr>
          <w:rFonts w:hint="eastAsia" w:ascii="黑体" w:eastAsia="黑体"/>
          <w:color w:val="auto"/>
          <w:sz w:val="28"/>
          <w:szCs w:val="28"/>
          <w:highlight w:val="none"/>
        </w:rPr>
        <w:t>投标人（</w:t>
      </w:r>
      <w:r>
        <w:rPr>
          <w:rFonts w:hint="eastAsia" w:ascii="宋体" w:hAnsi="宋体"/>
          <w:color w:val="auto"/>
          <w:sz w:val="24"/>
          <w:highlight w:val="none"/>
        </w:rPr>
        <w:t>盖单位电子章</w:t>
      </w:r>
      <w:r>
        <w:rPr>
          <w:rFonts w:hint="eastAsia" w:ascii="黑体" w:eastAsia="黑体"/>
          <w:color w:val="auto"/>
          <w:sz w:val="28"/>
          <w:szCs w:val="28"/>
          <w:highlight w:val="none"/>
        </w:rPr>
        <w:t>）：</w:t>
      </w:r>
      <w:r>
        <w:rPr>
          <w:rFonts w:hint="eastAsia" w:ascii="黑体" w:eastAsia="黑体"/>
          <w:color w:val="auto"/>
          <w:sz w:val="28"/>
          <w:szCs w:val="28"/>
          <w:highlight w:val="none"/>
          <w:u w:val="single"/>
        </w:rPr>
        <w:t xml:space="preserve">                         </w:t>
      </w:r>
    </w:p>
    <w:p w14:paraId="1D5CA379">
      <w:pPr>
        <w:spacing w:line="500" w:lineRule="exact"/>
        <w:jc w:val="center"/>
        <w:rPr>
          <w:rFonts w:ascii="黑体" w:eastAsia="黑体"/>
          <w:color w:val="auto"/>
          <w:sz w:val="28"/>
          <w:szCs w:val="28"/>
          <w:highlight w:val="none"/>
          <w:u w:val="single"/>
        </w:rPr>
      </w:pPr>
    </w:p>
    <w:p w14:paraId="67D6DB65">
      <w:pPr>
        <w:spacing w:line="500" w:lineRule="exact"/>
        <w:jc w:val="center"/>
        <w:rPr>
          <w:rFonts w:ascii="黑体" w:eastAsia="黑体"/>
          <w:color w:val="auto"/>
          <w:sz w:val="28"/>
          <w:szCs w:val="28"/>
          <w:highlight w:val="none"/>
        </w:rPr>
      </w:pP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年</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月</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日</w:t>
      </w:r>
    </w:p>
    <w:p w14:paraId="18D173D6">
      <w:pPr>
        <w:spacing w:line="500" w:lineRule="exact"/>
        <w:jc w:val="center"/>
        <w:rPr>
          <w:color w:val="auto"/>
          <w:highlight w:val="none"/>
        </w:rPr>
      </w:pPr>
      <w:r>
        <w:rPr>
          <w:rFonts w:hint="eastAsia" w:ascii="黑体" w:eastAsia="黑体"/>
          <w:color w:val="auto"/>
          <w:sz w:val="28"/>
          <w:szCs w:val="28"/>
          <w:highlight w:val="none"/>
        </w:rPr>
        <w:br w:type="page"/>
      </w:r>
    </w:p>
    <w:p w14:paraId="024DB4F4">
      <w:pPr>
        <w:spacing w:line="500" w:lineRule="exact"/>
        <w:ind w:firstLine="640" w:firstLineChars="200"/>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目    录</w:t>
      </w:r>
    </w:p>
    <w:p w14:paraId="530C9026">
      <w:pPr>
        <w:spacing w:line="500" w:lineRule="exact"/>
        <w:ind w:firstLine="480" w:firstLineChars="200"/>
        <w:rPr>
          <w:color w:val="auto"/>
          <w:sz w:val="24"/>
          <w:highlight w:val="none"/>
        </w:rPr>
      </w:pPr>
      <w:r>
        <w:rPr>
          <w:rFonts w:hint="eastAsia"/>
          <w:color w:val="auto"/>
          <w:sz w:val="24"/>
          <w:highlight w:val="none"/>
        </w:rPr>
        <w:t>一、投标函及投标函附录</w:t>
      </w:r>
    </w:p>
    <w:p w14:paraId="4A50EDEA">
      <w:pPr>
        <w:spacing w:line="500" w:lineRule="exact"/>
        <w:ind w:firstLine="480" w:firstLineChars="200"/>
        <w:rPr>
          <w:color w:val="auto"/>
          <w:sz w:val="24"/>
          <w:highlight w:val="none"/>
        </w:rPr>
      </w:pPr>
      <w:r>
        <w:rPr>
          <w:rFonts w:hint="eastAsia"/>
          <w:color w:val="auto"/>
          <w:sz w:val="24"/>
          <w:highlight w:val="none"/>
        </w:rPr>
        <w:t>二、法定代表人身份证明</w:t>
      </w:r>
    </w:p>
    <w:p w14:paraId="6D1D9276">
      <w:pPr>
        <w:spacing w:line="500" w:lineRule="exact"/>
        <w:ind w:firstLine="480" w:firstLineChars="200"/>
        <w:rPr>
          <w:color w:val="auto"/>
          <w:sz w:val="24"/>
          <w:highlight w:val="none"/>
        </w:rPr>
      </w:pPr>
      <w:r>
        <w:rPr>
          <w:rFonts w:hint="eastAsia"/>
          <w:color w:val="auto"/>
          <w:sz w:val="24"/>
          <w:highlight w:val="none"/>
        </w:rPr>
        <w:t>三、授权委托书</w:t>
      </w:r>
    </w:p>
    <w:p w14:paraId="34AF6E48">
      <w:pPr>
        <w:spacing w:line="500" w:lineRule="exact"/>
        <w:ind w:firstLine="480" w:firstLineChars="200"/>
        <w:rPr>
          <w:color w:val="auto"/>
          <w:sz w:val="24"/>
          <w:highlight w:val="none"/>
        </w:rPr>
      </w:pPr>
      <w:r>
        <w:rPr>
          <w:rFonts w:hint="eastAsia"/>
          <w:color w:val="auto"/>
          <w:sz w:val="24"/>
          <w:highlight w:val="none"/>
        </w:rPr>
        <w:t>四、联合体协议书</w:t>
      </w:r>
    </w:p>
    <w:p w14:paraId="50A92DDE">
      <w:pPr>
        <w:spacing w:line="500" w:lineRule="exact"/>
        <w:ind w:firstLine="480" w:firstLineChars="200"/>
        <w:rPr>
          <w:color w:val="auto"/>
          <w:sz w:val="24"/>
          <w:highlight w:val="none"/>
        </w:rPr>
      </w:pPr>
      <w:r>
        <w:rPr>
          <w:rFonts w:hint="eastAsia"/>
          <w:color w:val="auto"/>
          <w:sz w:val="24"/>
          <w:highlight w:val="none"/>
        </w:rPr>
        <w:t>五、投标保证金</w:t>
      </w:r>
    </w:p>
    <w:p w14:paraId="655172FE">
      <w:pPr>
        <w:spacing w:line="500" w:lineRule="exact"/>
        <w:ind w:firstLine="480" w:firstLineChars="200"/>
        <w:rPr>
          <w:color w:val="auto"/>
          <w:sz w:val="24"/>
          <w:highlight w:val="none"/>
        </w:rPr>
      </w:pPr>
      <w:r>
        <w:rPr>
          <w:rFonts w:hint="eastAsia"/>
          <w:color w:val="auto"/>
          <w:sz w:val="24"/>
          <w:highlight w:val="none"/>
        </w:rPr>
        <w:t>六、监理服务费投标报价表</w:t>
      </w:r>
    </w:p>
    <w:p w14:paraId="1468A1EB">
      <w:pPr>
        <w:spacing w:line="500" w:lineRule="exact"/>
        <w:ind w:firstLine="480" w:firstLineChars="200"/>
        <w:rPr>
          <w:color w:val="auto"/>
          <w:sz w:val="24"/>
          <w:highlight w:val="none"/>
        </w:rPr>
      </w:pPr>
      <w:r>
        <w:rPr>
          <w:rFonts w:hint="eastAsia"/>
          <w:color w:val="auto"/>
          <w:sz w:val="24"/>
          <w:highlight w:val="none"/>
        </w:rPr>
        <w:t>七、监理机构</w:t>
      </w:r>
    </w:p>
    <w:p w14:paraId="08249C2F">
      <w:pPr>
        <w:spacing w:line="500" w:lineRule="exact"/>
        <w:ind w:firstLine="480" w:firstLineChars="200"/>
        <w:rPr>
          <w:color w:val="auto"/>
          <w:sz w:val="24"/>
          <w:highlight w:val="none"/>
        </w:rPr>
      </w:pPr>
      <w:r>
        <w:rPr>
          <w:rFonts w:hint="eastAsia"/>
          <w:color w:val="auto"/>
          <w:sz w:val="24"/>
          <w:highlight w:val="none"/>
        </w:rPr>
        <w:t>八、资格审查资料</w:t>
      </w:r>
    </w:p>
    <w:p w14:paraId="63602981">
      <w:pPr>
        <w:spacing w:line="500" w:lineRule="exact"/>
        <w:ind w:firstLine="480" w:firstLineChars="200"/>
        <w:rPr>
          <w:color w:val="auto"/>
          <w:sz w:val="24"/>
          <w:highlight w:val="none"/>
        </w:rPr>
      </w:pPr>
      <w:r>
        <w:rPr>
          <w:rFonts w:hint="eastAsia"/>
          <w:color w:val="auto"/>
          <w:sz w:val="24"/>
          <w:highlight w:val="none"/>
        </w:rPr>
        <w:t>九、定标要素情况表</w:t>
      </w:r>
    </w:p>
    <w:p w14:paraId="6BCF7100">
      <w:pPr>
        <w:spacing w:line="500" w:lineRule="exact"/>
        <w:ind w:firstLine="480" w:firstLineChars="200"/>
        <w:rPr>
          <w:color w:val="auto"/>
          <w:sz w:val="24"/>
          <w:highlight w:val="none"/>
        </w:rPr>
      </w:pPr>
      <w:r>
        <w:rPr>
          <w:rFonts w:hint="eastAsia"/>
          <w:color w:val="auto"/>
          <w:sz w:val="24"/>
          <w:highlight w:val="none"/>
        </w:rPr>
        <w:t>十、其他材料</w:t>
      </w:r>
    </w:p>
    <w:p w14:paraId="3C45E102">
      <w:pPr>
        <w:rPr>
          <w:color w:val="auto"/>
          <w:sz w:val="24"/>
          <w:highlight w:val="none"/>
        </w:rPr>
      </w:pPr>
    </w:p>
    <w:p w14:paraId="6CD0581E">
      <w:pPr>
        <w:rPr>
          <w:color w:val="auto"/>
          <w:sz w:val="24"/>
          <w:highlight w:val="none"/>
        </w:rPr>
      </w:pPr>
    </w:p>
    <w:p w14:paraId="71088D10">
      <w:pPr>
        <w:rPr>
          <w:color w:val="auto"/>
          <w:sz w:val="24"/>
          <w:highlight w:val="none"/>
        </w:rPr>
      </w:pPr>
    </w:p>
    <w:p w14:paraId="0494A356">
      <w:pPr>
        <w:rPr>
          <w:color w:val="auto"/>
          <w:sz w:val="24"/>
          <w:highlight w:val="none"/>
        </w:rPr>
      </w:pPr>
    </w:p>
    <w:p w14:paraId="508FBCF4">
      <w:pPr>
        <w:rPr>
          <w:color w:val="auto"/>
          <w:sz w:val="24"/>
          <w:highlight w:val="none"/>
        </w:rPr>
      </w:pPr>
    </w:p>
    <w:p w14:paraId="71ACA6DA">
      <w:pPr>
        <w:rPr>
          <w:color w:val="auto"/>
          <w:sz w:val="24"/>
          <w:highlight w:val="none"/>
        </w:rPr>
      </w:pPr>
    </w:p>
    <w:p w14:paraId="744761CF">
      <w:pPr>
        <w:rPr>
          <w:color w:val="auto"/>
          <w:sz w:val="24"/>
          <w:highlight w:val="none"/>
        </w:rPr>
      </w:pPr>
    </w:p>
    <w:p w14:paraId="43B9213F">
      <w:pPr>
        <w:rPr>
          <w:color w:val="auto"/>
          <w:sz w:val="24"/>
          <w:highlight w:val="none"/>
        </w:rPr>
      </w:pPr>
    </w:p>
    <w:p w14:paraId="5D461605">
      <w:pPr>
        <w:rPr>
          <w:color w:val="auto"/>
          <w:sz w:val="24"/>
          <w:highlight w:val="none"/>
        </w:rPr>
      </w:pPr>
    </w:p>
    <w:p w14:paraId="62A0A2D9">
      <w:pPr>
        <w:rPr>
          <w:color w:val="auto"/>
          <w:sz w:val="24"/>
          <w:highlight w:val="none"/>
        </w:rPr>
      </w:pPr>
    </w:p>
    <w:p w14:paraId="4307E635">
      <w:pPr>
        <w:rPr>
          <w:color w:val="auto"/>
          <w:sz w:val="24"/>
          <w:highlight w:val="none"/>
        </w:rPr>
      </w:pPr>
    </w:p>
    <w:p w14:paraId="48AA88EA">
      <w:pPr>
        <w:rPr>
          <w:color w:val="auto"/>
          <w:sz w:val="24"/>
          <w:highlight w:val="none"/>
        </w:rPr>
      </w:pPr>
    </w:p>
    <w:p w14:paraId="0990F65A">
      <w:pPr>
        <w:rPr>
          <w:color w:val="auto"/>
          <w:sz w:val="24"/>
          <w:highlight w:val="none"/>
        </w:rPr>
      </w:pPr>
    </w:p>
    <w:p w14:paraId="6521C431">
      <w:pPr>
        <w:rPr>
          <w:color w:val="auto"/>
          <w:sz w:val="24"/>
          <w:highlight w:val="none"/>
        </w:rPr>
      </w:pPr>
    </w:p>
    <w:p w14:paraId="6123EAE9">
      <w:pPr>
        <w:rPr>
          <w:color w:val="auto"/>
          <w:sz w:val="24"/>
          <w:highlight w:val="none"/>
        </w:rPr>
      </w:pPr>
    </w:p>
    <w:p w14:paraId="4815A0EB">
      <w:pPr>
        <w:rPr>
          <w:color w:val="auto"/>
          <w:sz w:val="24"/>
          <w:highlight w:val="none"/>
        </w:rPr>
      </w:pPr>
    </w:p>
    <w:p w14:paraId="4ED090F7">
      <w:pPr>
        <w:rPr>
          <w:color w:val="auto"/>
          <w:sz w:val="24"/>
          <w:highlight w:val="none"/>
        </w:rPr>
      </w:pPr>
    </w:p>
    <w:p w14:paraId="674D5AF1">
      <w:pPr>
        <w:rPr>
          <w:color w:val="auto"/>
          <w:sz w:val="24"/>
          <w:highlight w:val="none"/>
        </w:rPr>
      </w:pPr>
    </w:p>
    <w:p w14:paraId="096EA936">
      <w:pPr>
        <w:rPr>
          <w:color w:val="auto"/>
          <w:sz w:val="24"/>
          <w:highlight w:val="none"/>
        </w:rPr>
      </w:pPr>
    </w:p>
    <w:p w14:paraId="2A22A86C">
      <w:pPr>
        <w:rPr>
          <w:color w:val="auto"/>
          <w:sz w:val="24"/>
          <w:highlight w:val="none"/>
        </w:rPr>
      </w:pPr>
    </w:p>
    <w:p w14:paraId="3B312A9D">
      <w:pPr>
        <w:rPr>
          <w:color w:val="auto"/>
          <w:sz w:val="24"/>
          <w:highlight w:val="none"/>
        </w:rPr>
      </w:pPr>
    </w:p>
    <w:p w14:paraId="6567D4E4">
      <w:pPr>
        <w:rPr>
          <w:color w:val="auto"/>
          <w:sz w:val="24"/>
          <w:highlight w:val="none"/>
        </w:rPr>
      </w:pPr>
    </w:p>
    <w:p w14:paraId="54489C33">
      <w:pPr>
        <w:rPr>
          <w:color w:val="auto"/>
          <w:sz w:val="24"/>
          <w:highlight w:val="none"/>
        </w:rPr>
      </w:pPr>
    </w:p>
    <w:p w14:paraId="09660902">
      <w:pPr>
        <w:rPr>
          <w:color w:val="auto"/>
          <w:sz w:val="24"/>
          <w:highlight w:val="none"/>
        </w:rPr>
      </w:pPr>
    </w:p>
    <w:p w14:paraId="5C98B0A0">
      <w:pPr>
        <w:pStyle w:val="5"/>
        <w:jc w:val="center"/>
        <w:rPr>
          <w:color w:val="auto"/>
          <w:highlight w:val="none"/>
        </w:rPr>
      </w:pPr>
      <w:bookmarkStart w:id="1472" w:name="_Toc139453228"/>
      <w:bookmarkStart w:id="1473" w:name="_Toc139237034"/>
      <w:bookmarkStart w:id="1474" w:name="_Toc283558799"/>
      <w:bookmarkStart w:id="1475" w:name="_Toc222740172"/>
      <w:bookmarkStart w:id="1476" w:name="_Toc139433270"/>
      <w:bookmarkStart w:id="1477" w:name="_Toc307991237"/>
      <w:bookmarkStart w:id="1478" w:name="_Toc196474992"/>
      <w:bookmarkStart w:id="1479" w:name="_Toc139435631"/>
      <w:bookmarkStart w:id="1480" w:name="_Toc139431627"/>
      <w:bookmarkStart w:id="1481" w:name="_Toc330384489"/>
      <w:bookmarkStart w:id="1482" w:name="_Toc139451013"/>
      <w:bookmarkStart w:id="1483" w:name="_Toc286759140"/>
      <w:bookmarkStart w:id="1484" w:name="_Toc283559296"/>
      <w:bookmarkStart w:id="1485" w:name="_Toc487291626"/>
      <w:bookmarkStart w:id="1486" w:name="_Toc488651014"/>
      <w:bookmarkStart w:id="1487" w:name="_Toc356568015"/>
      <w:bookmarkStart w:id="1488" w:name="_Toc341805337"/>
      <w:r>
        <w:rPr>
          <w:rFonts w:hint="eastAsia"/>
          <w:color w:val="auto"/>
          <w:highlight w:val="none"/>
        </w:rPr>
        <w:t>一、</w:t>
      </w:r>
      <w:r>
        <w:rPr>
          <w:color w:val="auto"/>
          <w:highlight w:val="none"/>
        </w:rPr>
        <w:t>投标</w:t>
      </w:r>
      <w:r>
        <w:rPr>
          <w:rFonts w:hint="eastAsia"/>
          <w:color w:val="auto"/>
          <w:highlight w:val="none"/>
        </w:rPr>
        <w:t>函</w:t>
      </w:r>
      <w:bookmarkEnd w:id="1472"/>
      <w:bookmarkEnd w:id="1473"/>
      <w:bookmarkEnd w:id="1474"/>
      <w:bookmarkEnd w:id="1475"/>
      <w:bookmarkEnd w:id="1476"/>
      <w:bookmarkEnd w:id="1477"/>
      <w:bookmarkEnd w:id="1478"/>
      <w:bookmarkEnd w:id="1479"/>
      <w:bookmarkEnd w:id="1480"/>
      <w:bookmarkEnd w:id="1481"/>
      <w:bookmarkEnd w:id="1482"/>
      <w:bookmarkEnd w:id="1483"/>
      <w:bookmarkEnd w:id="1484"/>
      <w:r>
        <w:rPr>
          <w:rFonts w:hint="eastAsia"/>
          <w:color w:val="auto"/>
          <w:highlight w:val="none"/>
        </w:rPr>
        <w:t>及投标函附录</w:t>
      </w:r>
      <w:bookmarkEnd w:id="1485"/>
      <w:bookmarkEnd w:id="1486"/>
      <w:bookmarkEnd w:id="1487"/>
      <w:bookmarkEnd w:id="1488"/>
    </w:p>
    <w:p w14:paraId="07D56ED7">
      <w:pPr>
        <w:pStyle w:val="5"/>
        <w:spacing w:before="100" w:after="100"/>
        <w:jc w:val="center"/>
        <w:rPr>
          <w:rFonts w:ascii="黑体" w:hAnsi="宋体"/>
          <w:color w:val="auto"/>
          <w:sz w:val="24"/>
          <w:szCs w:val="24"/>
          <w:highlight w:val="none"/>
        </w:rPr>
      </w:pPr>
      <w:bookmarkStart w:id="1489" w:name="_Toc487619590"/>
      <w:bookmarkStart w:id="1490" w:name="_Toc341805338"/>
      <w:bookmarkStart w:id="1491" w:name="_Toc356568016"/>
      <w:bookmarkStart w:id="1492" w:name="_Toc488651015"/>
      <w:bookmarkStart w:id="1493" w:name="_Toc487291627"/>
      <w:r>
        <w:rPr>
          <w:rFonts w:hint="eastAsia" w:ascii="黑体" w:hAnsi="宋体"/>
          <w:color w:val="auto"/>
          <w:sz w:val="24"/>
          <w:szCs w:val="24"/>
          <w:highlight w:val="none"/>
        </w:rPr>
        <w:t>（一）投标函</w:t>
      </w:r>
      <w:bookmarkEnd w:id="1489"/>
      <w:bookmarkEnd w:id="1490"/>
      <w:bookmarkEnd w:id="1491"/>
      <w:bookmarkEnd w:id="1492"/>
      <w:bookmarkEnd w:id="1493"/>
    </w:p>
    <w:p w14:paraId="224FD30C">
      <w:pPr>
        <w:spacing w:line="460" w:lineRule="exact"/>
        <w:ind w:firstLine="480" w:firstLineChars="200"/>
        <w:rPr>
          <w:color w:val="auto"/>
          <w:sz w:val="24"/>
          <w:highlight w:val="none"/>
          <w:u w:val="single"/>
        </w:rPr>
      </w:pPr>
      <w:r>
        <w:rPr>
          <w:color w:val="auto"/>
          <w:sz w:val="24"/>
          <w:highlight w:val="none"/>
        </w:rPr>
        <w:t>致：</w:t>
      </w:r>
      <w:r>
        <w:rPr>
          <w:rFonts w:hint="eastAsia"/>
          <w:color w:val="auto"/>
          <w:sz w:val="24"/>
          <w:highlight w:val="none"/>
          <w:u w:val="single"/>
        </w:rPr>
        <w:t xml:space="preserve">               </w:t>
      </w:r>
      <w:r>
        <w:rPr>
          <w:color w:val="auto"/>
          <w:sz w:val="24"/>
          <w:highlight w:val="none"/>
        </w:rPr>
        <w:t>（招标人全称）</w:t>
      </w:r>
    </w:p>
    <w:p w14:paraId="41FF090C">
      <w:pPr>
        <w:spacing w:line="460" w:lineRule="exact"/>
        <w:ind w:firstLine="480" w:firstLineChars="200"/>
        <w:rPr>
          <w:color w:val="auto"/>
          <w:sz w:val="24"/>
          <w:highlight w:val="none"/>
        </w:rPr>
      </w:pPr>
      <w:r>
        <w:rPr>
          <w:rFonts w:hint="eastAsia"/>
          <w:color w:val="auto"/>
          <w:sz w:val="24"/>
          <w:highlight w:val="none"/>
        </w:rPr>
        <w:t>1．</w:t>
      </w:r>
      <w:r>
        <w:rPr>
          <w:rFonts w:hint="eastAsia" w:ascii="宋体" w:hAnsi="宋体"/>
          <w:color w:val="auto"/>
          <w:sz w:val="24"/>
          <w:highlight w:val="none"/>
        </w:rPr>
        <w:t>我方</w:t>
      </w:r>
      <w:r>
        <w:rPr>
          <w:rFonts w:hint="eastAsia"/>
          <w:color w:val="auto"/>
          <w:sz w:val="24"/>
          <w:highlight w:val="none"/>
        </w:rPr>
        <w:t>已仔细</w:t>
      </w:r>
      <w:r>
        <w:rPr>
          <w:color w:val="auto"/>
          <w:sz w:val="24"/>
          <w:highlight w:val="none"/>
        </w:rPr>
        <w:t>研究了</w:t>
      </w:r>
      <w:r>
        <w:rPr>
          <w:rFonts w:hint="eastAsia"/>
          <w:color w:val="auto"/>
          <w:sz w:val="24"/>
          <w:highlight w:val="none"/>
          <w:u w:val="single"/>
        </w:rPr>
        <w:t xml:space="preserve">                </w:t>
      </w:r>
      <w:r>
        <w:rPr>
          <w:rFonts w:hint="eastAsia"/>
          <w:color w:val="auto"/>
          <w:sz w:val="24"/>
          <w:highlight w:val="none"/>
        </w:rPr>
        <w:t>（项目名称）施工</w:t>
      </w:r>
      <w:r>
        <w:rPr>
          <w:color w:val="auto"/>
          <w:sz w:val="24"/>
          <w:highlight w:val="none"/>
        </w:rPr>
        <w:t>监理招标文件的</w:t>
      </w:r>
      <w:r>
        <w:rPr>
          <w:rFonts w:hint="eastAsia"/>
          <w:color w:val="auto"/>
          <w:sz w:val="24"/>
          <w:highlight w:val="none"/>
        </w:rPr>
        <w:t>全部内容，</w:t>
      </w:r>
      <w:r>
        <w:rPr>
          <w:color w:val="auto"/>
          <w:sz w:val="24"/>
          <w:highlight w:val="none"/>
        </w:rPr>
        <w:t>愿意以</w:t>
      </w:r>
      <w:r>
        <w:rPr>
          <w:rFonts w:hint="eastAsia"/>
          <w:color w:val="auto"/>
          <w:sz w:val="24"/>
          <w:highlight w:val="none"/>
        </w:rPr>
        <w:t>人民币（大写）</w:t>
      </w:r>
      <w:r>
        <w:rPr>
          <w:rFonts w:hint="eastAsia"/>
          <w:color w:val="auto"/>
          <w:sz w:val="24"/>
          <w:highlight w:val="none"/>
          <w:u w:val="single"/>
        </w:rPr>
        <w:t xml:space="preserve">         </w:t>
      </w:r>
      <w:r>
        <w:rPr>
          <w:rFonts w:hint="eastAsia"/>
          <w:color w:val="auto"/>
          <w:sz w:val="24"/>
          <w:highlight w:val="none"/>
        </w:rPr>
        <w:t>元（</w:t>
      </w:r>
      <w:r>
        <w:rPr>
          <w:color w:val="auto"/>
          <w:sz w:val="24"/>
          <w:highlight w:val="none"/>
        </w:rPr>
        <w:t>¥</w:t>
      </w:r>
      <w:r>
        <w:rPr>
          <w:rFonts w:hint="eastAsia"/>
          <w:color w:val="auto"/>
          <w:sz w:val="24"/>
          <w:highlight w:val="none"/>
          <w:u w:val="single"/>
        </w:rPr>
        <w:t xml:space="preserve">         </w:t>
      </w:r>
      <w:r>
        <w:rPr>
          <w:rFonts w:hint="eastAsia"/>
          <w:color w:val="auto"/>
          <w:sz w:val="24"/>
          <w:highlight w:val="none"/>
        </w:rPr>
        <w:t>）的监理服务费总价，按合同约定承担并完成本工程的施工监理服务工作</w:t>
      </w:r>
      <w:r>
        <w:rPr>
          <w:color w:val="auto"/>
          <w:sz w:val="24"/>
          <w:highlight w:val="none"/>
        </w:rPr>
        <w:t>。</w:t>
      </w:r>
    </w:p>
    <w:p w14:paraId="1FD64E98">
      <w:pPr>
        <w:spacing w:line="460" w:lineRule="exact"/>
        <w:ind w:firstLine="480" w:firstLineChars="200"/>
        <w:rPr>
          <w:rFonts w:ascii="宋体" w:hAnsi="宋体"/>
          <w:color w:val="auto"/>
          <w:sz w:val="24"/>
          <w:highlight w:val="none"/>
        </w:rPr>
      </w:pPr>
      <w:r>
        <w:rPr>
          <w:rFonts w:hint="eastAsia"/>
          <w:color w:val="auto"/>
          <w:sz w:val="24"/>
          <w:highlight w:val="none"/>
        </w:rPr>
        <w:t>2．</w:t>
      </w:r>
      <w:r>
        <w:rPr>
          <w:rFonts w:hint="eastAsia" w:ascii="宋体" w:hAnsi="宋体"/>
          <w:color w:val="auto"/>
          <w:sz w:val="24"/>
          <w:highlight w:val="none"/>
        </w:rPr>
        <w:t>我方承诺在投标有效期内不修改、撤销投标文件。</w:t>
      </w:r>
    </w:p>
    <w:p w14:paraId="0E6661DF">
      <w:pPr>
        <w:spacing w:line="460" w:lineRule="exact"/>
        <w:ind w:firstLine="480" w:firstLineChars="200"/>
        <w:rPr>
          <w:rFonts w:ascii="宋体" w:hAnsi="宋体"/>
          <w:color w:val="auto"/>
          <w:sz w:val="24"/>
          <w:highlight w:val="none"/>
        </w:rPr>
      </w:pPr>
      <w:r>
        <w:rPr>
          <w:rFonts w:hint="eastAsia"/>
          <w:color w:val="auto"/>
          <w:sz w:val="24"/>
          <w:highlight w:val="none"/>
        </w:rPr>
        <w:t>3．</w:t>
      </w:r>
      <w:r>
        <w:rPr>
          <w:rFonts w:hint="eastAsia" w:ascii="宋体" w:hAnsi="宋体"/>
          <w:color w:val="auto"/>
          <w:sz w:val="24"/>
          <w:highlight w:val="none"/>
        </w:rPr>
        <w:t xml:space="preserve">□随同本投标函提交投标保证金一份，金额为人民币（大写） </w:t>
      </w:r>
      <w:r>
        <w:rPr>
          <w:rFonts w:hint="eastAsia" w:ascii="宋体" w:hAnsi="宋体"/>
          <w:color w:val="auto"/>
          <w:sz w:val="24"/>
          <w:highlight w:val="none"/>
          <w:u w:val="single"/>
        </w:rPr>
        <w:t xml:space="preserve">         </w:t>
      </w:r>
      <w:r>
        <w:rPr>
          <w:rFonts w:hint="eastAsia" w:ascii="宋体" w:hAnsi="宋体"/>
          <w:color w:val="auto"/>
          <w:sz w:val="24"/>
          <w:highlight w:val="none"/>
        </w:rPr>
        <w:t>元（¥</w:t>
      </w:r>
      <w:r>
        <w:rPr>
          <w:rFonts w:hint="eastAsia" w:ascii="宋体" w:hAnsi="宋体"/>
          <w:color w:val="auto"/>
          <w:sz w:val="24"/>
          <w:highlight w:val="none"/>
          <w:u w:val="single"/>
        </w:rPr>
        <w:t xml:space="preserve">            </w:t>
      </w:r>
      <w:r>
        <w:rPr>
          <w:rFonts w:hint="eastAsia" w:ascii="宋体" w:hAnsi="宋体"/>
          <w:color w:val="auto"/>
          <w:sz w:val="24"/>
          <w:highlight w:val="none"/>
        </w:rPr>
        <w:t>元）（符合招标文件规定的投标保证金优惠情形的，此处按实际金额填写）；</w:t>
      </w:r>
    </w:p>
    <w:p w14:paraId="00B77337">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□我方按招标文件规定免缴投标保证金。</w:t>
      </w:r>
    </w:p>
    <w:p w14:paraId="3DE8B186">
      <w:pPr>
        <w:spacing w:line="460" w:lineRule="exact"/>
        <w:ind w:firstLine="480" w:firstLineChars="200"/>
        <w:rPr>
          <w:rFonts w:ascii="宋体" w:hAnsi="宋体"/>
          <w:color w:val="auto"/>
          <w:sz w:val="24"/>
          <w:highlight w:val="none"/>
        </w:rPr>
      </w:pPr>
      <w:r>
        <w:rPr>
          <w:rFonts w:hint="eastAsia"/>
          <w:color w:val="auto"/>
          <w:sz w:val="24"/>
          <w:highlight w:val="none"/>
        </w:rPr>
        <w:t>4．</w:t>
      </w:r>
      <w:r>
        <w:rPr>
          <w:rFonts w:hint="eastAsia" w:ascii="宋体" w:hAnsi="宋体"/>
          <w:color w:val="auto"/>
          <w:sz w:val="24"/>
          <w:highlight w:val="none"/>
        </w:rPr>
        <w:t>如我方中标：</w:t>
      </w:r>
    </w:p>
    <w:p w14:paraId="7C8EA117">
      <w:pPr>
        <w:spacing w:line="460" w:lineRule="exact"/>
        <w:ind w:firstLine="480" w:firstLineChars="200"/>
        <w:rPr>
          <w:rFonts w:ascii="宋体" w:hAnsi="宋体"/>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w:t>
      </w:r>
      <w:r>
        <w:rPr>
          <w:rFonts w:hint="eastAsia" w:ascii="宋体" w:hAnsi="宋体"/>
          <w:color w:val="auto"/>
          <w:sz w:val="24"/>
          <w:highlight w:val="none"/>
        </w:rPr>
        <w:t>我方承诺在收到中标通知书后，在中标通知书规定的期限内与你方签订施工监理合同。</w:t>
      </w:r>
    </w:p>
    <w:p w14:paraId="6FD00DD6">
      <w:pPr>
        <w:spacing w:line="460" w:lineRule="exact"/>
        <w:ind w:firstLine="480" w:firstLineChars="200"/>
        <w:rPr>
          <w:rFonts w:ascii="宋体" w:hAnsi="宋体"/>
          <w:color w:val="auto"/>
          <w:sz w:val="24"/>
          <w:highlight w:val="none"/>
        </w:rPr>
      </w:pPr>
      <w:r>
        <w:rPr>
          <w:rFonts w:hint="eastAsia"/>
          <w:color w:val="auto"/>
          <w:sz w:val="24"/>
          <w:highlight w:val="none"/>
        </w:rPr>
        <w:t>（2）</w:t>
      </w:r>
      <w:r>
        <w:rPr>
          <w:rFonts w:hint="eastAsia" w:ascii="宋体" w:hAnsi="宋体"/>
          <w:color w:val="auto"/>
          <w:sz w:val="24"/>
          <w:highlight w:val="none"/>
        </w:rPr>
        <w:t>随同本投标函递交的投标函附录属于合同文件的组成部分。</w:t>
      </w:r>
    </w:p>
    <w:p w14:paraId="3E701B1C">
      <w:pPr>
        <w:spacing w:line="460" w:lineRule="exact"/>
        <w:ind w:firstLine="480" w:firstLineChars="200"/>
        <w:rPr>
          <w:rFonts w:ascii="宋体" w:hAnsi="宋体"/>
          <w:color w:val="auto"/>
          <w:sz w:val="24"/>
          <w:highlight w:val="none"/>
        </w:rPr>
      </w:pPr>
      <w:r>
        <w:rPr>
          <w:rFonts w:hint="eastAsia"/>
          <w:color w:val="auto"/>
          <w:sz w:val="24"/>
          <w:highlight w:val="none"/>
        </w:rPr>
        <w:t>（3）</w:t>
      </w:r>
      <w:r>
        <w:rPr>
          <w:rFonts w:hint="eastAsia" w:ascii="宋体" w:hAnsi="宋体"/>
          <w:color w:val="auto"/>
          <w:sz w:val="24"/>
          <w:highlight w:val="none"/>
        </w:rPr>
        <w:t>我方承诺按照招标文件规定向你方递交履约保证金。</w:t>
      </w:r>
    </w:p>
    <w:p w14:paraId="565C631B">
      <w:pPr>
        <w:spacing w:line="460" w:lineRule="exact"/>
        <w:ind w:firstLine="480" w:firstLineChars="200"/>
        <w:rPr>
          <w:rFonts w:ascii="宋体" w:hAnsi="宋体"/>
          <w:color w:val="auto"/>
          <w:sz w:val="24"/>
          <w:highlight w:val="none"/>
        </w:rPr>
      </w:pPr>
      <w:r>
        <w:rPr>
          <w:rFonts w:hint="eastAsia"/>
          <w:color w:val="auto"/>
          <w:sz w:val="24"/>
          <w:highlight w:val="none"/>
        </w:rPr>
        <w:t>（4）</w:t>
      </w:r>
      <w:r>
        <w:rPr>
          <w:rFonts w:hint="eastAsia" w:ascii="宋体" w:hAnsi="宋体"/>
          <w:color w:val="auto"/>
          <w:sz w:val="24"/>
          <w:highlight w:val="none"/>
        </w:rPr>
        <w:t>我方承诺</w:t>
      </w:r>
      <w:r>
        <w:rPr>
          <w:rFonts w:ascii="宋体" w:hAnsi="宋体"/>
          <w:color w:val="auto"/>
          <w:sz w:val="24"/>
          <w:highlight w:val="none"/>
        </w:rPr>
        <w:t>在接到</w:t>
      </w:r>
      <w:r>
        <w:rPr>
          <w:rFonts w:hint="eastAsia" w:ascii="宋体" w:hAnsi="宋体"/>
          <w:color w:val="auto"/>
          <w:sz w:val="24"/>
          <w:highlight w:val="none"/>
        </w:rPr>
        <w:t>发包</w:t>
      </w:r>
      <w:r>
        <w:rPr>
          <w:rFonts w:ascii="宋体" w:hAnsi="宋体"/>
          <w:color w:val="auto"/>
          <w:sz w:val="24"/>
          <w:highlight w:val="none"/>
        </w:rPr>
        <w:t>人的</w:t>
      </w:r>
      <w:r>
        <w:rPr>
          <w:rFonts w:hint="eastAsia" w:ascii="宋体" w:hAnsi="宋体"/>
          <w:color w:val="auto"/>
          <w:sz w:val="24"/>
          <w:highlight w:val="none"/>
        </w:rPr>
        <w:t>书面</w:t>
      </w:r>
      <w:r>
        <w:rPr>
          <w:rFonts w:ascii="宋体" w:hAnsi="宋体"/>
          <w:color w:val="auto"/>
          <w:sz w:val="24"/>
          <w:highlight w:val="none"/>
        </w:rPr>
        <w:t>进驻通知后</w:t>
      </w:r>
      <w:r>
        <w:rPr>
          <w:rFonts w:hint="eastAsia" w:ascii="宋体" w:hAnsi="宋体"/>
          <w:color w:val="auto"/>
          <w:sz w:val="24"/>
          <w:highlight w:val="none"/>
        </w:rPr>
        <w:t>在发包人要求的期限内</w:t>
      </w:r>
      <w:r>
        <w:rPr>
          <w:rFonts w:ascii="宋体" w:hAnsi="宋体"/>
          <w:color w:val="auto"/>
          <w:sz w:val="24"/>
          <w:highlight w:val="none"/>
        </w:rPr>
        <w:t>进驻现场并开展监理工作。</w:t>
      </w:r>
    </w:p>
    <w:p w14:paraId="34DC1518">
      <w:pPr>
        <w:spacing w:line="460" w:lineRule="exact"/>
        <w:ind w:firstLine="480" w:firstLineChars="200"/>
        <w:rPr>
          <w:rFonts w:ascii="宋体" w:hAnsi="宋体"/>
          <w:color w:val="auto"/>
          <w:sz w:val="24"/>
          <w:highlight w:val="none"/>
        </w:rPr>
      </w:pPr>
      <w:r>
        <w:rPr>
          <w:rFonts w:hint="eastAsia"/>
          <w:color w:val="auto"/>
          <w:sz w:val="24"/>
          <w:highlight w:val="none"/>
        </w:rPr>
        <w:t>5．</w:t>
      </w:r>
      <w:r>
        <w:rPr>
          <w:rFonts w:hint="eastAsia" w:ascii="宋体" w:hAnsi="宋体"/>
          <w:color w:val="auto"/>
          <w:sz w:val="24"/>
          <w:highlight w:val="none"/>
        </w:rPr>
        <w:t>我方在此声明，所递交的投标文件及有关资料内容完整、真实和准确，且不存在第二章“投标人须知”第1.4.3款规定的任何一种情形。</w:t>
      </w:r>
    </w:p>
    <w:p w14:paraId="555B9778">
      <w:pPr>
        <w:spacing w:line="460" w:lineRule="exact"/>
        <w:ind w:firstLine="480" w:firstLineChars="200"/>
        <w:rPr>
          <w:rFonts w:ascii="宋体" w:hAnsi="宋体"/>
          <w:color w:val="auto"/>
          <w:sz w:val="24"/>
          <w:highlight w:val="none"/>
        </w:rPr>
      </w:pPr>
      <w:r>
        <w:rPr>
          <w:rFonts w:hint="eastAsia"/>
          <w:color w:val="auto"/>
          <w:sz w:val="24"/>
          <w:highlight w:val="none"/>
        </w:rPr>
        <w:t>6．</w:t>
      </w:r>
      <w:r>
        <w:rPr>
          <w:rFonts w:hint="eastAsia" w:ascii="宋体" w:hAnsi="宋体"/>
          <w:color w:val="auto"/>
          <w:sz w:val="24"/>
          <w:highlight w:val="none"/>
          <w:u w:val="single"/>
        </w:rPr>
        <w:t xml:space="preserve">                     </w:t>
      </w:r>
      <w:r>
        <w:rPr>
          <w:rFonts w:hint="eastAsia" w:ascii="宋体" w:hAnsi="宋体"/>
          <w:color w:val="auto"/>
          <w:sz w:val="24"/>
          <w:highlight w:val="none"/>
        </w:rPr>
        <w:t>（其他补充说明）。</w:t>
      </w:r>
    </w:p>
    <w:p w14:paraId="66C491B3">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7.如我方为满足投标保证金优惠规定的投标人，出现法律法规规定的没收投标保证金情形的，我方承诺按招标文件要求的金额缴足投标保证金。</w:t>
      </w:r>
    </w:p>
    <w:p w14:paraId="36B77552">
      <w:pPr>
        <w:spacing w:line="360" w:lineRule="auto"/>
        <w:ind w:firstLine="480" w:firstLineChars="200"/>
        <w:rPr>
          <w:rFonts w:ascii="宋体" w:hAnsi="宋体"/>
          <w:color w:val="auto"/>
          <w:sz w:val="24"/>
          <w:highlight w:val="none"/>
        </w:rPr>
      </w:pPr>
    </w:p>
    <w:p w14:paraId="239F5322">
      <w:pPr>
        <w:spacing w:after="240" w:line="240" w:lineRule="exact"/>
        <w:ind w:right="420" w:firstLine="4080" w:firstLineChars="1700"/>
        <w:rPr>
          <w:color w:val="auto"/>
          <w:sz w:val="24"/>
          <w:highlight w:val="none"/>
          <w:u w:val="single"/>
        </w:rPr>
      </w:pPr>
      <w:r>
        <w:rPr>
          <w:rFonts w:hint="eastAsia"/>
          <w:color w:val="auto"/>
          <w:sz w:val="24"/>
          <w:highlight w:val="none"/>
        </w:rPr>
        <w:t>投标人（</w:t>
      </w:r>
      <w:r>
        <w:rPr>
          <w:rFonts w:hint="eastAsia" w:ascii="宋体" w:hAnsi="宋体"/>
          <w:color w:val="auto"/>
          <w:sz w:val="24"/>
          <w:highlight w:val="none"/>
        </w:rPr>
        <w:t>盖单位电子章</w:t>
      </w:r>
      <w:r>
        <w:rPr>
          <w:rFonts w:hint="eastAsia"/>
          <w:color w:val="auto"/>
          <w:sz w:val="24"/>
          <w:highlight w:val="none"/>
        </w:rPr>
        <w:t>）：</w:t>
      </w:r>
      <w:r>
        <w:rPr>
          <w:rFonts w:hint="eastAsia"/>
          <w:color w:val="auto"/>
          <w:sz w:val="24"/>
          <w:highlight w:val="none"/>
          <w:u w:val="single"/>
        </w:rPr>
        <w:t xml:space="preserve">                    </w:t>
      </w:r>
    </w:p>
    <w:p w14:paraId="029167D0">
      <w:pPr>
        <w:spacing w:before="240" w:after="360" w:line="240" w:lineRule="exact"/>
        <w:rPr>
          <w:color w:val="auto"/>
          <w:sz w:val="24"/>
          <w:highlight w:val="none"/>
          <w:u w:val="single"/>
        </w:rPr>
      </w:pPr>
      <w:r>
        <w:rPr>
          <w:rFonts w:hint="eastAsia"/>
          <w:color w:val="auto"/>
          <w:sz w:val="24"/>
          <w:highlight w:val="none"/>
        </w:rPr>
        <w:t xml:space="preserve">                                  地  址：</w:t>
      </w:r>
      <w:r>
        <w:rPr>
          <w:rFonts w:hint="eastAsia"/>
          <w:color w:val="auto"/>
          <w:sz w:val="24"/>
          <w:highlight w:val="none"/>
          <w:u w:val="single"/>
        </w:rPr>
        <w:t xml:space="preserve">                                 </w:t>
      </w:r>
    </w:p>
    <w:p w14:paraId="6AE18517">
      <w:pPr>
        <w:spacing w:before="240" w:after="360" w:line="240" w:lineRule="exact"/>
        <w:ind w:firstLine="4080" w:firstLineChars="1700"/>
        <w:rPr>
          <w:color w:val="auto"/>
          <w:sz w:val="24"/>
          <w:highlight w:val="none"/>
        </w:rPr>
      </w:pPr>
      <w:r>
        <w:rPr>
          <w:rFonts w:hint="eastAsia"/>
          <w:color w:val="auto"/>
          <w:sz w:val="24"/>
          <w:highlight w:val="none"/>
        </w:rPr>
        <w:t>网  址：</w:t>
      </w:r>
      <w:r>
        <w:rPr>
          <w:rFonts w:hint="eastAsia"/>
          <w:color w:val="auto"/>
          <w:sz w:val="24"/>
          <w:highlight w:val="none"/>
          <w:u w:val="single"/>
        </w:rPr>
        <w:t xml:space="preserve">                                 </w:t>
      </w:r>
    </w:p>
    <w:p w14:paraId="3E3E403E">
      <w:pPr>
        <w:spacing w:before="240" w:after="360" w:line="240" w:lineRule="exact"/>
        <w:ind w:firstLine="4080" w:firstLineChars="1700"/>
        <w:rPr>
          <w:color w:val="auto"/>
          <w:sz w:val="24"/>
          <w:highlight w:val="none"/>
          <w:u w:val="single"/>
        </w:rPr>
      </w:pPr>
      <w:r>
        <w:rPr>
          <w:rFonts w:hint="eastAsia"/>
          <w:color w:val="auto"/>
          <w:sz w:val="24"/>
          <w:highlight w:val="none"/>
        </w:rPr>
        <w:t>电  话：</w:t>
      </w:r>
      <w:r>
        <w:rPr>
          <w:rFonts w:hint="eastAsia"/>
          <w:color w:val="auto"/>
          <w:sz w:val="24"/>
          <w:highlight w:val="none"/>
          <w:u w:val="single"/>
        </w:rPr>
        <w:t xml:space="preserve">                                 </w:t>
      </w:r>
    </w:p>
    <w:p w14:paraId="1275C5EE">
      <w:pPr>
        <w:spacing w:before="240" w:after="360" w:line="240" w:lineRule="exact"/>
        <w:ind w:firstLine="4080" w:firstLineChars="1700"/>
        <w:rPr>
          <w:color w:val="auto"/>
          <w:sz w:val="24"/>
          <w:highlight w:val="none"/>
          <w:u w:val="single"/>
        </w:rPr>
      </w:pPr>
      <w:r>
        <w:rPr>
          <w:rFonts w:hint="eastAsia"/>
          <w:color w:val="auto"/>
          <w:sz w:val="24"/>
          <w:highlight w:val="none"/>
        </w:rPr>
        <w:t>传  真：</w:t>
      </w:r>
      <w:r>
        <w:rPr>
          <w:rFonts w:hint="eastAsia"/>
          <w:color w:val="auto"/>
          <w:sz w:val="24"/>
          <w:highlight w:val="none"/>
          <w:u w:val="single"/>
        </w:rPr>
        <w:t xml:space="preserve">                                 </w:t>
      </w:r>
    </w:p>
    <w:p w14:paraId="749CFADD">
      <w:pPr>
        <w:spacing w:before="240" w:after="360" w:line="240" w:lineRule="exact"/>
        <w:ind w:firstLine="4080" w:firstLineChars="1700"/>
        <w:rPr>
          <w:color w:val="auto"/>
          <w:sz w:val="24"/>
          <w:highlight w:val="none"/>
          <w:u w:val="single"/>
        </w:rPr>
      </w:pPr>
      <w:r>
        <w:rPr>
          <w:rFonts w:hint="eastAsia"/>
          <w:color w:val="auto"/>
          <w:sz w:val="24"/>
          <w:highlight w:val="none"/>
        </w:rPr>
        <w:t>邮  编：</w:t>
      </w:r>
      <w:r>
        <w:rPr>
          <w:rFonts w:hint="eastAsia"/>
          <w:color w:val="auto"/>
          <w:sz w:val="24"/>
          <w:highlight w:val="none"/>
          <w:u w:val="single"/>
        </w:rPr>
        <w:t xml:space="preserve">                                 </w:t>
      </w:r>
    </w:p>
    <w:p w14:paraId="4308960F">
      <w:pPr>
        <w:spacing w:before="240" w:after="360" w:line="240" w:lineRule="exact"/>
        <w:ind w:firstLine="4080" w:firstLineChars="1700"/>
        <w:rPr>
          <w:color w:val="auto"/>
          <w:sz w:val="24"/>
          <w:highlight w:val="none"/>
        </w:rPr>
      </w:pPr>
      <w:r>
        <w:rPr>
          <w:rFonts w:hint="eastAsia"/>
          <w:color w:val="auto"/>
          <w:sz w:val="24"/>
          <w:highlight w:val="none"/>
        </w:rPr>
        <w:t>日  期：</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14:paraId="7AEC3EC9">
      <w:pPr>
        <w:pStyle w:val="5"/>
        <w:spacing w:before="100" w:after="100"/>
        <w:jc w:val="center"/>
        <w:rPr>
          <w:rFonts w:ascii="黑体" w:hAnsi="宋体"/>
          <w:color w:val="auto"/>
          <w:sz w:val="24"/>
          <w:szCs w:val="24"/>
          <w:highlight w:val="none"/>
        </w:rPr>
        <w:sectPr>
          <w:pgSz w:w="11910" w:h="16840"/>
          <w:pgMar w:top="1600" w:right="520" w:bottom="1180" w:left="820" w:header="0" w:footer="982" w:gutter="0"/>
          <w:cols w:space="720" w:num="1"/>
        </w:sectPr>
      </w:pPr>
      <w:bookmarkStart w:id="1494" w:name="_Toc487291628"/>
      <w:bookmarkStart w:id="1495" w:name="_Toc488651016"/>
      <w:bookmarkStart w:id="1496" w:name="_Toc356568017"/>
      <w:bookmarkStart w:id="1497" w:name="_Toc487619591"/>
      <w:bookmarkStart w:id="1498" w:name="_Toc341805339"/>
    </w:p>
    <w:p w14:paraId="22AC19BB">
      <w:pPr>
        <w:pStyle w:val="5"/>
        <w:spacing w:before="100" w:after="100"/>
        <w:jc w:val="center"/>
        <w:rPr>
          <w:rFonts w:ascii="黑体" w:hAnsi="宋体"/>
          <w:color w:val="auto"/>
          <w:sz w:val="24"/>
          <w:szCs w:val="24"/>
          <w:highlight w:val="none"/>
        </w:rPr>
      </w:pPr>
      <w:r>
        <w:rPr>
          <w:rFonts w:hint="eastAsia" w:ascii="黑体" w:hAnsi="宋体"/>
          <w:color w:val="auto"/>
          <w:sz w:val="24"/>
          <w:szCs w:val="24"/>
          <w:highlight w:val="none"/>
        </w:rPr>
        <w:t>（二）</w:t>
      </w:r>
      <w:r>
        <w:rPr>
          <w:rFonts w:ascii="黑体" w:hAnsi="宋体"/>
          <w:color w:val="auto"/>
          <w:sz w:val="24"/>
          <w:szCs w:val="24"/>
          <w:highlight w:val="none"/>
        </w:rPr>
        <w:t>投标</w:t>
      </w:r>
      <w:r>
        <w:rPr>
          <w:rFonts w:hint="eastAsia" w:ascii="黑体" w:hAnsi="宋体"/>
          <w:color w:val="auto"/>
          <w:sz w:val="24"/>
          <w:szCs w:val="24"/>
          <w:highlight w:val="none"/>
        </w:rPr>
        <w:t>函</w:t>
      </w:r>
      <w:r>
        <w:rPr>
          <w:rFonts w:ascii="黑体" w:hAnsi="宋体"/>
          <w:color w:val="auto"/>
          <w:sz w:val="24"/>
          <w:szCs w:val="24"/>
          <w:highlight w:val="none"/>
        </w:rPr>
        <w:t>附录</w:t>
      </w:r>
      <w:bookmarkEnd w:id="1494"/>
      <w:bookmarkEnd w:id="1495"/>
      <w:bookmarkEnd w:id="1496"/>
      <w:bookmarkEnd w:id="1497"/>
      <w:bookmarkEnd w:id="1498"/>
    </w:p>
    <w:p w14:paraId="32CC0534">
      <w:pPr>
        <w:spacing w:line="360" w:lineRule="auto"/>
        <w:ind w:firstLine="630" w:firstLineChars="300"/>
        <w:rPr>
          <w:rFonts w:ascii="宋体" w:hAnsi="宋体"/>
          <w:color w:val="auto"/>
          <w:highlight w:val="none"/>
        </w:rPr>
      </w:pP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955"/>
        <w:gridCol w:w="2695"/>
        <w:gridCol w:w="4689"/>
      </w:tblGrid>
      <w:tr w14:paraId="4ED5E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531" w:type="dxa"/>
            <w:vAlign w:val="center"/>
          </w:tcPr>
          <w:p w14:paraId="158B0426">
            <w:pPr>
              <w:spacing w:line="240" w:lineRule="atLeast"/>
              <w:jc w:val="center"/>
              <w:rPr>
                <w:color w:val="auto"/>
                <w:sz w:val="24"/>
                <w:highlight w:val="none"/>
              </w:rPr>
            </w:pPr>
            <w:r>
              <w:rPr>
                <w:rFonts w:hint="eastAsia"/>
                <w:color w:val="auto"/>
                <w:sz w:val="24"/>
                <w:highlight w:val="none"/>
              </w:rPr>
              <w:t>序号</w:t>
            </w:r>
          </w:p>
        </w:tc>
        <w:tc>
          <w:tcPr>
            <w:tcW w:w="3650" w:type="dxa"/>
            <w:gridSpan w:val="2"/>
            <w:vAlign w:val="center"/>
          </w:tcPr>
          <w:p w14:paraId="40BC025F">
            <w:pPr>
              <w:spacing w:line="240" w:lineRule="atLeast"/>
              <w:jc w:val="center"/>
              <w:rPr>
                <w:color w:val="auto"/>
                <w:sz w:val="24"/>
                <w:highlight w:val="none"/>
              </w:rPr>
            </w:pPr>
            <w:r>
              <w:rPr>
                <w:rFonts w:hint="eastAsia"/>
                <w:color w:val="auto"/>
                <w:sz w:val="24"/>
                <w:highlight w:val="none"/>
              </w:rPr>
              <w:t>项</w:t>
            </w:r>
            <w:r>
              <w:rPr>
                <w:color w:val="auto"/>
                <w:sz w:val="24"/>
                <w:highlight w:val="none"/>
              </w:rPr>
              <w:t xml:space="preserve">      </w:t>
            </w:r>
            <w:r>
              <w:rPr>
                <w:rFonts w:hint="eastAsia"/>
                <w:color w:val="auto"/>
                <w:sz w:val="24"/>
                <w:highlight w:val="none"/>
              </w:rPr>
              <w:t>目</w:t>
            </w:r>
          </w:p>
        </w:tc>
        <w:tc>
          <w:tcPr>
            <w:tcW w:w="4689" w:type="dxa"/>
            <w:vAlign w:val="center"/>
          </w:tcPr>
          <w:p w14:paraId="5A5DC6F8">
            <w:pPr>
              <w:spacing w:line="240" w:lineRule="atLeast"/>
              <w:jc w:val="center"/>
              <w:rPr>
                <w:color w:val="auto"/>
                <w:sz w:val="24"/>
                <w:highlight w:val="none"/>
              </w:rPr>
            </w:pPr>
            <w:r>
              <w:rPr>
                <w:rFonts w:hint="eastAsia"/>
                <w:color w:val="auto"/>
                <w:sz w:val="24"/>
                <w:highlight w:val="none"/>
              </w:rPr>
              <w:t>内</w:t>
            </w:r>
            <w:r>
              <w:rPr>
                <w:color w:val="auto"/>
                <w:sz w:val="24"/>
                <w:highlight w:val="none"/>
              </w:rPr>
              <w:t xml:space="preserve">    </w:t>
            </w:r>
            <w:r>
              <w:rPr>
                <w:rFonts w:hint="eastAsia"/>
                <w:color w:val="auto"/>
                <w:sz w:val="24"/>
                <w:highlight w:val="none"/>
              </w:rPr>
              <w:t>容</w:t>
            </w:r>
          </w:p>
        </w:tc>
      </w:tr>
      <w:tr w14:paraId="141FA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531" w:type="dxa"/>
            <w:vAlign w:val="center"/>
          </w:tcPr>
          <w:p w14:paraId="06BD04BD">
            <w:pPr>
              <w:spacing w:line="240" w:lineRule="atLeast"/>
              <w:jc w:val="center"/>
              <w:rPr>
                <w:color w:val="auto"/>
                <w:sz w:val="24"/>
                <w:highlight w:val="none"/>
              </w:rPr>
            </w:pPr>
            <w:r>
              <w:rPr>
                <w:rFonts w:hint="eastAsia"/>
                <w:color w:val="auto"/>
                <w:sz w:val="24"/>
                <w:highlight w:val="none"/>
              </w:rPr>
              <w:t>1</w:t>
            </w:r>
          </w:p>
        </w:tc>
        <w:tc>
          <w:tcPr>
            <w:tcW w:w="3650" w:type="dxa"/>
            <w:gridSpan w:val="2"/>
            <w:vAlign w:val="center"/>
          </w:tcPr>
          <w:p w14:paraId="54FCF78F">
            <w:pPr>
              <w:spacing w:line="240" w:lineRule="atLeast"/>
              <w:rPr>
                <w:color w:val="auto"/>
                <w:sz w:val="24"/>
                <w:highlight w:val="none"/>
              </w:rPr>
            </w:pPr>
            <w:r>
              <w:rPr>
                <w:rFonts w:hint="eastAsia"/>
                <w:color w:val="auto"/>
                <w:sz w:val="24"/>
                <w:highlight w:val="none"/>
              </w:rPr>
              <w:t>监理服务费总价</w:t>
            </w:r>
          </w:p>
        </w:tc>
        <w:tc>
          <w:tcPr>
            <w:tcW w:w="4689" w:type="dxa"/>
            <w:vAlign w:val="center"/>
          </w:tcPr>
          <w:p w14:paraId="29DCD9F5">
            <w:pPr>
              <w:spacing w:line="240" w:lineRule="atLeast"/>
              <w:rPr>
                <w:color w:val="auto"/>
                <w:sz w:val="24"/>
                <w:highlight w:val="none"/>
              </w:rPr>
            </w:pPr>
            <w:r>
              <w:rPr>
                <w:rFonts w:hint="eastAsia"/>
                <w:color w:val="auto"/>
                <w:sz w:val="24"/>
                <w:highlight w:val="none"/>
              </w:rPr>
              <w:t>人民币</w:t>
            </w:r>
            <w:r>
              <w:rPr>
                <w:rFonts w:hint="eastAsia"/>
                <w:color w:val="auto"/>
                <w:sz w:val="24"/>
                <w:highlight w:val="none"/>
                <w:u w:val="single"/>
              </w:rPr>
              <w:t xml:space="preserve">         </w:t>
            </w:r>
            <w:r>
              <w:rPr>
                <w:rFonts w:hint="eastAsia"/>
                <w:color w:val="auto"/>
                <w:sz w:val="24"/>
                <w:highlight w:val="none"/>
              </w:rPr>
              <w:t>万元</w:t>
            </w:r>
          </w:p>
        </w:tc>
      </w:tr>
      <w:tr w14:paraId="7B198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531" w:type="dxa"/>
            <w:vAlign w:val="center"/>
          </w:tcPr>
          <w:p w14:paraId="59974146">
            <w:pPr>
              <w:spacing w:line="240" w:lineRule="atLeast"/>
              <w:jc w:val="center"/>
              <w:rPr>
                <w:color w:val="auto"/>
                <w:sz w:val="24"/>
                <w:highlight w:val="none"/>
              </w:rPr>
            </w:pPr>
            <w:r>
              <w:rPr>
                <w:rFonts w:hint="eastAsia"/>
                <w:color w:val="auto"/>
                <w:sz w:val="24"/>
                <w:highlight w:val="none"/>
              </w:rPr>
              <w:t>2</w:t>
            </w:r>
          </w:p>
        </w:tc>
        <w:tc>
          <w:tcPr>
            <w:tcW w:w="3650" w:type="dxa"/>
            <w:gridSpan w:val="2"/>
            <w:vAlign w:val="center"/>
          </w:tcPr>
          <w:p w14:paraId="58DEA10A">
            <w:pPr>
              <w:spacing w:line="240" w:lineRule="atLeast"/>
              <w:jc w:val="left"/>
              <w:rPr>
                <w:color w:val="auto"/>
                <w:sz w:val="24"/>
                <w:highlight w:val="none"/>
              </w:rPr>
            </w:pPr>
            <w:r>
              <w:rPr>
                <w:rFonts w:hint="eastAsia"/>
                <w:color w:val="auto"/>
                <w:sz w:val="24"/>
                <w:highlight w:val="none"/>
              </w:rPr>
              <w:t>监理服务期：</w:t>
            </w:r>
          </w:p>
        </w:tc>
        <w:tc>
          <w:tcPr>
            <w:tcW w:w="4689" w:type="dxa"/>
            <w:vAlign w:val="center"/>
          </w:tcPr>
          <w:p w14:paraId="517F2CCE">
            <w:pPr>
              <w:spacing w:line="240" w:lineRule="atLeast"/>
              <w:jc w:val="left"/>
              <w:rPr>
                <w:color w:val="auto"/>
                <w:sz w:val="24"/>
                <w:highlight w:val="none"/>
              </w:rPr>
            </w:pPr>
          </w:p>
        </w:tc>
      </w:tr>
      <w:tr w14:paraId="32FF2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531" w:type="dxa"/>
            <w:vAlign w:val="center"/>
          </w:tcPr>
          <w:p w14:paraId="5D57BB3D">
            <w:pPr>
              <w:spacing w:line="240" w:lineRule="atLeast"/>
              <w:jc w:val="center"/>
              <w:rPr>
                <w:color w:val="auto"/>
                <w:sz w:val="24"/>
                <w:highlight w:val="none"/>
              </w:rPr>
            </w:pPr>
            <w:r>
              <w:rPr>
                <w:rFonts w:hint="eastAsia"/>
                <w:color w:val="auto"/>
                <w:sz w:val="24"/>
                <w:highlight w:val="none"/>
              </w:rPr>
              <w:t>3</w:t>
            </w:r>
          </w:p>
        </w:tc>
        <w:tc>
          <w:tcPr>
            <w:tcW w:w="3650" w:type="dxa"/>
            <w:gridSpan w:val="2"/>
            <w:vAlign w:val="center"/>
          </w:tcPr>
          <w:p w14:paraId="0820E01D">
            <w:pPr>
              <w:spacing w:line="240" w:lineRule="atLeast"/>
              <w:rPr>
                <w:color w:val="auto"/>
                <w:sz w:val="24"/>
                <w:highlight w:val="none"/>
              </w:rPr>
            </w:pPr>
            <w:r>
              <w:rPr>
                <w:rFonts w:hint="eastAsia"/>
                <w:color w:val="auto"/>
                <w:sz w:val="24"/>
                <w:highlight w:val="none"/>
              </w:rPr>
              <w:t>履约保证金</w:t>
            </w:r>
          </w:p>
        </w:tc>
        <w:tc>
          <w:tcPr>
            <w:tcW w:w="4689" w:type="dxa"/>
            <w:vAlign w:val="center"/>
          </w:tcPr>
          <w:p w14:paraId="1B205E70">
            <w:pPr>
              <w:spacing w:line="240" w:lineRule="atLeast"/>
              <w:rPr>
                <w:color w:val="auto"/>
                <w:sz w:val="24"/>
                <w:highlight w:val="none"/>
              </w:rPr>
            </w:pPr>
            <w:r>
              <w:rPr>
                <w:rFonts w:hint="eastAsia"/>
                <w:color w:val="auto"/>
                <w:sz w:val="24"/>
                <w:highlight w:val="none"/>
              </w:rPr>
              <w:t>中标价的</w:t>
            </w:r>
            <w:r>
              <w:rPr>
                <w:rFonts w:hint="eastAsia"/>
                <w:color w:val="auto"/>
                <w:sz w:val="24"/>
                <w:highlight w:val="none"/>
                <w:u w:val="single"/>
              </w:rPr>
              <w:t xml:space="preserve">         </w:t>
            </w:r>
            <w:r>
              <w:rPr>
                <w:rFonts w:hint="eastAsia"/>
                <w:color w:val="auto"/>
                <w:sz w:val="24"/>
                <w:highlight w:val="none"/>
              </w:rPr>
              <w:t>％</w:t>
            </w:r>
          </w:p>
        </w:tc>
      </w:tr>
      <w:tr w14:paraId="0F5CB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531" w:type="dxa"/>
            <w:vMerge w:val="restart"/>
            <w:vAlign w:val="center"/>
          </w:tcPr>
          <w:p w14:paraId="0CE59FE5">
            <w:pPr>
              <w:spacing w:line="240" w:lineRule="atLeast"/>
              <w:jc w:val="center"/>
              <w:rPr>
                <w:color w:val="auto"/>
                <w:sz w:val="24"/>
                <w:highlight w:val="none"/>
              </w:rPr>
            </w:pPr>
            <w:r>
              <w:rPr>
                <w:rFonts w:hint="eastAsia"/>
                <w:color w:val="auto"/>
                <w:sz w:val="24"/>
                <w:highlight w:val="none"/>
              </w:rPr>
              <w:t>4</w:t>
            </w:r>
          </w:p>
        </w:tc>
        <w:tc>
          <w:tcPr>
            <w:tcW w:w="955" w:type="dxa"/>
            <w:vMerge w:val="restart"/>
            <w:vAlign w:val="center"/>
          </w:tcPr>
          <w:p w14:paraId="5B9E08FB">
            <w:pPr>
              <w:adjustRightInd w:val="0"/>
              <w:snapToGrid w:val="0"/>
              <w:spacing w:before="120" w:beforeLines="50" w:after="120" w:afterLines="50" w:line="240" w:lineRule="atLeast"/>
              <w:rPr>
                <w:color w:val="auto"/>
                <w:sz w:val="24"/>
                <w:highlight w:val="none"/>
              </w:rPr>
            </w:pPr>
            <w:r>
              <w:rPr>
                <w:rFonts w:hint="eastAsia"/>
                <w:color w:val="auto"/>
                <w:sz w:val="24"/>
                <w:highlight w:val="none"/>
              </w:rPr>
              <w:t>总监理工程师</w:t>
            </w:r>
          </w:p>
        </w:tc>
        <w:tc>
          <w:tcPr>
            <w:tcW w:w="2695" w:type="dxa"/>
            <w:vAlign w:val="center"/>
          </w:tcPr>
          <w:p w14:paraId="3DDC6363">
            <w:pPr>
              <w:adjustRightInd w:val="0"/>
              <w:snapToGrid w:val="0"/>
              <w:spacing w:line="240" w:lineRule="atLeast"/>
              <w:rPr>
                <w:color w:val="auto"/>
                <w:sz w:val="24"/>
                <w:highlight w:val="none"/>
              </w:rPr>
            </w:pPr>
            <w:r>
              <w:rPr>
                <w:rFonts w:hint="eastAsia"/>
                <w:color w:val="auto"/>
                <w:sz w:val="24"/>
                <w:highlight w:val="none"/>
              </w:rPr>
              <w:t>姓  名</w:t>
            </w:r>
          </w:p>
        </w:tc>
        <w:tc>
          <w:tcPr>
            <w:tcW w:w="4689" w:type="dxa"/>
            <w:vAlign w:val="center"/>
          </w:tcPr>
          <w:p w14:paraId="4C60016C">
            <w:pPr>
              <w:adjustRightInd w:val="0"/>
              <w:snapToGrid w:val="0"/>
              <w:spacing w:line="240" w:lineRule="atLeast"/>
              <w:rPr>
                <w:color w:val="auto"/>
                <w:sz w:val="24"/>
                <w:highlight w:val="none"/>
              </w:rPr>
            </w:pPr>
          </w:p>
        </w:tc>
      </w:tr>
      <w:tr w14:paraId="0F1E4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531" w:type="dxa"/>
            <w:vMerge w:val="continue"/>
            <w:vAlign w:val="center"/>
          </w:tcPr>
          <w:p w14:paraId="0BAB63F4">
            <w:pPr>
              <w:spacing w:line="240" w:lineRule="atLeast"/>
              <w:jc w:val="center"/>
              <w:rPr>
                <w:color w:val="auto"/>
                <w:sz w:val="24"/>
                <w:highlight w:val="none"/>
              </w:rPr>
            </w:pPr>
          </w:p>
        </w:tc>
        <w:tc>
          <w:tcPr>
            <w:tcW w:w="955" w:type="dxa"/>
            <w:vMerge w:val="continue"/>
            <w:vAlign w:val="center"/>
          </w:tcPr>
          <w:p w14:paraId="0EE45746">
            <w:pPr>
              <w:spacing w:line="240" w:lineRule="atLeast"/>
              <w:rPr>
                <w:color w:val="auto"/>
                <w:sz w:val="24"/>
                <w:highlight w:val="none"/>
              </w:rPr>
            </w:pPr>
          </w:p>
        </w:tc>
        <w:tc>
          <w:tcPr>
            <w:tcW w:w="2695" w:type="dxa"/>
            <w:vAlign w:val="center"/>
          </w:tcPr>
          <w:p w14:paraId="3E13631A">
            <w:pPr>
              <w:spacing w:line="240" w:lineRule="atLeast"/>
              <w:rPr>
                <w:color w:val="auto"/>
                <w:sz w:val="24"/>
                <w:highlight w:val="none"/>
              </w:rPr>
            </w:pPr>
            <w:r>
              <w:rPr>
                <w:rFonts w:hint="eastAsia"/>
                <w:color w:val="auto"/>
                <w:sz w:val="24"/>
                <w:highlight w:val="none"/>
              </w:rPr>
              <w:t>职称证书及编号</w:t>
            </w:r>
          </w:p>
        </w:tc>
        <w:tc>
          <w:tcPr>
            <w:tcW w:w="4689" w:type="dxa"/>
            <w:vAlign w:val="center"/>
          </w:tcPr>
          <w:p w14:paraId="178A1B38">
            <w:pPr>
              <w:spacing w:line="240" w:lineRule="atLeast"/>
              <w:rPr>
                <w:color w:val="auto"/>
                <w:sz w:val="24"/>
                <w:highlight w:val="none"/>
              </w:rPr>
            </w:pPr>
          </w:p>
        </w:tc>
      </w:tr>
      <w:tr w14:paraId="46CA0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31" w:type="dxa"/>
            <w:vMerge w:val="continue"/>
            <w:vAlign w:val="center"/>
          </w:tcPr>
          <w:p w14:paraId="51AD0F6F">
            <w:pPr>
              <w:spacing w:line="240" w:lineRule="atLeast"/>
              <w:jc w:val="center"/>
              <w:rPr>
                <w:color w:val="auto"/>
                <w:sz w:val="24"/>
                <w:highlight w:val="none"/>
              </w:rPr>
            </w:pPr>
          </w:p>
        </w:tc>
        <w:tc>
          <w:tcPr>
            <w:tcW w:w="955" w:type="dxa"/>
            <w:vMerge w:val="continue"/>
            <w:vAlign w:val="center"/>
          </w:tcPr>
          <w:p w14:paraId="004D96DB">
            <w:pPr>
              <w:spacing w:line="240" w:lineRule="atLeast"/>
              <w:rPr>
                <w:color w:val="auto"/>
                <w:sz w:val="24"/>
                <w:highlight w:val="none"/>
              </w:rPr>
            </w:pPr>
          </w:p>
        </w:tc>
        <w:tc>
          <w:tcPr>
            <w:tcW w:w="2695" w:type="dxa"/>
            <w:vAlign w:val="center"/>
          </w:tcPr>
          <w:p w14:paraId="1E614688">
            <w:pPr>
              <w:adjustRightInd w:val="0"/>
              <w:snapToGrid w:val="0"/>
              <w:spacing w:line="240" w:lineRule="atLeast"/>
              <w:rPr>
                <w:color w:val="auto"/>
                <w:sz w:val="24"/>
                <w:highlight w:val="none"/>
              </w:rPr>
            </w:pPr>
            <w:r>
              <w:rPr>
                <w:rFonts w:hint="eastAsia"/>
                <w:color w:val="auto"/>
                <w:sz w:val="24"/>
                <w:highlight w:val="none"/>
              </w:rPr>
              <w:t>监理资格证书及编号</w:t>
            </w:r>
          </w:p>
        </w:tc>
        <w:tc>
          <w:tcPr>
            <w:tcW w:w="4689" w:type="dxa"/>
            <w:vAlign w:val="center"/>
          </w:tcPr>
          <w:p w14:paraId="3B1E45FE">
            <w:pPr>
              <w:adjustRightInd w:val="0"/>
              <w:snapToGrid w:val="0"/>
              <w:spacing w:line="240" w:lineRule="atLeast"/>
              <w:rPr>
                <w:color w:val="auto"/>
                <w:sz w:val="24"/>
                <w:highlight w:val="none"/>
              </w:rPr>
            </w:pPr>
          </w:p>
        </w:tc>
      </w:tr>
      <w:tr w14:paraId="5E64B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31" w:type="dxa"/>
            <w:vMerge w:val="restart"/>
            <w:vAlign w:val="center"/>
          </w:tcPr>
          <w:p w14:paraId="66639FC8">
            <w:pPr>
              <w:spacing w:line="240" w:lineRule="atLeast"/>
              <w:jc w:val="center"/>
              <w:rPr>
                <w:color w:val="auto"/>
                <w:sz w:val="24"/>
                <w:highlight w:val="none"/>
              </w:rPr>
            </w:pPr>
            <w:r>
              <w:rPr>
                <w:rFonts w:hint="eastAsia"/>
                <w:color w:val="auto"/>
                <w:sz w:val="24"/>
                <w:highlight w:val="none"/>
              </w:rPr>
              <w:t>5</w:t>
            </w:r>
          </w:p>
        </w:tc>
        <w:tc>
          <w:tcPr>
            <w:tcW w:w="955" w:type="dxa"/>
            <w:vMerge w:val="restart"/>
            <w:vAlign w:val="center"/>
          </w:tcPr>
          <w:p w14:paraId="145E12CD">
            <w:pPr>
              <w:spacing w:line="240" w:lineRule="atLeast"/>
              <w:rPr>
                <w:color w:val="auto"/>
                <w:sz w:val="24"/>
                <w:highlight w:val="none"/>
              </w:rPr>
            </w:pPr>
            <w:r>
              <w:rPr>
                <w:rFonts w:hint="eastAsia"/>
                <w:color w:val="auto"/>
                <w:sz w:val="24"/>
                <w:highlight w:val="none"/>
              </w:rPr>
              <w:t>试验室主任</w:t>
            </w:r>
          </w:p>
        </w:tc>
        <w:tc>
          <w:tcPr>
            <w:tcW w:w="2695" w:type="dxa"/>
            <w:vAlign w:val="center"/>
          </w:tcPr>
          <w:p w14:paraId="67C12D78">
            <w:pPr>
              <w:adjustRightInd w:val="0"/>
              <w:snapToGrid w:val="0"/>
              <w:spacing w:line="240" w:lineRule="atLeast"/>
              <w:rPr>
                <w:color w:val="auto"/>
                <w:sz w:val="24"/>
                <w:highlight w:val="none"/>
              </w:rPr>
            </w:pPr>
            <w:r>
              <w:rPr>
                <w:rFonts w:hint="eastAsia"/>
                <w:color w:val="auto"/>
                <w:sz w:val="24"/>
                <w:highlight w:val="none"/>
              </w:rPr>
              <w:t>姓  名</w:t>
            </w:r>
          </w:p>
        </w:tc>
        <w:tc>
          <w:tcPr>
            <w:tcW w:w="4689" w:type="dxa"/>
            <w:vAlign w:val="center"/>
          </w:tcPr>
          <w:p w14:paraId="47A1F880">
            <w:pPr>
              <w:adjustRightInd w:val="0"/>
              <w:snapToGrid w:val="0"/>
              <w:spacing w:line="240" w:lineRule="atLeast"/>
              <w:rPr>
                <w:color w:val="auto"/>
                <w:sz w:val="24"/>
                <w:highlight w:val="none"/>
              </w:rPr>
            </w:pPr>
          </w:p>
        </w:tc>
      </w:tr>
      <w:tr w14:paraId="19F4C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31" w:type="dxa"/>
            <w:vMerge w:val="continue"/>
            <w:vAlign w:val="center"/>
          </w:tcPr>
          <w:p w14:paraId="5D2E3BCB">
            <w:pPr>
              <w:spacing w:line="240" w:lineRule="atLeast"/>
              <w:jc w:val="center"/>
              <w:rPr>
                <w:color w:val="auto"/>
                <w:sz w:val="24"/>
                <w:highlight w:val="none"/>
              </w:rPr>
            </w:pPr>
          </w:p>
        </w:tc>
        <w:tc>
          <w:tcPr>
            <w:tcW w:w="955" w:type="dxa"/>
            <w:vMerge w:val="continue"/>
            <w:vAlign w:val="center"/>
          </w:tcPr>
          <w:p w14:paraId="18B57C12">
            <w:pPr>
              <w:spacing w:line="240" w:lineRule="atLeast"/>
              <w:rPr>
                <w:color w:val="auto"/>
                <w:sz w:val="24"/>
                <w:highlight w:val="none"/>
              </w:rPr>
            </w:pPr>
          </w:p>
        </w:tc>
        <w:tc>
          <w:tcPr>
            <w:tcW w:w="2695" w:type="dxa"/>
            <w:vAlign w:val="center"/>
          </w:tcPr>
          <w:p w14:paraId="2706D4E6">
            <w:pPr>
              <w:spacing w:line="240" w:lineRule="atLeast"/>
              <w:rPr>
                <w:color w:val="auto"/>
                <w:sz w:val="24"/>
                <w:highlight w:val="none"/>
              </w:rPr>
            </w:pPr>
            <w:r>
              <w:rPr>
                <w:rFonts w:hint="eastAsia"/>
                <w:color w:val="auto"/>
                <w:sz w:val="24"/>
                <w:highlight w:val="none"/>
              </w:rPr>
              <w:t>证书及编号</w:t>
            </w:r>
          </w:p>
        </w:tc>
        <w:tc>
          <w:tcPr>
            <w:tcW w:w="4689" w:type="dxa"/>
            <w:vAlign w:val="center"/>
          </w:tcPr>
          <w:p w14:paraId="229E6DAD">
            <w:pPr>
              <w:adjustRightInd w:val="0"/>
              <w:snapToGrid w:val="0"/>
              <w:spacing w:line="240" w:lineRule="atLeast"/>
              <w:rPr>
                <w:color w:val="auto"/>
                <w:sz w:val="24"/>
                <w:highlight w:val="none"/>
              </w:rPr>
            </w:pPr>
          </w:p>
        </w:tc>
      </w:tr>
      <w:tr w14:paraId="0F56A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31" w:type="dxa"/>
            <w:vAlign w:val="center"/>
          </w:tcPr>
          <w:p w14:paraId="100FAAE1">
            <w:pPr>
              <w:spacing w:line="240" w:lineRule="atLeast"/>
              <w:jc w:val="center"/>
              <w:rPr>
                <w:color w:val="auto"/>
                <w:sz w:val="24"/>
                <w:highlight w:val="none"/>
              </w:rPr>
            </w:pPr>
            <w:r>
              <w:rPr>
                <w:rFonts w:hint="eastAsia"/>
                <w:color w:val="auto"/>
                <w:sz w:val="24"/>
                <w:highlight w:val="none"/>
              </w:rPr>
              <w:t>6</w:t>
            </w:r>
          </w:p>
        </w:tc>
        <w:tc>
          <w:tcPr>
            <w:tcW w:w="3650" w:type="dxa"/>
            <w:gridSpan w:val="2"/>
            <w:vAlign w:val="center"/>
          </w:tcPr>
          <w:p w14:paraId="33430312">
            <w:pPr>
              <w:adjustRightInd w:val="0"/>
              <w:snapToGrid w:val="0"/>
              <w:spacing w:line="240" w:lineRule="atLeast"/>
              <w:rPr>
                <w:color w:val="auto"/>
                <w:sz w:val="24"/>
                <w:highlight w:val="none"/>
              </w:rPr>
            </w:pPr>
            <w:r>
              <w:rPr>
                <w:rFonts w:hint="eastAsia"/>
                <w:color w:val="auto"/>
                <w:sz w:val="24"/>
                <w:highlight w:val="none"/>
              </w:rPr>
              <w:t>其他主要人员配置</w:t>
            </w:r>
          </w:p>
        </w:tc>
        <w:tc>
          <w:tcPr>
            <w:tcW w:w="4689" w:type="dxa"/>
            <w:vAlign w:val="center"/>
          </w:tcPr>
          <w:p w14:paraId="63F9C5A0">
            <w:pPr>
              <w:adjustRightInd w:val="0"/>
              <w:snapToGrid w:val="0"/>
              <w:spacing w:line="240" w:lineRule="atLeast"/>
              <w:rPr>
                <w:color w:val="auto"/>
                <w:sz w:val="24"/>
                <w:highlight w:val="none"/>
              </w:rPr>
            </w:pPr>
            <w:r>
              <w:rPr>
                <w:rFonts w:hint="eastAsia"/>
                <w:color w:val="auto"/>
                <w:sz w:val="24"/>
                <w:highlight w:val="none"/>
              </w:rPr>
              <w:t>按招标文件“其他主要人员最低资格要求”配置</w:t>
            </w:r>
          </w:p>
        </w:tc>
      </w:tr>
      <w:tr w14:paraId="6038A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31" w:type="dxa"/>
            <w:vAlign w:val="center"/>
          </w:tcPr>
          <w:p w14:paraId="068FDBCD">
            <w:pPr>
              <w:spacing w:line="240" w:lineRule="atLeast"/>
              <w:jc w:val="center"/>
              <w:rPr>
                <w:color w:val="auto"/>
                <w:sz w:val="24"/>
                <w:highlight w:val="none"/>
              </w:rPr>
            </w:pPr>
            <w:r>
              <w:rPr>
                <w:rFonts w:hint="eastAsia"/>
                <w:color w:val="auto"/>
                <w:sz w:val="24"/>
                <w:highlight w:val="none"/>
              </w:rPr>
              <w:t>7</w:t>
            </w:r>
          </w:p>
        </w:tc>
        <w:tc>
          <w:tcPr>
            <w:tcW w:w="3650" w:type="dxa"/>
            <w:gridSpan w:val="2"/>
            <w:vAlign w:val="center"/>
          </w:tcPr>
          <w:p w14:paraId="72319264">
            <w:pPr>
              <w:adjustRightInd w:val="0"/>
              <w:snapToGrid w:val="0"/>
              <w:spacing w:line="240" w:lineRule="atLeast"/>
              <w:rPr>
                <w:color w:val="auto"/>
                <w:sz w:val="24"/>
                <w:highlight w:val="none"/>
              </w:rPr>
            </w:pPr>
            <w:r>
              <w:rPr>
                <w:rFonts w:hint="eastAsia" w:ascii="宋体" w:hAnsi="宋体"/>
                <w:color w:val="auto"/>
                <w:sz w:val="24"/>
                <w:highlight w:val="none"/>
              </w:rPr>
              <w:t>投标有效期</w:t>
            </w:r>
          </w:p>
        </w:tc>
        <w:tc>
          <w:tcPr>
            <w:tcW w:w="4689" w:type="dxa"/>
            <w:vAlign w:val="center"/>
          </w:tcPr>
          <w:p w14:paraId="46775D7A">
            <w:pPr>
              <w:adjustRightInd w:val="0"/>
              <w:snapToGrid w:val="0"/>
              <w:spacing w:line="240" w:lineRule="atLeast"/>
              <w:rPr>
                <w:color w:val="auto"/>
                <w:sz w:val="24"/>
                <w:highlight w:val="none"/>
              </w:rPr>
            </w:pPr>
            <w:r>
              <w:rPr>
                <w:rFonts w:hint="eastAsia"/>
                <w:color w:val="auto"/>
                <w:sz w:val="24"/>
                <w:highlight w:val="none"/>
              </w:rPr>
              <w:t xml:space="preserve">     日历天</w:t>
            </w:r>
          </w:p>
        </w:tc>
      </w:tr>
      <w:tr w14:paraId="15766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31" w:type="dxa"/>
            <w:vAlign w:val="center"/>
          </w:tcPr>
          <w:p w14:paraId="45117892">
            <w:pPr>
              <w:spacing w:line="240" w:lineRule="atLeast"/>
              <w:jc w:val="center"/>
              <w:rPr>
                <w:color w:val="auto"/>
                <w:sz w:val="24"/>
                <w:highlight w:val="none"/>
              </w:rPr>
            </w:pPr>
            <w:r>
              <w:rPr>
                <w:rFonts w:hint="eastAsia"/>
                <w:color w:val="auto"/>
                <w:sz w:val="24"/>
                <w:highlight w:val="none"/>
              </w:rPr>
              <w:t>8</w:t>
            </w:r>
          </w:p>
        </w:tc>
        <w:tc>
          <w:tcPr>
            <w:tcW w:w="3650" w:type="dxa"/>
            <w:gridSpan w:val="2"/>
            <w:vAlign w:val="center"/>
          </w:tcPr>
          <w:p w14:paraId="5B72E845">
            <w:pPr>
              <w:adjustRightInd w:val="0"/>
              <w:snapToGrid w:val="0"/>
              <w:spacing w:line="240" w:lineRule="atLeast"/>
              <w:rPr>
                <w:color w:val="auto"/>
                <w:sz w:val="24"/>
                <w:highlight w:val="none"/>
              </w:rPr>
            </w:pPr>
            <w:r>
              <w:rPr>
                <w:rFonts w:hint="eastAsia" w:ascii="宋体" w:hAnsi="宋体"/>
                <w:color w:val="auto"/>
                <w:sz w:val="24"/>
                <w:highlight w:val="none"/>
              </w:rPr>
              <w:t>权利义务</w:t>
            </w:r>
          </w:p>
        </w:tc>
        <w:tc>
          <w:tcPr>
            <w:tcW w:w="4689" w:type="dxa"/>
            <w:vAlign w:val="center"/>
          </w:tcPr>
          <w:p w14:paraId="7394442C">
            <w:pPr>
              <w:adjustRightInd w:val="0"/>
              <w:snapToGrid w:val="0"/>
              <w:spacing w:line="240" w:lineRule="atLeast"/>
              <w:rPr>
                <w:color w:val="auto"/>
                <w:sz w:val="24"/>
                <w:highlight w:val="none"/>
              </w:rPr>
            </w:pPr>
            <w:r>
              <w:rPr>
                <w:rFonts w:hint="eastAsia" w:ascii="宋体" w:hAnsi="宋体"/>
                <w:color w:val="auto"/>
                <w:sz w:val="24"/>
                <w:highlight w:val="none"/>
              </w:rPr>
              <w:t>按</w:t>
            </w:r>
            <w:r>
              <w:rPr>
                <w:rFonts w:hint="eastAsia"/>
                <w:color w:val="auto"/>
                <w:sz w:val="24"/>
                <w:highlight w:val="none"/>
              </w:rPr>
              <w:t>招标文件</w:t>
            </w:r>
            <w:r>
              <w:rPr>
                <w:rFonts w:hint="eastAsia" w:ascii="宋体" w:hAnsi="宋体"/>
                <w:color w:val="auto"/>
                <w:sz w:val="24"/>
                <w:highlight w:val="none"/>
              </w:rPr>
              <w:t>第五章“合同条款及格式”规定</w:t>
            </w:r>
          </w:p>
        </w:tc>
      </w:tr>
      <w:tr w14:paraId="267C3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31" w:type="dxa"/>
            <w:vAlign w:val="center"/>
          </w:tcPr>
          <w:p w14:paraId="589CD6DC">
            <w:pPr>
              <w:spacing w:line="240" w:lineRule="atLeast"/>
              <w:jc w:val="center"/>
              <w:rPr>
                <w:color w:val="auto"/>
                <w:sz w:val="24"/>
                <w:highlight w:val="none"/>
              </w:rPr>
            </w:pPr>
            <w:r>
              <w:rPr>
                <w:rFonts w:hint="eastAsia"/>
                <w:color w:val="auto"/>
                <w:sz w:val="24"/>
                <w:highlight w:val="none"/>
              </w:rPr>
              <w:t>9</w:t>
            </w:r>
          </w:p>
        </w:tc>
        <w:tc>
          <w:tcPr>
            <w:tcW w:w="3650" w:type="dxa"/>
            <w:gridSpan w:val="2"/>
            <w:vAlign w:val="center"/>
          </w:tcPr>
          <w:p w14:paraId="6BEACB95">
            <w:pPr>
              <w:adjustRightInd w:val="0"/>
              <w:snapToGrid w:val="0"/>
              <w:spacing w:line="240" w:lineRule="atLeast"/>
              <w:rPr>
                <w:color w:val="auto"/>
                <w:sz w:val="24"/>
                <w:highlight w:val="none"/>
              </w:rPr>
            </w:pPr>
            <w:r>
              <w:rPr>
                <w:rFonts w:hint="eastAsia" w:ascii="宋体" w:hAnsi="宋体"/>
                <w:color w:val="auto"/>
                <w:sz w:val="24"/>
                <w:highlight w:val="none"/>
              </w:rPr>
              <w:t>信誉承诺</w:t>
            </w:r>
          </w:p>
        </w:tc>
        <w:tc>
          <w:tcPr>
            <w:tcW w:w="4689" w:type="dxa"/>
            <w:vAlign w:val="center"/>
          </w:tcPr>
          <w:p w14:paraId="7D19B65E">
            <w:pPr>
              <w:adjustRightInd w:val="0"/>
              <w:snapToGrid w:val="0"/>
              <w:spacing w:line="240" w:lineRule="atLeast"/>
              <w:rPr>
                <w:color w:val="auto"/>
                <w:sz w:val="24"/>
                <w:highlight w:val="none"/>
              </w:rPr>
            </w:pPr>
          </w:p>
        </w:tc>
      </w:tr>
      <w:tr w14:paraId="57691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31" w:type="dxa"/>
            <w:vAlign w:val="center"/>
          </w:tcPr>
          <w:p w14:paraId="3C72EF3A">
            <w:pPr>
              <w:spacing w:line="240" w:lineRule="atLeast"/>
              <w:jc w:val="center"/>
              <w:rPr>
                <w:color w:val="auto"/>
                <w:sz w:val="24"/>
                <w:highlight w:val="none"/>
              </w:rPr>
            </w:pPr>
            <w:r>
              <w:rPr>
                <w:rFonts w:hint="eastAsia"/>
                <w:color w:val="auto"/>
                <w:sz w:val="24"/>
                <w:highlight w:val="none"/>
              </w:rPr>
              <w:t>10</w:t>
            </w:r>
          </w:p>
        </w:tc>
        <w:tc>
          <w:tcPr>
            <w:tcW w:w="3650" w:type="dxa"/>
            <w:gridSpan w:val="2"/>
            <w:vAlign w:val="center"/>
          </w:tcPr>
          <w:p w14:paraId="72F2C22C">
            <w:pPr>
              <w:adjustRightInd w:val="0"/>
              <w:snapToGrid w:val="0"/>
              <w:spacing w:line="240" w:lineRule="atLeast"/>
              <w:rPr>
                <w:rFonts w:ascii="宋体" w:hAnsi="宋体"/>
                <w:color w:val="auto"/>
                <w:sz w:val="24"/>
                <w:highlight w:val="none"/>
              </w:rPr>
            </w:pPr>
            <w:r>
              <w:rPr>
                <w:rFonts w:hint="eastAsia" w:ascii="宋体" w:hAnsi="宋体"/>
                <w:color w:val="auto"/>
                <w:sz w:val="24"/>
                <w:highlight w:val="none"/>
              </w:rPr>
              <w:t>企业财务</w:t>
            </w:r>
          </w:p>
        </w:tc>
        <w:tc>
          <w:tcPr>
            <w:tcW w:w="4689" w:type="dxa"/>
            <w:vAlign w:val="center"/>
          </w:tcPr>
          <w:p w14:paraId="6D6A4277">
            <w:pPr>
              <w:rPr>
                <w:color w:val="auto"/>
                <w:sz w:val="24"/>
                <w:highlight w:val="none"/>
              </w:rPr>
            </w:pPr>
          </w:p>
        </w:tc>
      </w:tr>
    </w:tbl>
    <w:p w14:paraId="35DAC114">
      <w:pPr>
        <w:spacing w:before="100" w:beforeAutospacing="1" w:after="100" w:afterAutospacing="1" w:line="360" w:lineRule="auto"/>
        <w:ind w:right="26"/>
        <w:jc w:val="center"/>
        <w:rPr>
          <w:color w:val="auto"/>
          <w:szCs w:val="21"/>
          <w:highlight w:val="none"/>
        </w:rPr>
      </w:pPr>
      <w:r>
        <w:rPr>
          <w:rFonts w:hint="eastAsia"/>
          <w:color w:val="auto"/>
          <w:szCs w:val="21"/>
          <w:highlight w:val="none"/>
        </w:rPr>
        <w:t xml:space="preserve">                             </w:t>
      </w:r>
    </w:p>
    <w:p w14:paraId="66F3ED66">
      <w:pPr>
        <w:spacing w:before="100" w:beforeAutospacing="1" w:after="100" w:afterAutospacing="1" w:line="360" w:lineRule="auto"/>
        <w:ind w:right="26"/>
        <w:jc w:val="center"/>
        <w:rPr>
          <w:color w:val="auto"/>
          <w:sz w:val="24"/>
          <w:highlight w:val="none"/>
          <w:u w:val="single"/>
        </w:rPr>
      </w:pPr>
      <w:r>
        <w:rPr>
          <w:rFonts w:hint="eastAsia"/>
          <w:color w:val="auto"/>
          <w:szCs w:val="21"/>
          <w:highlight w:val="none"/>
        </w:rPr>
        <w:t xml:space="preserve">             </w:t>
      </w:r>
      <w:r>
        <w:rPr>
          <w:rFonts w:hint="eastAsia"/>
          <w:color w:val="auto"/>
          <w:sz w:val="24"/>
          <w:highlight w:val="none"/>
        </w:rPr>
        <w:t>投标人（</w:t>
      </w:r>
      <w:r>
        <w:rPr>
          <w:rFonts w:hint="eastAsia" w:ascii="宋体" w:hAnsi="宋体"/>
          <w:color w:val="auto"/>
          <w:sz w:val="24"/>
          <w:highlight w:val="none"/>
        </w:rPr>
        <w:t>盖单位电子章</w:t>
      </w:r>
      <w:r>
        <w:rPr>
          <w:rFonts w:hint="eastAsia"/>
          <w:color w:val="auto"/>
          <w:sz w:val="24"/>
          <w:highlight w:val="none"/>
        </w:rPr>
        <w:t>）：</w:t>
      </w:r>
      <w:r>
        <w:rPr>
          <w:rFonts w:hint="eastAsia"/>
          <w:color w:val="auto"/>
          <w:sz w:val="24"/>
          <w:highlight w:val="none"/>
          <w:u w:val="single"/>
        </w:rPr>
        <w:t xml:space="preserve">                    </w:t>
      </w:r>
    </w:p>
    <w:p w14:paraId="2A674227">
      <w:pPr>
        <w:spacing w:before="100" w:beforeAutospacing="1" w:after="100" w:afterAutospacing="1" w:line="360" w:lineRule="auto"/>
        <w:ind w:right="315" w:firstLine="480" w:firstLineChars="200"/>
        <w:jc w:val="right"/>
        <w:rPr>
          <w:color w:val="auto"/>
          <w:sz w:val="24"/>
          <w:highlight w:val="none"/>
        </w:rPr>
      </w:pPr>
      <w:r>
        <w:rPr>
          <w:rFonts w:hint="eastAsia"/>
          <w:color w:val="auto"/>
          <w:sz w:val="24"/>
          <w:highlight w:val="none"/>
        </w:rPr>
        <w:t>日期：</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14:paraId="1591D2DC">
      <w:pPr>
        <w:rPr>
          <w:color w:val="auto"/>
          <w:sz w:val="24"/>
          <w:highlight w:val="none"/>
        </w:rPr>
      </w:pPr>
    </w:p>
    <w:p w14:paraId="68A07059">
      <w:pPr>
        <w:rPr>
          <w:color w:val="auto"/>
          <w:sz w:val="24"/>
          <w:highlight w:val="none"/>
        </w:rPr>
      </w:pPr>
    </w:p>
    <w:p w14:paraId="0B065088">
      <w:pPr>
        <w:pStyle w:val="5"/>
        <w:jc w:val="center"/>
        <w:rPr>
          <w:color w:val="auto"/>
          <w:highlight w:val="none"/>
        </w:rPr>
      </w:pPr>
      <w:bookmarkStart w:id="1499" w:name="_Toc283559298"/>
      <w:bookmarkStart w:id="1500" w:name="_Toc487291629"/>
      <w:bookmarkStart w:id="1501" w:name="_Toc286759142"/>
      <w:bookmarkStart w:id="1502" w:name="_Toc356568018"/>
      <w:bookmarkStart w:id="1503" w:name="_Toc488651017"/>
      <w:bookmarkStart w:id="1504" w:name="_Toc222740174"/>
      <w:bookmarkStart w:id="1505" w:name="_Toc330384491"/>
      <w:bookmarkStart w:id="1506" w:name="_Toc341805340"/>
      <w:bookmarkStart w:id="1507" w:name="_Toc283558801"/>
      <w:bookmarkStart w:id="1508" w:name="_Toc307991239"/>
      <w:r>
        <w:rPr>
          <w:color w:val="auto"/>
          <w:highlight w:val="none"/>
        </w:rPr>
        <w:br w:type="page"/>
      </w:r>
      <w:r>
        <w:rPr>
          <w:rFonts w:hint="eastAsia"/>
          <w:color w:val="auto"/>
          <w:highlight w:val="none"/>
        </w:rPr>
        <w:t>二、法定代表人身份证明</w:t>
      </w:r>
      <w:bookmarkEnd w:id="1499"/>
      <w:bookmarkEnd w:id="1500"/>
      <w:bookmarkEnd w:id="1501"/>
      <w:bookmarkEnd w:id="1502"/>
      <w:bookmarkEnd w:id="1503"/>
      <w:bookmarkEnd w:id="1504"/>
      <w:bookmarkEnd w:id="1505"/>
      <w:bookmarkEnd w:id="1506"/>
      <w:bookmarkEnd w:id="1507"/>
      <w:bookmarkEnd w:id="1508"/>
    </w:p>
    <w:p w14:paraId="7D594609">
      <w:pPr>
        <w:spacing w:before="240" w:beforeLines="100" w:after="240" w:afterLines="100" w:line="360" w:lineRule="auto"/>
        <w:jc w:val="center"/>
        <w:rPr>
          <w:rFonts w:eastAsia="黑体"/>
          <w:b/>
          <w:color w:val="auto"/>
          <w:sz w:val="28"/>
          <w:szCs w:val="21"/>
          <w:highlight w:val="none"/>
        </w:rPr>
      </w:pPr>
    </w:p>
    <w:p w14:paraId="1BA3AD6C">
      <w:pPr>
        <w:spacing w:after="120" w:afterLines="50" w:line="500" w:lineRule="exact"/>
        <w:ind w:firstLine="480" w:firstLineChars="200"/>
        <w:rPr>
          <w:color w:val="auto"/>
          <w:sz w:val="24"/>
          <w:highlight w:val="none"/>
        </w:rPr>
      </w:pPr>
      <w:r>
        <w:rPr>
          <w:rFonts w:hint="eastAsia"/>
          <w:color w:val="auto"/>
          <w:sz w:val="24"/>
          <w:highlight w:val="none"/>
        </w:rPr>
        <w:t>投标人名称：</w:t>
      </w:r>
      <w:r>
        <w:rPr>
          <w:rFonts w:hint="eastAsia"/>
          <w:color w:val="auto"/>
          <w:sz w:val="24"/>
          <w:highlight w:val="none"/>
          <w:u w:val="single"/>
        </w:rPr>
        <w:t xml:space="preserve">                                   </w:t>
      </w:r>
    </w:p>
    <w:p w14:paraId="287C4DBE">
      <w:pPr>
        <w:spacing w:after="120" w:afterLines="50" w:line="500" w:lineRule="exact"/>
        <w:ind w:firstLine="480" w:firstLineChars="200"/>
        <w:rPr>
          <w:color w:val="auto"/>
          <w:sz w:val="24"/>
          <w:highlight w:val="none"/>
          <w:u w:val="single"/>
        </w:rPr>
      </w:pPr>
      <w:r>
        <w:rPr>
          <w:rFonts w:hint="eastAsia"/>
          <w:color w:val="auto"/>
          <w:sz w:val="24"/>
          <w:highlight w:val="none"/>
        </w:rPr>
        <w:t>单位性质：</w:t>
      </w:r>
      <w:r>
        <w:rPr>
          <w:rFonts w:hint="eastAsia"/>
          <w:color w:val="auto"/>
          <w:sz w:val="24"/>
          <w:highlight w:val="none"/>
          <w:u w:val="single"/>
        </w:rPr>
        <w:t xml:space="preserve">                                     </w:t>
      </w:r>
    </w:p>
    <w:p w14:paraId="047B6FB3">
      <w:pPr>
        <w:spacing w:after="120" w:afterLines="50" w:line="500" w:lineRule="exact"/>
        <w:ind w:firstLine="480" w:firstLineChars="200"/>
        <w:rPr>
          <w:color w:val="auto"/>
          <w:sz w:val="24"/>
          <w:highlight w:val="none"/>
          <w:u w:val="single"/>
        </w:rPr>
      </w:pPr>
      <w:r>
        <w:rPr>
          <w:rFonts w:hint="eastAsia"/>
          <w:color w:val="auto"/>
          <w:sz w:val="24"/>
          <w:highlight w:val="none"/>
        </w:rPr>
        <w:t>地址：</w:t>
      </w:r>
      <w:r>
        <w:rPr>
          <w:rFonts w:hint="eastAsia"/>
          <w:color w:val="auto"/>
          <w:sz w:val="24"/>
          <w:highlight w:val="none"/>
          <w:u w:val="single"/>
        </w:rPr>
        <w:t xml:space="preserve">                                         </w:t>
      </w:r>
    </w:p>
    <w:p w14:paraId="69234C8A">
      <w:pPr>
        <w:spacing w:after="120" w:afterLines="50" w:line="500" w:lineRule="exact"/>
        <w:ind w:firstLine="480" w:firstLineChars="200"/>
        <w:rPr>
          <w:color w:val="auto"/>
          <w:sz w:val="24"/>
          <w:highlight w:val="none"/>
        </w:rPr>
      </w:pPr>
      <w:r>
        <w:rPr>
          <w:rFonts w:hint="eastAsia"/>
          <w:color w:val="auto"/>
          <w:sz w:val="24"/>
          <w:highlight w:val="none"/>
        </w:rPr>
        <w:t>成立时间：</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14:paraId="4219E01C">
      <w:pPr>
        <w:spacing w:after="120" w:afterLines="50" w:line="500" w:lineRule="exact"/>
        <w:ind w:firstLine="480" w:firstLineChars="200"/>
        <w:rPr>
          <w:color w:val="auto"/>
          <w:sz w:val="24"/>
          <w:highlight w:val="none"/>
          <w:u w:val="single"/>
        </w:rPr>
      </w:pPr>
      <w:r>
        <w:rPr>
          <w:rFonts w:hint="eastAsia"/>
          <w:color w:val="auto"/>
          <w:sz w:val="24"/>
          <w:highlight w:val="none"/>
        </w:rPr>
        <w:t>经营期限：</w:t>
      </w:r>
      <w:r>
        <w:rPr>
          <w:rFonts w:hint="eastAsia"/>
          <w:color w:val="auto"/>
          <w:sz w:val="24"/>
          <w:highlight w:val="none"/>
          <w:u w:val="single"/>
        </w:rPr>
        <w:t xml:space="preserve">                                     </w:t>
      </w:r>
    </w:p>
    <w:p w14:paraId="73EADD13">
      <w:pPr>
        <w:spacing w:after="120" w:afterLines="50" w:line="500" w:lineRule="exact"/>
        <w:ind w:firstLine="480" w:firstLineChars="200"/>
        <w:rPr>
          <w:color w:val="auto"/>
          <w:sz w:val="24"/>
          <w:highlight w:val="none"/>
        </w:rPr>
      </w:pPr>
      <w:r>
        <w:rPr>
          <w:rFonts w:hint="eastAsia"/>
          <w:color w:val="auto"/>
          <w:sz w:val="24"/>
          <w:highlight w:val="none"/>
        </w:rPr>
        <w:t>姓名：</w:t>
      </w:r>
      <w:r>
        <w:rPr>
          <w:rFonts w:hint="eastAsia"/>
          <w:color w:val="auto"/>
          <w:sz w:val="24"/>
          <w:highlight w:val="none"/>
          <w:u w:val="single"/>
        </w:rPr>
        <w:t xml:space="preserve">          </w:t>
      </w:r>
      <w:r>
        <w:rPr>
          <w:rFonts w:hint="eastAsia"/>
          <w:color w:val="auto"/>
          <w:sz w:val="24"/>
          <w:highlight w:val="none"/>
        </w:rPr>
        <w:t>性别：</w:t>
      </w:r>
      <w:r>
        <w:rPr>
          <w:rFonts w:hint="eastAsia"/>
          <w:color w:val="auto"/>
          <w:sz w:val="24"/>
          <w:highlight w:val="none"/>
          <w:u w:val="single"/>
        </w:rPr>
        <w:t xml:space="preserve">          </w:t>
      </w:r>
      <w:r>
        <w:rPr>
          <w:rFonts w:hint="eastAsia"/>
          <w:color w:val="auto"/>
          <w:sz w:val="24"/>
          <w:highlight w:val="none"/>
        </w:rPr>
        <w:t>年龄：</w:t>
      </w:r>
      <w:r>
        <w:rPr>
          <w:rFonts w:hint="eastAsia"/>
          <w:color w:val="auto"/>
          <w:sz w:val="24"/>
          <w:highlight w:val="none"/>
          <w:u w:val="single"/>
        </w:rPr>
        <w:t xml:space="preserve">          </w:t>
      </w:r>
      <w:r>
        <w:rPr>
          <w:rFonts w:hint="eastAsia"/>
          <w:color w:val="auto"/>
          <w:sz w:val="24"/>
          <w:highlight w:val="none"/>
        </w:rPr>
        <w:t>职务：</w:t>
      </w:r>
      <w:r>
        <w:rPr>
          <w:rFonts w:hint="eastAsia"/>
          <w:color w:val="auto"/>
          <w:sz w:val="24"/>
          <w:highlight w:val="none"/>
          <w:u w:val="single"/>
        </w:rPr>
        <w:t xml:space="preserve">          </w:t>
      </w:r>
      <w:r>
        <w:rPr>
          <w:rFonts w:hint="eastAsia"/>
          <w:color w:val="auto"/>
          <w:sz w:val="24"/>
          <w:highlight w:val="none"/>
        </w:rPr>
        <w:t>系</w:t>
      </w:r>
      <w:r>
        <w:rPr>
          <w:rFonts w:hint="eastAsia"/>
          <w:color w:val="auto"/>
          <w:sz w:val="24"/>
          <w:highlight w:val="none"/>
          <w:u w:val="single"/>
        </w:rPr>
        <w:t xml:space="preserve">        </w:t>
      </w:r>
      <w:r>
        <w:rPr>
          <w:rFonts w:hint="eastAsia"/>
          <w:color w:val="auto"/>
          <w:sz w:val="24"/>
          <w:highlight w:val="none"/>
        </w:rPr>
        <w:t>（投标人名称）的法定代表人。</w:t>
      </w:r>
    </w:p>
    <w:p w14:paraId="3F37DD78">
      <w:pPr>
        <w:spacing w:after="120" w:afterLines="50" w:line="500" w:lineRule="exact"/>
        <w:ind w:firstLine="480" w:firstLineChars="200"/>
        <w:rPr>
          <w:color w:val="auto"/>
          <w:sz w:val="24"/>
          <w:highlight w:val="none"/>
        </w:rPr>
      </w:pPr>
      <w:r>
        <w:rPr>
          <w:rFonts w:hint="eastAsia"/>
          <w:color w:val="auto"/>
          <w:sz w:val="24"/>
          <w:highlight w:val="none"/>
        </w:rPr>
        <w:t>特此证明。</w:t>
      </w:r>
    </w:p>
    <w:p w14:paraId="29C34CE6">
      <w:pPr>
        <w:spacing w:after="120" w:afterLines="50" w:line="500" w:lineRule="exact"/>
        <w:ind w:firstLine="420" w:firstLineChars="200"/>
        <w:rPr>
          <w:color w:val="auto"/>
          <w:sz w:val="24"/>
          <w:highlight w:val="none"/>
        </w:rPr>
      </w:pPr>
      <w:r>
        <w:rPr>
          <w:rFonts w:hint="eastAsia" w:ascii="宋体" w:hAnsi="宋体"/>
          <w:color w:val="auto"/>
          <w:szCs w:val="21"/>
          <w:highlight w:val="none"/>
        </w:rPr>
        <w:t>附：法定代表人身份证正反面彩色影印件。</w:t>
      </w:r>
    </w:p>
    <w:p w14:paraId="27F5A812">
      <w:pPr>
        <w:spacing w:after="120" w:afterLines="50" w:line="420" w:lineRule="exact"/>
        <w:ind w:firstLine="480" w:firstLineChars="200"/>
        <w:rPr>
          <w:color w:val="auto"/>
          <w:sz w:val="24"/>
          <w:highlight w:val="none"/>
        </w:rPr>
      </w:pPr>
    </w:p>
    <w:p w14:paraId="108D2250">
      <w:pPr>
        <w:spacing w:before="720" w:after="120" w:afterLines="50" w:line="360" w:lineRule="exact"/>
        <w:ind w:firstLine="4320" w:firstLineChars="1800"/>
        <w:rPr>
          <w:color w:val="auto"/>
          <w:sz w:val="24"/>
          <w:highlight w:val="none"/>
        </w:rPr>
      </w:pPr>
      <w:r>
        <w:rPr>
          <w:color w:val="auto"/>
          <w:sz w:val="24"/>
          <w:highlight w:val="none"/>
        </w:rPr>
        <w:t>投标人（</w:t>
      </w:r>
      <w:r>
        <w:rPr>
          <w:rFonts w:hint="eastAsia" w:ascii="宋体" w:hAnsi="宋体"/>
          <w:color w:val="auto"/>
          <w:sz w:val="24"/>
          <w:highlight w:val="none"/>
        </w:rPr>
        <w:t>盖单位电子章</w:t>
      </w:r>
      <w:r>
        <w:rPr>
          <w:color w:val="auto"/>
          <w:sz w:val="24"/>
          <w:highlight w:val="none"/>
        </w:rPr>
        <w:t>）：</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p>
    <w:p w14:paraId="56D39AEA">
      <w:pPr>
        <w:spacing w:line="800" w:lineRule="exact"/>
        <w:ind w:firstLine="4440" w:firstLineChars="1850"/>
        <w:rPr>
          <w:color w:val="auto"/>
          <w:sz w:val="24"/>
          <w:highlight w:val="none"/>
        </w:rPr>
      </w:pPr>
      <w:r>
        <w:rPr>
          <w:color w:val="auto"/>
          <w:sz w:val="24"/>
          <w:highlight w:val="none"/>
        </w:rPr>
        <w:t>日</w:t>
      </w:r>
      <w:r>
        <w:rPr>
          <w:rFonts w:hint="eastAsia"/>
          <w:color w:val="auto"/>
          <w:sz w:val="24"/>
          <w:highlight w:val="none"/>
        </w:rPr>
        <w:t xml:space="preserve">  </w:t>
      </w:r>
      <w:r>
        <w:rPr>
          <w:color w:val="auto"/>
          <w:sz w:val="24"/>
          <w:highlight w:val="none"/>
        </w:rPr>
        <w:t>期：</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color w:val="auto"/>
          <w:sz w:val="24"/>
          <w:highlight w:val="none"/>
        </w:rPr>
        <w:t>日</w:t>
      </w:r>
    </w:p>
    <w:p w14:paraId="12B1E01F">
      <w:pPr>
        <w:rPr>
          <w:color w:val="auto"/>
          <w:sz w:val="24"/>
          <w:highlight w:val="none"/>
        </w:rPr>
      </w:pPr>
    </w:p>
    <w:p w14:paraId="61266107">
      <w:pPr>
        <w:rPr>
          <w:color w:val="auto"/>
          <w:sz w:val="24"/>
          <w:highlight w:val="none"/>
        </w:rPr>
      </w:pPr>
    </w:p>
    <w:p w14:paraId="70DF2489">
      <w:pPr>
        <w:spacing w:line="360" w:lineRule="auto"/>
        <w:rPr>
          <w:rFonts w:ascii="宋体" w:hAnsi="宋体"/>
          <w:snapToGrid w:val="0"/>
          <w:color w:val="auto"/>
          <w:kern w:val="0"/>
          <w:sz w:val="24"/>
          <w:highlight w:val="none"/>
        </w:rPr>
      </w:pPr>
      <w:r>
        <w:rPr>
          <w:rFonts w:hint="eastAsia" w:ascii="宋体" w:hAnsi="宋体"/>
          <w:snapToGrid w:val="0"/>
          <w:color w:val="auto"/>
          <w:kern w:val="0"/>
          <w:sz w:val="24"/>
          <w:highlight w:val="none"/>
        </w:rPr>
        <w:t>（注：联合体投标时，非牵头人方可采用盖章彩色扫描件上传）</w:t>
      </w:r>
    </w:p>
    <w:p w14:paraId="374EBD75">
      <w:pPr>
        <w:rPr>
          <w:color w:val="auto"/>
          <w:sz w:val="24"/>
          <w:highlight w:val="none"/>
        </w:rPr>
      </w:pPr>
    </w:p>
    <w:p w14:paraId="532BAD10">
      <w:pPr>
        <w:rPr>
          <w:color w:val="auto"/>
          <w:sz w:val="24"/>
          <w:highlight w:val="none"/>
        </w:rPr>
      </w:pPr>
    </w:p>
    <w:p w14:paraId="1DA014D4">
      <w:pPr>
        <w:widowControl/>
        <w:jc w:val="left"/>
        <w:rPr>
          <w:rFonts w:eastAsia="黑体"/>
          <w:b/>
          <w:bCs/>
          <w:color w:val="auto"/>
          <w:sz w:val="28"/>
          <w:szCs w:val="32"/>
          <w:highlight w:val="none"/>
        </w:rPr>
      </w:pPr>
      <w:bookmarkStart w:id="1509" w:name="_Toc283559299"/>
      <w:bookmarkStart w:id="1510" w:name="_Toc283558802"/>
      <w:bookmarkStart w:id="1511" w:name="_Toc487291630"/>
      <w:bookmarkStart w:id="1512" w:name="_Toc330384492"/>
      <w:bookmarkStart w:id="1513" w:name="_Toc356568019"/>
      <w:bookmarkStart w:id="1514" w:name="_Toc222740175"/>
      <w:bookmarkStart w:id="1515" w:name="_Toc286759143"/>
      <w:bookmarkStart w:id="1516" w:name="_Toc307991240"/>
      <w:bookmarkStart w:id="1517" w:name="_Toc341805341"/>
      <w:r>
        <w:rPr>
          <w:color w:val="auto"/>
          <w:highlight w:val="none"/>
        </w:rPr>
        <w:br w:type="page"/>
      </w:r>
    </w:p>
    <w:p w14:paraId="5232099B">
      <w:pPr>
        <w:pStyle w:val="5"/>
        <w:jc w:val="center"/>
        <w:rPr>
          <w:color w:val="auto"/>
          <w:highlight w:val="none"/>
        </w:rPr>
      </w:pPr>
      <w:bookmarkStart w:id="1518" w:name="_Toc488651018"/>
      <w:r>
        <w:rPr>
          <w:rFonts w:hint="eastAsia"/>
          <w:color w:val="auto"/>
          <w:highlight w:val="none"/>
        </w:rPr>
        <w:t>三、</w:t>
      </w:r>
      <w:r>
        <w:rPr>
          <w:color w:val="auto"/>
          <w:highlight w:val="none"/>
        </w:rPr>
        <w:t>授权</w:t>
      </w:r>
      <w:r>
        <w:rPr>
          <w:rFonts w:hint="eastAsia"/>
          <w:color w:val="auto"/>
          <w:highlight w:val="none"/>
        </w:rPr>
        <w:t>委托</w:t>
      </w:r>
      <w:r>
        <w:rPr>
          <w:color w:val="auto"/>
          <w:highlight w:val="none"/>
        </w:rPr>
        <w:t>书</w:t>
      </w:r>
      <w:bookmarkEnd w:id="1509"/>
      <w:bookmarkEnd w:id="1510"/>
      <w:bookmarkEnd w:id="1511"/>
      <w:bookmarkEnd w:id="1512"/>
      <w:bookmarkEnd w:id="1513"/>
      <w:bookmarkEnd w:id="1514"/>
      <w:bookmarkEnd w:id="1515"/>
      <w:bookmarkEnd w:id="1516"/>
      <w:bookmarkEnd w:id="1517"/>
      <w:bookmarkEnd w:id="1518"/>
      <w:r>
        <w:rPr>
          <w:rStyle w:val="53"/>
          <w:color w:val="auto"/>
          <w:highlight w:val="none"/>
        </w:rPr>
        <w:footnoteReference w:id="10"/>
      </w:r>
    </w:p>
    <w:p w14:paraId="548F9704">
      <w:pPr>
        <w:spacing w:before="240" w:beforeLines="100" w:after="240" w:afterLines="100" w:line="360" w:lineRule="auto"/>
        <w:jc w:val="center"/>
        <w:rPr>
          <w:rFonts w:eastAsia="黑体"/>
          <w:b/>
          <w:color w:val="auto"/>
          <w:sz w:val="28"/>
          <w:szCs w:val="21"/>
          <w:highlight w:val="none"/>
        </w:rPr>
      </w:pPr>
    </w:p>
    <w:p w14:paraId="3E723458">
      <w:pPr>
        <w:spacing w:line="440" w:lineRule="atLeast"/>
        <w:ind w:firstLine="480" w:firstLineChars="200"/>
        <w:rPr>
          <w:rFonts w:ascii="宋体" w:hAnsi="宋体"/>
          <w:color w:val="auto"/>
          <w:sz w:val="24"/>
          <w:highlight w:val="none"/>
        </w:rPr>
      </w:pPr>
      <w:r>
        <w:rPr>
          <w:rFonts w:hint="eastAsia" w:ascii="宋体" w:hAnsi="宋体"/>
          <w:color w:val="auto"/>
          <w:sz w:val="24"/>
          <w:highlight w:val="none"/>
        </w:rPr>
        <w:t>本人</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（投标人名称）的法定代表人，现委托</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（姓名）为我方代理人，并授权其以我方名义签署、澄清、说明、补正、递交、撤回、修改 </w:t>
      </w:r>
      <w:r>
        <w:rPr>
          <w:rFonts w:hint="eastAsia" w:ascii="宋体" w:hAnsi="宋体"/>
          <w:color w:val="auto"/>
          <w:sz w:val="24"/>
          <w:highlight w:val="none"/>
          <w:u w:val="single"/>
        </w:rPr>
        <w:t xml:space="preserve">       </w:t>
      </w:r>
      <w:r>
        <w:rPr>
          <w:rFonts w:hint="eastAsia" w:ascii="宋体" w:hAnsi="宋体"/>
          <w:color w:val="auto"/>
          <w:sz w:val="24"/>
          <w:highlight w:val="none"/>
        </w:rPr>
        <w:t>（项目名称）施工监理投标文件、签订合同协议书和处理有关事宜，其法律后果由我方承担。</w:t>
      </w:r>
    </w:p>
    <w:p w14:paraId="065EEE54">
      <w:pPr>
        <w:spacing w:line="440" w:lineRule="atLeast"/>
        <w:ind w:firstLine="480" w:firstLineChars="200"/>
        <w:rPr>
          <w:rFonts w:ascii="宋体" w:hAnsi="宋体"/>
          <w:color w:val="auto"/>
          <w:sz w:val="24"/>
          <w:highlight w:val="none"/>
        </w:rPr>
      </w:pPr>
      <w:r>
        <w:rPr>
          <w:rFonts w:hint="eastAsia" w:ascii="宋体" w:hAnsi="宋体"/>
          <w:color w:val="auto"/>
          <w:sz w:val="24"/>
          <w:highlight w:val="none"/>
        </w:rPr>
        <w:t>委托期限：</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2D42546D">
      <w:pPr>
        <w:spacing w:line="440" w:lineRule="atLeast"/>
        <w:ind w:firstLine="480" w:firstLineChars="200"/>
        <w:rPr>
          <w:rFonts w:ascii="宋体" w:hAnsi="宋体"/>
          <w:color w:val="auto"/>
          <w:sz w:val="24"/>
          <w:highlight w:val="none"/>
        </w:rPr>
      </w:pPr>
      <w:r>
        <w:rPr>
          <w:rFonts w:hint="eastAsia" w:ascii="宋体" w:hAnsi="宋体"/>
          <w:color w:val="auto"/>
          <w:sz w:val="24"/>
          <w:highlight w:val="none"/>
        </w:rPr>
        <w:t>代理人无转委托权。</w:t>
      </w:r>
    </w:p>
    <w:p w14:paraId="354B8E71">
      <w:pPr>
        <w:spacing w:after="120" w:afterLines="50" w:line="440" w:lineRule="atLeast"/>
        <w:ind w:firstLine="480" w:firstLineChars="200"/>
        <w:rPr>
          <w:color w:val="auto"/>
          <w:sz w:val="24"/>
          <w:highlight w:val="none"/>
        </w:rPr>
      </w:pPr>
    </w:p>
    <w:p w14:paraId="3D119B81">
      <w:pPr>
        <w:spacing w:line="360" w:lineRule="auto"/>
        <w:ind w:firstLine="420" w:firstLineChars="200"/>
        <w:rPr>
          <w:rFonts w:ascii="宋体" w:hAnsi="宋体"/>
          <w:color w:val="auto"/>
          <w:sz w:val="24"/>
          <w:highlight w:val="none"/>
        </w:rPr>
      </w:pPr>
      <w:r>
        <w:rPr>
          <w:rFonts w:hint="eastAsia" w:ascii="宋体" w:hAnsi="宋体"/>
          <w:color w:val="auto"/>
          <w:szCs w:val="21"/>
          <w:highlight w:val="none"/>
        </w:rPr>
        <w:t>附：委托代理人身份证正反面彩色影印件</w:t>
      </w:r>
    </w:p>
    <w:p w14:paraId="4A3F8747">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（联合体投标，联合体各方可采用盖章彩色扫描件上传）</w:t>
      </w:r>
    </w:p>
    <w:p w14:paraId="5DE7B7FF">
      <w:pPr>
        <w:spacing w:line="360" w:lineRule="auto"/>
        <w:ind w:firstLine="480" w:firstLineChars="200"/>
        <w:rPr>
          <w:rFonts w:ascii="宋体" w:hAnsi="宋体"/>
          <w:color w:val="auto"/>
          <w:sz w:val="24"/>
          <w:highlight w:val="none"/>
        </w:rPr>
      </w:pPr>
    </w:p>
    <w:p w14:paraId="6582DBE2">
      <w:pPr>
        <w:spacing w:line="360" w:lineRule="auto"/>
        <w:ind w:firstLine="480" w:firstLineChars="200"/>
        <w:rPr>
          <w:rFonts w:ascii="宋体" w:hAnsi="宋体"/>
          <w:color w:val="auto"/>
          <w:sz w:val="24"/>
          <w:highlight w:val="none"/>
        </w:rPr>
      </w:pPr>
    </w:p>
    <w:p w14:paraId="44C71B2D">
      <w:pPr>
        <w:spacing w:line="360" w:lineRule="auto"/>
        <w:ind w:firstLine="3720" w:firstLineChars="1550"/>
        <w:rPr>
          <w:rFonts w:ascii="宋体" w:hAnsi="宋体"/>
          <w:color w:val="auto"/>
          <w:sz w:val="24"/>
          <w:highlight w:val="none"/>
        </w:rPr>
      </w:pPr>
      <w:r>
        <w:rPr>
          <w:rFonts w:hint="eastAsia" w:ascii="宋体" w:hAnsi="宋体"/>
          <w:color w:val="auto"/>
          <w:sz w:val="24"/>
          <w:highlight w:val="none"/>
        </w:rPr>
        <w:t>投标人</w:t>
      </w:r>
      <w:r>
        <w:rPr>
          <w:color w:val="auto"/>
          <w:sz w:val="24"/>
          <w:highlight w:val="none"/>
        </w:rPr>
        <w:t>（全称并盖章）</w:t>
      </w:r>
      <w:r>
        <w:rPr>
          <w:rFonts w:hint="eastAsia" w:ascii="宋体" w:hAnsi="宋体"/>
          <w:color w:val="auto"/>
          <w:sz w:val="24"/>
          <w:highlight w:val="none"/>
        </w:rPr>
        <w:t>：</w:t>
      </w:r>
      <w:r>
        <w:rPr>
          <w:rFonts w:hint="eastAsia" w:ascii="宋体" w:hAnsi="宋体"/>
          <w:color w:val="auto"/>
          <w:sz w:val="24"/>
          <w:highlight w:val="none"/>
          <w:u w:val="single"/>
        </w:rPr>
        <w:t xml:space="preserve">                        </w:t>
      </w:r>
    </w:p>
    <w:p w14:paraId="73F6711C">
      <w:pPr>
        <w:spacing w:line="360" w:lineRule="auto"/>
        <w:ind w:firstLine="3720" w:firstLineChars="1550"/>
        <w:rPr>
          <w:rFonts w:ascii="宋体" w:hAnsi="宋体"/>
          <w:color w:val="auto"/>
          <w:sz w:val="24"/>
          <w:highlight w:val="none"/>
        </w:rPr>
      </w:pPr>
      <w:r>
        <w:rPr>
          <w:rFonts w:hint="eastAsia" w:ascii="宋体" w:hAnsi="宋体"/>
          <w:color w:val="auto"/>
          <w:sz w:val="24"/>
          <w:highlight w:val="none"/>
        </w:rPr>
        <w:t>法定代表人（签字）：</w:t>
      </w:r>
      <w:r>
        <w:rPr>
          <w:rFonts w:hint="eastAsia" w:ascii="宋体" w:hAnsi="宋体"/>
          <w:color w:val="auto"/>
          <w:sz w:val="24"/>
          <w:highlight w:val="none"/>
          <w:u w:val="single"/>
        </w:rPr>
        <w:t xml:space="preserve">                         </w:t>
      </w:r>
    </w:p>
    <w:p w14:paraId="22F3B21B">
      <w:pPr>
        <w:spacing w:line="360" w:lineRule="auto"/>
        <w:ind w:firstLine="3720" w:firstLineChars="1550"/>
        <w:rPr>
          <w:rFonts w:ascii="宋体" w:hAnsi="宋体"/>
          <w:color w:val="auto"/>
          <w:sz w:val="24"/>
          <w:highlight w:val="non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p>
    <w:p w14:paraId="03CA9496">
      <w:pPr>
        <w:spacing w:line="360" w:lineRule="auto"/>
        <w:ind w:firstLine="3720" w:firstLineChars="1550"/>
        <w:rPr>
          <w:rFonts w:ascii="宋体" w:hAnsi="宋体"/>
          <w:color w:val="auto"/>
          <w:sz w:val="24"/>
          <w:highlight w:val="none"/>
        </w:rPr>
      </w:pPr>
      <w:r>
        <w:rPr>
          <w:rFonts w:hint="eastAsia" w:ascii="宋体" w:hAnsi="宋体"/>
          <w:color w:val="auto"/>
          <w:sz w:val="24"/>
          <w:highlight w:val="none"/>
        </w:rPr>
        <w:t>委托代理人（签字）：</w:t>
      </w:r>
      <w:r>
        <w:rPr>
          <w:rFonts w:hint="eastAsia" w:ascii="宋体" w:hAnsi="宋体"/>
          <w:color w:val="auto"/>
          <w:sz w:val="24"/>
          <w:highlight w:val="none"/>
          <w:u w:val="single"/>
        </w:rPr>
        <w:t xml:space="preserve">                         </w:t>
      </w:r>
    </w:p>
    <w:p w14:paraId="2A3A4A2E">
      <w:pPr>
        <w:spacing w:line="360" w:lineRule="auto"/>
        <w:ind w:firstLine="3720" w:firstLineChars="1550"/>
        <w:rPr>
          <w:rFonts w:ascii="宋体" w:hAnsi="宋体"/>
          <w:color w:val="auto"/>
          <w:sz w:val="24"/>
          <w:highlight w:val="non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p>
    <w:p w14:paraId="508E488C">
      <w:pPr>
        <w:spacing w:line="360" w:lineRule="auto"/>
        <w:ind w:firstLine="6120" w:firstLineChars="2550"/>
        <w:rPr>
          <w:rFonts w:ascii="宋体" w:hAnsi="宋体"/>
          <w:color w:val="auto"/>
          <w:sz w:val="24"/>
          <w:highlight w:val="none"/>
        </w:rPr>
      </w:pPr>
    </w:p>
    <w:p w14:paraId="0239495A">
      <w:pPr>
        <w:spacing w:line="420" w:lineRule="exact"/>
        <w:ind w:firstLine="6000" w:firstLineChars="2500"/>
        <w:rPr>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2567320A">
      <w:pPr>
        <w:rPr>
          <w:color w:val="auto"/>
          <w:sz w:val="24"/>
          <w:highlight w:val="none"/>
        </w:rPr>
      </w:pPr>
    </w:p>
    <w:p w14:paraId="42673DE4">
      <w:pPr>
        <w:rPr>
          <w:color w:val="auto"/>
          <w:sz w:val="24"/>
          <w:highlight w:val="none"/>
        </w:rPr>
      </w:pPr>
    </w:p>
    <w:p w14:paraId="2B82994C">
      <w:pPr>
        <w:rPr>
          <w:color w:val="auto"/>
          <w:sz w:val="24"/>
          <w:highlight w:val="none"/>
        </w:rPr>
      </w:pPr>
    </w:p>
    <w:p w14:paraId="14C2223A">
      <w:pPr>
        <w:pStyle w:val="5"/>
        <w:jc w:val="center"/>
        <w:rPr>
          <w:color w:val="auto"/>
          <w:highlight w:val="none"/>
        </w:rPr>
      </w:pPr>
      <w:bookmarkStart w:id="1519" w:name="_Toc341805342"/>
      <w:bookmarkStart w:id="1520" w:name="_Toc356568020"/>
      <w:r>
        <w:rPr>
          <w:rFonts w:hint="eastAsia"/>
          <w:color w:val="auto"/>
          <w:highlight w:val="none"/>
        </w:rPr>
        <w:br w:type="page"/>
      </w:r>
      <w:bookmarkStart w:id="1521" w:name="_Toc487291631"/>
      <w:bookmarkStart w:id="1522" w:name="_Toc488651019"/>
      <w:r>
        <w:rPr>
          <w:rFonts w:hint="eastAsia"/>
          <w:color w:val="auto"/>
          <w:highlight w:val="none"/>
        </w:rPr>
        <w:t>四、</w:t>
      </w:r>
      <w:r>
        <w:rPr>
          <w:color w:val="auto"/>
          <w:highlight w:val="none"/>
        </w:rPr>
        <w:t>联合体协议书</w:t>
      </w:r>
      <w:bookmarkEnd w:id="1519"/>
      <w:bookmarkEnd w:id="1520"/>
      <w:bookmarkEnd w:id="1521"/>
      <w:bookmarkEnd w:id="1522"/>
      <w:r>
        <w:rPr>
          <w:rFonts w:hint="eastAsia" w:ascii="宋体" w:hAnsi="宋体"/>
          <w:color w:val="auto"/>
          <w:szCs w:val="21"/>
          <w:highlight w:val="none"/>
        </w:rPr>
        <w:t>（若有）</w:t>
      </w:r>
    </w:p>
    <w:p w14:paraId="2BE4412E">
      <w:pPr>
        <w:spacing w:before="240" w:after="120" w:afterLines="50" w:line="360" w:lineRule="auto"/>
        <w:ind w:firstLine="562" w:firstLineChars="200"/>
        <w:jc w:val="center"/>
        <w:rPr>
          <w:rFonts w:eastAsia="黑体"/>
          <w:b/>
          <w:color w:val="auto"/>
          <w:sz w:val="28"/>
          <w:szCs w:val="21"/>
          <w:highlight w:val="none"/>
        </w:rPr>
      </w:pPr>
    </w:p>
    <w:p w14:paraId="416DFE59">
      <w:pPr>
        <w:snapToGrid w:val="0"/>
        <w:spacing w:line="440" w:lineRule="exact"/>
        <w:ind w:firstLine="480" w:firstLineChars="200"/>
        <w:rPr>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（所有成员单位名称）自愿组成</w:t>
      </w:r>
      <w:r>
        <w:rPr>
          <w:rFonts w:hint="eastAsia" w:ascii="宋体" w:hAnsi="宋体"/>
          <w:color w:val="auto"/>
          <w:sz w:val="24"/>
          <w:highlight w:val="none"/>
          <w:u w:val="single"/>
        </w:rPr>
        <w:t xml:space="preserve">             </w:t>
      </w:r>
      <w:r>
        <w:rPr>
          <w:rFonts w:hint="eastAsia" w:ascii="宋体" w:hAnsi="宋体"/>
          <w:color w:val="auto"/>
          <w:sz w:val="24"/>
          <w:highlight w:val="none"/>
        </w:rPr>
        <w:t>（联合体名称）联合体，共同</w:t>
      </w:r>
      <w:r>
        <w:rPr>
          <w:color w:val="auto"/>
          <w:sz w:val="24"/>
          <w:highlight w:val="none"/>
        </w:rPr>
        <w:t>参加</w:t>
      </w:r>
      <w:r>
        <w:rPr>
          <w:rFonts w:hint="eastAsia"/>
          <w:color w:val="auto"/>
          <w:sz w:val="24"/>
          <w:highlight w:val="none"/>
          <w:u w:val="single"/>
        </w:rPr>
        <w:t xml:space="preserve">               </w:t>
      </w:r>
      <w:r>
        <w:rPr>
          <w:rFonts w:hint="eastAsia"/>
          <w:color w:val="auto"/>
          <w:sz w:val="24"/>
          <w:highlight w:val="none"/>
        </w:rPr>
        <w:t>（项目名称）施工</w:t>
      </w:r>
      <w:r>
        <w:rPr>
          <w:color w:val="auto"/>
          <w:sz w:val="24"/>
          <w:highlight w:val="none"/>
        </w:rPr>
        <w:t>监理的投标。现就</w:t>
      </w:r>
      <w:r>
        <w:rPr>
          <w:rFonts w:hint="eastAsia"/>
          <w:color w:val="auto"/>
          <w:sz w:val="24"/>
          <w:highlight w:val="none"/>
        </w:rPr>
        <w:t>联合体投标</w:t>
      </w:r>
      <w:r>
        <w:rPr>
          <w:color w:val="auto"/>
          <w:sz w:val="24"/>
          <w:highlight w:val="none"/>
        </w:rPr>
        <w:t>事宜订立如下协议：</w:t>
      </w:r>
    </w:p>
    <w:p w14:paraId="30F1EDC3">
      <w:pPr>
        <w:snapToGrid w:val="0"/>
        <w:spacing w:line="440" w:lineRule="exact"/>
        <w:ind w:firstLine="480" w:firstLineChars="200"/>
        <w:rPr>
          <w:color w:val="auto"/>
          <w:sz w:val="24"/>
          <w:highlight w:val="none"/>
        </w:rPr>
      </w:pPr>
      <w:r>
        <w:rPr>
          <w:color w:val="auto"/>
          <w:sz w:val="24"/>
          <w:highlight w:val="none"/>
        </w:rPr>
        <w:t>1</w:t>
      </w:r>
      <w:r>
        <w:rPr>
          <w:rFonts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rPr>
        <w:t>（某成员单位名称）为</w:t>
      </w:r>
      <w:r>
        <w:rPr>
          <w:rFonts w:hint="eastAsia" w:ascii="宋体" w:hAnsi="宋体"/>
          <w:color w:val="auto"/>
          <w:sz w:val="24"/>
          <w:highlight w:val="none"/>
          <w:u w:val="single"/>
        </w:rPr>
        <w:t xml:space="preserve">          </w:t>
      </w:r>
      <w:r>
        <w:rPr>
          <w:rFonts w:hint="eastAsia" w:ascii="宋体" w:hAnsi="宋体"/>
          <w:color w:val="auto"/>
          <w:sz w:val="24"/>
          <w:highlight w:val="none"/>
        </w:rPr>
        <w:t>（联合体名称）牵头人。</w:t>
      </w:r>
    </w:p>
    <w:p w14:paraId="33BE84F5">
      <w:pPr>
        <w:spacing w:line="440" w:lineRule="exact"/>
        <w:ind w:firstLine="480" w:firstLineChars="200"/>
        <w:rPr>
          <w:rFonts w:ascii="宋体" w:hAnsi="宋体"/>
          <w:color w:val="auto"/>
          <w:sz w:val="24"/>
          <w:highlight w:val="none"/>
        </w:rPr>
      </w:pPr>
      <w:r>
        <w:rPr>
          <w:rFonts w:hint="eastAsia"/>
          <w:color w:val="auto"/>
          <w:sz w:val="24"/>
          <w:highlight w:val="none"/>
        </w:rPr>
        <w:t>2</w:t>
      </w:r>
      <w:r>
        <w:rPr>
          <w:rFonts w:ascii="宋体" w:hAnsi="宋体"/>
          <w:color w:val="auto"/>
          <w:sz w:val="24"/>
          <w:highlight w:val="none"/>
        </w:rPr>
        <w:t>．</w:t>
      </w:r>
      <w:r>
        <w:rPr>
          <w:rFonts w:hint="eastAsia" w:ascii="宋体" w:hAnsi="宋体"/>
          <w:color w:val="auto"/>
          <w:sz w:val="24"/>
          <w:highlight w:val="none"/>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731F22FC">
      <w:pPr>
        <w:spacing w:line="440" w:lineRule="exact"/>
        <w:ind w:firstLine="480" w:firstLineChars="200"/>
        <w:rPr>
          <w:rFonts w:ascii="宋体" w:hAnsi="宋体"/>
          <w:color w:val="auto"/>
          <w:sz w:val="24"/>
          <w:highlight w:val="none"/>
        </w:rPr>
      </w:pPr>
      <w:r>
        <w:rPr>
          <w:rFonts w:hint="eastAsia"/>
          <w:color w:val="auto"/>
          <w:sz w:val="24"/>
          <w:highlight w:val="none"/>
        </w:rPr>
        <w:t>3</w:t>
      </w:r>
      <w:r>
        <w:rPr>
          <w:rFonts w:ascii="宋体" w:hAnsi="宋体"/>
          <w:color w:val="auto"/>
          <w:sz w:val="24"/>
          <w:highlight w:val="none"/>
        </w:rPr>
        <w:t>．</w:t>
      </w:r>
      <w:r>
        <w:rPr>
          <w:rFonts w:hint="eastAsia" w:ascii="宋体" w:hAnsi="宋体"/>
          <w:color w:val="auto"/>
          <w:sz w:val="24"/>
          <w:highlight w:val="none"/>
        </w:rPr>
        <w:t>联合体将严格按照招标文件的各项要求，递交投标文件，履行合同，并对外承担连带责任。</w:t>
      </w:r>
    </w:p>
    <w:p w14:paraId="792BA58F">
      <w:pPr>
        <w:snapToGrid w:val="0"/>
        <w:spacing w:line="440" w:lineRule="exact"/>
        <w:ind w:firstLine="480" w:firstLineChars="200"/>
        <w:rPr>
          <w:rFonts w:ascii="宋体" w:hAnsi="宋体"/>
          <w:color w:val="auto"/>
          <w:sz w:val="24"/>
          <w:highlight w:val="none"/>
        </w:rPr>
      </w:pPr>
      <w:r>
        <w:rPr>
          <w:rFonts w:hint="eastAsia"/>
          <w:color w:val="auto"/>
          <w:sz w:val="24"/>
          <w:highlight w:val="none"/>
        </w:rPr>
        <w:t>4</w:t>
      </w:r>
      <w:r>
        <w:rPr>
          <w:rFonts w:ascii="宋体" w:hAnsi="宋体"/>
          <w:color w:val="auto"/>
          <w:sz w:val="24"/>
          <w:highlight w:val="none"/>
        </w:rPr>
        <w:t>．</w:t>
      </w:r>
      <w:r>
        <w:rPr>
          <w:rFonts w:hint="eastAsia" w:ascii="宋体" w:hAnsi="宋体"/>
          <w:color w:val="auto"/>
          <w:sz w:val="24"/>
          <w:highlight w:val="none"/>
        </w:rPr>
        <w:t>联合体各成员单位内部的职责分工如下：</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1A8FB68D">
      <w:pPr>
        <w:snapToGrid w:val="0"/>
        <w:spacing w:line="440" w:lineRule="exact"/>
        <w:ind w:firstLine="480" w:firstLineChars="200"/>
        <w:rPr>
          <w:color w:val="auto"/>
          <w:sz w:val="24"/>
          <w:highlight w:val="none"/>
        </w:rPr>
      </w:pPr>
      <w:r>
        <w:rPr>
          <w:rFonts w:hint="eastAsia"/>
          <w:color w:val="auto"/>
          <w:sz w:val="24"/>
          <w:highlight w:val="none"/>
        </w:rPr>
        <w:t>5</w:t>
      </w:r>
      <w:r>
        <w:rPr>
          <w:rFonts w:ascii="宋体" w:hAnsi="宋体"/>
          <w:color w:val="auto"/>
          <w:sz w:val="24"/>
          <w:highlight w:val="none"/>
        </w:rPr>
        <w:t>．</w:t>
      </w:r>
      <w:r>
        <w:rPr>
          <w:rFonts w:hint="eastAsia"/>
          <w:color w:val="auto"/>
          <w:sz w:val="24"/>
          <w:highlight w:val="none"/>
        </w:rPr>
        <w:t>总监理工程师由与联合体牵头人有合同关系且在其岗位登记的人员担任，姓名：</w:t>
      </w:r>
      <w:r>
        <w:rPr>
          <w:rFonts w:hint="eastAsia"/>
          <w:color w:val="auto"/>
          <w:sz w:val="24"/>
          <w:highlight w:val="none"/>
          <w:u w:val="single"/>
        </w:rPr>
        <w:t xml:space="preserve">       </w:t>
      </w:r>
      <w:r>
        <w:rPr>
          <w:rFonts w:hint="eastAsia"/>
          <w:color w:val="auto"/>
          <w:sz w:val="24"/>
          <w:highlight w:val="none"/>
        </w:rPr>
        <w:t>，监理资格证书号码：</w:t>
      </w:r>
      <w:r>
        <w:rPr>
          <w:rFonts w:hint="eastAsia"/>
          <w:color w:val="auto"/>
          <w:sz w:val="24"/>
          <w:highlight w:val="none"/>
          <w:u w:val="single"/>
        </w:rPr>
        <w:t xml:space="preserve">          </w:t>
      </w:r>
      <w:r>
        <w:rPr>
          <w:rFonts w:hint="eastAsia"/>
          <w:color w:val="auto"/>
          <w:sz w:val="24"/>
          <w:highlight w:val="none"/>
        </w:rPr>
        <w:t>。</w:t>
      </w:r>
    </w:p>
    <w:p w14:paraId="6E03EE33">
      <w:pPr>
        <w:snapToGrid w:val="0"/>
        <w:spacing w:line="440" w:lineRule="exact"/>
        <w:ind w:firstLine="480" w:firstLineChars="200"/>
        <w:rPr>
          <w:color w:val="auto"/>
          <w:sz w:val="24"/>
          <w:highlight w:val="none"/>
        </w:rPr>
      </w:pPr>
      <w:r>
        <w:rPr>
          <w:rFonts w:hint="eastAsia"/>
          <w:color w:val="auto"/>
          <w:sz w:val="24"/>
          <w:highlight w:val="none"/>
        </w:rPr>
        <w:t>6</w:t>
      </w:r>
      <w:r>
        <w:rPr>
          <w:rFonts w:ascii="宋体" w:hAnsi="宋体"/>
          <w:color w:val="auto"/>
          <w:sz w:val="24"/>
          <w:highlight w:val="none"/>
        </w:rPr>
        <w:t>．</w:t>
      </w:r>
      <w:r>
        <w:rPr>
          <w:rFonts w:hint="eastAsia" w:ascii="宋体" w:hAnsi="宋体"/>
          <w:color w:val="auto"/>
          <w:sz w:val="24"/>
          <w:highlight w:val="none"/>
        </w:rPr>
        <w:t>本协议书自签署之日起生效，合同履行完毕后自动失效。</w:t>
      </w:r>
    </w:p>
    <w:p w14:paraId="3107AD09">
      <w:pPr>
        <w:snapToGrid w:val="0"/>
        <w:spacing w:line="440" w:lineRule="exact"/>
        <w:ind w:firstLine="477" w:firstLineChars="199"/>
        <w:rPr>
          <w:color w:val="auto"/>
          <w:sz w:val="24"/>
          <w:highlight w:val="none"/>
        </w:rPr>
      </w:pPr>
      <w:r>
        <w:rPr>
          <w:rFonts w:hint="eastAsia"/>
          <w:color w:val="auto"/>
          <w:sz w:val="24"/>
          <w:highlight w:val="none"/>
        </w:rPr>
        <w:t>7</w:t>
      </w:r>
      <w:r>
        <w:rPr>
          <w:rFonts w:ascii="宋体" w:hAnsi="宋体"/>
          <w:color w:val="auto"/>
          <w:sz w:val="24"/>
          <w:highlight w:val="none"/>
        </w:rPr>
        <w:t>．</w:t>
      </w:r>
      <w:r>
        <w:rPr>
          <w:rFonts w:hint="eastAsia" w:ascii="宋体" w:hAnsi="宋体"/>
          <w:color w:val="auto"/>
          <w:sz w:val="24"/>
          <w:highlight w:val="none"/>
        </w:rPr>
        <w:t>本协议书一式</w:t>
      </w:r>
      <w:r>
        <w:rPr>
          <w:rFonts w:hint="eastAsia" w:ascii="宋体" w:hAnsi="宋体"/>
          <w:color w:val="auto"/>
          <w:sz w:val="24"/>
          <w:highlight w:val="none"/>
          <w:u w:val="single"/>
        </w:rPr>
        <w:t xml:space="preserve">   </w:t>
      </w:r>
      <w:r>
        <w:rPr>
          <w:rFonts w:hint="eastAsia" w:ascii="宋体" w:hAnsi="宋体"/>
          <w:color w:val="auto"/>
          <w:sz w:val="24"/>
          <w:highlight w:val="none"/>
        </w:rPr>
        <w:t>份，联合体成员和招标人各执一份。</w:t>
      </w:r>
    </w:p>
    <w:p w14:paraId="15BBF6D1">
      <w:pPr>
        <w:snapToGrid w:val="0"/>
        <w:spacing w:line="440" w:lineRule="exact"/>
        <w:ind w:firstLine="480" w:firstLineChars="200"/>
        <w:rPr>
          <w:color w:val="auto"/>
          <w:sz w:val="24"/>
          <w:highlight w:val="none"/>
        </w:rPr>
      </w:pPr>
      <w:r>
        <w:rPr>
          <w:rFonts w:hint="eastAsia" w:ascii="宋体" w:hAnsi="宋体"/>
          <w:color w:val="auto"/>
          <w:sz w:val="24"/>
          <w:highlight w:val="none"/>
        </w:rPr>
        <w:t>注：本协议书由委托代理人签字的，应附法定代表人签字的授权委托书。</w:t>
      </w:r>
    </w:p>
    <w:p w14:paraId="3DDCBCE9">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（可用彩色扫描件上传）</w:t>
      </w:r>
    </w:p>
    <w:p w14:paraId="6803DEEC">
      <w:pPr>
        <w:spacing w:line="360" w:lineRule="auto"/>
        <w:ind w:firstLine="3720" w:firstLineChars="1550"/>
        <w:rPr>
          <w:rFonts w:ascii="宋体" w:hAnsi="宋体"/>
          <w:color w:val="auto"/>
          <w:sz w:val="24"/>
          <w:highlight w:val="none"/>
        </w:rPr>
      </w:pPr>
      <w:r>
        <w:rPr>
          <w:rFonts w:hint="eastAsia" w:ascii="宋体" w:hAnsi="宋体"/>
          <w:color w:val="auto"/>
          <w:sz w:val="24"/>
          <w:highlight w:val="none"/>
        </w:rPr>
        <w:t>牵头人名称</w:t>
      </w:r>
      <w:r>
        <w:rPr>
          <w:color w:val="auto"/>
          <w:sz w:val="24"/>
          <w:highlight w:val="none"/>
        </w:rPr>
        <w:t>（全称并盖章）</w:t>
      </w:r>
      <w:r>
        <w:rPr>
          <w:rFonts w:hint="eastAsia" w:ascii="宋体" w:hAnsi="宋体"/>
          <w:color w:val="auto"/>
          <w:sz w:val="24"/>
          <w:highlight w:val="none"/>
        </w:rPr>
        <w:t>：</w:t>
      </w:r>
      <w:r>
        <w:rPr>
          <w:rFonts w:hint="eastAsia" w:ascii="宋体" w:hAnsi="宋体"/>
          <w:color w:val="auto"/>
          <w:sz w:val="24"/>
          <w:highlight w:val="none"/>
          <w:u w:val="single"/>
        </w:rPr>
        <w:t xml:space="preserve">                      </w:t>
      </w:r>
    </w:p>
    <w:p w14:paraId="787256A0">
      <w:pPr>
        <w:spacing w:line="360" w:lineRule="auto"/>
        <w:ind w:firstLine="3720" w:firstLineChars="1550"/>
        <w:rPr>
          <w:rFonts w:ascii="宋体" w:hAnsi="宋体"/>
          <w:color w:val="auto"/>
          <w:sz w:val="24"/>
          <w:highlight w:val="none"/>
        </w:rPr>
      </w:pPr>
      <w:r>
        <w:rPr>
          <w:rFonts w:hint="eastAsia" w:ascii="宋体" w:hAnsi="宋体"/>
          <w:color w:val="auto"/>
          <w:sz w:val="24"/>
          <w:highlight w:val="none"/>
        </w:rPr>
        <w:t>法定代表人或其委托代理人（签字）：</w:t>
      </w:r>
      <w:r>
        <w:rPr>
          <w:rFonts w:hint="eastAsia" w:ascii="宋体" w:hAnsi="宋体"/>
          <w:color w:val="auto"/>
          <w:sz w:val="24"/>
          <w:highlight w:val="none"/>
          <w:u w:val="single"/>
        </w:rPr>
        <w:t xml:space="preserve">              </w:t>
      </w:r>
    </w:p>
    <w:p w14:paraId="5043D08B">
      <w:pPr>
        <w:spacing w:line="360" w:lineRule="auto"/>
        <w:ind w:firstLine="480" w:firstLineChars="200"/>
        <w:rPr>
          <w:rFonts w:ascii="宋体" w:hAnsi="宋体"/>
          <w:color w:val="auto"/>
          <w:sz w:val="24"/>
          <w:highlight w:val="none"/>
        </w:rPr>
      </w:pPr>
    </w:p>
    <w:p w14:paraId="39862E3F">
      <w:pPr>
        <w:spacing w:line="360" w:lineRule="auto"/>
        <w:ind w:firstLine="3720" w:firstLineChars="1550"/>
        <w:rPr>
          <w:rFonts w:ascii="宋体" w:hAnsi="宋体"/>
          <w:color w:val="auto"/>
          <w:sz w:val="24"/>
          <w:highlight w:val="none"/>
        </w:rPr>
      </w:pPr>
      <w:r>
        <w:rPr>
          <w:rFonts w:hint="eastAsia" w:ascii="宋体" w:hAnsi="宋体"/>
          <w:color w:val="auto"/>
          <w:sz w:val="24"/>
          <w:highlight w:val="none"/>
        </w:rPr>
        <w:t>成员一名称</w:t>
      </w:r>
      <w:r>
        <w:rPr>
          <w:color w:val="auto"/>
          <w:sz w:val="24"/>
          <w:highlight w:val="none"/>
        </w:rPr>
        <w:t>（全称并盖章）</w:t>
      </w:r>
      <w:r>
        <w:rPr>
          <w:rFonts w:hint="eastAsia" w:ascii="宋体" w:hAnsi="宋体"/>
          <w:color w:val="auto"/>
          <w:sz w:val="24"/>
          <w:highlight w:val="none"/>
        </w:rPr>
        <w:t>：</w:t>
      </w:r>
      <w:r>
        <w:rPr>
          <w:rFonts w:hint="eastAsia" w:ascii="宋体" w:hAnsi="宋体"/>
          <w:color w:val="auto"/>
          <w:sz w:val="24"/>
          <w:highlight w:val="none"/>
          <w:u w:val="single"/>
        </w:rPr>
        <w:t xml:space="preserve">                       </w:t>
      </w:r>
    </w:p>
    <w:p w14:paraId="4341E2BE">
      <w:pPr>
        <w:spacing w:line="360" w:lineRule="auto"/>
        <w:ind w:firstLine="3720" w:firstLineChars="1550"/>
        <w:rPr>
          <w:rFonts w:ascii="宋体" w:hAnsi="宋体"/>
          <w:color w:val="auto"/>
          <w:sz w:val="24"/>
          <w:highlight w:val="none"/>
          <w:u w:val="single"/>
        </w:rPr>
      </w:pPr>
      <w:r>
        <w:rPr>
          <w:rFonts w:hint="eastAsia" w:ascii="宋体" w:hAnsi="宋体"/>
          <w:color w:val="auto"/>
          <w:sz w:val="24"/>
          <w:highlight w:val="none"/>
        </w:rPr>
        <w:t>法定代表人或其委托代理人（签字）：</w:t>
      </w:r>
      <w:r>
        <w:rPr>
          <w:rFonts w:hint="eastAsia" w:ascii="宋体" w:hAnsi="宋体"/>
          <w:color w:val="auto"/>
          <w:sz w:val="24"/>
          <w:highlight w:val="none"/>
          <w:u w:val="single"/>
        </w:rPr>
        <w:t xml:space="preserve">               </w:t>
      </w:r>
    </w:p>
    <w:p w14:paraId="78FBAAD1">
      <w:pPr>
        <w:spacing w:line="360" w:lineRule="auto"/>
        <w:ind w:firstLine="480" w:firstLineChars="200"/>
        <w:rPr>
          <w:rFonts w:ascii="宋体" w:hAnsi="宋体"/>
          <w:color w:val="auto"/>
          <w:sz w:val="24"/>
          <w:highlight w:val="none"/>
        </w:rPr>
      </w:pPr>
    </w:p>
    <w:p w14:paraId="1C5ACC7B">
      <w:pPr>
        <w:spacing w:line="360" w:lineRule="auto"/>
        <w:ind w:firstLine="3720" w:firstLineChars="1550"/>
        <w:rPr>
          <w:rFonts w:ascii="宋体" w:hAnsi="宋体"/>
          <w:color w:val="auto"/>
          <w:sz w:val="24"/>
          <w:highlight w:val="none"/>
        </w:rPr>
      </w:pPr>
      <w:r>
        <w:rPr>
          <w:rFonts w:hint="eastAsia" w:ascii="宋体" w:hAnsi="宋体"/>
          <w:color w:val="auto"/>
          <w:sz w:val="24"/>
          <w:highlight w:val="none"/>
        </w:rPr>
        <w:t>成员二名称</w:t>
      </w:r>
      <w:r>
        <w:rPr>
          <w:color w:val="auto"/>
          <w:sz w:val="24"/>
          <w:highlight w:val="none"/>
        </w:rPr>
        <w:t>（全称并盖章）</w:t>
      </w:r>
      <w:r>
        <w:rPr>
          <w:rFonts w:hint="eastAsia" w:ascii="宋体" w:hAnsi="宋体"/>
          <w:color w:val="auto"/>
          <w:sz w:val="24"/>
          <w:highlight w:val="none"/>
        </w:rPr>
        <w:t>：</w:t>
      </w:r>
      <w:r>
        <w:rPr>
          <w:rFonts w:hint="eastAsia" w:ascii="宋体" w:hAnsi="宋体"/>
          <w:color w:val="auto"/>
          <w:sz w:val="24"/>
          <w:highlight w:val="none"/>
          <w:u w:val="single"/>
        </w:rPr>
        <w:t xml:space="preserve">                       </w:t>
      </w:r>
    </w:p>
    <w:p w14:paraId="3B08B2F7">
      <w:pPr>
        <w:spacing w:line="360" w:lineRule="auto"/>
        <w:ind w:firstLine="3720" w:firstLineChars="1550"/>
        <w:rPr>
          <w:rFonts w:ascii="宋体" w:hAnsi="宋体"/>
          <w:color w:val="auto"/>
          <w:sz w:val="24"/>
          <w:highlight w:val="none"/>
          <w:u w:val="single"/>
        </w:rPr>
      </w:pPr>
      <w:r>
        <w:rPr>
          <w:rFonts w:hint="eastAsia" w:ascii="宋体" w:hAnsi="宋体"/>
          <w:color w:val="auto"/>
          <w:sz w:val="24"/>
          <w:highlight w:val="none"/>
        </w:rPr>
        <w:t>法定代表人或其委托代理人（签字）：</w:t>
      </w:r>
      <w:r>
        <w:rPr>
          <w:rFonts w:hint="eastAsia" w:ascii="宋体" w:hAnsi="宋体"/>
          <w:color w:val="auto"/>
          <w:sz w:val="24"/>
          <w:highlight w:val="none"/>
          <w:u w:val="single"/>
        </w:rPr>
        <w:t xml:space="preserve">               </w:t>
      </w:r>
    </w:p>
    <w:p w14:paraId="290A088D">
      <w:pPr>
        <w:spacing w:line="360" w:lineRule="auto"/>
        <w:ind w:firstLine="4920" w:firstLineChars="2050"/>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w:t>
      </w:r>
    </w:p>
    <w:p w14:paraId="20A1B5F7">
      <w:pPr>
        <w:pStyle w:val="106"/>
        <w:tabs>
          <w:tab w:val="left" w:pos="4413"/>
        </w:tabs>
        <w:snapToGrid w:val="0"/>
        <w:spacing w:line="700" w:lineRule="exact"/>
        <w:ind w:firstLine="6600" w:firstLineChars="2750"/>
        <w:jc w:val="both"/>
        <w:rPr>
          <w:color w:val="auto"/>
          <w:sz w:val="24"/>
          <w:szCs w:val="24"/>
          <w:highlight w:val="non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14:paraId="2B09445D">
      <w:pPr>
        <w:rPr>
          <w:color w:val="auto"/>
          <w:sz w:val="24"/>
          <w:highlight w:val="none"/>
        </w:rPr>
      </w:pPr>
    </w:p>
    <w:p w14:paraId="14C3529D">
      <w:pPr>
        <w:pStyle w:val="5"/>
        <w:jc w:val="center"/>
        <w:rPr>
          <w:b w:val="0"/>
          <w:color w:val="auto"/>
          <w:highlight w:val="none"/>
        </w:rPr>
      </w:pPr>
      <w:bookmarkStart w:id="1523" w:name="_Toc487291632"/>
      <w:bookmarkStart w:id="1524" w:name="_Toc488651020"/>
      <w:bookmarkStart w:id="1525" w:name="_Toc330384493"/>
      <w:bookmarkStart w:id="1526" w:name="_Toc356568021"/>
      <w:bookmarkStart w:id="1527" w:name="_Toc341805343"/>
      <w:r>
        <w:rPr>
          <w:rFonts w:hint="eastAsia"/>
          <w:color w:val="auto"/>
          <w:highlight w:val="none"/>
        </w:rPr>
        <w:t>五、投标保证金</w:t>
      </w:r>
      <w:bookmarkEnd w:id="1523"/>
      <w:bookmarkEnd w:id="1524"/>
      <w:bookmarkEnd w:id="1525"/>
      <w:bookmarkEnd w:id="1526"/>
      <w:bookmarkEnd w:id="1527"/>
      <w:r>
        <w:rPr>
          <w:rStyle w:val="53"/>
          <w:rFonts w:hint="eastAsia"/>
          <w:color w:val="auto"/>
          <w:highlight w:val="none"/>
        </w:rPr>
        <w:footnoteReference w:id="11"/>
      </w:r>
    </w:p>
    <w:p w14:paraId="718CE411">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监理人按照第二章“投标人须知”第3.4条投标保证金规定的形式和金额，提交投标保证金。</w:t>
      </w:r>
    </w:p>
    <w:p w14:paraId="1EC40F72">
      <w:pPr>
        <w:wordWrap w:val="0"/>
        <w:spacing w:before="240" w:beforeLines="100" w:line="300" w:lineRule="auto"/>
        <w:jc w:val="center"/>
        <w:rPr>
          <w:rFonts w:eastAsia="黑体"/>
          <w:bCs/>
          <w:color w:val="auto"/>
          <w:kern w:val="44"/>
          <w:sz w:val="28"/>
          <w:szCs w:val="28"/>
          <w:highlight w:val="none"/>
          <w:shd w:val="clear" w:color="auto" w:fill="auto"/>
        </w:rPr>
      </w:pPr>
      <w:bookmarkStart w:id="1528" w:name="_Toc838584650_WPSOffice_Level2"/>
      <w:r>
        <w:rPr>
          <w:rFonts w:hint="eastAsia" w:eastAsia="黑体"/>
          <w:bCs/>
          <w:color w:val="auto"/>
          <w:kern w:val="44"/>
          <w:sz w:val="28"/>
          <w:szCs w:val="28"/>
          <w:highlight w:val="none"/>
          <w:shd w:val="clear" w:color="auto" w:fill="auto"/>
        </w:rPr>
        <w:t>（一）投标保证金</w:t>
      </w:r>
      <w:bookmarkEnd w:id="1528"/>
      <w:r>
        <w:rPr>
          <w:rFonts w:hint="eastAsia" w:eastAsia="黑体"/>
          <w:bCs/>
          <w:color w:val="auto"/>
          <w:kern w:val="44"/>
          <w:sz w:val="28"/>
          <w:szCs w:val="28"/>
          <w:highlight w:val="none"/>
          <w:shd w:val="clear" w:color="auto" w:fill="auto"/>
          <w:lang w:val="en-US" w:eastAsia="zh-CN"/>
        </w:rPr>
        <w:t>凭证</w:t>
      </w:r>
    </w:p>
    <w:p w14:paraId="462232AB">
      <w:pPr>
        <w:jc w:val="center"/>
        <w:rPr>
          <w:color w:val="auto"/>
          <w:sz w:val="24"/>
          <w:highlight w:val="none"/>
        </w:rPr>
      </w:pPr>
    </w:p>
    <w:p w14:paraId="59A1BAE6">
      <w:pPr>
        <w:spacing w:line="400" w:lineRule="exact"/>
        <w:ind w:firstLine="480" w:firstLineChars="200"/>
        <w:jc w:val="center"/>
        <w:rPr>
          <w:color w:val="auto"/>
          <w:sz w:val="24"/>
          <w:highlight w:val="none"/>
        </w:rPr>
      </w:pPr>
      <w:r>
        <w:rPr>
          <w:rFonts w:hint="eastAsia"/>
          <w:color w:val="auto"/>
          <w:sz w:val="24"/>
          <w:highlight w:val="none"/>
          <w:shd w:val="clear" w:color="auto" w:fill="auto"/>
        </w:rPr>
        <w:t>（上传转账、电汇单据的扫描件）</w:t>
      </w:r>
    </w:p>
    <w:p w14:paraId="0FB58B83">
      <w:pPr>
        <w:spacing w:line="400" w:lineRule="exact"/>
        <w:ind w:firstLine="480" w:firstLineChars="200"/>
        <w:rPr>
          <w:color w:val="auto"/>
          <w:sz w:val="24"/>
          <w:highlight w:val="none"/>
        </w:rPr>
      </w:pPr>
    </w:p>
    <w:p w14:paraId="5AFB4C33">
      <w:pPr>
        <w:spacing w:line="480" w:lineRule="auto"/>
        <w:rPr>
          <w:rFonts w:ascii="宋体" w:hAnsi="宋体"/>
          <w:color w:val="auto"/>
          <w:sz w:val="28"/>
          <w:szCs w:val="28"/>
          <w:highlight w:val="none"/>
        </w:rPr>
      </w:pPr>
      <w:r>
        <w:rPr>
          <w:rFonts w:hint="eastAsia" w:ascii="宋体" w:hAnsi="宋体"/>
          <w:color w:val="auto"/>
          <w:sz w:val="28"/>
          <w:szCs w:val="28"/>
          <w:highlight w:val="none"/>
        </w:rPr>
        <w:t xml:space="preserve"> </w:t>
      </w:r>
    </w:p>
    <w:p w14:paraId="1D21194C">
      <w:pPr>
        <w:rPr>
          <w:rFonts w:ascii="宋体" w:hAnsi="宋体"/>
          <w:color w:val="auto"/>
          <w:sz w:val="28"/>
          <w:szCs w:val="28"/>
          <w:highlight w:val="none"/>
        </w:rPr>
      </w:pPr>
      <w:r>
        <w:rPr>
          <w:rFonts w:hint="eastAsia" w:ascii="宋体" w:hAnsi="宋体"/>
          <w:color w:val="auto"/>
          <w:sz w:val="28"/>
          <w:szCs w:val="28"/>
          <w:highlight w:val="none"/>
        </w:rPr>
        <w:br w:type="page"/>
      </w:r>
    </w:p>
    <w:p w14:paraId="02A23321">
      <w:pPr>
        <w:jc w:val="left"/>
        <w:rPr>
          <w:rFonts w:ascii="黑体" w:hAnsi="黑体" w:eastAsia="黑体"/>
          <w:color w:val="auto"/>
          <w:kern w:val="1"/>
          <w:highlight w:val="none"/>
        </w:rPr>
        <w:sectPr>
          <w:pgSz w:w="11910" w:h="16840"/>
          <w:pgMar w:top="1600" w:right="520" w:bottom="1180" w:left="820" w:header="0" w:footer="982" w:gutter="0"/>
          <w:cols w:space="720" w:num="1"/>
        </w:sectPr>
      </w:pPr>
    </w:p>
    <w:p w14:paraId="315CA38D">
      <w:pPr>
        <w:numPr>
          <w:ilvl w:val="0"/>
          <w:numId w:val="11"/>
        </w:numPr>
        <w:spacing w:line="360" w:lineRule="auto"/>
        <w:ind w:firstLine="560" w:firstLineChars="200"/>
        <w:jc w:val="center"/>
        <w:rPr>
          <w:rFonts w:hint="eastAsia" w:eastAsia="黑体"/>
          <w:bCs/>
          <w:color w:val="auto"/>
          <w:kern w:val="44"/>
          <w:sz w:val="28"/>
          <w:szCs w:val="28"/>
          <w:highlight w:val="none"/>
          <w:shd w:val="clear" w:color="auto" w:fill="auto"/>
        </w:rPr>
      </w:pPr>
      <w:r>
        <w:rPr>
          <w:rFonts w:hint="eastAsia" w:eastAsia="黑体"/>
          <w:bCs/>
          <w:color w:val="auto"/>
          <w:kern w:val="44"/>
          <w:sz w:val="28"/>
          <w:szCs w:val="28"/>
          <w:highlight w:val="none"/>
          <w:shd w:val="clear" w:color="auto" w:fill="auto"/>
        </w:rPr>
        <w:t>投标保函（独立保函）</w:t>
      </w:r>
      <w:r>
        <w:rPr>
          <w:rFonts w:hint="eastAsia" w:eastAsia="黑体"/>
          <w:bCs/>
          <w:color w:val="auto"/>
          <w:kern w:val="44"/>
          <w:sz w:val="28"/>
          <w:szCs w:val="28"/>
          <w:highlight w:val="none"/>
          <w:shd w:val="clear" w:color="auto" w:fill="auto"/>
          <w:lang w:eastAsia="zh-CN"/>
        </w:rPr>
        <w:t>（</w:t>
      </w:r>
      <w:r>
        <w:rPr>
          <w:rFonts w:hint="eastAsia" w:eastAsia="黑体"/>
          <w:bCs/>
          <w:color w:val="auto"/>
          <w:kern w:val="44"/>
          <w:sz w:val="28"/>
          <w:szCs w:val="28"/>
          <w:highlight w:val="none"/>
          <w:shd w:val="clear" w:color="auto" w:fill="auto"/>
          <w:lang w:val="en-US" w:eastAsia="zh-CN"/>
        </w:rPr>
        <w:t>如有</w:t>
      </w:r>
      <w:r>
        <w:rPr>
          <w:rFonts w:hint="eastAsia" w:eastAsia="黑体"/>
          <w:bCs/>
          <w:color w:val="auto"/>
          <w:kern w:val="44"/>
          <w:sz w:val="28"/>
          <w:szCs w:val="28"/>
          <w:highlight w:val="none"/>
          <w:shd w:val="clear" w:color="auto" w:fill="auto"/>
          <w:lang w:eastAsia="zh-CN"/>
        </w:rPr>
        <w:t>）</w:t>
      </w:r>
    </w:p>
    <w:p w14:paraId="348536E1">
      <w:pPr>
        <w:pStyle w:val="43"/>
        <w:ind w:left="0" w:leftChars="0" w:firstLine="0"/>
        <w:jc w:val="left"/>
        <w:rPr>
          <w:rFonts w:hint="eastAsia" w:ascii="黑体" w:hAnsi="黑体" w:eastAsia="黑体"/>
          <w:color w:val="auto"/>
          <w:highlight w:val="none"/>
        </w:rPr>
        <w:sectPr>
          <w:pgSz w:w="11910" w:h="16840"/>
          <w:pgMar w:top="1600" w:right="520" w:bottom="1180" w:left="820" w:header="0" w:footer="982" w:gutter="0"/>
          <w:cols w:space="720" w:num="1"/>
        </w:sectPr>
      </w:pPr>
    </w:p>
    <w:p w14:paraId="435028C7">
      <w:pPr>
        <w:pStyle w:val="43"/>
        <w:ind w:left="0" w:leftChars="0" w:firstLine="0"/>
        <w:jc w:val="left"/>
        <w:rPr>
          <w:rFonts w:hint="eastAsia" w:ascii="黑体" w:hAnsi="黑体" w:eastAsia="黑体"/>
          <w:color w:val="auto"/>
          <w:highlight w:val="none"/>
        </w:rPr>
      </w:pPr>
    </w:p>
    <w:p w14:paraId="6FB154DA">
      <w:pPr>
        <w:numPr>
          <w:ilvl w:val="0"/>
          <w:numId w:val="11"/>
        </w:numPr>
        <w:adjustRightInd/>
        <w:spacing w:line="360" w:lineRule="auto"/>
        <w:ind w:firstLine="560" w:firstLineChars="200"/>
        <w:jc w:val="center"/>
        <w:textAlignment w:val="auto"/>
        <w:rPr>
          <w:rFonts w:hint="eastAsia" w:eastAsia="黑体"/>
          <w:bCs/>
          <w:color w:val="auto"/>
          <w:kern w:val="44"/>
          <w:sz w:val="28"/>
          <w:szCs w:val="28"/>
          <w:highlight w:val="none"/>
          <w:shd w:val="clear" w:color="auto" w:fill="auto"/>
          <w:lang w:eastAsia="zh-CN"/>
        </w:rPr>
      </w:pPr>
      <w:r>
        <w:rPr>
          <w:rFonts w:hint="eastAsia" w:ascii="Calibri" w:hAnsi="Calibri" w:eastAsia="黑体"/>
          <w:bCs/>
          <w:color w:val="auto"/>
          <w:kern w:val="44"/>
          <w:sz w:val="28"/>
          <w:szCs w:val="28"/>
          <w:highlight w:val="none"/>
          <w:shd w:val="clear" w:color="auto" w:fill="auto"/>
        </w:rPr>
        <w:t>免缴投标保证金承诺函</w:t>
      </w:r>
      <w:r>
        <w:rPr>
          <w:rFonts w:hint="eastAsia" w:eastAsia="黑体"/>
          <w:bCs/>
          <w:color w:val="auto"/>
          <w:kern w:val="44"/>
          <w:sz w:val="28"/>
          <w:szCs w:val="28"/>
          <w:highlight w:val="none"/>
          <w:shd w:val="clear" w:color="auto" w:fill="auto"/>
          <w:lang w:eastAsia="zh-CN"/>
        </w:rPr>
        <w:t>（</w:t>
      </w:r>
      <w:r>
        <w:rPr>
          <w:rFonts w:hint="eastAsia" w:eastAsia="黑体"/>
          <w:bCs/>
          <w:color w:val="auto"/>
          <w:kern w:val="44"/>
          <w:sz w:val="28"/>
          <w:szCs w:val="28"/>
          <w:highlight w:val="none"/>
          <w:shd w:val="clear" w:color="auto" w:fill="auto"/>
          <w:lang w:val="en-US" w:eastAsia="zh-CN"/>
        </w:rPr>
        <w:t>如有</w:t>
      </w:r>
      <w:r>
        <w:rPr>
          <w:rFonts w:hint="eastAsia" w:eastAsia="黑体"/>
          <w:bCs/>
          <w:color w:val="auto"/>
          <w:kern w:val="44"/>
          <w:sz w:val="28"/>
          <w:szCs w:val="28"/>
          <w:highlight w:val="none"/>
          <w:shd w:val="clear" w:color="auto" w:fill="auto"/>
          <w:lang w:eastAsia="zh-CN"/>
        </w:rPr>
        <w:t>）</w:t>
      </w:r>
    </w:p>
    <w:p w14:paraId="3079E527">
      <w:pPr>
        <w:adjustRightInd w:val="0"/>
        <w:spacing w:line="360" w:lineRule="auto"/>
        <w:jc w:val="center"/>
        <w:textAlignment w:val="baseline"/>
        <w:rPr>
          <w:rFonts w:ascii="黑体" w:hAnsi="黑体" w:eastAsia="黑体"/>
          <w:color w:val="auto"/>
          <w:kern w:val="1"/>
          <w:highlight w:val="none"/>
        </w:rPr>
      </w:pPr>
      <w:r>
        <w:rPr>
          <w:rFonts w:hint="eastAsia" w:ascii="黑体" w:hAnsi="黑体" w:eastAsia="黑体"/>
          <w:color w:val="auto"/>
          <w:kern w:val="1"/>
          <w:highlight w:val="none"/>
        </w:rPr>
        <w:t>免缴投标保证金承诺函</w:t>
      </w:r>
    </w:p>
    <w:p w14:paraId="208DBC46">
      <w:pPr>
        <w:widowControl/>
        <w:adjustRightInd w:val="0"/>
        <w:spacing w:line="360" w:lineRule="auto"/>
        <w:jc w:val="left"/>
        <w:textAlignment w:val="bottom"/>
        <w:rPr>
          <w:rFonts w:cs="宋体"/>
          <w:color w:val="auto"/>
          <w:szCs w:val="21"/>
          <w:highlight w:val="none"/>
        </w:rPr>
      </w:pPr>
      <w:r>
        <w:rPr>
          <w:rFonts w:hint="eastAsia" w:cs="宋体"/>
          <w:color w:val="auto"/>
          <w:szCs w:val="21"/>
          <w:highlight w:val="none"/>
          <w:u w:val="single"/>
        </w:rPr>
        <w:t xml:space="preserve">                         （招标人名称）</w:t>
      </w:r>
      <w:r>
        <w:rPr>
          <w:rFonts w:hint="eastAsia" w:cs="宋体"/>
          <w:color w:val="auto"/>
          <w:szCs w:val="21"/>
          <w:highlight w:val="none"/>
        </w:rPr>
        <w:t>：</w:t>
      </w:r>
    </w:p>
    <w:p w14:paraId="5BE8569D">
      <w:pPr>
        <w:widowControl/>
        <w:adjustRightInd w:val="0"/>
        <w:spacing w:line="360" w:lineRule="auto"/>
        <w:ind w:firstLine="480"/>
        <w:jc w:val="left"/>
        <w:textAlignment w:val="bottom"/>
        <w:rPr>
          <w:color w:val="auto"/>
          <w:szCs w:val="21"/>
          <w:highlight w:val="none"/>
        </w:rPr>
      </w:pPr>
      <w:r>
        <w:rPr>
          <w:rFonts w:hint="eastAsia" w:cs="宋体"/>
          <w:color w:val="auto"/>
          <w:szCs w:val="21"/>
          <w:highlight w:val="none"/>
        </w:rPr>
        <w:t>我司参加</w:t>
      </w:r>
      <w:r>
        <w:rPr>
          <w:rFonts w:hint="eastAsia" w:cs="宋体"/>
          <w:color w:val="auto"/>
          <w:szCs w:val="21"/>
          <w:highlight w:val="none"/>
          <w:u w:val="single"/>
        </w:rPr>
        <w:t xml:space="preserve">                        （招标项目名称及标段）   </w:t>
      </w:r>
      <w:r>
        <w:rPr>
          <w:rFonts w:hint="eastAsia" w:cs="宋体"/>
          <w:color w:val="auto"/>
          <w:szCs w:val="21"/>
          <w:highlight w:val="none"/>
        </w:rPr>
        <w:t>投标活动，符合招标文件规定的允许免缴投标保证金第</w:t>
      </w:r>
      <w:r>
        <w:rPr>
          <w:rFonts w:hint="eastAsia" w:cs="宋体"/>
          <w:color w:val="auto"/>
          <w:szCs w:val="21"/>
          <w:highlight w:val="none"/>
          <w:u w:val="single"/>
        </w:rPr>
        <w:t xml:space="preserve">         </w:t>
      </w:r>
      <w:r>
        <w:rPr>
          <w:rFonts w:hint="eastAsia" w:cs="宋体"/>
          <w:color w:val="auto"/>
          <w:szCs w:val="21"/>
          <w:highlight w:val="none"/>
        </w:rPr>
        <w:t>种情形，现免缴投标保证金参与投标。我司承诺按照招</w:t>
      </w:r>
      <w:r>
        <w:rPr>
          <w:rFonts w:hint="eastAsia"/>
          <w:color w:val="auto"/>
          <w:szCs w:val="21"/>
          <w:highlight w:val="none"/>
        </w:rPr>
        <w:t>标文件要求依法履行投标人义务。若我司存在下列任何一种事实的，收到你方书面通知，我司在7日内无条件地向你方全额付清本招标文件规定的投标保证金金额。</w:t>
      </w:r>
    </w:p>
    <w:p w14:paraId="249EA88D">
      <w:pPr>
        <w:spacing w:line="360" w:lineRule="auto"/>
        <w:ind w:left="480"/>
        <w:rPr>
          <w:color w:val="auto"/>
          <w:szCs w:val="21"/>
          <w:highlight w:val="none"/>
        </w:rPr>
      </w:pPr>
      <w:r>
        <w:rPr>
          <w:rFonts w:hint="eastAsia"/>
          <w:color w:val="auto"/>
          <w:szCs w:val="21"/>
          <w:highlight w:val="none"/>
        </w:rPr>
        <w:t>（1）投标人在投标有效期内撤销其投标文件。</w:t>
      </w:r>
      <w:r>
        <w:rPr>
          <w:color w:val="auto"/>
          <w:szCs w:val="21"/>
          <w:highlight w:val="none"/>
        </w:rPr>
        <w:t xml:space="preserve"> </w:t>
      </w:r>
    </w:p>
    <w:p w14:paraId="1CD09F24">
      <w:pPr>
        <w:spacing w:line="360" w:lineRule="auto"/>
        <w:ind w:firstLine="480"/>
        <w:rPr>
          <w:color w:val="auto"/>
          <w:szCs w:val="21"/>
          <w:highlight w:val="none"/>
        </w:rPr>
      </w:pPr>
      <w:r>
        <w:rPr>
          <w:rFonts w:hint="eastAsia"/>
          <w:color w:val="auto"/>
          <w:szCs w:val="21"/>
          <w:highlight w:val="none"/>
        </w:rPr>
        <w:t>（2）中标人无正当理由不与招标人订立合同，在签订合同时向贵方提出附加条件，或者不按照招标文件要求提交履约保证金。</w:t>
      </w:r>
      <w:r>
        <w:rPr>
          <w:color w:val="auto"/>
          <w:szCs w:val="21"/>
          <w:highlight w:val="none"/>
        </w:rPr>
        <w:t xml:space="preserve"> </w:t>
      </w:r>
    </w:p>
    <w:p w14:paraId="5990254A">
      <w:pPr>
        <w:tabs>
          <w:tab w:val="left" w:pos="800"/>
          <w:tab w:val="left" w:pos="1134"/>
        </w:tabs>
        <w:spacing w:line="360" w:lineRule="auto"/>
        <w:ind w:left="-210" w:leftChars="-100" w:firstLine="735" w:firstLineChars="350"/>
        <w:rPr>
          <w:color w:val="auto"/>
          <w:szCs w:val="21"/>
          <w:highlight w:val="none"/>
        </w:rPr>
      </w:pPr>
      <w:r>
        <w:rPr>
          <w:rFonts w:hint="eastAsia"/>
          <w:color w:val="auto"/>
          <w:szCs w:val="21"/>
          <w:highlight w:val="none"/>
        </w:rPr>
        <w:t>（3）投标人的投标文件存在雷同情形；</w:t>
      </w:r>
    </w:p>
    <w:p w14:paraId="6EDC117A">
      <w:pPr>
        <w:tabs>
          <w:tab w:val="left" w:pos="800"/>
          <w:tab w:val="left" w:pos="1134"/>
        </w:tabs>
        <w:spacing w:line="360" w:lineRule="auto"/>
        <w:ind w:left="-210" w:leftChars="-100" w:firstLine="735" w:firstLineChars="350"/>
        <w:rPr>
          <w:color w:val="auto"/>
          <w:szCs w:val="21"/>
          <w:highlight w:val="none"/>
        </w:rPr>
      </w:pPr>
      <w:r>
        <w:rPr>
          <w:rFonts w:hint="eastAsia"/>
          <w:color w:val="auto"/>
          <w:szCs w:val="21"/>
          <w:highlight w:val="none"/>
        </w:rPr>
        <w:t>（4）因中标人的违法行为导致中标被依法确认无效；</w:t>
      </w:r>
    </w:p>
    <w:p w14:paraId="420F20AF">
      <w:pPr>
        <w:spacing w:line="360" w:lineRule="auto"/>
        <w:ind w:firstLine="630" w:firstLineChars="300"/>
        <w:rPr>
          <w:color w:val="auto"/>
          <w:szCs w:val="21"/>
          <w:highlight w:val="none"/>
        </w:rPr>
      </w:pPr>
      <w:r>
        <w:rPr>
          <w:rFonts w:hint="eastAsia"/>
          <w:color w:val="auto"/>
          <w:szCs w:val="21"/>
          <w:highlight w:val="none"/>
        </w:rPr>
        <w:t>（5）法律、法规规定的其他情形。</w:t>
      </w:r>
    </w:p>
    <w:p w14:paraId="2685499B">
      <w:pPr>
        <w:adjustRightInd w:val="0"/>
        <w:spacing w:line="360" w:lineRule="auto"/>
        <w:textAlignment w:val="baseline"/>
        <w:rPr>
          <w:rFonts w:cs="宋体"/>
          <w:b/>
          <w:bCs/>
          <w:color w:val="auto"/>
          <w:szCs w:val="21"/>
          <w:highlight w:val="none"/>
        </w:rPr>
      </w:pPr>
    </w:p>
    <w:p w14:paraId="1CD285D6">
      <w:pPr>
        <w:widowControl/>
        <w:tabs>
          <w:tab w:val="left" w:pos="0"/>
          <w:tab w:val="left" w:pos="993"/>
          <w:tab w:val="left" w:pos="1134"/>
        </w:tabs>
        <w:spacing w:line="360" w:lineRule="auto"/>
        <w:ind w:firstLine="422" w:firstLineChars="200"/>
        <w:rPr>
          <w:rFonts w:cs="宋体"/>
          <w:b/>
          <w:bCs/>
          <w:color w:val="auto"/>
          <w:szCs w:val="21"/>
          <w:highlight w:val="none"/>
        </w:rPr>
      </w:pPr>
    </w:p>
    <w:p w14:paraId="7A2B63C3">
      <w:pPr>
        <w:widowControl/>
        <w:tabs>
          <w:tab w:val="left" w:pos="0"/>
          <w:tab w:val="left" w:pos="993"/>
          <w:tab w:val="left" w:pos="1134"/>
        </w:tabs>
        <w:spacing w:line="360" w:lineRule="auto"/>
        <w:ind w:firstLine="422" w:firstLineChars="200"/>
        <w:rPr>
          <w:rFonts w:cs="宋体"/>
          <w:b/>
          <w:bCs/>
          <w:color w:val="auto"/>
          <w:szCs w:val="21"/>
          <w:highlight w:val="none"/>
        </w:rPr>
      </w:pPr>
    </w:p>
    <w:p w14:paraId="7F68F35B">
      <w:pPr>
        <w:adjustRightInd w:val="0"/>
        <w:spacing w:line="360" w:lineRule="auto"/>
        <w:ind w:firstLine="210" w:firstLineChars="100"/>
        <w:jc w:val="right"/>
        <w:textAlignment w:val="baseline"/>
        <w:rPr>
          <w:rFonts w:cs="宋体"/>
          <w:color w:val="auto"/>
          <w:szCs w:val="21"/>
          <w:highlight w:val="none"/>
        </w:rPr>
      </w:pPr>
      <w:r>
        <w:rPr>
          <w:rFonts w:hint="eastAsia" w:cs="宋体"/>
          <w:color w:val="auto"/>
          <w:szCs w:val="21"/>
          <w:highlight w:val="none"/>
        </w:rPr>
        <w:t>投标人：</w:t>
      </w:r>
      <w:r>
        <w:rPr>
          <w:rFonts w:hint="eastAsia" w:cs="宋体"/>
          <w:color w:val="auto"/>
          <w:szCs w:val="21"/>
          <w:highlight w:val="none"/>
          <w:u w:val="single"/>
        </w:rPr>
        <w:t xml:space="preserve">             </w:t>
      </w:r>
      <w:r>
        <w:rPr>
          <w:rFonts w:hint="eastAsia" w:cs="宋体"/>
          <w:color w:val="auto"/>
          <w:szCs w:val="21"/>
          <w:highlight w:val="none"/>
        </w:rPr>
        <w:t>（盖单位章）</w:t>
      </w:r>
    </w:p>
    <w:p w14:paraId="3BEFF737">
      <w:pPr>
        <w:pStyle w:val="43"/>
        <w:spacing w:after="0" w:line="360" w:lineRule="auto"/>
        <w:ind w:left="0" w:leftChars="0" w:firstLineChars="200"/>
        <w:jc w:val="right"/>
        <w:rPr>
          <w:rFonts w:ascii="宋体" w:hAnsi="宋体" w:cs="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2429C11C">
      <w:pPr>
        <w:jc w:val="right"/>
        <w:rPr>
          <w:rFonts w:ascii="黑体" w:hAnsi="黑体" w:eastAsia="黑体"/>
          <w:color w:val="auto"/>
          <w:kern w:val="1"/>
          <w:highlight w:val="none"/>
        </w:rPr>
        <w:sectPr>
          <w:pgSz w:w="11910" w:h="16840"/>
          <w:pgMar w:top="1600" w:right="1210" w:bottom="1180" w:left="1240" w:header="0" w:footer="982" w:gutter="0"/>
          <w:cols w:space="720" w:num="1"/>
        </w:sectPr>
      </w:pPr>
    </w:p>
    <w:p w14:paraId="77B82401">
      <w:pPr>
        <w:jc w:val="center"/>
        <w:rPr>
          <w:rFonts w:hint="eastAsia" w:ascii="宋体" w:hAnsi="宋体" w:cs="宋体"/>
          <w:color w:val="auto"/>
          <w:sz w:val="24"/>
          <w:szCs w:val="24"/>
          <w:highlight w:val="none"/>
        </w:rPr>
      </w:pPr>
    </w:p>
    <w:p w14:paraId="5789F5CA">
      <w:pPr>
        <w:jc w:val="center"/>
        <w:rPr>
          <w:rFonts w:ascii="宋体" w:hAnsi="宋体" w:cs="宋体"/>
          <w:color w:val="auto"/>
          <w:sz w:val="24"/>
          <w:szCs w:val="24"/>
          <w:highlight w:val="none"/>
        </w:rPr>
      </w:pPr>
      <w:r>
        <w:rPr>
          <w:rFonts w:hint="eastAsia" w:ascii="宋体" w:hAnsi="宋体" w:cs="宋体"/>
          <w:color w:val="auto"/>
          <w:sz w:val="24"/>
          <w:szCs w:val="24"/>
          <w:highlight w:val="none"/>
        </w:rPr>
        <w:t>符合减缴/免缴投标保证金形式规定的证明材料</w:t>
      </w:r>
    </w:p>
    <w:p w14:paraId="1DA4F391">
      <w:pPr>
        <w:ind w:firstLine="420" w:firstLineChars="200"/>
        <w:rPr>
          <w:rFonts w:ascii="宋体" w:hAnsi="宋体" w:cs="宋体"/>
          <w:color w:val="auto"/>
          <w:szCs w:val="21"/>
          <w:highlight w:val="none"/>
        </w:rPr>
      </w:pPr>
    </w:p>
    <w:p w14:paraId="731E9563">
      <w:pPr>
        <w:ind w:firstLine="420" w:firstLineChars="200"/>
        <w:rPr>
          <w:rFonts w:ascii="宋体" w:hAnsi="宋体" w:cs="宋体"/>
          <w:color w:val="auto"/>
          <w:szCs w:val="21"/>
          <w:highlight w:val="none"/>
        </w:rPr>
      </w:pPr>
    </w:p>
    <w:p w14:paraId="61071816">
      <w:pPr>
        <w:ind w:firstLine="420" w:firstLineChars="200"/>
        <w:rPr>
          <w:rFonts w:ascii="宋体" w:hAnsi="宋体" w:cs="宋体"/>
          <w:color w:val="auto"/>
          <w:szCs w:val="21"/>
          <w:highlight w:val="none"/>
        </w:rPr>
      </w:pPr>
    </w:p>
    <w:p w14:paraId="617EB94C">
      <w:pPr>
        <w:ind w:firstLine="420" w:firstLineChars="200"/>
        <w:rPr>
          <w:rFonts w:ascii="宋体" w:hAnsi="宋体" w:cs="宋体"/>
          <w:color w:val="auto"/>
          <w:szCs w:val="21"/>
          <w:highlight w:val="none"/>
        </w:rPr>
      </w:pPr>
    </w:p>
    <w:p w14:paraId="35500B86">
      <w:pPr>
        <w:ind w:firstLine="5250" w:firstLineChars="2500"/>
        <w:rPr>
          <w:rFonts w:ascii="宋体" w:hAnsi="宋体" w:cs="宋体"/>
          <w:color w:val="auto"/>
          <w:kern w:val="0"/>
          <w:szCs w:val="21"/>
          <w:highlight w:val="none"/>
        </w:rPr>
      </w:pPr>
    </w:p>
    <w:p w14:paraId="75E37527">
      <w:pPr>
        <w:ind w:firstLine="5250" w:firstLineChars="2500"/>
        <w:rPr>
          <w:rFonts w:ascii="宋体" w:hAnsi="宋体" w:cs="宋体"/>
          <w:color w:val="auto"/>
          <w:kern w:val="0"/>
          <w:szCs w:val="21"/>
          <w:highlight w:val="none"/>
        </w:rPr>
      </w:pPr>
    </w:p>
    <w:p w14:paraId="38F75C8C">
      <w:pPr>
        <w:ind w:firstLine="5250" w:firstLineChars="2500"/>
        <w:rPr>
          <w:rFonts w:ascii="宋体" w:hAnsi="宋体" w:cs="宋体"/>
          <w:color w:val="auto"/>
          <w:kern w:val="0"/>
          <w:szCs w:val="21"/>
          <w:highlight w:val="none"/>
        </w:rPr>
      </w:pPr>
    </w:p>
    <w:p w14:paraId="03F1C286">
      <w:pPr>
        <w:ind w:firstLine="5250" w:firstLineChars="2500"/>
        <w:rPr>
          <w:rFonts w:ascii="宋体" w:hAnsi="宋体" w:cs="宋体"/>
          <w:color w:val="auto"/>
          <w:kern w:val="0"/>
          <w:szCs w:val="21"/>
          <w:highlight w:val="none"/>
        </w:rPr>
      </w:pPr>
    </w:p>
    <w:p w14:paraId="795667B6">
      <w:pPr>
        <w:ind w:firstLine="5250" w:firstLineChars="2500"/>
        <w:rPr>
          <w:rFonts w:ascii="宋体" w:hAnsi="宋体" w:cs="宋体"/>
          <w:color w:val="auto"/>
          <w:kern w:val="0"/>
          <w:szCs w:val="21"/>
          <w:highlight w:val="none"/>
        </w:rPr>
      </w:pPr>
    </w:p>
    <w:p w14:paraId="427ADEC9">
      <w:pPr>
        <w:ind w:firstLine="5250" w:firstLineChars="2500"/>
        <w:rPr>
          <w:rFonts w:ascii="宋体" w:hAnsi="宋体" w:cs="宋体"/>
          <w:color w:val="auto"/>
          <w:kern w:val="0"/>
          <w:szCs w:val="21"/>
          <w:highlight w:val="none"/>
        </w:rPr>
      </w:pPr>
    </w:p>
    <w:p w14:paraId="7CBF78F6">
      <w:pPr>
        <w:ind w:firstLine="5250" w:firstLineChars="2500"/>
        <w:rPr>
          <w:rFonts w:ascii="宋体" w:hAnsi="宋体" w:cs="宋体"/>
          <w:color w:val="auto"/>
          <w:kern w:val="0"/>
          <w:szCs w:val="21"/>
          <w:highlight w:val="none"/>
        </w:rPr>
      </w:pPr>
    </w:p>
    <w:p w14:paraId="1FADC465">
      <w:pPr>
        <w:ind w:firstLine="5250" w:firstLineChars="2500"/>
        <w:rPr>
          <w:rFonts w:ascii="宋体" w:hAnsi="宋体" w:cs="宋体"/>
          <w:color w:val="auto"/>
          <w:kern w:val="0"/>
          <w:szCs w:val="21"/>
          <w:highlight w:val="none"/>
        </w:rPr>
      </w:pPr>
    </w:p>
    <w:p w14:paraId="7E642126">
      <w:pPr>
        <w:ind w:firstLine="5250" w:firstLineChars="2500"/>
        <w:rPr>
          <w:rFonts w:ascii="宋体" w:hAnsi="宋体" w:cs="宋体"/>
          <w:color w:val="auto"/>
          <w:kern w:val="0"/>
          <w:szCs w:val="21"/>
          <w:highlight w:val="none"/>
        </w:rPr>
      </w:pPr>
    </w:p>
    <w:p w14:paraId="37AC9717">
      <w:pPr>
        <w:ind w:firstLine="5250" w:firstLineChars="2500"/>
        <w:rPr>
          <w:rFonts w:ascii="宋体" w:hAnsi="宋体" w:cs="宋体"/>
          <w:color w:val="auto"/>
          <w:kern w:val="0"/>
          <w:szCs w:val="21"/>
          <w:highlight w:val="none"/>
        </w:rPr>
      </w:pPr>
    </w:p>
    <w:p w14:paraId="0A696BF3">
      <w:pPr>
        <w:ind w:firstLine="5250" w:firstLineChars="2500"/>
        <w:rPr>
          <w:rFonts w:ascii="宋体" w:hAnsi="宋体" w:cs="宋体"/>
          <w:color w:val="auto"/>
          <w:kern w:val="0"/>
          <w:szCs w:val="21"/>
          <w:highlight w:val="none"/>
        </w:rPr>
      </w:pPr>
    </w:p>
    <w:p w14:paraId="4DC233B0">
      <w:pPr>
        <w:ind w:firstLine="5250" w:firstLineChars="2500"/>
        <w:rPr>
          <w:rFonts w:ascii="宋体" w:hAnsi="宋体" w:cs="宋体"/>
          <w:color w:val="auto"/>
          <w:kern w:val="0"/>
          <w:szCs w:val="21"/>
          <w:highlight w:val="none"/>
        </w:rPr>
      </w:pPr>
    </w:p>
    <w:p w14:paraId="7182E144">
      <w:pPr>
        <w:ind w:firstLine="5250" w:firstLineChars="2500"/>
        <w:rPr>
          <w:rFonts w:ascii="宋体" w:hAnsi="宋体" w:cs="宋体"/>
          <w:color w:val="auto"/>
          <w:kern w:val="0"/>
          <w:szCs w:val="21"/>
          <w:highlight w:val="none"/>
        </w:rPr>
      </w:pPr>
    </w:p>
    <w:p w14:paraId="144C9BE1">
      <w:pPr>
        <w:ind w:firstLine="5250" w:firstLineChars="2500"/>
        <w:rPr>
          <w:rFonts w:ascii="宋体" w:hAnsi="宋体" w:cs="宋体"/>
          <w:color w:val="auto"/>
          <w:kern w:val="0"/>
          <w:szCs w:val="21"/>
          <w:highlight w:val="none"/>
        </w:rPr>
      </w:pPr>
    </w:p>
    <w:p w14:paraId="476F3CF1">
      <w:pPr>
        <w:ind w:firstLine="5250" w:firstLineChars="2500"/>
        <w:rPr>
          <w:rFonts w:ascii="宋体" w:hAnsi="宋体" w:cs="宋体"/>
          <w:color w:val="auto"/>
          <w:kern w:val="0"/>
          <w:szCs w:val="21"/>
          <w:highlight w:val="none"/>
        </w:rPr>
      </w:pPr>
    </w:p>
    <w:p w14:paraId="1FB2B0A5">
      <w:pPr>
        <w:ind w:firstLine="5250" w:firstLineChars="2500"/>
        <w:rPr>
          <w:rFonts w:ascii="宋体" w:hAnsi="宋体" w:cs="宋体"/>
          <w:color w:val="auto"/>
          <w:kern w:val="0"/>
          <w:szCs w:val="21"/>
          <w:highlight w:val="none"/>
        </w:rPr>
      </w:pPr>
    </w:p>
    <w:p w14:paraId="4EFE216F">
      <w:pPr>
        <w:ind w:firstLine="5250" w:firstLineChars="2500"/>
        <w:rPr>
          <w:rFonts w:ascii="宋体" w:hAnsi="宋体" w:cs="宋体"/>
          <w:color w:val="auto"/>
          <w:kern w:val="0"/>
          <w:szCs w:val="21"/>
          <w:highlight w:val="none"/>
        </w:rPr>
      </w:pPr>
    </w:p>
    <w:p w14:paraId="23284B48">
      <w:pPr>
        <w:ind w:firstLine="5250" w:firstLineChars="2500"/>
        <w:rPr>
          <w:rFonts w:ascii="宋体" w:hAnsi="宋体" w:cs="宋体"/>
          <w:color w:val="auto"/>
          <w:kern w:val="0"/>
          <w:szCs w:val="21"/>
          <w:highlight w:val="none"/>
        </w:rPr>
      </w:pPr>
    </w:p>
    <w:p w14:paraId="42D74DAA">
      <w:pPr>
        <w:ind w:firstLine="5250" w:firstLineChars="2500"/>
        <w:rPr>
          <w:rFonts w:ascii="宋体" w:hAnsi="宋体" w:cs="宋体"/>
          <w:color w:val="auto"/>
          <w:kern w:val="0"/>
          <w:szCs w:val="21"/>
          <w:highlight w:val="none"/>
        </w:rPr>
      </w:pPr>
    </w:p>
    <w:p w14:paraId="3B7CE7A5">
      <w:pPr>
        <w:ind w:firstLine="5250" w:firstLineChars="2500"/>
        <w:rPr>
          <w:rFonts w:ascii="宋体" w:hAnsi="宋体" w:cs="宋体"/>
          <w:color w:val="auto"/>
          <w:kern w:val="0"/>
          <w:szCs w:val="21"/>
          <w:highlight w:val="none"/>
        </w:rPr>
      </w:pPr>
    </w:p>
    <w:p w14:paraId="2B9973B9">
      <w:pPr>
        <w:spacing w:before="480" w:beforeLines="200" w:after="240" w:afterLines="100"/>
        <w:jc w:val="right"/>
        <w:outlineLvl w:val="0"/>
        <w:rPr>
          <w:rFonts w:ascii="宋体" w:hAnsi="宋体" w:eastAsia="黑体" w:cs="宋体"/>
          <w:color w:val="auto"/>
          <w:kern w:val="0"/>
          <w:szCs w:val="21"/>
          <w:highlight w:val="none"/>
        </w:rPr>
      </w:pPr>
      <w:r>
        <w:rPr>
          <w:rFonts w:hint="eastAsia" w:ascii="宋体" w:hAnsi="宋体" w:eastAsia="黑体" w:cs="宋体"/>
          <w:color w:val="auto"/>
          <w:kern w:val="0"/>
          <w:szCs w:val="21"/>
          <w:highlight w:val="none"/>
        </w:rPr>
        <w:t>投标人：</w:t>
      </w:r>
      <w:r>
        <w:rPr>
          <w:rFonts w:hint="eastAsia" w:ascii="宋体" w:hAnsi="宋体" w:eastAsia="黑体" w:cs="宋体"/>
          <w:color w:val="auto"/>
          <w:kern w:val="0"/>
          <w:szCs w:val="21"/>
          <w:highlight w:val="none"/>
          <w:u w:val="single"/>
        </w:rPr>
        <w:t xml:space="preserve">             </w:t>
      </w:r>
      <w:r>
        <w:rPr>
          <w:rFonts w:hint="eastAsia" w:ascii="宋体" w:hAnsi="宋体" w:eastAsia="黑体" w:cs="宋体"/>
          <w:color w:val="auto"/>
          <w:kern w:val="0"/>
          <w:szCs w:val="21"/>
          <w:highlight w:val="none"/>
        </w:rPr>
        <w:t>（盖单位公章）</w:t>
      </w:r>
    </w:p>
    <w:p w14:paraId="5ECD81E5">
      <w:pPr>
        <w:spacing w:before="480" w:beforeLines="200" w:after="240" w:afterLines="100"/>
        <w:jc w:val="right"/>
        <w:outlineLvl w:val="0"/>
        <w:rPr>
          <w:rFonts w:ascii="宋体" w:hAnsi="宋体" w:eastAsia="黑体" w:cs="宋体"/>
          <w:color w:val="auto"/>
          <w:kern w:val="0"/>
          <w:szCs w:val="21"/>
          <w:highlight w:val="none"/>
        </w:rPr>
      </w:pPr>
    </w:p>
    <w:p w14:paraId="29613423">
      <w:pPr>
        <w:spacing w:line="360" w:lineRule="auto"/>
        <w:rPr>
          <w:rFonts w:ascii="宋体" w:hAnsi="宋体"/>
          <w:snapToGrid w:val="0"/>
          <w:color w:val="auto"/>
          <w:kern w:val="0"/>
          <w:sz w:val="24"/>
          <w:highlight w:val="none"/>
        </w:rPr>
      </w:pPr>
      <w:r>
        <w:rPr>
          <w:rFonts w:hint="eastAsia" w:ascii="宋体" w:hAnsi="宋体"/>
          <w:snapToGrid w:val="0"/>
          <w:color w:val="auto"/>
          <w:kern w:val="0"/>
          <w:sz w:val="24"/>
          <w:highlight w:val="none"/>
        </w:rPr>
        <w:t>（注：联合体投标，联合体各方可采用盖章彩色扫描件上传）</w:t>
      </w:r>
    </w:p>
    <w:p w14:paraId="51AC77C2">
      <w:pPr>
        <w:rPr>
          <w:rFonts w:ascii="宋体" w:hAnsi="宋体"/>
          <w:color w:val="auto"/>
          <w:sz w:val="28"/>
          <w:szCs w:val="28"/>
          <w:highlight w:val="none"/>
        </w:rPr>
      </w:pPr>
      <w:r>
        <w:rPr>
          <w:rFonts w:hint="eastAsia" w:ascii="宋体" w:hAnsi="宋体"/>
          <w:color w:val="auto"/>
          <w:sz w:val="28"/>
          <w:szCs w:val="28"/>
          <w:highlight w:val="none"/>
        </w:rPr>
        <w:br w:type="page"/>
      </w:r>
    </w:p>
    <w:p w14:paraId="1F0629A4">
      <w:pPr>
        <w:spacing w:line="480" w:lineRule="auto"/>
        <w:rPr>
          <w:rFonts w:ascii="宋体" w:hAnsi="宋体"/>
          <w:color w:val="auto"/>
          <w:sz w:val="28"/>
          <w:szCs w:val="28"/>
          <w:highlight w:val="none"/>
        </w:rPr>
      </w:pPr>
    </w:p>
    <w:p w14:paraId="13D7FA42">
      <w:pPr>
        <w:spacing w:line="480" w:lineRule="auto"/>
        <w:ind w:firstLine="4935" w:firstLineChars="2350"/>
        <w:rPr>
          <w:rFonts w:ascii="宋体" w:hAnsi="宋体"/>
          <w:color w:val="auto"/>
          <w:szCs w:val="21"/>
          <w:highlight w:val="none"/>
        </w:rPr>
      </w:pPr>
    </w:p>
    <w:p w14:paraId="264497B1">
      <w:pPr>
        <w:rPr>
          <w:color w:val="auto"/>
          <w:sz w:val="24"/>
          <w:highlight w:val="none"/>
        </w:rPr>
      </w:pPr>
    </w:p>
    <w:p w14:paraId="38113089">
      <w:pPr>
        <w:rPr>
          <w:color w:val="auto"/>
          <w:sz w:val="24"/>
          <w:highlight w:val="none"/>
        </w:rPr>
      </w:pPr>
    </w:p>
    <w:p w14:paraId="3BE2B6B7">
      <w:pPr>
        <w:rPr>
          <w:color w:val="auto"/>
          <w:sz w:val="24"/>
          <w:highlight w:val="none"/>
        </w:rPr>
      </w:pPr>
    </w:p>
    <w:p w14:paraId="42AEFE01">
      <w:pPr>
        <w:rPr>
          <w:color w:val="auto"/>
          <w:sz w:val="24"/>
          <w:highlight w:val="none"/>
        </w:rPr>
      </w:pPr>
    </w:p>
    <w:p w14:paraId="2B4C26CC">
      <w:pPr>
        <w:pStyle w:val="5"/>
        <w:jc w:val="center"/>
        <w:rPr>
          <w:color w:val="auto"/>
          <w:highlight w:val="none"/>
        </w:rPr>
      </w:pPr>
      <w:bookmarkStart w:id="1529" w:name="_Toc488651021"/>
      <w:bookmarkStart w:id="1530" w:name="_Toc487291633"/>
      <w:bookmarkStart w:id="1531" w:name="_Toc356568022"/>
      <w:bookmarkStart w:id="1532" w:name="_Toc341805345"/>
      <w:r>
        <w:rPr>
          <w:rFonts w:hint="eastAsia"/>
          <w:color w:val="auto"/>
          <w:highlight w:val="none"/>
        </w:rPr>
        <w:t>六、监理服务费投标报价表</w:t>
      </w:r>
      <w:bookmarkEnd w:id="1529"/>
      <w:bookmarkEnd w:id="1530"/>
      <w:bookmarkEnd w:id="1531"/>
      <w:bookmarkEnd w:id="1532"/>
    </w:p>
    <w:p w14:paraId="4EC8EF90">
      <w:pPr>
        <w:spacing w:line="500" w:lineRule="exact"/>
        <w:ind w:firstLine="482" w:firstLineChars="200"/>
        <w:rPr>
          <w:color w:val="auto"/>
          <w:sz w:val="24"/>
          <w:highlight w:val="none"/>
        </w:rPr>
      </w:pPr>
      <w:bookmarkStart w:id="1533" w:name="_Toc336172296"/>
      <w:bookmarkStart w:id="1534" w:name="_Toc341015721"/>
      <w:r>
        <w:rPr>
          <w:rFonts w:hint="eastAsia"/>
          <w:b/>
          <w:bCs/>
          <w:color w:val="auto"/>
          <w:sz w:val="24"/>
          <w:highlight w:val="none"/>
        </w:rPr>
        <w:t>格式见第六章“监理服务费投标报价表”</w:t>
      </w:r>
      <w:r>
        <w:rPr>
          <w:rFonts w:hint="eastAsia"/>
          <w:color w:val="auto"/>
          <w:sz w:val="24"/>
          <w:highlight w:val="none"/>
        </w:rPr>
        <w:t>。</w:t>
      </w:r>
    </w:p>
    <w:p w14:paraId="0D3E3E37">
      <w:pPr>
        <w:spacing w:line="500" w:lineRule="exact"/>
        <w:ind w:firstLine="480" w:firstLineChars="200"/>
        <w:rPr>
          <w:color w:val="auto"/>
          <w:sz w:val="24"/>
          <w:highlight w:val="none"/>
        </w:rPr>
      </w:pPr>
    </w:p>
    <w:p w14:paraId="3DB95363">
      <w:pPr>
        <w:spacing w:line="500" w:lineRule="exact"/>
        <w:ind w:firstLine="480" w:firstLineChars="200"/>
        <w:rPr>
          <w:color w:val="auto"/>
          <w:sz w:val="24"/>
          <w:highlight w:val="none"/>
        </w:rPr>
      </w:pPr>
    </w:p>
    <w:p w14:paraId="1C5E631B">
      <w:pPr>
        <w:spacing w:line="500" w:lineRule="exact"/>
        <w:ind w:firstLine="480" w:firstLineChars="200"/>
        <w:rPr>
          <w:color w:val="auto"/>
          <w:sz w:val="24"/>
          <w:highlight w:val="none"/>
        </w:rPr>
      </w:pPr>
    </w:p>
    <w:p w14:paraId="133CB32F">
      <w:pPr>
        <w:spacing w:line="500" w:lineRule="exact"/>
        <w:ind w:firstLine="480" w:firstLineChars="200"/>
        <w:rPr>
          <w:color w:val="auto"/>
          <w:sz w:val="24"/>
          <w:highlight w:val="none"/>
        </w:rPr>
      </w:pPr>
    </w:p>
    <w:p w14:paraId="30583784">
      <w:pPr>
        <w:spacing w:line="500" w:lineRule="exact"/>
        <w:ind w:firstLine="480" w:firstLineChars="200"/>
        <w:rPr>
          <w:color w:val="auto"/>
          <w:sz w:val="24"/>
          <w:highlight w:val="none"/>
        </w:rPr>
      </w:pPr>
    </w:p>
    <w:p w14:paraId="37B75695">
      <w:pPr>
        <w:spacing w:line="500" w:lineRule="exact"/>
        <w:ind w:firstLine="480" w:firstLineChars="200"/>
        <w:rPr>
          <w:color w:val="auto"/>
          <w:sz w:val="24"/>
          <w:highlight w:val="none"/>
        </w:rPr>
      </w:pPr>
    </w:p>
    <w:p w14:paraId="57C6E768">
      <w:pPr>
        <w:spacing w:line="500" w:lineRule="exact"/>
        <w:ind w:firstLine="480" w:firstLineChars="200"/>
        <w:rPr>
          <w:color w:val="auto"/>
          <w:sz w:val="24"/>
          <w:highlight w:val="none"/>
        </w:rPr>
      </w:pPr>
    </w:p>
    <w:p w14:paraId="7841E44F">
      <w:pPr>
        <w:spacing w:line="500" w:lineRule="exact"/>
        <w:ind w:firstLine="480" w:firstLineChars="200"/>
        <w:rPr>
          <w:color w:val="auto"/>
          <w:sz w:val="24"/>
          <w:highlight w:val="none"/>
        </w:rPr>
      </w:pPr>
    </w:p>
    <w:p w14:paraId="0A6EE8E8">
      <w:pPr>
        <w:spacing w:line="500" w:lineRule="exact"/>
        <w:ind w:firstLine="480" w:firstLineChars="200"/>
        <w:rPr>
          <w:color w:val="auto"/>
          <w:sz w:val="24"/>
          <w:highlight w:val="none"/>
        </w:rPr>
      </w:pPr>
    </w:p>
    <w:p w14:paraId="1DAB54EE">
      <w:pPr>
        <w:spacing w:line="500" w:lineRule="exact"/>
        <w:ind w:firstLine="480" w:firstLineChars="200"/>
        <w:rPr>
          <w:color w:val="auto"/>
          <w:sz w:val="24"/>
          <w:highlight w:val="none"/>
        </w:rPr>
      </w:pPr>
    </w:p>
    <w:p w14:paraId="669A3D56">
      <w:pPr>
        <w:spacing w:line="500" w:lineRule="exact"/>
        <w:ind w:firstLine="480" w:firstLineChars="200"/>
        <w:rPr>
          <w:color w:val="auto"/>
          <w:sz w:val="24"/>
          <w:highlight w:val="none"/>
        </w:rPr>
      </w:pPr>
    </w:p>
    <w:p w14:paraId="5B2BE259">
      <w:pPr>
        <w:spacing w:line="500" w:lineRule="exact"/>
        <w:ind w:firstLine="480" w:firstLineChars="200"/>
        <w:rPr>
          <w:color w:val="auto"/>
          <w:sz w:val="24"/>
          <w:highlight w:val="none"/>
        </w:rPr>
      </w:pPr>
    </w:p>
    <w:p w14:paraId="1BC1E7B6">
      <w:pPr>
        <w:spacing w:line="500" w:lineRule="exact"/>
        <w:ind w:firstLine="480" w:firstLineChars="200"/>
        <w:rPr>
          <w:color w:val="auto"/>
          <w:sz w:val="24"/>
          <w:highlight w:val="none"/>
        </w:rPr>
      </w:pPr>
    </w:p>
    <w:p w14:paraId="7BA90DA2">
      <w:pPr>
        <w:spacing w:line="500" w:lineRule="exact"/>
        <w:ind w:firstLine="480" w:firstLineChars="200"/>
        <w:rPr>
          <w:color w:val="auto"/>
          <w:sz w:val="24"/>
          <w:highlight w:val="none"/>
        </w:rPr>
      </w:pPr>
    </w:p>
    <w:p w14:paraId="69478AC2">
      <w:pPr>
        <w:spacing w:line="500" w:lineRule="exact"/>
        <w:ind w:firstLine="480" w:firstLineChars="200"/>
        <w:rPr>
          <w:color w:val="auto"/>
          <w:sz w:val="24"/>
          <w:highlight w:val="none"/>
        </w:rPr>
      </w:pPr>
    </w:p>
    <w:p w14:paraId="2FBF075F">
      <w:pPr>
        <w:spacing w:line="500" w:lineRule="exact"/>
        <w:ind w:firstLine="480" w:firstLineChars="200"/>
        <w:rPr>
          <w:color w:val="auto"/>
          <w:sz w:val="24"/>
          <w:highlight w:val="none"/>
        </w:rPr>
      </w:pPr>
    </w:p>
    <w:p w14:paraId="505837D5">
      <w:pPr>
        <w:spacing w:line="500" w:lineRule="exact"/>
        <w:ind w:firstLine="480" w:firstLineChars="200"/>
        <w:rPr>
          <w:color w:val="auto"/>
          <w:sz w:val="24"/>
          <w:highlight w:val="none"/>
        </w:rPr>
      </w:pPr>
    </w:p>
    <w:p w14:paraId="7BA47ED7">
      <w:pPr>
        <w:spacing w:line="500" w:lineRule="exact"/>
        <w:ind w:firstLine="480" w:firstLineChars="200"/>
        <w:rPr>
          <w:color w:val="auto"/>
          <w:sz w:val="24"/>
          <w:highlight w:val="none"/>
        </w:rPr>
      </w:pPr>
    </w:p>
    <w:p w14:paraId="49713FF9">
      <w:pPr>
        <w:spacing w:line="500" w:lineRule="exact"/>
        <w:ind w:firstLine="480" w:firstLineChars="200"/>
        <w:rPr>
          <w:color w:val="auto"/>
          <w:sz w:val="24"/>
          <w:highlight w:val="none"/>
        </w:rPr>
      </w:pPr>
    </w:p>
    <w:bookmarkEnd w:id="1533"/>
    <w:bookmarkEnd w:id="1534"/>
    <w:p w14:paraId="6F6B5AD9">
      <w:pPr>
        <w:pStyle w:val="5"/>
        <w:jc w:val="center"/>
        <w:rPr>
          <w:color w:val="auto"/>
          <w:highlight w:val="none"/>
        </w:rPr>
      </w:pPr>
      <w:bookmarkStart w:id="1535" w:name="_Toc356568024"/>
      <w:bookmarkStart w:id="1536" w:name="_Toc341805347"/>
      <w:r>
        <w:rPr>
          <w:rFonts w:hint="eastAsia"/>
          <w:color w:val="auto"/>
          <w:highlight w:val="none"/>
        </w:rPr>
        <w:br w:type="page"/>
      </w:r>
      <w:bookmarkStart w:id="1537" w:name="_Toc488651022"/>
      <w:bookmarkStart w:id="1538" w:name="_Toc487291634"/>
      <w:r>
        <w:rPr>
          <w:rFonts w:hint="eastAsia"/>
          <w:color w:val="auto"/>
          <w:highlight w:val="none"/>
        </w:rPr>
        <w:t>七、监理机构</w:t>
      </w:r>
      <w:bookmarkEnd w:id="1535"/>
      <w:bookmarkEnd w:id="1536"/>
      <w:bookmarkEnd w:id="1537"/>
      <w:bookmarkEnd w:id="1538"/>
    </w:p>
    <w:p w14:paraId="18ADC8E4">
      <w:pPr>
        <w:pStyle w:val="5"/>
        <w:spacing w:before="100" w:after="100"/>
        <w:jc w:val="center"/>
        <w:rPr>
          <w:rFonts w:ascii="黑体" w:hAnsi="宋体"/>
          <w:color w:val="auto"/>
          <w:sz w:val="24"/>
          <w:szCs w:val="24"/>
          <w:highlight w:val="none"/>
        </w:rPr>
      </w:pPr>
      <w:bookmarkStart w:id="1539" w:name="_Toc187983925"/>
      <w:bookmarkStart w:id="1540" w:name="_Toc187983508"/>
      <w:bookmarkStart w:id="1541" w:name="_Toc356568027"/>
      <w:bookmarkStart w:id="1542" w:name="_Toc487619602"/>
      <w:bookmarkStart w:id="1543" w:name="_Toc488651023"/>
      <w:bookmarkStart w:id="1544" w:name="_Toc222105643"/>
      <w:bookmarkStart w:id="1545" w:name="_Toc487291637"/>
      <w:bookmarkStart w:id="1546" w:name="_Toc222116503"/>
      <w:bookmarkStart w:id="1547" w:name="_Toc341805350"/>
      <w:r>
        <w:rPr>
          <w:rFonts w:hint="eastAsia" w:ascii="黑体" w:hAnsi="宋体"/>
          <w:color w:val="auto"/>
          <w:sz w:val="24"/>
          <w:szCs w:val="24"/>
          <w:highlight w:val="none"/>
        </w:rPr>
        <w:t>投标人拟投入本项目</w:t>
      </w:r>
      <w:r>
        <w:rPr>
          <w:rFonts w:hint="eastAsia" w:ascii="黑体" w:hAnsi="宋体"/>
          <w:b w:val="0"/>
          <w:color w:val="auto"/>
          <w:sz w:val="24"/>
          <w:szCs w:val="24"/>
          <w:highlight w:val="none"/>
        </w:rPr>
        <w:t>主要监理人员</w:t>
      </w:r>
      <w:r>
        <w:rPr>
          <w:rFonts w:hint="eastAsia" w:ascii="黑体" w:hAnsi="宋体"/>
          <w:color w:val="auto"/>
          <w:sz w:val="24"/>
          <w:szCs w:val="24"/>
          <w:highlight w:val="none"/>
        </w:rPr>
        <w:t>简历表</w:t>
      </w:r>
      <w:bookmarkEnd w:id="1539"/>
      <w:bookmarkEnd w:id="1540"/>
      <w:bookmarkEnd w:id="1541"/>
      <w:bookmarkEnd w:id="1542"/>
      <w:bookmarkEnd w:id="1543"/>
      <w:bookmarkEnd w:id="1544"/>
      <w:bookmarkEnd w:id="1545"/>
      <w:bookmarkEnd w:id="1546"/>
      <w:bookmarkEnd w:id="1547"/>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6"/>
        <w:gridCol w:w="336"/>
        <w:gridCol w:w="178"/>
        <w:gridCol w:w="803"/>
        <w:gridCol w:w="717"/>
        <w:gridCol w:w="601"/>
        <w:gridCol w:w="919"/>
        <w:gridCol w:w="1037"/>
        <w:gridCol w:w="467"/>
        <w:gridCol w:w="17"/>
        <w:gridCol w:w="821"/>
        <w:gridCol w:w="732"/>
        <w:gridCol w:w="438"/>
        <w:gridCol w:w="1053"/>
      </w:tblGrid>
      <w:tr w14:paraId="0A54C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0" w:type="dxa"/>
            <w:gridSpan w:val="3"/>
            <w:tcBorders>
              <w:top w:val="single" w:color="auto" w:sz="12" w:space="0"/>
              <w:left w:val="single" w:color="auto" w:sz="12" w:space="0"/>
              <w:bottom w:val="single" w:color="auto" w:sz="6" w:space="0"/>
              <w:right w:val="single" w:color="auto" w:sz="6" w:space="0"/>
            </w:tcBorders>
            <w:vAlign w:val="center"/>
          </w:tcPr>
          <w:p w14:paraId="31371F49">
            <w:pPr>
              <w:tabs>
                <w:tab w:val="left" w:pos="4680"/>
              </w:tabs>
              <w:jc w:val="center"/>
              <w:rPr>
                <w:color w:val="auto"/>
                <w:szCs w:val="21"/>
                <w:highlight w:val="none"/>
              </w:rPr>
            </w:pPr>
            <w:r>
              <w:rPr>
                <w:color w:val="auto"/>
                <w:szCs w:val="21"/>
                <w:highlight w:val="none"/>
              </w:rPr>
              <w:t>姓名</w:t>
            </w:r>
          </w:p>
        </w:tc>
        <w:tc>
          <w:tcPr>
            <w:tcW w:w="1520" w:type="dxa"/>
            <w:gridSpan w:val="2"/>
            <w:tcBorders>
              <w:top w:val="single" w:color="auto" w:sz="12" w:space="0"/>
              <w:left w:val="single" w:color="auto" w:sz="6" w:space="0"/>
              <w:bottom w:val="single" w:color="auto" w:sz="6" w:space="0"/>
              <w:right w:val="single" w:color="auto" w:sz="6" w:space="0"/>
            </w:tcBorders>
            <w:vAlign w:val="center"/>
          </w:tcPr>
          <w:p w14:paraId="3F6C7B8B">
            <w:pPr>
              <w:tabs>
                <w:tab w:val="left" w:pos="4680"/>
              </w:tabs>
              <w:jc w:val="center"/>
              <w:rPr>
                <w:color w:val="auto"/>
                <w:szCs w:val="21"/>
                <w:highlight w:val="none"/>
              </w:rPr>
            </w:pPr>
          </w:p>
        </w:tc>
        <w:tc>
          <w:tcPr>
            <w:tcW w:w="1520" w:type="dxa"/>
            <w:gridSpan w:val="2"/>
            <w:tcBorders>
              <w:top w:val="single" w:color="auto" w:sz="12" w:space="0"/>
              <w:left w:val="single" w:color="auto" w:sz="6" w:space="0"/>
              <w:bottom w:val="single" w:color="auto" w:sz="6" w:space="0"/>
              <w:right w:val="single" w:color="auto" w:sz="6" w:space="0"/>
            </w:tcBorders>
            <w:vAlign w:val="center"/>
          </w:tcPr>
          <w:p w14:paraId="3766BEC1">
            <w:pPr>
              <w:tabs>
                <w:tab w:val="left" w:pos="4680"/>
              </w:tabs>
              <w:jc w:val="center"/>
              <w:rPr>
                <w:color w:val="auto"/>
                <w:szCs w:val="21"/>
                <w:highlight w:val="none"/>
              </w:rPr>
            </w:pPr>
            <w:r>
              <w:rPr>
                <w:color w:val="auto"/>
                <w:szCs w:val="21"/>
                <w:highlight w:val="none"/>
              </w:rPr>
              <w:t>性别</w:t>
            </w:r>
          </w:p>
        </w:tc>
        <w:tc>
          <w:tcPr>
            <w:tcW w:w="1521" w:type="dxa"/>
            <w:gridSpan w:val="3"/>
            <w:tcBorders>
              <w:top w:val="single" w:color="auto" w:sz="12" w:space="0"/>
              <w:left w:val="single" w:color="auto" w:sz="6" w:space="0"/>
              <w:bottom w:val="single" w:color="auto" w:sz="6" w:space="0"/>
              <w:right w:val="single" w:color="auto" w:sz="6" w:space="0"/>
            </w:tcBorders>
            <w:vAlign w:val="center"/>
          </w:tcPr>
          <w:p w14:paraId="2BE1DCBF">
            <w:pPr>
              <w:tabs>
                <w:tab w:val="left" w:pos="4680"/>
              </w:tabs>
              <w:jc w:val="center"/>
              <w:rPr>
                <w:color w:val="auto"/>
                <w:szCs w:val="21"/>
                <w:highlight w:val="none"/>
              </w:rPr>
            </w:pPr>
          </w:p>
        </w:tc>
        <w:tc>
          <w:tcPr>
            <w:tcW w:w="1553" w:type="dxa"/>
            <w:gridSpan w:val="2"/>
            <w:tcBorders>
              <w:top w:val="single" w:color="auto" w:sz="12" w:space="0"/>
              <w:left w:val="single" w:color="auto" w:sz="6" w:space="0"/>
              <w:bottom w:val="single" w:color="auto" w:sz="6" w:space="0"/>
              <w:right w:val="single" w:color="auto" w:sz="6" w:space="0"/>
            </w:tcBorders>
            <w:vAlign w:val="center"/>
          </w:tcPr>
          <w:p w14:paraId="332373B2">
            <w:pPr>
              <w:tabs>
                <w:tab w:val="left" w:pos="4680"/>
              </w:tabs>
              <w:jc w:val="center"/>
              <w:rPr>
                <w:color w:val="auto"/>
                <w:szCs w:val="21"/>
                <w:highlight w:val="none"/>
              </w:rPr>
            </w:pPr>
            <w:r>
              <w:rPr>
                <w:color w:val="auto"/>
                <w:szCs w:val="21"/>
                <w:highlight w:val="none"/>
              </w:rPr>
              <w:t>年龄</w:t>
            </w:r>
          </w:p>
        </w:tc>
        <w:tc>
          <w:tcPr>
            <w:tcW w:w="1491" w:type="dxa"/>
            <w:gridSpan w:val="2"/>
            <w:tcBorders>
              <w:top w:val="single" w:color="auto" w:sz="12" w:space="0"/>
              <w:left w:val="single" w:color="auto" w:sz="6" w:space="0"/>
              <w:bottom w:val="single" w:color="auto" w:sz="6" w:space="0"/>
              <w:right w:val="single" w:color="auto" w:sz="12" w:space="0"/>
            </w:tcBorders>
            <w:vAlign w:val="center"/>
          </w:tcPr>
          <w:p w14:paraId="082353DB">
            <w:pPr>
              <w:tabs>
                <w:tab w:val="left" w:pos="4680"/>
              </w:tabs>
              <w:jc w:val="center"/>
              <w:rPr>
                <w:color w:val="auto"/>
                <w:szCs w:val="21"/>
                <w:highlight w:val="none"/>
              </w:rPr>
            </w:pPr>
          </w:p>
        </w:tc>
      </w:tr>
      <w:tr w14:paraId="613C1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0" w:type="dxa"/>
            <w:gridSpan w:val="3"/>
            <w:tcBorders>
              <w:top w:val="single" w:color="auto" w:sz="6" w:space="0"/>
              <w:left w:val="single" w:color="auto" w:sz="12" w:space="0"/>
              <w:bottom w:val="single" w:color="auto" w:sz="6" w:space="0"/>
              <w:right w:val="single" w:color="auto" w:sz="6" w:space="0"/>
            </w:tcBorders>
            <w:vAlign w:val="center"/>
          </w:tcPr>
          <w:p w14:paraId="37EF4B8E">
            <w:pPr>
              <w:tabs>
                <w:tab w:val="left" w:pos="4680"/>
              </w:tabs>
              <w:jc w:val="center"/>
              <w:rPr>
                <w:color w:val="auto"/>
                <w:szCs w:val="21"/>
                <w:highlight w:val="none"/>
              </w:rPr>
            </w:pPr>
            <w:r>
              <w:rPr>
                <w:color w:val="auto"/>
                <w:szCs w:val="21"/>
                <w:highlight w:val="none"/>
              </w:rPr>
              <w:t>职称</w:t>
            </w:r>
          </w:p>
        </w:tc>
        <w:tc>
          <w:tcPr>
            <w:tcW w:w="1520" w:type="dxa"/>
            <w:gridSpan w:val="2"/>
            <w:tcBorders>
              <w:top w:val="single" w:color="auto" w:sz="6" w:space="0"/>
              <w:left w:val="single" w:color="auto" w:sz="6" w:space="0"/>
              <w:bottom w:val="single" w:color="auto" w:sz="6" w:space="0"/>
              <w:right w:val="single" w:color="auto" w:sz="6" w:space="0"/>
            </w:tcBorders>
            <w:vAlign w:val="center"/>
          </w:tcPr>
          <w:p w14:paraId="3B839646">
            <w:pPr>
              <w:tabs>
                <w:tab w:val="left" w:pos="4680"/>
              </w:tabs>
              <w:jc w:val="center"/>
              <w:rPr>
                <w:color w:val="auto"/>
                <w:szCs w:val="21"/>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14:paraId="0756F77B">
            <w:pPr>
              <w:tabs>
                <w:tab w:val="left" w:pos="4680"/>
              </w:tabs>
              <w:jc w:val="center"/>
              <w:rPr>
                <w:color w:val="auto"/>
                <w:szCs w:val="21"/>
                <w:highlight w:val="none"/>
              </w:rPr>
            </w:pPr>
            <w:r>
              <w:rPr>
                <w:color w:val="auto"/>
                <w:szCs w:val="21"/>
                <w:highlight w:val="none"/>
              </w:rPr>
              <w:t>毕业院校</w:t>
            </w:r>
          </w:p>
        </w:tc>
        <w:tc>
          <w:tcPr>
            <w:tcW w:w="4565" w:type="dxa"/>
            <w:gridSpan w:val="7"/>
            <w:tcBorders>
              <w:top w:val="single" w:color="auto" w:sz="6" w:space="0"/>
              <w:left w:val="single" w:color="auto" w:sz="6" w:space="0"/>
              <w:bottom w:val="single" w:color="auto" w:sz="6" w:space="0"/>
              <w:right w:val="single" w:color="auto" w:sz="12" w:space="0"/>
            </w:tcBorders>
            <w:vAlign w:val="center"/>
          </w:tcPr>
          <w:p w14:paraId="3E35F8A0">
            <w:pPr>
              <w:tabs>
                <w:tab w:val="left" w:pos="4680"/>
              </w:tabs>
              <w:jc w:val="center"/>
              <w:rPr>
                <w:color w:val="auto"/>
                <w:szCs w:val="21"/>
                <w:highlight w:val="none"/>
              </w:rPr>
            </w:pPr>
          </w:p>
        </w:tc>
      </w:tr>
      <w:tr w14:paraId="4898D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0" w:type="dxa"/>
            <w:gridSpan w:val="3"/>
            <w:tcBorders>
              <w:top w:val="single" w:color="auto" w:sz="6" w:space="0"/>
              <w:left w:val="single" w:color="auto" w:sz="12" w:space="0"/>
              <w:bottom w:val="single" w:color="auto" w:sz="6" w:space="0"/>
              <w:right w:val="single" w:color="auto" w:sz="6" w:space="0"/>
            </w:tcBorders>
            <w:vAlign w:val="center"/>
          </w:tcPr>
          <w:p w14:paraId="5255A5A7">
            <w:pPr>
              <w:tabs>
                <w:tab w:val="left" w:pos="4680"/>
              </w:tabs>
              <w:jc w:val="center"/>
              <w:rPr>
                <w:color w:val="auto"/>
                <w:szCs w:val="21"/>
                <w:highlight w:val="none"/>
              </w:rPr>
            </w:pPr>
            <w:r>
              <w:rPr>
                <w:color w:val="auto"/>
                <w:szCs w:val="21"/>
                <w:highlight w:val="none"/>
              </w:rPr>
              <w:t>毕业时间</w:t>
            </w:r>
          </w:p>
        </w:tc>
        <w:tc>
          <w:tcPr>
            <w:tcW w:w="1520" w:type="dxa"/>
            <w:gridSpan w:val="2"/>
            <w:tcBorders>
              <w:top w:val="single" w:color="auto" w:sz="6" w:space="0"/>
              <w:left w:val="single" w:color="auto" w:sz="6" w:space="0"/>
              <w:bottom w:val="single" w:color="auto" w:sz="6" w:space="0"/>
              <w:right w:val="single" w:color="auto" w:sz="6" w:space="0"/>
            </w:tcBorders>
            <w:vAlign w:val="center"/>
          </w:tcPr>
          <w:p w14:paraId="3C56FF57">
            <w:pPr>
              <w:tabs>
                <w:tab w:val="left" w:pos="4680"/>
              </w:tabs>
              <w:jc w:val="center"/>
              <w:rPr>
                <w:color w:val="auto"/>
                <w:szCs w:val="21"/>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14:paraId="4997B252">
            <w:pPr>
              <w:tabs>
                <w:tab w:val="left" w:pos="4680"/>
              </w:tabs>
              <w:jc w:val="center"/>
              <w:rPr>
                <w:color w:val="auto"/>
                <w:szCs w:val="21"/>
                <w:highlight w:val="none"/>
              </w:rPr>
            </w:pPr>
            <w:r>
              <w:rPr>
                <w:color w:val="auto"/>
                <w:szCs w:val="21"/>
                <w:highlight w:val="none"/>
              </w:rPr>
              <w:t>最高学历</w:t>
            </w:r>
          </w:p>
        </w:tc>
        <w:tc>
          <w:tcPr>
            <w:tcW w:w="1521" w:type="dxa"/>
            <w:gridSpan w:val="3"/>
            <w:tcBorders>
              <w:top w:val="single" w:color="auto" w:sz="6" w:space="0"/>
              <w:left w:val="single" w:color="auto" w:sz="6" w:space="0"/>
              <w:bottom w:val="single" w:color="auto" w:sz="6" w:space="0"/>
              <w:right w:val="single" w:color="auto" w:sz="6" w:space="0"/>
            </w:tcBorders>
            <w:vAlign w:val="center"/>
          </w:tcPr>
          <w:p w14:paraId="6907F22A">
            <w:pPr>
              <w:tabs>
                <w:tab w:val="left" w:pos="4680"/>
              </w:tabs>
              <w:jc w:val="center"/>
              <w:rPr>
                <w:color w:val="auto"/>
                <w:szCs w:val="21"/>
                <w:highlight w:val="none"/>
              </w:rPr>
            </w:pPr>
          </w:p>
        </w:tc>
        <w:tc>
          <w:tcPr>
            <w:tcW w:w="1553" w:type="dxa"/>
            <w:gridSpan w:val="2"/>
            <w:tcBorders>
              <w:top w:val="single" w:color="auto" w:sz="6" w:space="0"/>
              <w:left w:val="single" w:color="auto" w:sz="6" w:space="0"/>
              <w:bottom w:val="single" w:color="auto" w:sz="6" w:space="0"/>
              <w:right w:val="single" w:color="auto" w:sz="6" w:space="0"/>
            </w:tcBorders>
            <w:vAlign w:val="center"/>
          </w:tcPr>
          <w:p w14:paraId="679AECE0">
            <w:pPr>
              <w:tabs>
                <w:tab w:val="left" w:pos="4680"/>
              </w:tabs>
              <w:jc w:val="center"/>
              <w:rPr>
                <w:color w:val="auto"/>
                <w:szCs w:val="21"/>
                <w:highlight w:val="none"/>
              </w:rPr>
            </w:pPr>
            <w:r>
              <w:rPr>
                <w:color w:val="auto"/>
                <w:szCs w:val="21"/>
                <w:highlight w:val="none"/>
              </w:rPr>
              <w:t>专业</w:t>
            </w:r>
          </w:p>
        </w:tc>
        <w:tc>
          <w:tcPr>
            <w:tcW w:w="1491" w:type="dxa"/>
            <w:gridSpan w:val="2"/>
            <w:tcBorders>
              <w:top w:val="single" w:color="auto" w:sz="6" w:space="0"/>
              <w:left w:val="single" w:color="auto" w:sz="6" w:space="0"/>
              <w:bottom w:val="single" w:color="auto" w:sz="6" w:space="0"/>
              <w:right w:val="single" w:color="auto" w:sz="12" w:space="0"/>
            </w:tcBorders>
            <w:vAlign w:val="center"/>
          </w:tcPr>
          <w:p w14:paraId="155704A2">
            <w:pPr>
              <w:tabs>
                <w:tab w:val="left" w:pos="4680"/>
              </w:tabs>
              <w:jc w:val="center"/>
              <w:rPr>
                <w:color w:val="auto"/>
                <w:szCs w:val="21"/>
                <w:highlight w:val="none"/>
              </w:rPr>
            </w:pPr>
          </w:p>
        </w:tc>
      </w:tr>
      <w:tr w14:paraId="19DF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0" w:type="dxa"/>
            <w:gridSpan w:val="3"/>
            <w:tcBorders>
              <w:top w:val="single" w:color="auto" w:sz="6" w:space="0"/>
              <w:left w:val="single" w:color="auto" w:sz="12" w:space="0"/>
              <w:bottom w:val="single" w:color="auto" w:sz="6" w:space="0"/>
              <w:right w:val="single" w:color="auto" w:sz="6" w:space="0"/>
            </w:tcBorders>
            <w:vAlign w:val="center"/>
          </w:tcPr>
          <w:p w14:paraId="495B03D9">
            <w:pPr>
              <w:tabs>
                <w:tab w:val="left" w:pos="4680"/>
              </w:tabs>
              <w:jc w:val="center"/>
              <w:rPr>
                <w:color w:val="auto"/>
                <w:szCs w:val="21"/>
                <w:highlight w:val="none"/>
              </w:rPr>
            </w:pPr>
            <w:r>
              <w:rPr>
                <w:color w:val="auto"/>
                <w:szCs w:val="21"/>
                <w:highlight w:val="none"/>
              </w:rPr>
              <w:t>监理</w:t>
            </w:r>
            <w:r>
              <w:rPr>
                <w:rFonts w:hint="eastAsia"/>
                <w:color w:val="auto"/>
                <w:szCs w:val="21"/>
                <w:highlight w:val="none"/>
              </w:rPr>
              <w:t>资格</w:t>
            </w:r>
          </w:p>
        </w:tc>
        <w:tc>
          <w:tcPr>
            <w:tcW w:w="3040" w:type="dxa"/>
            <w:gridSpan w:val="4"/>
            <w:tcBorders>
              <w:top w:val="single" w:color="auto" w:sz="6" w:space="0"/>
              <w:left w:val="single" w:color="auto" w:sz="6" w:space="0"/>
              <w:bottom w:val="single" w:color="auto" w:sz="6" w:space="0"/>
              <w:right w:val="single" w:color="auto" w:sz="6" w:space="0"/>
            </w:tcBorders>
            <w:vAlign w:val="center"/>
          </w:tcPr>
          <w:p w14:paraId="7BAE2310">
            <w:pPr>
              <w:tabs>
                <w:tab w:val="left" w:pos="4680"/>
              </w:tabs>
              <w:jc w:val="center"/>
              <w:rPr>
                <w:color w:val="auto"/>
                <w:szCs w:val="21"/>
                <w:highlight w:val="none"/>
              </w:rPr>
            </w:pPr>
          </w:p>
        </w:tc>
        <w:tc>
          <w:tcPr>
            <w:tcW w:w="1504" w:type="dxa"/>
            <w:gridSpan w:val="2"/>
            <w:tcBorders>
              <w:top w:val="single" w:color="auto" w:sz="6" w:space="0"/>
              <w:left w:val="single" w:color="auto" w:sz="6" w:space="0"/>
              <w:bottom w:val="single" w:color="auto" w:sz="6" w:space="0"/>
              <w:right w:val="single" w:color="auto" w:sz="4" w:space="0"/>
            </w:tcBorders>
            <w:vAlign w:val="center"/>
          </w:tcPr>
          <w:p w14:paraId="22EE9716">
            <w:pPr>
              <w:tabs>
                <w:tab w:val="left" w:pos="4680"/>
              </w:tabs>
              <w:jc w:val="center"/>
              <w:rPr>
                <w:color w:val="auto"/>
                <w:szCs w:val="21"/>
                <w:highlight w:val="none"/>
              </w:rPr>
            </w:pPr>
            <w:r>
              <w:rPr>
                <w:color w:val="auto"/>
                <w:szCs w:val="21"/>
                <w:highlight w:val="none"/>
              </w:rPr>
              <w:t>证书编号</w:t>
            </w:r>
          </w:p>
        </w:tc>
        <w:tc>
          <w:tcPr>
            <w:tcW w:w="3061" w:type="dxa"/>
            <w:gridSpan w:val="5"/>
            <w:tcBorders>
              <w:top w:val="single" w:color="auto" w:sz="6" w:space="0"/>
              <w:left w:val="single" w:color="auto" w:sz="4" w:space="0"/>
              <w:bottom w:val="single" w:color="auto" w:sz="6" w:space="0"/>
              <w:right w:val="single" w:color="auto" w:sz="12" w:space="0"/>
            </w:tcBorders>
            <w:vAlign w:val="center"/>
          </w:tcPr>
          <w:p w14:paraId="0BF8CE40">
            <w:pPr>
              <w:tabs>
                <w:tab w:val="left" w:pos="4680"/>
              </w:tabs>
              <w:jc w:val="center"/>
              <w:rPr>
                <w:color w:val="auto"/>
                <w:szCs w:val="21"/>
                <w:highlight w:val="none"/>
              </w:rPr>
            </w:pPr>
          </w:p>
        </w:tc>
      </w:tr>
      <w:tr w14:paraId="14A0C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0" w:type="dxa"/>
            <w:gridSpan w:val="3"/>
            <w:tcBorders>
              <w:top w:val="single" w:color="auto" w:sz="6" w:space="0"/>
              <w:left w:val="single" w:color="auto" w:sz="12" w:space="0"/>
              <w:bottom w:val="single" w:color="auto" w:sz="6" w:space="0"/>
              <w:right w:val="single" w:color="auto" w:sz="6" w:space="0"/>
            </w:tcBorders>
            <w:vAlign w:val="center"/>
          </w:tcPr>
          <w:p w14:paraId="65B9C5F5">
            <w:pPr>
              <w:tabs>
                <w:tab w:val="left" w:pos="4680"/>
              </w:tabs>
              <w:jc w:val="center"/>
              <w:rPr>
                <w:color w:val="auto"/>
                <w:szCs w:val="21"/>
                <w:highlight w:val="none"/>
              </w:rPr>
            </w:pPr>
            <w:r>
              <w:rPr>
                <w:rFonts w:hint="eastAsia"/>
                <w:color w:val="auto"/>
                <w:szCs w:val="21"/>
                <w:highlight w:val="none"/>
              </w:rPr>
              <w:t>拟出任岗位</w:t>
            </w:r>
          </w:p>
        </w:tc>
        <w:tc>
          <w:tcPr>
            <w:tcW w:w="1520" w:type="dxa"/>
            <w:gridSpan w:val="2"/>
            <w:tcBorders>
              <w:top w:val="single" w:color="auto" w:sz="6" w:space="0"/>
              <w:left w:val="single" w:color="auto" w:sz="6" w:space="0"/>
              <w:bottom w:val="single" w:color="auto" w:sz="6" w:space="0"/>
              <w:right w:val="single" w:color="auto" w:sz="6" w:space="0"/>
            </w:tcBorders>
            <w:vAlign w:val="center"/>
          </w:tcPr>
          <w:p w14:paraId="1CBEC095">
            <w:pPr>
              <w:tabs>
                <w:tab w:val="left" w:pos="4680"/>
              </w:tabs>
              <w:jc w:val="center"/>
              <w:rPr>
                <w:color w:val="auto"/>
                <w:szCs w:val="21"/>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14:paraId="240B8AAA">
            <w:pPr>
              <w:tabs>
                <w:tab w:val="left" w:pos="4680"/>
              </w:tabs>
              <w:jc w:val="center"/>
              <w:rPr>
                <w:color w:val="auto"/>
                <w:szCs w:val="21"/>
                <w:highlight w:val="none"/>
              </w:rPr>
            </w:pPr>
            <w:r>
              <w:rPr>
                <w:rFonts w:hint="eastAsia"/>
                <w:color w:val="auto"/>
                <w:szCs w:val="21"/>
                <w:highlight w:val="none"/>
              </w:rPr>
              <w:t>专业</w:t>
            </w:r>
            <w:r>
              <w:rPr>
                <w:color w:val="auto"/>
                <w:szCs w:val="21"/>
                <w:highlight w:val="none"/>
              </w:rPr>
              <w:t>工作年限</w:t>
            </w:r>
          </w:p>
        </w:tc>
        <w:tc>
          <w:tcPr>
            <w:tcW w:w="1521" w:type="dxa"/>
            <w:gridSpan w:val="3"/>
            <w:tcBorders>
              <w:top w:val="single" w:color="auto" w:sz="6" w:space="0"/>
              <w:left w:val="single" w:color="auto" w:sz="6" w:space="0"/>
              <w:bottom w:val="single" w:color="auto" w:sz="6" w:space="0"/>
              <w:right w:val="single" w:color="auto" w:sz="8" w:space="0"/>
            </w:tcBorders>
            <w:vAlign w:val="center"/>
          </w:tcPr>
          <w:p w14:paraId="56691862">
            <w:pPr>
              <w:tabs>
                <w:tab w:val="left" w:pos="4680"/>
              </w:tabs>
              <w:jc w:val="center"/>
              <w:rPr>
                <w:color w:val="auto"/>
                <w:szCs w:val="21"/>
                <w:highlight w:val="none"/>
              </w:rPr>
            </w:pPr>
          </w:p>
        </w:tc>
        <w:tc>
          <w:tcPr>
            <w:tcW w:w="1553" w:type="dxa"/>
            <w:gridSpan w:val="2"/>
            <w:tcBorders>
              <w:top w:val="single" w:color="auto" w:sz="6" w:space="0"/>
              <w:left w:val="single" w:color="auto" w:sz="8" w:space="0"/>
              <w:bottom w:val="single" w:color="auto" w:sz="6" w:space="0"/>
              <w:right w:val="single" w:color="auto" w:sz="8" w:space="0"/>
            </w:tcBorders>
            <w:vAlign w:val="center"/>
          </w:tcPr>
          <w:p w14:paraId="295B46AB">
            <w:pPr>
              <w:tabs>
                <w:tab w:val="left" w:pos="4680"/>
              </w:tabs>
              <w:jc w:val="center"/>
              <w:rPr>
                <w:color w:val="auto"/>
                <w:szCs w:val="21"/>
                <w:highlight w:val="none"/>
              </w:rPr>
            </w:pPr>
            <w:r>
              <w:rPr>
                <w:rFonts w:hint="eastAsia"/>
                <w:color w:val="auto"/>
                <w:szCs w:val="21"/>
                <w:highlight w:val="none"/>
              </w:rPr>
              <w:t>监理</w:t>
            </w:r>
            <w:r>
              <w:rPr>
                <w:color w:val="auto"/>
                <w:szCs w:val="21"/>
                <w:highlight w:val="none"/>
              </w:rPr>
              <w:t>工作年限</w:t>
            </w:r>
          </w:p>
        </w:tc>
        <w:tc>
          <w:tcPr>
            <w:tcW w:w="1491" w:type="dxa"/>
            <w:gridSpan w:val="2"/>
            <w:tcBorders>
              <w:top w:val="single" w:color="auto" w:sz="6" w:space="0"/>
              <w:left w:val="single" w:color="auto" w:sz="8" w:space="0"/>
              <w:bottom w:val="single" w:color="auto" w:sz="6" w:space="0"/>
              <w:right w:val="single" w:color="auto" w:sz="8" w:space="0"/>
            </w:tcBorders>
            <w:vAlign w:val="center"/>
          </w:tcPr>
          <w:p w14:paraId="08BF1F87">
            <w:pPr>
              <w:tabs>
                <w:tab w:val="left" w:pos="4680"/>
              </w:tabs>
              <w:jc w:val="center"/>
              <w:rPr>
                <w:color w:val="auto"/>
                <w:szCs w:val="21"/>
                <w:highlight w:val="none"/>
              </w:rPr>
            </w:pPr>
          </w:p>
        </w:tc>
      </w:tr>
      <w:tr w14:paraId="36C4D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435" w:type="dxa"/>
            <w:gridSpan w:val="14"/>
            <w:tcBorders>
              <w:top w:val="single" w:color="auto" w:sz="6" w:space="0"/>
              <w:left w:val="single" w:color="auto" w:sz="12" w:space="0"/>
              <w:bottom w:val="single" w:color="auto" w:sz="6" w:space="0"/>
              <w:right w:val="single" w:color="auto" w:sz="12" w:space="0"/>
            </w:tcBorders>
            <w:vAlign w:val="center"/>
          </w:tcPr>
          <w:p w14:paraId="217FF97B">
            <w:pPr>
              <w:tabs>
                <w:tab w:val="left" w:pos="4680"/>
              </w:tabs>
              <w:jc w:val="center"/>
              <w:rPr>
                <w:color w:val="auto"/>
                <w:szCs w:val="21"/>
                <w:highlight w:val="none"/>
              </w:rPr>
            </w:pPr>
            <w:r>
              <w:rPr>
                <w:color w:val="auto"/>
                <w:szCs w:val="21"/>
                <w:highlight w:val="none"/>
              </w:rPr>
              <w:t>主要工作经历</w:t>
            </w:r>
          </w:p>
        </w:tc>
      </w:tr>
      <w:tr w14:paraId="6C7ED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316" w:type="dxa"/>
            <w:tcBorders>
              <w:top w:val="single" w:color="auto" w:sz="6" w:space="0"/>
              <w:left w:val="single" w:color="auto" w:sz="12" w:space="0"/>
              <w:bottom w:val="single" w:color="auto" w:sz="6" w:space="0"/>
              <w:right w:val="single" w:color="auto" w:sz="6" w:space="0"/>
            </w:tcBorders>
            <w:vAlign w:val="center"/>
          </w:tcPr>
          <w:p w14:paraId="71A71662">
            <w:pPr>
              <w:tabs>
                <w:tab w:val="left" w:pos="4680"/>
              </w:tabs>
              <w:jc w:val="center"/>
              <w:rPr>
                <w:color w:val="auto"/>
                <w:szCs w:val="21"/>
                <w:highlight w:val="none"/>
              </w:rPr>
            </w:pPr>
            <w:r>
              <w:rPr>
                <w:rFonts w:hint="eastAsia"/>
                <w:color w:val="auto"/>
                <w:szCs w:val="21"/>
                <w:highlight w:val="none"/>
              </w:rPr>
              <w:t>年月</w:t>
            </w:r>
          </w:p>
        </w:tc>
        <w:tc>
          <w:tcPr>
            <w:tcW w:w="1317" w:type="dxa"/>
            <w:gridSpan w:val="3"/>
            <w:tcBorders>
              <w:top w:val="single" w:color="auto" w:sz="6" w:space="0"/>
              <w:left w:val="single" w:color="auto" w:sz="6" w:space="0"/>
              <w:bottom w:val="single" w:color="auto" w:sz="6" w:space="0"/>
              <w:right w:val="single" w:color="auto" w:sz="6" w:space="0"/>
            </w:tcBorders>
            <w:vAlign w:val="center"/>
          </w:tcPr>
          <w:p w14:paraId="4BBB7C25">
            <w:pPr>
              <w:tabs>
                <w:tab w:val="left" w:pos="4680"/>
              </w:tabs>
              <w:jc w:val="center"/>
              <w:rPr>
                <w:color w:val="auto"/>
                <w:szCs w:val="21"/>
                <w:highlight w:val="none"/>
              </w:rPr>
            </w:pPr>
            <w:r>
              <w:rPr>
                <w:rFonts w:hint="eastAsia"/>
                <w:color w:val="auto"/>
                <w:szCs w:val="21"/>
                <w:highlight w:val="none"/>
              </w:rPr>
              <w:t>单位</w:t>
            </w:r>
          </w:p>
        </w:tc>
        <w:tc>
          <w:tcPr>
            <w:tcW w:w="1318" w:type="dxa"/>
            <w:gridSpan w:val="2"/>
            <w:tcBorders>
              <w:top w:val="single" w:color="auto" w:sz="6" w:space="0"/>
              <w:left w:val="single" w:color="auto" w:sz="6" w:space="0"/>
              <w:bottom w:val="single" w:color="auto" w:sz="6" w:space="0"/>
              <w:right w:val="single" w:color="auto" w:sz="6" w:space="0"/>
            </w:tcBorders>
            <w:vAlign w:val="center"/>
          </w:tcPr>
          <w:p w14:paraId="0F51FB6D">
            <w:pPr>
              <w:tabs>
                <w:tab w:val="left" w:pos="4680"/>
              </w:tabs>
              <w:jc w:val="center"/>
              <w:rPr>
                <w:color w:val="auto"/>
                <w:szCs w:val="21"/>
                <w:highlight w:val="none"/>
              </w:rPr>
            </w:pPr>
            <w:r>
              <w:rPr>
                <w:rFonts w:hint="eastAsia"/>
                <w:color w:val="auto"/>
                <w:szCs w:val="21"/>
                <w:highlight w:val="none"/>
              </w:rPr>
              <w:t>工程名称</w:t>
            </w:r>
          </w:p>
        </w:tc>
        <w:tc>
          <w:tcPr>
            <w:tcW w:w="1956" w:type="dxa"/>
            <w:gridSpan w:val="2"/>
            <w:tcBorders>
              <w:top w:val="single" w:color="auto" w:sz="6" w:space="0"/>
              <w:left w:val="single" w:color="auto" w:sz="6" w:space="0"/>
              <w:bottom w:val="single" w:color="auto" w:sz="6" w:space="0"/>
              <w:right w:val="single" w:color="auto" w:sz="6" w:space="0"/>
            </w:tcBorders>
            <w:vAlign w:val="center"/>
          </w:tcPr>
          <w:p w14:paraId="14EC6FB8">
            <w:pPr>
              <w:tabs>
                <w:tab w:val="left" w:pos="4680"/>
              </w:tabs>
              <w:jc w:val="center"/>
              <w:rPr>
                <w:color w:val="auto"/>
                <w:szCs w:val="21"/>
                <w:highlight w:val="none"/>
              </w:rPr>
            </w:pPr>
            <w:r>
              <w:rPr>
                <w:rFonts w:hint="eastAsia"/>
                <w:color w:val="auto"/>
                <w:szCs w:val="21"/>
                <w:highlight w:val="none"/>
              </w:rPr>
              <w:t>在项目中担任岗位</w:t>
            </w:r>
          </w:p>
        </w:tc>
        <w:tc>
          <w:tcPr>
            <w:tcW w:w="1305" w:type="dxa"/>
            <w:gridSpan w:val="3"/>
            <w:tcBorders>
              <w:top w:val="single" w:color="auto" w:sz="6" w:space="0"/>
              <w:left w:val="single" w:color="auto" w:sz="6" w:space="0"/>
              <w:bottom w:val="single" w:color="auto" w:sz="6" w:space="0"/>
              <w:right w:val="single" w:color="auto" w:sz="4" w:space="0"/>
            </w:tcBorders>
            <w:vAlign w:val="center"/>
          </w:tcPr>
          <w:p w14:paraId="6AA83744">
            <w:pPr>
              <w:tabs>
                <w:tab w:val="left" w:pos="4680"/>
              </w:tabs>
              <w:jc w:val="center"/>
              <w:rPr>
                <w:color w:val="auto"/>
                <w:szCs w:val="21"/>
                <w:highlight w:val="none"/>
              </w:rPr>
            </w:pPr>
            <w:r>
              <w:rPr>
                <w:color w:val="auto"/>
                <w:szCs w:val="21"/>
                <w:highlight w:val="none"/>
              </w:rPr>
              <w:t>主要工作</w:t>
            </w:r>
          </w:p>
        </w:tc>
        <w:tc>
          <w:tcPr>
            <w:tcW w:w="1170" w:type="dxa"/>
            <w:gridSpan w:val="2"/>
            <w:tcBorders>
              <w:top w:val="single" w:color="auto" w:sz="6" w:space="0"/>
              <w:left w:val="single" w:color="auto" w:sz="4" w:space="0"/>
              <w:bottom w:val="single" w:color="auto" w:sz="6" w:space="0"/>
              <w:right w:val="single" w:color="auto" w:sz="4" w:space="0"/>
            </w:tcBorders>
            <w:vAlign w:val="center"/>
          </w:tcPr>
          <w:p w14:paraId="0186B6B5">
            <w:pPr>
              <w:tabs>
                <w:tab w:val="left" w:pos="4680"/>
              </w:tabs>
              <w:jc w:val="center"/>
              <w:rPr>
                <w:color w:val="auto"/>
                <w:szCs w:val="21"/>
                <w:highlight w:val="none"/>
              </w:rPr>
            </w:pPr>
            <w:r>
              <w:rPr>
                <w:color w:val="auto"/>
                <w:szCs w:val="21"/>
                <w:highlight w:val="none"/>
              </w:rPr>
              <w:t>证明人</w:t>
            </w:r>
          </w:p>
        </w:tc>
        <w:tc>
          <w:tcPr>
            <w:tcW w:w="1053" w:type="dxa"/>
            <w:tcBorders>
              <w:top w:val="single" w:color="auto" w:sz="6" w:space="0"/>
              <w:left w:val="single" w:color="auto" w:sz="4" w:space="0"/>
              <w:bottom w:val="single" w:color="auto" w:sz="6" w:space="0"/>
              <w:right w:val="single" w:color="auto" w:sz="12" w:space="0"/>
            </w:tcBorders>
            <w:vAlign w:val="center"/>
          </w:tcPr>
          <w:p w14:paraId="38F0688E">
            <w:pPr>
              <w:tabs>
                <w:tab w:val="left" w:pos="4680"/>
              </w:tabs>
              <w:jc w:val="center"/>
              <w:rPr>
                <w:color w:val="auto"/>
                <w:szCs w:val="21"/>
                <w:highlight w:val="none"/>
              </w:rPr>
            </w:pPr>
            <w:r>
              <w:rPr>
                <w:color w:val="auto"/>
                <w:szCs w:val="21"/>
                <w:highlight w:val="none"/>
              </w:rPr>
              <w:t>联系电话</w:t>
            </w:r>
          </w:p>
        </w:tc>
      </w:tr>
      <w:tr w14:paraId="59CE6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43" w:hRule="exact"/>
          <w:jc w:val="center"/>
        </w:trPr>
        <w:tc>
          <w:tcPr>
            <w:tcW w:w="1316" w:type="dxa"/>
            <w:tcBorders>
              <w:top w:val="single" w:color="auto" w:sz="6" w:space="0"/>
              <w:left w:val="single" w:color="auto" w:sz="12" w:space="0"/>
              <w:bottom w:val="single" w:color="auto" w:sz="6" w:space="0"/>
              <w:right w:val="single" w:color="auto" w:sz="6" w:space="0"/>
            </w:tcBorders>
            <w:vAlign w:val="center"/>
          </w:tcPr>
          <w:p w14:paraId="31C80E45">
            <w:pPr>
              <w:tabs>
                <w:tab w:val="left" w:pos="4680"/>
              </w:tabs>
              <w:jc w:val="center"/>
              <w:rPr>
                <w:color w:val="auto"/>
                <w:szCs w:val="21"/>
                <w:highlight w:val="none"/>
              </w:rPr>
            </w:pPr>
          </w:p>
          <w:p w14:paraId="4274CCF3">
            <w:pPr>
              <w:tabs>
                <w:tab w:val="left" w:pos="4680"/>
              </w:tabs>
              <w:jc w:val="center"/>
              <w:rPr>
                <w:color w:val="auto"/>
                <w:szCs w:val="21"/>
                <w:highlight w:val="none"/>
              </w:rPr>
            </w:pPr>
          </w:p>
          <w:p w14:paraId="2E3F3810">
            <w:pPr>
              <w:tabs>
                <w:tab w:val="left" w:pos="4680"/>
              </w:tabs>
              <w:jc w:val="center"/>
              <w:rPr>
                <w:color w:val="auto"/>
                <w:szCs w:val="21"/>
                <w:highlight w:val="none"/>
              </w:rPr>
            </w:pPr>
          </w:p>
          <w:p w14:paraId="138F97C6">
            <w:pPr>
              <w:tabs>
                <w:tab w:val="left" w:pos="4680"/>
              </w:tabs>
              <w:jc w:val="center"/>
              <w:rPr>
                <w:color w:val="auto"/>
                <w:szCs w:val="21"/>
                <w:highlight w:val="none"/>
              </w:rPr>
            </w:pPr>
          </w:p>
          <w:p w14:paraId="415D3607">
            <w:pPr>
              <w:tabs>
                <w:tab w:val="left" w:pos="4680"/>
              </w:tabs>
              <w:jc w:val="center"/>
              <w:rPr>
                <w:color w:val="auto"/>
                <w:szCs w:val="21"/>
                <w:highlight w:val="none"/>
              </w:rPr>
            </w:pPr>
          </w:p>
          <w:p w14:paraId="17305599">
            <w:pPr>
              <w:tabs>
                <w:tab w:val="left" w:pos="4680"/>
              </w:tabs>
              <w:jc w:val="center"/>
              <w:rPr>
                <w:color w:val="auto"/>
                <w:szCs w:val="21"/>
                <w:highlight w:val="none"/>
              </w:rPr>
            </w:pPr>
          </w:p>
          <w:p w14:paraId="77B28E76">
            <w:pPr>
              <w:tabs>
                <w:tab w:val="left" w:pos="4680"/>
              </w:tabs>
              <w:jc w:val="center"/>
              <w:rPr>
                <w:color w:val="auto"/>
                <w:szCs w:val="21"/>
                <w:highlight w:val="none"/>
              </w:rPr>
            </w:pPr>
          </w:p>
          <w:p w14:paraId="3DABFC99">
            <w:pPr>
              <w:tabs>
                <w:tab w:val="left" w:pos="4680"/>
              </w:tabs>
              <w:jc w:val="center"/>
              <w:rPr>
                <w:color w:val="auto"/>
                <w:szCs w:val="21"/>
                <w:highlight w:val="none"/>
              </w:rPr>
            </w:pPr>
          </w:p>
          <w:p w14:paraId="65130835">
            <w:pPr>
              <w:tabs>
                <w:tab w:val="left" w:pos="4680"/>
              </w:tabs>
              <w:jc w:val="center"/>
              <w:rPr>
                <w:color w:val="auto"/>
                <w:szCs w:val="21"/>
                <w:highlight w:val="none"/>
              </w:rPr>
            </w:pPr>
          </w:p>
          <w:p w14:paraId="0C659FD4">
            <w:pPr>
              <w:tabs>
                <w:tab w:val="left" w:pos="4680"/>
              </w:tabs>
              <w:jc w:val="center"/>
              <w:rPr>
                <w:color w:val="auto"/>
                <w:szCs w:val="21"/>
                <w:highlight w:val="none"/>
              </w:rPr>
            </w:pPr>
          </w:p>
          <w:p w14:paraId="405581BE">
            <w:pPr>
              <w:tabs>
                <w:tab w:val="left" w:pos="4680"/>
              </w:tabs>
              <w:jc w:val="center"/>
              <w:rPr>
                <w:color w:val="auto"/>
                <w:szCs w:val="21"/>
                <w:highlight w:val="none"/>
              </w:rPr>
            </w:pPr>
          </w:p>
        </w:tc>
        <w:tc>
          <w:tcPr>
            <w:tcW w:w="1317" w:type="dxa"/>
            <w:gridSpan w:val="3"/>
            <w:tcBorders>
              <w:top w:val="single" w:color="auto" w:sz="6" w:space="0"/>
              <w:left w:val="single" w:color="auto" w:sz="6" w:space="0"/>
              <w:bottom w:val="single" w:color="auto" w:sz="6" w:space="0"/>
              <w:right w:val="single" w:color="auto" w:sz="6" w:space="0"/>
            </w:tcBorders>
            <w:vAlign w:val="center"/>
          </w:tcPr>
          <w:p w14:paraId="35FB7219">
            <w:pPr>
              <w:tabs>
                <w:tab w:val="left" w:pos="4680"/>
              </w:tabs>
              <w:jc w:val="center"/>
              <w:rPr>
                <w:color w:val="auto"/>
                <w:szCs w:val="21"/>
                <w:highlight w:val="none"/>
              </w:rPr>
            </w:pPr>
          </w:p>
        </w:tc>
        <w:tc>
          <w:tcPr>
            <w:tcW w:w="1318" w:type="dxa"/>
            <w:gridSpan w:val="2"/>
            <w:tcBorders>
              <w:top w:val="single" w:color="auto" w:sz="6" w:space="0"/>
              <w:left w:val="single" w:color="auto" w:sz="6" w:space="0"/>
              <w:bottom w:val="single" w:color="auto" w:sz="6" w:space="0"/>
              <w:right w:val="single" w:color="auto" w:sz="6" w:space="0"/>
            </w:tcBorders>
            <w:vAlign w:val="center"/>
          </w:tcPr>
          <w:p w14:paraId="451BF21B">
            <w:pPr>
              <w:tabs>
                <w:tab w:val="left" w:pos="4680"/>
              </w:tabs>
              <w:jc w:val="center"/>
              <w:rPr>
                <w:color w:val="auto"/>
                <w:szCs w:val="21"/>
                <w:highlight w:val="none"/>
              </w:rPr>
            </w:pPr>
          </w:p>
        </w:tc>
        <w:tc>
          <w:tcPr>
            <w:tcW w:w="1956" w:type="dxa"/>
            <w:gridSpan w:val="2"/>
            <w:tcBorders>
              <w:top w:val="single" w:color="auto" w:sz="6" w:space="0"/>
              <w:left w:val="single" w:color="auto" w:sz="6" w:space="0"/>
              <w:bottom w:val="single" w:color="auto" w:sz="6" w:space="0"/>
              <w:right w:val="single" w:color="auto" w:sz="6" w:space="0"/>
            </w:tcBorders>
            <w:vAlign w:val="center"/>
          </w:tcPr>
          <w:p w14:paraId="634D3DB9">
            <w:pPr>
              <w:tabs>
                <w:tab w:val="left" w:pos="4680"/>
              </w:tabs>
              <w:jc w:val="center"/>
              <w:rPr>
                <w:color w:val="auto"/>
                <w:szCs w:val="21"/>
                <w:highlight w:val="none"/>
              </w:rPr>
            </w:pPr>
          </w:p>
        </w:tc>
        <w:tc>
          <w:tcPr>
            <w:tcW w:w="1305" w:type="dxa"/>
            <w:gridSpan w:val="3"/>
            <w:tcBorders>
              <w:top w:val="single" w:color="auto" w:sz="6" w:space="0"/>
              <w:left w:val="single" w:color="auto" w:sz="6" w:space="0"/>
              <w:bottom w:val="single" w:color="auto" w:sz="6" w:space="0"/>
              <w:right w:val="single" w:color="auto" w:sz="4" w:space="0"/>
            </w:tcBorders>
            <w:vAlign w:val="center"/>
          </w:tcPr>
          <w:p w14:paraId="5E3285E8">
            <w:pPr>
              <w:tabs>
                <w:tab w:val="left" w:pos="4680"/>
              </w:tabs>
              <w:jc w:val="center"/>
              <w:rPr>
                <w:color w:val="auto"/>
                <w:szCs w:val="21"/>
                <w:highlight w:val="none"/>
              </w:rPr>
            </w:pPr>
          </w:p>
        </w:tc>
        <w:tc>
          <w:tcPr>
            <w:tcW w:w="1170" w:type="dxa"/>
            <w:gridSpan w:val="2"/>
            <w:tcBorders>
              <w:top w:val="single" w:color="auto" w:sz="6" w:space="0"/>
              <w:left w:val="single" w:color="auto" w:sz="4" w:space="0"/>
              <w:bottom w:val="single" w:color="auto" w:sz="6" w:space="0"/>
              <w:right w:val="single" w:color="auto" w:sz="4" w:space="0"/>
            </w:tcBorders>
            <w:vAlign w:val="center"/>
          </w:tcPr>
          <w:p w14:paraId="20EE9D6B">
            <w:pPr>
              <w:tabs>
                <w:tab w:val="left" w:pos="4680"/>
              </w:tabs>
              <w:jc w:val="center"/>
              <w:rPr>
                <w:color w:val="auto"/>
                <w:szCs w:val="21"/>
                <w:highlight w:val="none"/>
              </w:rPr>
            </w:pPr>
          </w:p>
        </w:tc>
        <w:tc>
          <w:tcPr>
            <w:tcW w:w="1053" w:type="dxa"/>
            <w:tcBorders>
              <w:top w:val="single" w:color="auto" w:sz="6" w:space="0"/>
              <w:left w:val="single" w:color="auto" w:sz="4" w:space="0"/>
              <w:bottom w:val="single" w:color="auto" w:sz="6" w:space="0"/>
              <w:right w:val="single" w:color="auto" w:sz="12" w:space="0"/>
            </w:tcBorders>
            <w:vAlign w:val="center"/>
          </w:tcPr>
          <w:p w14:paraId="06D35701">
            <w:pPr>
              <w:tabs>
                <w:tab w:val="left" w:pos="4680"/>
              </w:tabs>
              <w:jc w:val="center"/>
              <w:rPr>
                <w:color w:val="auto"/>
                <w:szCs w:val="21"/>
                <w:highlight w:val="none"/>
              </w:rPr>
            </w:pPr>
          </w:p>
        </w:tc>
      </w:tr>
      <w:tr w14:paraId="6C002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1" w:type="dxa"/>
            <w:gridSpan w:val="6"/>
            <w:tcBorders>
              <w:top w:val="single" w:color="auto" w:sz="6" w:space="0"/>
              <w:left w:val="single" w:color="auto" w:sz="12" w:space="0"/>
              <w:bottom w:val="single" w:color="auto" w:sz="6" w:space="0"/>
              <w:right w:val="single" w:color="auto" w:sz="6" w:space="0"/>
            </w:tcBorders>
            <w:vAlign w:val="center"/>
          </w:tcPr>
          <w:p w14:paraId="46F15440">
            <w:pPr>
              <w:tabs>
                <w:tab w:val="left" w:pos="4680"/>
              </w:tabs>
              <w:jc w:val="center"/>
              <w:rPr>
                <w:color w:val="auto"/>
                <w:szCs w:val="21"/>
                <w:highlight w:val="none"/>
              </w:rPr>
            </w:pPr>
            <w:r>
              <w:rPr>
                <w:color w:val="auto"/>
                <w:szCs w:val="21"/>
                <w:highlight w:val="none"/>
              </w:rPr>
              <w:t>目前在监的和新承监的</w:t>
            </w:r>
            <w:r>
              <w:rPr>
                <w:rFonts w:hint="eastAsia"/>
                <w:color w:val="auto"/>
                <w:szCs w:val="21"/>
                <w:highlight w:val="none"/>
              </w:rPr>
              <w:t>项目</w:t>
            </w:r>
            <w:r>
              <w:rPr>
                <w:color w:val="auto"/>
                <w:szCs w:val="21"/>
                <w:highlight w:val="none"/>
              </w:rPr>
              <w:t>名称</w:t>
            </w:r>
          </w:p>
        </w:tc>
        <w:tc>
          <w:tcPr>
            <w:tcW w:w="5484" w:type="dxa"/>
            <w:gridSpan w:val="8"/>
            <w:tcBorders>
              <w:top w:val="single" w:color="auto" w:sz="6" w:space="0"/>
              <w:left w:val="single" w:color="auto" w:sz="6" w:space="0"/>
              <w:bottom w:val="single" w:color="auto" w:sz="6" w:space="0"/>
              <w:right w:val="single" w:color="auto" w:sz="12" w:space="0"/>
            </w:tcBorders>
            <w:vAlign w:val="center"/>
          </w:tcPr>
          <w:p w14:paraId="7FD9894F">
            <w:pPr>
              <w:tabs>
                <w:tab w:val="left" w:pos="4680"/>
              </w:tabs>
              <w:jc w:val="center"/>
              <w:rPr>
                <w:color w:val="auto"/>
                <w:szCs w:val="21"/>
                <w:highlight w:val="none"/>
              </w:rPr>
            </w:pPr>
          </w:p>
        </w:tc>
      </w:tr>
      <w:tr w14:paraId="071C1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1" w:type="dxa"/>
            <w:gridSpan w:val="6"/>
            <w:tcBorders>
              <w:top w:val="single" w:color="auto" w:sz="6" w:space="0"/>
              <w:left w:val="single" w:color="auto" w:sz="12" w:space="0"/>
              <w:bottom w:val="single" w:color="auto" w:sz="6" w:space="0"/>
              <w:right w:val="single" w:color="auto" w:sz="6" w:space="0"/>
            </w:tcBorders>
            <w:vAlign w:val="center"/>
          </w:tcPr>
          <w:p w14:paraId="2554FB3E">
            <w:pPr>
              <w:tabs>
                <w:tab w:val="left" w:pos="4680"/>
              </w:tabs>
              <w:jc w:val="center"/>
              <w:rPr>
                <w:color w:val="auto"/>
                <w:szCs w:val="21"/>
                <w:highlight w:val="none"/>
              </w:rPr>
            </w:pPr>
            <w:r>
              <w:rPr>
                <w:color w:val="auto"/>
                <w:szCs w:val="21"/>
                <w:highlight w:val="none"/>
              </w:rPr>
              <w:t>担任职务</w:t>
            </w:r>
          </w:p>
        </w:tc>
        <w:tc>
          <w:tcPr>
            <w:tcW w:w="5484" w:type="dxa"/>
            <w:gridSpan w:val="8"/>
            <w:tcBorders>
              <w:top w:val="single" w:color="auto" w:sz="6" w:space="0"/>
              <w:left w:val="single" w:color="auto" w:sz="6" w:space="0"/>
              <w:bottom w:val="single" w:color="auto" w:sz="6" w:space="0"/>
              <w:right w:val="single" w:color="auto" w:sz="12" w:space="0"/>
            </w:tcBorders>
            <w:vAlign w:val="center"/>
          </w:tcPr>
          <w:p w14:paraId="065427E6">
            <w:pPr>
              <w:tabs>
                <w:tab w:val="left" w:pos="4680"/>
              </w:tabs>
              <w:jc w:val="center"/>
              <w:rPr>
                <w:color w:val="auto"/>
                <w:szCs w:val="21"/>
                <w:highlight w:val="none"/>
              </w:rPr>
            </w:pPr>
          </w:p>
        </w:tc>
      </w:tr>
      <w:tr w14:paraId="3C27B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1" w:type="dxa"/>
            <w:gridSpan w:val="6"/>
            <w:tcBorders>
              <w:top w:val="single" w:color="auto" w:sz="6" w:space="0"/>
              <w:left w:val="single" w:color="auto" w:sz="12" w:space="0"/>
              <w:bottom w:val="single" w:color="auto" w:sz="6" w:space="0"/>
              <w:right w:val="single" w:color="auto" w:sz="6" w:space="0"/>
            </w:tcBorders>
            <w:vAlign w:val="center"/>
          </w:tcPr>
          <w:p w14:paraId="4746FA00">
            <w:pPr>
              <w:tabs>
                <w:tab w:val="left" w:pos="4680"/>
              </w:tabs>
              <w:jc w:val="center"/>
              <w:rPr>
                <w:color w:val="auto"/>
                <w:szCs w:val="21"/>
                <w:highlight w:val="none"/>
              </w:rPr>
            </w:pPr>
            <w:r>
              <w:rPr>
                <w:color w:val="auto"/>
                <w:szCs w:val="21"/>
                <w:highlight w:val="none"/>
              </w:rPr>
              <w:t>在监的和新承监的</w:t>
            </w:r>
            <w:r>
              <w:rPr>
                <w:rFonts w:hint="eastAsia"/>
                <w:color w:val="auto"/>
                <w:szCs w:val="21"/>
                <w:highlight w:val="none"/>
              </w:rPr>
              <w:t>项目计划交</w:t>
            </w:r>
            <w:r>
              <w:rPr>
                <w:color w:val="auto"/>
                <w:szCs w:val="21"/>
                <w:highlight w:val="none"/>
              </w:rPr>
              <w:t>工时间</w:t>
            </w:r>
          </w:p>
        </w:tc>
        <w:tc>
          <w:tcPr>
            <w:tcW w:w="5484" w:type="dxa"/>
            <w:gridSpan w:val="8"/>
            <w:tcBorders>
              <w:top w:val="single" w:color="auto" w:sz="6" w:space="0"/>
              <w:left w:val="single" w:color="auto" w:sz="6" w:space="0"/>
              <w:bottom w:val="single" w:color="auto" w:sz="6" w:space="0"/>
              <w:right w:val="single" w:color="auto" w:sz="12" w:space="0"/>
            </w:tcBorders>
            <w:vAlign w:val="center"/>
          </w:tcPr>
          <w:p w14:paraId="3C00749C">
            <w:pPr>
              <w:tabs>
                <w:tab w:val="left" w:pos="4680"/>
              </w:tabs>
              <w:jc w:val="center"/>
              <w:rPr>
                <w:color w:val="auto"/>
                <w:szCs w:val="21"/>
                <w:highlight w:val="none"/>
              </w:rPr>
            </w:pPr>
          </w:p>
        </w:tc>
      </w:tr>
      <w:tr w14:paraId="296EB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652" w:type="dxa"/>
            <w:gridSpan w:val="2"/>
            <w:tcBorders>
              <w:top w:val="single" w:color="auto" w:sz="6" w:space="0"/>
              <w:left w:val="single" w:color="auto" w:sz="12" w:space="0"/>
              <w:bottom w:val="single" w:color="auto" w:sz="12" w:space="0"/>
              <w:right w:val="single" w:color="auto" w:sz="6" w:space="0"/>
            </w:tcBorders>
            <w:vAlign w:val="center"/>
          </w:tcPr>
          <w:p w14:paraId="59E140A5">
            <w:pPr>
              <w:tabs>
                <w:tab w:val="left" w:pos="4680"/>
              </w:tabs>
              <w:jc w:val="center"/>
              <w:rPr>
                <w:color w:val="auto"/>
                <w:szCs w:val="21"/>
                <w:highlight w:val="none"/>
              </w:rPr>
            </w:pPr>
            <w:r>
              <w:rPr>
                <w:color w:val="auto"/>
                <w:szCs w:val="21"/>
                <w:highlight w:val="none"/>
              </w:rPr>
              <w:t>奖惩情况</w:t>
            </w:r>
          </w:p>
        </w:tc>
        <w:tc>
          <w:tcPr>
            <w:tcW w:w="7783" w:type="dxa"/>
            <w:gridSpan w:val="12"/>
            <w:tcBorders>
              <w:top w:val="single" w:color="auto" w:sz="6" w:space="0"/>
              <w:left w:val="single" w:color="auto" w:sz="6" w:space="0"/>
              <w:bottom w:val="single" w:color="auto" w:sz="12" w:space="0"/>
              <w:right w:val="single" w:color="auto" w:sz="12" w:space="0"/>
            </w:tcBorders>
            <w:vAlign w:val="center"/>
          </w:tcPr>
          <w:p w14:paraId="345AE816">
            <w:pPr>
              <w:tabs>
                <w:tab w:val="left" w:pos="4680"/>
              </w:tabs>
              <w:jc w:val="center"/>
              <w:rPr>
                <w:color w:val="auto"/>
                <w:szCs w:val="21"/>
                <w:highlight w:val="none"/>
              </w:rPr>
            </w:pPr>
          </w:p>
        </w:tc>
      </w:tr>
    </w:tbl>
    <w:p w14:paraId="53B2CEC3">
      <w:pPr>
        <w:rPr>
          <w:rFonts w:ascii="宋体" w:hAnsi="宋体"/>
          <w:color w:val="auto"/>
          <w:sz w:val="18"/>
          <w:szCs w:val="18"/>
          <w:highlight w:val="none"/>
        </w:rPr>
      </w:pPr>
      <w:r>
        <w:rPr>
          <w:color w:val="auto"/>
          <w:sz w:val="18"/>
          <w:szCs w:val="18"/>
          <w:highlight w:val="none"/>
        </w:rPr>
        <w:t>注</w:t>
      </w:r>
      <w:r>
        <w:rPr>
          <w:rFonts w:ascii="宋体" w:hAnsi="宋体"/>
          <w:color w:val="auto"/>
          <w:sz w:val="18"/>
          <w:szCs w:val="18"/>
          <w:highlight w:val="none"/>
        </w:rPr>
        <w:t>：</w:t>
      </w:r>
      <w:r>
        <w:rPr>
          <w:rFonts w:hint="eastAsia" w:ascii="宋体" w:hAnsi="宋体"/>
          <w:color w:val="auto"/>
          <w:sz w:val="18"/>
          <w:szCs w:val="18"/>
          <w:highlight w:val="none"/>
        </w:rPr>
        <w:t>①</w:t>
      </w:r>
      <w:r>
        <w:rPr>
          <w:color w:val="auto"/>
          <w:sz w:val="18"/>
          <w:szCs w:val="18"/>
          <w:highlight w:val="none"/>
        </w:rPr>
        <w:t>附</w:t>
      </w:r>
      <w:r>
        <w:rPr>
          <w:rFonts w:hint="eastAsia"/>
          <w:color w:val="auto"/>
          <w:sz w:val="18"/>
          <w:szCs w:val="18"/>
          <w:highlight w:val="none"/>
        </w:rPr>
        <w:t>身份证、</w:t>
      </w:r>
      <w:r>
        <w:rPr>
          <w:color w:val="auto"/>
          <w:sz w:val="18"/>
          <w:szCs w:val="18"/>
          <w:highlight w:val="none"/>
        </w:rPr>
        <w:t>职称证</w:t>
      </w:r>
      <w:r>
        <w:rPr>
          <w:rFonts w:hint="eastAsia"/>
          <w:color w:val="auto"/>
          <w:sz w:val="18"/>
          <w:szCs w:val="18"/>
          <w:highlight w:val="none"/>
        </w:rPr>
        <w:t>、</w:t>
      </w:r>
      <w:r>
        <w:rPr>
          <w:color w:val="auto"/>
          <w:sz w:val="18"/>
          <w:szCs w:val="18"/>
          <w:highlight w:val="none"/>
        </w:rPr>
        <w:t>监理</w:t>
      </w:r>
      <w:r>
        <w:rPr>
          <w:rFonts w:hint="eastAsia"/>
          <w:color w:val="auto"/>
          <w:sz w:val="18"/>
          <w:szCs w:val="18"/>
          <w:highlight w:val="none"/>
        </w:rPr>
        <w:t>资格</w:t>
      </w:r>
      <w:r>
        <w:rPr>
          <w:color w:val="auto"/>
          <w:sz w:val="18"/>
          <w:szCs w:val="18"/>
          <w:highlight w:val="none"/>
        </w:rPr>
        <w:t>证</w:t>
      </w:r>
      <w:r>
        <w:rPr>
          <w:rFonts w:hint="eastAsia"/>
          <w:color w:val="auto"/>
          <w:sz w:val="18"/>
          <w:szCs w:val="18"/>
          <w:highlight w:val="none"/>
        </w:rPr>
        <w:t>或其它资格证、交通建设工程安全、环境监理培训考试合格证书</w:t>
      </w:r>
      <w:r>
        <w:rPr>
          <w:color w:val="auto"/>
          <w:sz w:val="18"/>
          <w:szCs w:val="18"/>
          <w:highlight w:val="none"/>
        </w:rPr>
        <w:t>的扫描件</w:t>
      </w:r>
      <w:r>
        <w:rPr>
          <w:rFonts w:hint="eastAsia"/>
          <w:color w:val="auto"/>
          <w:sz w:val="18"/>
          <w:szCs w:val="18"/>
          <w:highlight w:val="none"/>
        </w:rPr>
        <w:t>。</w:t>
      </w:r>
    </w:p>
    <w:p w14:paraId="658D16CB">
      <w:pPr>
        <w:ind w:firstLine="360" w:firstLineChars="200"/>
        <w:rPr>
          <w:color w:val="auto"/>
          <w:sz w:val="18"/>
          <w:szCs w:val="18"/>
          <w:highlight w:val="none"/>
        </w:rPr>
      </w:pPr>
      <w:r>
        <w:rPr>
          <w:rFonts w:hint="eastAsia" w:ascii="宋体" w:hAnsi="宋体"/>
          <w:color w:val="auto"/>
          <w:sz w:val="18"/>
          <w:szCs w:val="18"/>
          <w:highlight w:val="none"/>
        </w:rPr>
        <w:t>②</w:t>
      </w:r>
      <w:r>
        <w:rPr>
          <w:rFonts w:hint="eastAsia"/>
          <w:color w:val="auto"/>
          <w:sz w:val="18"/>
          <w:szCs w:val="18"/>
          <w:highlight w:val="none"/>
        </w:rPr>
        <w:t>附全国水运建设市场信用信息管理系统岗位登记截图的打印件。</w:t>
      </w:r>
    </w:p>
    <w:p w14:paraId="1CF12F84">
      <w:pPr>
        <w:ind w:firstLine="360" w:firstLineChars="200"/>
        <w:rPr>
          <w:rFonts w:ascii="宋体" w:hAnsi="宋体"/>
          <w:color w:val="auto"/>
          <w:sz w:val="18"/>
          <w:szCs w:val="18"/>
          <w:highlight w:val="none"/>
        </w:rPr>
      </w:pPr>
      <w:r>
        <w:rPr>
          <w:rFonts w:hint="eastAsia"/>
          <w:color w:val="auto"/>
          <w:sz w:val="18"/>
          <w:szCs w:val="18"/>
          <w:highlight w:val="none"/>
        </w:rPr>
        <w:t>③总监理工程师及试验室主任须填写，其余人员不必填写。</w:t>
      </w:r>
    </w:p>
    <w:p w14:paraId="4A3D5FC7">
      <w:pPr>
        <w:ind w:firstLine="480" w:firstLineChars="200"/>
        <w:rPr>
          <w:color w:val="auto"/>
          <w:sz w:val="24"/>
          <w:highlight w:val="none"/>
        </w:rPr>
      </w:pPr>
    </w:p>
    <w:p w14:paraId="3047797D">
      <w:pPr>
        <w:rPr>
          <w:color w:val="auto"/>
          <w:sz w:val="24"/>
          <w:highlight w:val="none"/>
        </w:rPr>
      </w:pPr>
    </w:p>
    <w:p w14:paraId="1B86E331">
      <w:pPr>
        <w:rPr>
          <w:color w:val="auto"/>
          <w:sz w:val="24"/>
          <w:highlight w:val="none"/>
        </w:rPr>
      </w:pPr>
    </w:p>
    <w:p w14:paraId="3DFF3920">
      <w:pPr>
        <w:spacing w:line="440" w:lineRule="exact"/>
        <w:ind w:left="359" w:leftChars="171" w:right="535" w:rightChars="255"/>
        <w:rPr>
          <w:color w:val="auto"/>
          <w:sz w:val="18"/>
          <w:szCs w:val="18"/>
          <w:highlight w:val="none"/>
        </w:rPr>
      </w:pPr>
    </w:p>
    <w:p w14:paraId="2F50CA10">
      <w:pPr>
        <w:rPr>
          <w:color w:val="auto"/>
          <w:sz w:val="24"/>
          <w:highlight w:val="none"/>
        </w:rPr>
      </w:pPr>
    </w:p>
    <w:p w14:paraId="1C6A3D73">
      <w:pPr>
        <w:pStyle w:val="5"/>
        <w:jc w:val="center"/>
        <w:rPr>
          <w:color w:val="auto"/>
          <w:highlight w:val="none"/>
        </w:rPr>
      </w:pPr>
      <w:bookmarkStart w:id="1548" w:name="_Toc356568030"/>
      <w:bookmarkStart w:id="1549" w:name="_Toc487291639"/>
      <w:bookmarkStart w:id="1550" w:name="_Toc341805353"/>
      <w:bookmarkStart w:id="1551" w:name="_Toc488651025"/>
      <w:r>
        <w:rPr>
          <w:rFonts w:hint="eastAsia"/>
          <w:color w:val="auto"/>
          <w:highlight w:val="none"/>
        </w:rPr>
        <w:t>八、资格审查资料</w:t>
      </w:r>
      <w:bookmarkEnd w:id="1548"/>
      <w:bookmarkEnd w:id="1549"/>
      <w:bookmarkEnd w:id="1550"/>
      <w:bookmarkEnd w:id="1551"/>
    </w:p>
    <w:p w14:paraId="6A9796FE">
      <w:pPr>
        <w:pStyle w:val="5"/>
        <w:spacing w:before="100" w:after="100"/>
        <w:jc w:val="center"/>
        <w:rPr>
          <w:rFonts w:ascii="黑体" w:hAnsi="宋体"/>
          <w:color w:val="auto"/>
          <w:sz w:val="24"/>
          <w:szCs w:val="24"/>
          <w:highlight w:val="none"/>
        </w:rPr>
      </w:pPr>
      <w:bookmarkStart w:id="1552" w:name="_Toc341805354"/>
      <w:bookmarkStart w:id="1553" w:name="_Toc488651026"/>
      <w:bookmarkStart w:id="1554" w:name="_Toc487291640"/>
      <w:bookmarkStart w:id="1555" w:name="_Toc487619605"/>
      <w:bookmarkStart w:id="1556" w:name="_Toc356568031"/>
      <w:r>
        <w:rPr>
          <w:rFonts w:hint="eastAsia" w:ascii="黑体" w:hAnsi="宋体"/>
          <w:color w:val="auto"/>
          <w:sz w:val="24"/>
          <w:szCs w:val="24"/>
          <w:highlight w:val="none"/>
        </w:rPr>
        <w:t>（一）</w:t>
      </w:r>
      <w:r>
        <w:rPr>
          <w:rFonts w:ascii="黑体" w:hAnsi="宋体"/>
          <w:color w:val="auto"/>
          <w:sz w:val="24"/>
          <w:szCs w:val="24"/>
          <w:highlight w:val="none"/>
        </w:rPr>
        <w:t>投标人</w:t>
      </w:r>
      <w:r>
        <w:rPr>
          <w:rFonts w:hint="eastAsia" w:ascii="黑体" w:hAnsi="宋体"/>
          <w:color w:val="auto"/>
          <w:sz w:val="24"/>
          <w:szCs w:val="24"/>
          <w:highlight w:val="none"/>
        </w:rPr>
        <w:t>基本</w:t>
      </w:r>
      <w:r>
        <w:rPr>
          <w:rFonts w:ascii="黑体" w:hAnsi="宋体"/>
          <w:color w:val="auto"/>
          <w:sz w:val="24"/>
          <w:szCs w:val="24"/>
          <w:highlight w:val="none"/>
        </w:rPr>
        <w:t>情况表</w:t>
      </w:r>
      <w:bookmarkEnd w:id="1552"/>
      <w:bookmarkEnd w:id="1553"/>
      <w:bookmarkEnd w:id="1554"/>
      <w:bookmarkEnd w:id="1555"/>
      <w:bookmarkEnd w:id="1556"/>
    </w:p>
    <w:p w14:paraId="7BCDAE40">
      <w:pPr>
        <w:rPr>
          <w:color w:val="auto"/>
          <w:sz w:val="24"/>
          <w:highlight w:val="none"/>
        </w:rPr>
      </w:pPr>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47"/>
        <w:gridCol w:w="168"/>
        <w:gridCol w:w="756"/>
        <w:gridCol w:w="272"/>
        <w:gridCol w:w="653"/>
        <w:gridCol w:w="125"/>
        <w:gridCol w:w="435"/>
        <w:gridCol w:w="364"/>
        <w:gridCol w:w="925"/>
        <w:gridCol w:w="251"/>
        <w:gridCol w:w="294"/>
        <w:gridCol w:w="274"/>
        <w:gridCol w:w="107"/>
        <w:gridCol w:w="298"/>
        <w:gridCol w:w="624"/>
        <w:gridCol w:w="378"/>
        <w:gridCol w:w="1363"/>
      </w:tblGrid>
      <w:tr w14:paraId="64295F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2015" w:type="dxa"/>
            <w:gridSpan w:val="2"/>
            <w:vAlign w:val="center"/>
          </w:tcPr>
          <w:p w14:paraId="7FEAF5DF">
            <w:pPr>
              <w:tabs>
                <w:tab w:val="left" w:pos="4680"/>
              </w:tabs>
              <w:jc w:val="center"/>
              <w:rPr>
                <w:color w:val="auto"/>
                <w:szCs w:val="21"/>
                <w:highlight w:val="none"/>
              </w:rPr>
            </w:pPr>
            <w:r>
              <w:rPr>
                <w:color w:val="auto"/>
                <w:szCs w:val="21"/>
                <w:highlight w:val="none"/>
              </w:rPr>
              <w:t>投标人名称</w:t>
            </w:r>
          </w:p>
        </w:tc>
        <w:tc>
          <w:tcPr>
            <w:tcW w:w="7119" w:type="dxa"/>
            <w:gridSpan w:val="15"/>
            <w:vAlign w:val="center"/>
          </w:tcPr>
          <w:p w14:paraId="2BD19EAC">
            <w:pPr>
              <w:tabs>
                <w:tab w:val="left" w:pos="4680"/>
              </w:tabs>
              <w:jc w:val="center"/>
              <w:rPr>
                <w:color w:val="auto"/>
                <w:szCs w:val="21"/>
                <w:highlight w:val="none"/>
              </w:rPr>
            </w:pPr>
          </w:p>
        </w:tc>
      </w:tr>
      <w:tr w14:paraId="3F1B6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9134" w:type="dxa"/>
            <w:gridSpan w:val="17"/>
            <w:vAlign w:val="center"/>
          </w:tcPr>
          <w:p w14:paraId="697D81E1">
            <w:pPr>
              <w:tabs>
                <w:tab w:val="left" w:pos="4680"/>
              </w:tabs>
              <w:jc w:val="center"/>
              <w:rPr>
                <w:color w:val="auto"/>
                <w:szCs w:val="21"/>
                <w:highlight w:val="none"/>
              </w:rPr>
            </w:pPr>
            <w:r>
              <w:rPr>
                <w:color w:val="auto"/>
                <w:szCs w:val="21"/>
                <w:highlight w:val="none"/>
              </w:rPr>
              <w:t>营业执照</w:t>
            </w:r>
          </w:p>
        </w:tc>
      </w:tr>
      <w:tr w14:paraId="0C1BBA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2015" w:type="dxa"/>
            <w:gridSpan w:val="2"/>
            <w:vAlign w:val="center"/>
          </w:tcPr>
          <w:p w14:paraId="5D3CA31F">
            <w:pPr>
              <w:tabs>
                <w:tab w:val="left" w:pos="4680"/>
              </w:tabs>
              <w:jc w:val="center"/>
              <w:rPr>
                <w:color w:val="auto"/>
                <w:szCs w:val="21"/>
                <w:highlight w:val="none"/>
              </w:rPr>
            </w:pPr>
            <w:r>
              <w:rPr>
                <w:color w:val="auto"/>
                <w:szCs w:val="21"/>
                <w:highlight w:val="none"/>
              </w:rPr>
              <w:t>营业执照编号</w:t>
            </w:r>
          </w:p>
        </w:tc>
        <w:tc>
          <w:tcPr>
            <w:tcW w:w="2605" w:type="dxa"/>
            <w:gridSpan w:val="6"/>
            <w:vAlign w:val="center"/>
          </w:tcPr>
          <w:p w14:paraId="45CE1A7A">
            <w:pPr>
              <w:tabs>
                <w:tab w:val="left" w:pos="4680"/>
              </w:tabs>
              <w:jc w:val="center"/>
              <w:rPr>
                <w:color w:val="auto"/>
                <w:szCs w:val="21"/>
                <w:highlight w:val="none"/>
              </w:rPr>
            </w:pPr>
          </w:p>
        </w:tc>
        <w:tc>
          <w:tcPr>
            <w:tcW w:w="1744" w:type="dxa"/>
            <w:gridSpan w:val="4"/>
            <w:vAlign w:val="center"/>
          </w:tcPr>
          <w:p w14:paraId="55D92BBE">
            <w:pPr>
              <w:tabs>
                <w:tab w:val="left" w:pos="4680"/>
              </w:tabs>
              <w:jc w:val="center"/>
              <w:rPr>
                <w:color w:val="auto"/>
                <w:szCs w:val="21"/>
                <w:highlight w:val="none"/>
              </w:rPr>
            </w:pPr>
            <w:r>
              <w:rPr>
                <w:color w:val="auto"/>
                <w:szCs w:val="21"/>
                <w:highlight w:val="none"/>
              </w:rPr>
              <w:t>注册资金</w:t>
            </w:r>
          </w:p>
        </w:tc>
        <w:tc>
          <w:tcPr>
            <w:tcW w:w="2770" w:type="dxa"/>
            <w:gridSpan w:val="5"/>
            <w:vAlign w:val="center"/>
          </w:tcPr>
          <w:p w14:paraId="2C82309C">
            <w:pPr>
              <w:tabs>
                <w:tab w:val="left" w:pos="4680"/>
              </w:tabs>
              <w:jc w:val="center"/>
              <w:rPr>
                <w:color w:val="auto"/>
                <w:szCs w:val="21"/>
                <w:highlight w:val="none"/>
              </w:rPr>
            </w:pPr>
          </w:p>
        </w:tc>
      </w:tr>
      <w:tr w14:paraId="01CCC7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2015" w:type="dxa"/>
            <w:gridSpan w:val="2"/>
            <w:vAlign w:val="center"/>
          </w:tcPr>
          <w:p w14:paraId="012E34CD">
            <w:pPr>
              <w:tabs>
                <w:tab w:val="left" w:pos="4680"/>
              </w:tabs>
              <w:jc w:val="center"/>
              <w:rPr>
                <w:color w:val="auto"/>
                <w:szCs w:val="21"/>
                <w:highlight w:val="none"/>
              </w:rPr>
            </w:pPr>
            <w:r>
              <w:rPr>
                <w:color w:val="auto"/>
                <w:szCs w:val="21"/>
                <w:highlight w:val="none"/>
              </w:rPr>
              <w:t>发照机关</w:t>
            </w:r>
          </w:p>
        </w:tc>
        <w:tc>
          <w:tcPr>
            <w:tcW w:w="2605" w:type="dxa"/>
            <w:gridSpan w:val="6"/>
            <w:vAlign w:val="center"/>
          </w:tcPr>
          <w:p w14:paraId="410E8D8C">
            <w:pPr>
              <w:tabs>
                <w:tab w:val="left" w:pos="4680"/>
              </w:tabs>
              <w:jc w:val="center"/>
              <w:rPr>
                <w:color w:val="auto"/>
                <w:szCs w:val="21"/>
                <w:highlight w:val="none"/>
              </w:rPr>
            </w:pPr>
          </w:p>
        </w:tc>
        <w:tc>
          <w:tcPr>
            <w:tcW w:w="1744" w:type="dxa"/>
            <w:gridSpan w:val="4"/>
            <w:vAlign w:val="center"/>
          </w:tcPr>
          <w:p w14:paraId="0B6412A5">
            <w:pPr>
              <w:tabs>
                <w:tab w:val="left" w:pos="4680"/>
              </w:tabs>
              <w:jc w:val="center"/>
              <w:rPr>
                <w:color w:val="auto"/>
                <w:szCs w:val="21"/>
                <w:highlight w:val="none"/>
              </w:rPr>
            </w:pPr>
            <w:r>
              <w:rPr>
                <w:color w:val="auto"/>
                <w:szCs w:val="21"/>
                <w:highlight w:val="none"/>
              </w:rPr>
              <w:t>注册地址</w:t>
            </w:r>
          </w:p>
        </w:tc>
        <w:tc>
          <w:tcPr>
            <w:tcW w:w="2770" w:type="dxa"/>
            <w:gridSpan w:val="5"/>
            <w:vAlign w:val="center"/>
          </w:tcPr>
          <w:p w14:paraId="5322CA75">
            <w:pPr>
              <w:tabs>
                <w:tab w:val="left" w:pos="4680"/>
              </w:tabs>
              <w:jc w:val="center"/>
              <w:rPr>
                <w:color w:val="auto"/>
                <w:szCs w:val="21"/>
                <w:highlight w:val="none"/>
              </w:rPr>
            </w:pPr>
          </w:p>
        </w:tc>
      </w:tr>
      <w:tr w14:paraId="4DE6A4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2015" w:type="dxa"/>
            <w:gridSpan w:val="2"/>
            <w:vAlign w:val="center"/>
          </w:tcPr>
          <w:p w14:paraId="454D69E2">
            <w:pPr>
              <w:tabs>
                <w:tab w:val="left" w:pos="4680"/>
              </w:tabs>
              <w:jc w:val="center"/>
              <w:rPr>
                <w:color w:val="auto"/>
                <w:szCs w:val="21"/>
                <w:highlight w:val="none"/>
              </w:rPr>
            </w:pPr>
            <w:r>
              <w:rPr>
                <w:color w:val="auto"/>
                <w:szCs w:val="21"/>
                <w:highlight w:val="none"/>
              </w:rPr>
              <w:t>成立时间</w:t>
            </w:r>
          </w:p>
        </w:tc>
        <w:tc>
          <w:tcPr>
            <w:tcW w:w="2605" w:type="dxa"/>
            <w:gridSpan w:val="6"/>
            <w:vAlign w:val="center"/>
          </w:tcPr>
          <w:p w14:paraId="4C1A024B">
            <w:pPr>
              <w:tabs>
                <w:tab w:val="left" w:pos="4680"/>
              </w:tabs>
              <w:jc w:val="center"/>
              <w:rPr>
                <w:color w:val="auto"/>
                <w:szCs w:val="21"/>
                <w:highlight w:val="none"/>
              </w:rPr>
            </w:pPr>
          </w:p>
        </w:tc>
        <w:tc>
          <w:tcPr>
            <w:tcW w:w="1744" w:type="dxa"/>
            <w:gridSpan w:val="4"/>
            <w:vAlign w:val="center"/>
          </w:tcPr>
          <w:p w14:paraId="0ABCB28F">
            <w:pPr>
              <w:tabs>
                <w:tab w:val="left" w:pos="4680"/>
              </w:tabs>
              <w:jc w:val="center"/>
              <w:rPr>
                <w:color w:val="auto"/>
                <w:szCs w:val="21"/>
                <w:highlight w:val="none"/>
              </w:rPr>
            </w:pPr>
            <w:r>
              <w:rPr>
                <w:color w:val="auto"/>
                <w:szCs w:val="21"/>
                <w:highlight w:val="none"/>
              </w:rPr>
              <w:t>企业性质</w:t>
            </w:r>
          </w:p>
        </w:tc>
        <w:tc>
          <w:tcPr>
            <w:tcW w:w="2770" w:type="dxa"/>
            <w:gridSpan w:val="5"/>
            <w:vAlign w:val="center"/>
          </w:tcPr>
          <w:p w14:paraId="11D4DDC4">
            <w:pPr>
              <w:tabs>
                <w:tab w:val="left" w:pos="4680"/>
              </w:tabs>
              <w:jc w:val="center"/>
              <w:rPr>
                <w:color w:val="auto"/>
                <w:szCs w:val="21"/>
                <w:highlight w:val="none"/>
              </w:rPr>
            </w:pPr>
          </w:p>
        </w:tc>
      </w:tr>
      <w:tr w14:paraId="61F085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2015" w:type="dxa"/>
            <w:gridSpan w:val="2"/>
            <w:vAlign w:val="center"/>
          </w:tcPr>
          <w:p w14:paraId="13AE1374">
            <w:pPr>
              <w:tabs>
                <w:tab w:val="left" w:pos="4680"/>
              </w:tabs>
              <w:jc w:val="center"/>
              <w:rPr>
                <w:color w:val="auto"/>
                <w:szCs w:val="21"/>
                <w:highlight w:val="none"/>
              </w:rPr>
            </w:pPr>
            <w:r>
              <w:rPr>
                <w:color w:val="auto"/>
                <w:szCs w:val="21"/>
                <w:highlight w:val="none"/>
              </w:rPr>
              <w:t>经营范围</w:t>
            </w:r>
          </w:p>
        </w:tc>
        <w:tc>
          <w:tcPr>
            <w:tcW w:w="7119" w:type="dxa"/>
            <w:gridSpan w:val="15"/>
            <w:vAlign w:val="center"/>
          </w:tcPr>
          <w:p w14:paraId="38763225">
            <w:pPr>
              <w:tabs>
                <w:tab w:val="left" w:pos="4680"/>
              </w:tabs>
              <w:jc w:val="center"/>
              <w:rPr>
                <w:color w:val="auto"/>
                <w:szCs w:val="21"/>
                <w:highlight w:val="none"/>
              </w:rPr>
            </w:pPr>
          </w:p>
        </w:tc>
      </w:tr>
      <w:tr w14:paraId="0FF938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9134" w:type="dxa"/>
            <w:gridSpan w:val="17"/>
            <w:vAlign w:val="center"/>
          </w:tcPr>
          <w:p w14:paraId="735B1017">
            <w:pPr>
              <w:tabs>
                <w:tab w:val="left" w:pos="4680"/>
              </w:tabs>
              <w:jc w:val="center"/>
              <w:rPr>
                <w:color w:val="auto"/>
                <w:szCs w:val="21"/>
                <w:highlight w:val="none"/>
              </w:rPr>
            </w:pPr>
            <w:r>
              <w:rPr>
                <w:color w:val="auto"/>
                <w:szCs w:val="21"/>
                <w:highlight w:val="none"/>
              </w:rPr>
              <w:t>企业资质</w:t>
            </w:r>
          </w:p>
        </w:tc>
      </w:tr>
      <w:tr w14:paraId="10B68C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2015" w:type="dxa"/>
            <w:gridSpan w:val="2"/>
            <w:vAlign w:val="center"/>
          </w:tcPr>
          <w:p w14:paraId="179408A6">
            <w:pPr>
              <w:tabs>
                <w:tab w:val="left" w:pos="4680"/>
              </w:tabs>
              <w:jc w:val="center"/>
              <w:rPr>
                <w:color w:val="auto"/>
                <w:szCs w:val="21"/>
                <w:highlight w:val="none"/>
              </w:rPr>
            </w:pPr>
            <w:r>
              <w:rPr>
                <w:color w:val="auto"/>
                <w:szCs w:val="21"/>
                <w:highlight w:val="none"/>
              </w:rPr>
              <w:t>企业资质等级</w:t>
            </w:r>
          </w:p>
        </w:tc>
        <w:tc>
          <w:tcPr>
            <w:tcW w:w="2605" w:type="dxa"/>
            <w:gridSpan w:val="6"/>
            <w:vAlign w:val="center"/>
          </w:tcPr>
          <w:p w14:paraId="43C906C5">
            <w:pPr>
              <w:tabs>
                <w:tab w:val="left" w:pos="4680"/>
              </w:tabs>
              <w:jc w:val="center"/>
              <w:rPr>
                <w:color w:val="auto"/>
                <w:szCs w:val="21"/>
                <w:highlight w:val="none"/>
              </w:rPr>
            </w:pPr>
          </w:p>
        </w:tc>
        <w:tc>
          <w:tcPr>
            <w:tcW w:w="1744" w:type="dxa"/>
            <w:gridSpan w:val="4"/>
            <w:vAlign w:val="center"/>
          </w:tcPr>
          <w:p w14:paraId="2232B8BC">
            <w:pPr>
              <w:tabs>
                <w:tab w:val="left" w:pos="4680"/>
              </w:tabs>
              <w:jc w:val="center"/>
              <w:rPr>
                <w:color w:val="auto"/>
                <w:szCs w:val="21"/>
                <w:highlight w:val="none"/>
              </w:rPr>
            </w:pPr>
            <w:r>
              <w:rPr>
                <w:color w:val="auto"/>
                <w:szCs w:val="21"/>
                <w:highlight w:val="none"/>
              </w:rPr>
              <w:t>证书编号</w:t>
            </w:r>
          </w:p>
        </w:tc>
        <w:tc>
          <w:tcPr>
            <w:tcW w:w="2770" w:type="dxa"/>
            <w:gridSpan w:val="5"/>
            <w:vAlign w:val="center"/>
          </w:tcPr>
          <w:p w14:paraId="5F6AED3C">
            <w:pPr>
              <w:tabs>
                <w:tab w:val="left" w:pos="4680"/>
              </w:tabs>
              <w:jc w:val="center"/>
              <w:rPr>
                <w:color w:val="auto"/>
                <w:szCs w:val="21"/>
                <w:highlight w:val="none"/>
              </w:rPr>
            </w:pPr>
          </w:p>
        </w:tc>
      </w:tr>
      <w:tr w14:paraId="17CA36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2015" w:type="dxa"/>
            <w:gridSpan w:val="2"/>
            <w:vAlign w:val="center"/>
          </w:tcPr>
          <w:p w14:paraId="7044E704">
            <w:pPr>
              <w:tabs>
                <w:tab w:val="left" w:pos="4680"/>
              </w:tabs>
              <w:jc w:val="center"/>
              <w:rPr>
                <w:color w:val="auto"/>
                <w:szCs w:val="21"/>
                <w:highlight w:val="none"/>
              </w:rPr>
            </w:pPr>
            <w:r>
              <w:rPr>
                <w:color w:val="auto"/>
                <w:szCs w:val="21"/>
                <w:highlight w:val="none"/>
              </w:rPr>
              <w:t>发证机关</w:t>
            </w:r>
          </w:p>
        </w:tc>
        <w:tc>
          <w:tcPr>
            <w:tcW w:w="2605" w:type="dxa"/>
            <w:gridSpan w:val="6"/>
            <w:vAlign w:val="center"/>
          </w:tcPr>
          <w:p w14:paraId="32469EA9">
            <w:pPr>
              <w:tabs>
                <w:tab w:val="left" w:pos="4680"/>
              </w:tabs>
              <w:jc w:val="center"/>
              <w:rPr>
                <w:color w:val="auto"/>
                <w:szCs w:val="21"/>
                <w:highlight w:val="none"/>
              </w:rPr>
            </w:pPr>
          </w:p>
        </w:tc>
        <w:tc>
          <w:tcPr>
            <w:tcW w:w="1744" w:type="dxa"/>
            <w:gridSpan w:val="4"/>
            <w:vAlign w:val="center"/>
          </w:tcPr>
          <w:p w14:paraId="13204CBE">
            <w:pPr>
              <w:tabs>
                <w:tab w:val="left" w:pos="4680"/>
              </w:tabs>
              <w:jc w:val="center"/>
              <w:rPr>
                <w:color w:val="auto"/>
                <w:szCs w:val="21"/>
                <w:highlight w:val="none"/>
              </w:rPr>
            </w:pPr>
            <w:r>
              <w:rPr>
                <w:color w:val="auto"/>
                <w:szCs w:val="21"/>
                <w:highlight w:val="none"/>
              </w:rPr>
              <w:t>业务范围</w:t>
            </w:r>
          </w:p>
        </w:tc>
        <w:tc>
          <w:tcPr>
            <w:tcW w:w="2770" w:type="dxa"/>
            <w:gridSpan w:val="5"/>
            <w:vAlign w:val="center"/>
          </w:tcPr>
          <w:p w14:paraId="0ABF64FE">
            <w:pPr>
              <w:tabs>
                <w:tab w:val="left" w:pos="4680"/>
              </w:tabs>
              <w:jc w:val="center"/>
              <w:rPr>
                <w:color w:val="auto"/>
                <w:szCs w:val="21"/>
                <w:highlight w:val="none"/>
              </w:rPr>
            </w:pPr>
          </w:p>
        </w:tc>
      </w:tr>
      <w:tr w14:paraId="76F283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9134" w:type="dxa"/>
            <w:gridSpan w:val="17"/>
            <w:vAlign w:val="center"/>
          </w:tcPr>
          <w:p w14:paraId="6B3BBC5F">
            <w:pPr>
              <w:tabs>
                <w:tab w:val="left" w:pos="4680"/>
              </w:tabs>
              <w:jc w:val="center"/>
              <w:rPr>
                <w:color w:val="auto"/>
                <w:szCs w:val="21"/>
                <w:highlight w:val="none"/>
              </w:rPr>
            </w:pPr>
            <w:r>
              <w:rPr>
                <w:color w:val="auto"/>
                <w:szCs w:val="21"/>
                <w:highlight w:val="none"/>
              </w:rPr>
              <w:t>领导层构成情况</w:t>
            </w:r>
          </w:p>
        </w:tc>
      </w:tr>
      <w:tr w14:paraId="586711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847" w:type="dxa"/>
            <w:vAlign w:val="center"/>
          </w:tcPr>
          <w:p w14:paraId="3EEFCD01">
            <w:pPr>
              <w:tabs>
                <w:tab w:val="left" w:pos="4680"/>
              </w:tabs>
              <w:jc w:val="center"/>
              <w:rPr>
                <w:color w:val="auto"/>
                <w:szCs w:val="21"/>
                <w:highlight w:val="none"/>
              </w:rPr>
            </w:pPr>
          </w:p>
        </w:tc>
        <w:tc>
          <w:tcPr>
            <w:tcW w:w="1849" w:type="dxa"/>
            <w:gridSpan w:val="4"/>
            <w:vAlign w:val="center"/>
          </w:tcPr>
          <w:p w14:paraId="21A40612">
            <w:pPr>
              <w:tabs>
                <w:tab w:val="left" w:pos="4680"/>
              </w:tabs>
              <w:jc w:val="center"/>
              <w:rPr>
                <w:color w:val="auto"/>
                <w:szCs w:val="21"/>
                <w:highlight w:val="none"/>
              </w:rPr>
            </w:pPr>
            <w:r>
              <w:rPr>
                <w:color w:val="auto"/>
                <w:szCs w:val="21"/>
                <w:highlight w:val="none"/>
              </w:rPr>
              <w:t>姓名</w:t>
            </w:r>
          </w:p>
        </w:tc>
        <w:tc>
          <w:tcPr>
            <w:tcW w:w="1849" w:type="dxa"/>
            <w:gridSpan w:val="4"/>
            <w:vAlign w:val="center"/>
          </w:tcPr>
          <w:p w14:paraId="67600357">
            <w:pPr>
              <w:tabs>
                <w:tab w:val="left" w:pos="4680"/>
              </w:tabs>
              <w:jc w:val="center"/>
              <w:rPr>
                <w:color w:val="auto"/>
                <w:szCs w:val="21"/>
                <w:highlight w:val="none"/>
              </w:rPr>
            </w:pPr>
            <w:r>
              <w:rPr>
                <w:color w:val="auto"/>
                <w:szCs w:val="21"/>
                <w:highlight w:val="none"/>
              </w:rPr>
              <w:t>职务</w:t>
            </w:r>
          </w:p>
        </w:tc>
        <w:tc>
          <w:tcPr>
            <w:tcW w:w="1848" w:type="dxa"/>
            <w:gridSpan w:val="6"/>
            <w:vAlign w:val="center"/>
          </w:tcPr>
          <w:p w14:paraId="3FE74BA8">
            <w:pPr>
              <w:tabs>
                <w:tab w:val="left" w:pos="4680"/>
              </w:tabs>
              <w:jc w:val="center"/>
              <w:rPr>
                <w:color w:val="auto"/>
                <w:szCs w:val="21"/>
                <w:highlight w:val="none"/>
              </w:rPr>
            </w:pPr>
            <w:r>
              <w:rPr>
                <w:color w:val="auto"/>
                <w:szCs w:val="21"/>
                <w:highlight w:val="none"/>
              </w:rPr>
              <w:t>职称</w:t>
            </w:r>
          </w:p>
        </w:tc>
        <w:tc>
          <w:tcPr>
            <w:tcW w:w="1741" w:type="dxa"/>
            <w:gridSpan w:val="2"/>
            <w:vAlign w:val="center"/>
          </w:tcPr>
          <w:p w14:paraId="64EC8DC2">
            <w:pPr>
              <w:tabs>
                <w:tab w:val="left" w:pos="4680"/>
              </w:tabs>
              <w:jc w:val="center"/>
              <w:rPr>
                <w:color w:val="auto"/>
                <w:szCs w:val="21"/>
                <w:highlight w:val="none"/>
              </w:rPr>
            </w:pPr>
            <w:r>
              <w:rPr>
                <w:color w:val="auto"/>
                <w:szCs w:val="21"/>
                <w:highlight w:val="none"/>
              </w:rPr>
              <w:t>联系电话</w:t>
            </w:r>
          </w:p>
        </w:tc>
      </w:tr>
      <w:tr w14:paraId="3C4C5B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847" w:type="dxa"/>
            <w:vAlign w:val="center"/>
          </w:tcPr>
          <w:p w14:paraId="529934C6">
            <w:pPr>
              <w:tabs>
                <w:tab w:val="left" w:pos="4680"/>
              </w:tabs>
              <w:jc w:val="center"/>
              <w:rPr>
                <w:color w:val="auto"/>
                <w:szCs w:val="21"/>
                <w:highlight w:val="none"/>
              </w:rPr>
            </w:pPr>
            <w:r>
              <w:rPr>
                <w:color w:val="auto"/>
                <w:szCs w:val="21"/>
                <w:highlight w:val="none"/>
              </w:rPr>
              <w:t>法定代表人</w:t>
            </w:r>
          </w:p>
        </w:tc>
        <w:tc>
          <w:tcPr>
            <w:tcW w:w="1849" w:type="dxa"/>
            <w:gridSpan w:val="4"/>
            <w:vAlign w:val="center"/>
          </w:tcPr>
          <w:p w14:paraId="09548A09">
            <w:pPr>
              <w:tabs>
                <w:tab w:val="left" w:pos="4680"/>
              </w:tabs>
              <w:jc w:val="center"/>
              <w:rPr>
                <w:color w:val="auto"/>
                <w:szCs w:val="21"/>
                <w:highlight w:val="none"/>
              </w:rPr>
            </w:pPr>
          </w:p>
        </w:tc>
        <w:tc>
          <w:tcPr>
            <w:tcW w:w="1849" w:type="dxa"/>
            <w:gridSpan w:val="4"/>
            <w:vAlign w:val="center"/>
          </w:tcPr>
          <w:p w14:paraId="4463AA83">
            <w:pPr>
              <w:tabs>
                <w:tab w:val="left" w:pos="4680"/>
              </w:tabs>
              <w:jc w:val="center"/>
              <w:rPr>
                <w:color w:val="auto"/>
                <w:szCs w:val="21"/>
                <w:highlight w:val="none"/>
              </w:rPr>
            </w:pPr>
          </w:p>
        </w:tc>
        <w:tc>
          <w:tcPr>
            <w:tcW w:w="1848" w:type="dxa"/>
            <w:gridSpan w:val="6"/>
            <w:vAlign w:val="center"/>
          </w:tcPr>
          <w:p w14:paraId="380F77A7">
            <w:pPr>
              <w:tabs>
                <w:tab w:val="left" w:pos="4680"/>
              </w:tabs>
              <w:jc w:val="center"/>
              <w:rPr>
                <w:color w:val="auto"/>
                <w:szCs w:val="21"/>
                <w:highlight w:val="none"/>
              </w:rPr>
            </w:pPr>
          </w:p>
        </w:tc>
        <w:tc>
          <w:tcPr>
            <w:tcW w:w="1741" w:type="dxa"/>
            <w:gridSpan w:val="2"/>
            <w:vAlign w:val="center"/>
          </w:tcPr>
          <w:p w14:paraId="232239D6">
            <w:pPr>
              <w:tabs>
                <w:tab w:val="left" w:pos="4680"/>
              </w:tabs>
              <w:jc w:val="center"/>
              <w:rPr>
                <w:color w:val="auto"/>
                <w:szCs w:val="21"/>
                <w:highlight w:val="none"/>
              </w:rPr>
            </w:pPr>
          </w:p>
        </w:tc>
      </w:tr>
      <w:tr w14:paraId="5FD2AC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847" w:type="dxa"/>
            <w:vAlign w:val="center"/>
          </w:tcPr>
          <w:p w14:paraId="536021CF">
            <w:pPr>
              <w:tabs>
                <w:tab w:val="left" w:pos="4680"/>
              </w:tabs>
              <w:jc w:val="center"/>
              <w:rPr>
                <w:color w:val="auto"/>
                <w:szCs w:val="21"/>
                <w:highlight w:val="none"/>
              </w:rPr>
            </w:pPr>
            <w:r>
              <w:rPr>
                <w:color w:val="auto"/>
                <w:szCs w:val="21"/>
                <w:highlight w:val="none"/>
              </w:rPr>
              <w:t>企业负责人</w:t>
            </w:r>
          </w:p>
        </w:tc>
        <w:tc>
          <w:tcPr>
            <w:tcW w:w="1849" w:type="dxa"/>
            <w:gridSpan w:val="4"/>
            <w:vAlign w:val="center"/>
          </w:tcPr>
          <w:p w14:paraId="012F654C">
            <w:pPr>
              <w:tabs>
                <w:tab w:val="left" w:pos="4680"/>
              </w:tabs>
              <w:jc w:val="center"/>
              <w:rPr>
                <w:color w:val="auto"/>
                <w:szCs w:val="21"/>
                <w:highlight w:val="none"/>
              </w:rPr>
            </w:pPr>
          </w:p>
        </w:tc>
        <w:tc>
          <w:tcPr>
            <w:tcW w:w="1849" w:type="dxa"/>
            <w:gridSpan w:val="4"/>
            <w:vAlign w:val="center"/>
          </w:tcPr>
          <w:p w14:paraId="69E1A8FC">
            <w:pPr>
              <w:tabs>
                <w:tab w:val="left" w:pos="4680"/>
              </w:tabs>
              <w:jc w:val="center"/>
              <w:rPr>
                <w:color w:val="auto"/>
                <w:szCs w:val="21"/>
                <w:highlight w:val="none"/>
              </w:rPr>
            </w:pPr>
          </w:p>
        </w:tc>
        <w:tc>
          <w:tcPr>
            <w:tcW w:w="1848" w:type="dxa"/>
            <w:gridSpan w:val="6"/>
            <w:vAlign w:val="center"/>
          </w:tcPr>
          <w:p w14:paraId="7D16F50C">
            <w:pPr>
              <w:tabs>
                <w:tab w:val="left" w:pos="4680"/>
              </w:tabs>
              <w:jc w:val="center"/>
              <w:rPr>
                <w:color w:val="auto"/>
                <w:szCs w:val="21"/>
                <w:highlight w:val="none"/>
              </w:rPr>
            </w:pPr>
          </w:p>
        </w:tc>
        <w:tc>
          <w:tcPr>
            <w:tcW w:w="1741" w:type="dxa"/>
            <w:gridSpan w:val="2"/>
            <w:vAlign w:val="center"/>
          </w:tcPr>
          <w:p w14:paraId="7060F07B">
            <w:pPr>
              <w:tabs>
                <w:tab w:val="left" w:pos="4680"/>
              </w:tabs>
              <w:jc w:val="center"/>
              <w:rPr>
                <w:color w:val="auto"/>
                <w:szCs w:val="21"/>
                <w:highlight w:val="none"/>
              </w:rPr>
            </w:pPr>
          </w:p>
        </w:tc>
      </w:tr>
      <w:tr w14:paraId="02506D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847" w:type="dxa"/>
            <w:vAlign w:val="center"/>
          </w:tcPr>
          <w:p w14:paraId="700B90D7">
            <w:pPr>
              <w:tabs>
                <w:tab w:val="left" w:pos="4680"/>
              </w:tabs>
              <w:jc w:val="center"/>
              <w:rPr>
                <w:color w:val="auto"/>
                <w:szCs w:val="21"/>
                <w:highlight w:val="none"/>
              </w:rPr>
            </w:pPr>
            <w:r>
              <w:rPr>
                <w:color w:val="auto"/>
                <w:szCs w:val="21"/>
                <w:highlight w:val="none"/>
              </w:rPr>
              <w:t>技术负责人</w:t>
            </w:r>
          </w:p>
        </w:tc>
        <w:tc>
          <w:tcPr>
            <w:tcW w:w="1849" w:type="dxa"/>
            <w:gridSpan w:val="4"/>
            <w:vAlign w:val="center"/>
          </w:tcPr>
          <w:p w14:paraId="0E3D3D54">
            <w:pPr>
              <w:tabs>
                <w:tab w:val="left" w:pos="4680"/>
              </w:tabs>
              <w:jc w:val="center"/>
              <w:rPr>
                <w:color w:val="auto"/>
                <w:szCs w:val="21"/>
                <w:highlight w:val="none"/>
              </w:rPr>
            </w:pPr>
          </w:p>
        </w:tc>
        <w:tc>
          <w:tcPr>
            <w:tcW w:w="1849" w:type="dxa"/>
            <w:gridSpan w:val="4"/>
            <w:vAlign w:val="center"/>
          </w:tcPr>
          <w:p w14:paraId="6821EB15">
            <w:pPr>
              <w:tabs>
                <w:tab w:val="left" w:pos="4680"/>
              </w:tabs>
              <w:jc w:val="center"/>
              <w:rPr>
                <w:color w:val="auto"/>
                <w:szCs w:val="21"/>
                <w:highlight w:val="none"/>
              </w:rPr>
            </w:pPr>
          </w:p>
        </w:tc>
        <w:tc>
          <w:tcPr>
            <w:tcW w:w="1848" w:type="dxa"/>
            <w:gridSpan w:val="6"/>
            <w:vAlign w:val="center"/>
          </w:tcPr>
          <w:p w14:paraId="22657573">
            <w:pPr>
              <w:tabs>
                <w:tab w:val="left" w:pos="4680"/>
              </w:tabs>
              <w:jc w:val="center"/>
              <w:rPr>
                <w:color w:val="auto"/>
                <w:szCs w:val="21"/>
                <w:highlight w:val="none"/>
              </w:rPr>
            </w:pPr>
          </w:p>
        </w:tc>
        <w:tc>
          <w:tcPr>
            <w:tcW w:w="1741" w:type="dxa"/>
            <w:gridSpan w:val="2"/>
            <w:vAlign w:val="center"/>
          </w:tcPr>
          <w:p w14:paraId="74AF6F6C">
            <w:pPr>
              <w:tabs>
                <w:tab w:val="left" w:pos="4680"/>
              </w:tabs>
              <w:jc w:val="center"/>
              <w:rPr>
                <w:color w:val="auto"/>
                <w:szCs w:val="21"/>
                <w:highlight w:val="none"/>
              </w:rPr>
            </w:pPr>
          </w:p>
        </w:tc>
      </w:tr>
      <w:tr w14:paraId="1D402D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847" w:type="dxa"/>
            <w:vAlign w:val="center"/>
          </w:tcPr>
          <w:p w14:paraId="41B49B4D">
            <w:pPr>
              <w:tabs>
                <w:tab w:val="left" w:pos="4680"/>
              </w:tabs>
              <w:jc w:val="center"/>
              <w:rPr>
                <w:color w:val="auto"/>
                <w:szCs w:val="21"/>
                <w:highlight w:val="none"/>
              </w:rPr>
            </w:pPr>
            <w:r>
              <w:rPr>
                <w:color w:val="auto"/>
                <w:szCs w:val="21"/>
                <w:highlight w:val="none"/>
              </w:rPr>
              <w:t>财务负责人</w:t>
            </w:r>
          </w:p>
        </w:tc>
        <w:tc>
          <w:tcPr>
            <w:tcW w:w="1849" w:type="dxa"/>
            <w:gridSpan w:val="4"/>
            <w:vAlign w:val="center"/>
          </w:tcPr>
          <w:p w14:paraId="678CF3AF">
            <w:pPr>
              <w:tabs>
                <w:tab w:val="left" w:pos="4680"/>
              </w:tabs>
              <w:jc w:val="center"/>
              <w:rPr>
                <w:color w:val="auto"/>
                <w:szCs w:val="21"/>
                <w:highlight w:val="none"/>
              </w:rPr>
            </w:pPr>
          </w:p>
        </w:tc>
        <w:tc>
          <w:tcPr>
            <w:tcW w:w="1849" w:type="dxa"/>
            <w:gridSpan w:val="4"/>
            <w:vAlign w:val="center"/>
          </w:tcPr>
          <w:p w14:paraId="09F198AE">
            <w:pPr>
              <w:tabs>
                <w:tab w:val="left" w:pos="4680"/>
              </w:tabs>
              <w:jc w:val="center"/>
              <w:rPr>
                <w:color w:val="auto"/>
                <w:szCs w:val="21"/>
                <w:highlight w:val="none"/>
              </w:rPr>
            </w:pPr>
          </w:p>
        </w:tc>
        <w:tc>
          <w:tcPr>
            <w:tcW w:w="1848" w:type="dxa"/>
            <w:gridSpan w:val="6"/>
            <w:vAlign w:val="center"/>
          </w:tcPr>
          <w:p w14:paraId="6FE45FAF">
            <w:pPr>
              <w:tabs>
                <w:tab w:val="left" w:pos="4680"/>
              </w:tabs>
              <w:jc w:val="center"/>
              <w:rPr>
                <w:color w:val="auto"/>
                <w:szCs w:val="21"/>
                <w:highlight w:val="none"/>
              </w:rPr>
            </w:pPr>
          </w:p>
        </w:tc>
        <w:tc>
          <w:tcPr>
            <w:tcW w:w="1741" w:type="dxa"/>
            <w:gridSpan w:val="2"/>
            <w:vAlign w:val="center"/>
          </w:tcPr>
          <w:p w14:paraId="32FAAECE">
            <w:pPr>
              <w:tabs>
                <w:tab w:val="left" w:pos="4680"/>
              </w:tabs>
              <w:jc w:val="center"/>
              <w:rPr>
                <w:color w:val="auto"/>
                <w:szCs w:val="21"/>
                <w:highlight w:val="none"/>
              </w:rPr>
            </w:pPr>
          </w:p>
        </w:tc>
      </w:tr>
      <w:tr w14:paraId="60B23D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9134" w:type="dxa"/>
            <w:gridSpan w:val="17"/>
            <w:vAlign w:val="center"/>
          </w:tcPr>
          <w:p w14:paraId="57D830A3">
            <w:pPr>
              <w:tabs>
                <w:tab w:val="left" w:pos="4680"/>
              </w:tabs>
              <w:jc w:val="center"/>
              <w:rPr>
                <w:color w:val="auto"/>
                <w:szCs w:val="21"/>
                <w:highlight w:val="none"/>
              </w:rPr>
            </w:pPr>
            <w:r>
              <w:rPr>
                <w:color w:val="auto"/>
                <w:szCs w:val="21"/>
                <w:highlight w:val="none"/>
              </w:rPr>
              <w:t>人员职称构成情况</w:t>
            </w:r>
          </w:p>
        </w:tc>
      </w:tr>
      <w:tr w14:paraId="6BF377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847" w:type="dxa"/>
            <w:vAlign w:val="center"/>
          </w:tcPr>
          <w:p w14:paraId="66EE074A">
            <w:pPr>
              <w:tabs>
                <w:tab w:val="left" w:pos="4680"/>
              </w:tabs>
              <w:jc w:val="center"/>
              <w:rPr>
                <w:color w:val="auto"/>
                <w:szCs w:val="21"/>
                <w:highlight w:val="none"/>
              </w:rPr>
            </w:pPr>
            <w:r>
              <w:rPr>
                <w:color w:val="auto"/>
                <w:szCs w:val="21"/>
                <w:highlight w:val="none"/>
              </w:rPr>
              <w:t>人员总数</w:t>
            </w:r>
          </w:p>
        </w:tc>
        <w:tc>
          <w:tcPr>
            <w:tcW w:w="1974" w:type="dxa"/>
            <w:gridSpan w:val="5"/>
            <w:vAlign w:val="center"/>
          </w:tcPr>
          <w:p w14:paraId="0FBE78D6">
            <w:pPr>
              <w:tabs>
                <w:tab w:val="left" w:pos="4680"/>
              </w:tabs>
              <w:jc w:val="center"/>
              <w:rPr>
                <w:color w:val="auto"/>
                <w:szCs w:val="21"/>
                <w:highlight w:val="none"/>
              </w:rPr>
            </w:pPr>
            <w:r>
              <w:rPr>
                <w:color w:val="auto"/>
                <w:szCs w:val="21"/>
                <w:highlight w:val="none"/>
              </w:rPr>
              <w:t>高级职称</w:t>
            </w:r>
          </w:p>
        </w:tc>
        <w:tc>
          <w:tcPr>
            <w:tcW w:w="1975" w:type="dxa"/>
            <w:gridSpan w:val="4"/>
            <w:vAlign w:val="center"/>
          </w:tcPr>
          <w:p w14:paraId="5E3ACBC9">
            <w:pPr>
              <w:tabs>
                <w:tab w:val="left" w:pos="4680"/>
              </w:tabs>
              <w:jc w:val="center"/>
              <w:rPr>
                <w:color w:val="auto"/>
                <w:szCs w:val="21"/>
                <w:highlight w:val="none"/>
              </w:rPr>
            </w:pPr>
            <w:r>
              <w:rPr>
                <w:color w:val="auto"/>
                <w:szCs w:val="21"/>
                <w:highlight w:val="none"/>
              </w:rPr>
              <w:t>中级职称</w:t>
            </w:r>
          </w:p>
        </w:tc>
        <w:tc>
          <w:tcPr>
            <w:tcW w:w="1975" w:type="dxa"/>
            <w:gridSpan w:val="6"/>
            <w:vAlign w:val="center"/>
          </w:tcPr>
          <w:p w14:paraId="39D36CE2">
            <w:pPr>
              <w:tabs>
                <w:tab w:val="left" w:pos="4680"/>
              </w:tabs>
              <w:jc w:val="center"/>
              <w:rPr>
                <w:color w:val="auto"/>
                <w:szCs w:val="21"/>
                <w:highlight w:val="none"/>
              </w:rPr>
            </w:pPr>
            <w:r>
              <w:rPr>
                <w:color w:val="auto"/>
                <w:szCs w:val="21"/>
                <w:highlight w:val="none"/>
              </w:rPr>
              <w:t>初级职称</w:t>
            </w:r>
          </w:p>
        </w:tc>
        <w:tc>
          <w:tcPr>
            <w:tcW w:w="1363" w:type="dxa"/>
            <w:vAlign w:val="center"/>
          </w:tcPr>
          <w:p w14:paraId="3AA453D8">
            <w:pPr>
              <w:tabs>
                <w:tab w:val="left" w:pos="4680"/>
              </w:tabs>
              <w:jc w:val="center"/>
              <w:rPr>
                <w:color w:val="auto"/>
                <w:szCs w:val="21"/>
                <w:highlight w:val="none"/>
              </w:rPr>
            </w:pPr>
            <w:r>
              <w:rPr>
                <w:color w:val="auto"/>
                <w:szCs w:val="21"/>
                <w:highlight w:val="none"/>
              </w:rPr>
              <w:t>其他</w:t>
            </w:r>
          </w:p>
        </w:tc>
      </w:tr>
      <w:tr w14:paraId="0C589F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586EA422">
            <w:pPr>
              <w:tabs>
                <w:tab w:val="left" w:pos="4680"/>
              </w:tabs>
              <w:jc w:val="center"/>
              <w:rPr>
                <w:color w:val="auto"/>
                <w:szCs w:val="21"/>
                <w:highlight w:val="none"/>
              </w:rPr>
            </w:pPr>
          </w:p>
        </w:tc>
        <w:tc>
          <w:tcPr>
            <w:tcW w:w="1974" w:type="dxa"/>
            <w:gridSpan w:val="5"/>
            <w:vAlign w:val="center"/>
          </w:tcPr>
          <w:p w14:paraId="7E5AC179">
            <w:pPr>
              <w:tabs>
                <w:tab w:val="left" w:pos="4680"/>
              </w:tabs>
              <w:jc w:val="center"/>
              <w:rPr>
                <w:color w:val="auto"/>
                <w:szCs w:val="21"/>
                <w:highlight w:val="none"/>
              </w:rPr>
            </w:pPr>
          </w:p>
        </w:tc>
        <w:tc>
          <w:tcPr>
            <w:tcW w:w="1975" w:type="dxa"/>
            <w:gridSpan w:val="4"/>
            <w:vAlign w:val="center"/>
          </w:tcPr>
          <w:p w14:paraId="38F54669">
            <w:pPr>
              <w:tabs>
                <w:tab w:val="left" w:pos="4680"/>
              </w:tabs>
              <w:jc w:val="center"/>
              <w:rPr>
                <w:color w:val="auto"/>
                <w:szCs w:val="21"/>
                <w:highlight w:val="none"/>
              </w:rPr>
            </w:pPr>
          </w:p>
        </w:tc>
        <w:tc>
          <w:tcPr>
            <w:tcW w:w="1975" w:type="dxa"/>
            <w:gridSpan w:val="6"/>
            <w:vAlign w:val="center"/>
          </w:tcPr>
          <w:p w14:paraId="20CC62C4">
            <w:pPr>
              <w:tabs>
                <w:tab w:val="left" w:pos="4680"/>
              </w:tabs>
              <w:jc w:val="center"/>
              <w:rPr>
                <w:color w:val="auto"/>
                <w:szCs w:val="21"/>
                <w:highlight w:val="none"/>
              </w:rPr>
            </w:pPr>
          </w:p>
        </w:tc>
        <w:tc>
          <w:tcPr>
            <w:tcW w:w="1363" w:type="dxa"/>
            <w:vAlign w:val="center"/>
          </w:tcPr>
          <w:p w14:paraId="079898F6">
            <w:pPr>
              <w:tabs>
                <w:tab w:val="left" w:pos="4680"/>
              </w:tabs>
              <w:jc w:val="center"/>
              <w:rPr>
                <w:color w:val="auto"/>
                <w:szCs w:val="21"/>
                <w:highlight w:val="none"/>
              </w:rPr>
            </w:pPr>
          </w:p>
        </w:tc>
      </w:tr>
      <w:tr w14:paraId="4E74F9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399E1AF3">
            <w:pPr>
              <w:tabs>
                <w:tab w:val="left" w:pos="4680"/>
              </w:tabs>
              <w:jc w:val="center"/>
              <w:rPr>
                <w:color w:val="auto"/>
                <w:szCs w:val="21"/>
                <w:highlight w:val="none"/>
              </w:rPr>
            </w:pPr>
          </w:p>
        </w:tc>
        <w:tc>
          <w:tcPr>
            <w:tcW w:w="2409" w:type="dxa"/>
            <w:gridSpan w:val="6"/>
            <w:vAlign w:val="center"/>
          </w:tcPr>
          <w:p w14:paraId="0EB88467">
            <w:pPr>
              <w:tabs>
                <w:tab w:val="left" w:pos="4680"/>
              </w:tabs>
              <w:jc w:val="center"/>
              <w:rPr>
                <w:color w:val="auto"/>
                <w:szCs w:val="21"/>
                <w:highlight w:val="none"/>
              </w:rPr>
            </w:pPr>
            <w:r>
              <w:rPr>
                <w:color w:val="auto"/>
                <w:szCs w:val="21"/>
                <w:highlight w:val="none"/>
              </w:rPr>
              <w:t>管理人员</w:t>
            </w:r>
          </w:p>
        </w:tc>
        <w:tc>
          <w:tcPr>
            <w:tcW w:w="2513" w:type="dxa"/>
            <w:gridSpan w:val="7"/>
            <w:vAlign w:val="center"/>
          </w:tcPr>
          <w:p w14:paraId="1B7535FE">
            <w:pPr>
              <w:tabs>
                <w:tab w:val="left" w:pos="4680"/>
              </w:tabs>
              <w:jc w:val="center"/>
              <w:rPr>
                <w:color w:val="auto"/>
                <w:szCs w:val="21"/>
                <w:highlight w:val="none"/>
              </w:rPr>
            </w:pPr>
            <w:r>
              <w:rPr>
                <w:color w:val="auto"/>
                <w:szCs w:val="21"/>
                <w:highlight w:val="none"/>
              </w:rPr>
              <w:t>监理人员</w:t>
            </w:r>
          </w:p>
        </w:tc>
        <w:tc>
          <w:tcPr>
            <w:tcW w:w="2365" w:type="dxa"/>
            <w:gridSpan w:val="3"/>
            <w:vAlign w:val="center"/>
          </w:tcPr>
          <w:p w14:paraId="0F95434E">
            <w:pPr>
              <w:tabs>
                <w:tab w:val="left" w:pos="4680"/>
              </w:tabs>
              <w:jc w:val="center"/>
              <w:rPr>
                <w:color w:val="auto"/>
                <w:szCs w:val="21"/>
                <w:highlight w:val="none"/>
              </w:rPr>
            </w:pPr>
            <w:r>
              <w:rPr>
                <w:color w:val="auto"/>
                <w:szCs w:val="21"/>
                <w:highlight w:val="none"/>
              </w:rPr>
              <w:t>后勤人员</w:t>
            </w:r>
          </w:p>
        </w:tc>
      </w:tr>
      <w:tr w14:paraId="60AA78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747C7E29">
            <w:pPr>
              <w:tabs>
                <w:tab w:val="left" w:pos="4680"/>
              </w:tabs>
              <w:jc w:val="center"/>
              <w:rPr>
                <w:color w:val="auto"/>
                <w:szCs w:val="21"/>
                <w:highlight w:val="none"/>
              </w:rPr>
            </w:pPr>
          </w:p>
        </w:tc>
        <w:tc>
          <w:tcPr>
            <w:tcW w:w="2409" w:type="dxa"/>
            <w:gridSpan w:val="6"/>
            <w:vAlign w:val="center"/>
          </w:tcPr>
          <w:p w14:paraId="62A472B6">
            <w:pPr>
              <w:tabs>
                <w:tab w:val="left" w:pos="4680"/>
              </w:tabs>
              <w:jc w:val="center"/>
              <w:rPr>
                <w:color w:val="auto"/>
                <w:szCs w:val="21"/>
                <w:highlight w:val="none"/>
              </w:rPr>
            </w:pPr>
          </w:p>
        </w:tc>
        <w:tc>
          <w:tcPr>
            <w:tcW w:w="2513" w:type="dxa"/>
            <w:gridSpan w:val="7"/>
            <w:vAlign w:val="center"/>
          </w:tcPr>
          <w:p w14:paraId="45BB64BF">
            <w:pPr>
              <w:tabs>
                <w:tab w:val="left" w:pos="4680"/>
              </w:tabs>
              <w:jc w:val="center"/>
              <w:rPr>
                <w:color w:val="auto"/>
                <w:szCs w:val="21"/>
                <w:highlight w:val="none"/>
              </w:rPr>
            </w:pPr>
          </w:p>
        </w:tc>
        <w:tc>
          <w:tcPr>
            <w:tcW w:w="2365" w:type="dxa"/>
            <w:gridSpan w:val="3"/>
            <w:vAlign w:val="center"/>
          </w:tcPr>
          <w:p w14:paraId="03BFB627">
            <w:pPr>
              <w:tabs>
                <w:tab w:val="left" w:pos="4680"/>
              </w:tabs>
              <w:jc w:val="center"/>
              <w:rPr>
                <w:color w:val="auto"/>
                <w:szCs w:val="21"/>
                <w:highlight w:val="none"/>
              </w:rPr>
            </w:pPr>
          </w:p>
        </w:tc>
      </w:tr>
      <w:tr w14:paraId="6D86AB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2771" w:type="dxa"/>
            <w:gridSpan w:val="3"/>
            <w:vAlign w:val="center"/>
          </w:tcPr>
          <w:p w14:paraId="0E6422BF">
            <w:pPr>
              <w:tabs>
                <w:tab w:val="left" w:pos="4680"/>
              </w:tabs>
              <w:jc w:val="center"/>
              <w:rPr>
                <w:color w:val="auto"/>
                <w:szCs w:val="21"/>
                <w:highlight w:val="none"/>
              </w:rPr>
            </w:pPr>
            <w:r>
              <w:rPr>
                <w:color w:val="auto"/>
                <w:szCs w:val="21"/>
                <w:highlight w:val="none"/>
              </w:rPr>
              <w:t>45岁以下</w:t>
            </w:r>
          </w:p>
        </w:tc>
        <w:tc>
          <w:tcPr>
            <w:tcW w:w="3700" w:type="dxa"/>
            <w:gridSpan w:val="10"/>
            <w:vAlign w:val="center"/>
          </w:tcPr>
          <w:p w14:paraId="3EBF3BB8">
            <w:pPr>
              <w:tabs>
                <w:tab w:val="left" w:pos="4680"/>
              </w:tabs>
              <w:jc w:val="center"/>
              <w:rPr>
                <w:color w:val="auto"/>
                <w:szCs w:val="21"/>
                <w:highlight w:val="none"/>
              </w:rPr>
            </w:pPr>
            <w:r>
              <w:rPr>
                <w:color w:val="auto"/>
                <w:szCs w:val="21"/>
                <w:highlight w:val="none"/>
              </w:rPr>
              <w:t>45～60岁</w:t>
            </w:r>
          </w:p>
        </w:tc>
        <w:tc>
          <w:tcPr>
            <w:tcW w:w="2663" w:type="dxa"/>
            <w:gridSpan w:val="4"/>
            <w:vAlign w:val="center"/>
          </w:tcPr>
          <w:p w14:paraId="54201DED">
            <w:pPr>
              <w:tabs>
                <w:tab w:val="left" w:pos="4680"/>
              </w:tabs>
              <w:jc w:val="center"/>
              <w:rPr>
                <w:color w:val="auto"/>
                <w:szCs w:val="21"/>
                <w:highlight w:val="none"/>
              </w:rPr>
            </w:pPr>
            <w:r>
              <w:rPr>
                <w:color w:val="auto"/>
                <w:szCs w:val="21"/>
                <w:highlight w:val="none"/>
              </w:rPr>
              <w:t>60岁以上</w:t>
            </w:r>
          </w:p>
        </w:tc>
      </w:tr>
      <w:tr w14:paraId="7FDA9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2771" w:type="dxa"/>
            <w:gridSpan w:val="3"/>
            <w:vAlign w:val="center"/>
          </w:tcPr>
          <w:p w14:paraId="0162767E">
            <w:pPr>
              <w:tabs>
                <w:tab w:val="left" w:pos="4680"/>
              </w:tabs>
              <w:jc w:val="center"/>
              <w:rPr>
                <w:color w:val="auto"/>
                <w:szCs w:val="21"/>
                <w:highlight w:val="none"/>
              </w:rPr>
            </w:pPr>
          </w:p>
        </w:tc>
        <w:tc>
          <w:tcPr>
            <w:tcW w:w="3700" w:type="dxa"/>
            <w:gridSpan w:val="10"/>
            <w:vAlign w:val="center"/>
          </w:tcPr>
          <w:p w14:paraId="3EA2BE62">
            <w:pPr>
              <w:tabs>
                <w:tab w:val="left" w:pos="4680"/>
              </w:tabs>
              <w:jc w:val="center"/>
              <w:rPr>
                <w:color w:val="auto"/>
                <w:szCs w:val="21"/>
                <w:highlight w:val="none"/>
              </w:rPr>
            </w:pPr>
          </w:p>
        </w:tc>
        <w:tc>
          <w:tcPr>
            <w:tcW w:w="2663" w:type="dxa"/>
            <w:gridSpan w:val="4"/>
            <w:vAlign w:val="center"/>
          </w:tcPr>
          <w:p w14:paraId="3FEF162E">
            <w:pPr>
              <w:tabs>
                <w:tab w:val="left" w:pos="4680"/>
              </w:tabs>
              <w:jc w:val="center"/>
              <w:rPr>
                <w:color w:val="auto"/>
                <w:szCs w:val="21"/>
                <w:highlight w:val="none"/>
              </w:rPr>
            </w:pPr>
          </w:p>
        </w:tc>
      </w:tr>
      <w:tr w14:paraId="4B9F0F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9134" w:type="dxa"/>
            <w:gridSpan w:val="17"/>
            <w:vAlign w:val="center"/>
          </w:tcPr>
          <w:p w14:paraId="4B008A1D">
            <w:pPr>
              <w:tabs>
                <w:tab w:val="left" w:pos="4680"/>
              </w:tabs>
              <w:jc w:val="center"/>
              <w:rPr>
                <w:color w:val="auto"/>
                <w:szCs w:val="21"/>
                <w:highlight w:val="none"/>
              </w:rPr>
            </w:pPr>
            <w:r>
              <w:rPr>
                <w:rFonts w:hint="eastAsia"/>
                <w:color w:val="auto"/>
                <w:szCs w:val="21"/>
                <w:highlight w:val="none"/>
              </w:rPr>
              <w:t>自</w:t>
            </w:r>
            <w:r>
              <w:rPr>
                <w:rFonts w:hint="eastAsia"/>
                <w:color w:val="auto"/>
                <w:szCs w:val="21"/>
                <w:highlight w:val="none"/>
                <w:u w:val="single"/>
              </w:rPr>
              <w:t xml:space="preserve">    </w:t>
            </w:r>
            <w:r>
              <w:rPr>
                <w:color w:val="auto"/>
                <w:szCs w:val="21"/>
                <w:highlight w:val="none"/>
              </w:rPr>
              <w:t>年</w:t>
            </w:r>
            <w:r>
              <w:rPr>
                <w:rFonts w:hint="eastAsia"/>
                <w:color w:val="auto"/>
                <w:szCs w:val="21"/>
                <w:highlight w:val="none"/>
              </w:rPr>
              <w:t>到</w:t>
            </w:r>
            <w:r>
              <w:rPr>
                <w:rFonts w:hint="eastAsia"/>
                <w:color w:val="auto"/>
                <w:szCs w:val="21"/>
                <w:highlight w:val="none"/>
                <w:u w:val="single"/>
              </w:rPr>
              <w:t xml:space="preserve">    </w:t>
            </w:r>
            <w:r>
              <w:rPr>
                <w:rFonts w:hint="eastAsia"/>
                <w:color w:val="auto"/>
                <w:szCs w:val="21"/>
                <w:highlight w:val="none"/>
              </w:rPr>
              <w:t>年</w:t>
            </w:r>
            <w:r>
              <w:rPr>
                <w:color w:val="auto"/>
                <w:szCs w:val="21"/>
                <w:highlight w:val="none"/>
              </w:rPr>
              <w:t>营业额情况（万元）</w:t>
            </w:r>
          </w:p>
        </w:tc>
      </w:tr>
      <w:tr w14:paraId="1C9051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3043" w:type="dxa"/>
            <w:gridSpan w:val="4"/>
            <w:vAlign w:val="center"/>
          </w:tcPr>
          <w:p w14:paraId="74953088">
            <w:pPr>
              <w:tabs>
                <w:tab w:val="left" w:pos="4680"/>
              </w:tabs>
              <w:jc w:val="center"/>
              <w:rPr>
                <w:color w:val="auto"/>
                <w:szCs w:val="21"/>
                <w:highlight w:val="none"/>
              </w:rPr>
            </w:pPr>
            <w:r>
              <w:rPr>
                <w:rFonts w:hint="eastAsia"/>
                <w:color w:val="auto"/>
                <w:szCs w:val="21"/>
                <w:highlight w:val="none"/>
                <w:u w:val="single"/>
              </w:rPr>
              <w:t xml:space="preserve">        </w:t>
            </w:r>
            <w:r>
              <w:rPr>
                <w:color w:val="auto"/>
                <w:szCs w:val="21"/>
                <w:highlight w:val="none"/>
              </w:rPr>
              <w:t>年</w:t>
            </w:r>
          </w:p>
        </w:tc>
        <w:tc>
          <w:tcPr>
            <w:tcW w:w="3047" w:type="dxa"/>
            <w:gridSpan w:val="7"/>
            <w:vAlign w:val="center"/>
          </w:tcPr>
          <w:p w14:paraId="620BF35C">
            <w:pPr>
              <w:tabs>
                <w:tab w:val="left" w:pos="4680"/>
              </w:tabs>
              <w:jc w:val="center"/>
              <w:rPr>
                <w:color w:val="auto"/>
                <w:szCs w:val="21"/>
                <w:highlight w:val="none"/>
              </w:rPr>
            </w:pPr>
            <w:r>
              <w:rPr>
                <w:rFonts w:hint="eastAsia"/>
                <w:color w:val="auto"/>
                <w:szCs w:val="21"/>
                <w:highlight w:val="none"/>
                <w:u w:val="single"/>
              </w:rPr>
              <w:t xml:space="preserve">        </w:t>
            </w:r>
            <w:r>
              <w:rPr>
                <w:color w:val="auto"/>
                <w:szCs w:val="21"/>
                <w:highlight w:val="none"/>
              </w:rPr>
              <w:t>年</w:t>
            </w:r>
          </w:p>
        </w:tc>
        <w:tc>
          <w:tcPr>
            <w:tcW w:w="3044" w:type="dxa"/>
            <w:gridSpan w:val="6"/>
            <w:vAlign w:val="center"/>
          </w:tcPr>
          <w:p w14:paraId="36CC3412">
            <w:pPr>
              <w:tabs>
                <w:tab w:val="left" w:pos="4680"/>
              </w:tabs>
              <w:jc w:val="center"/>
              <w:rPr>
                <w:color w:val="auto"/>
                <w:szCs w:val="21"/>
                <w:highlight w:val="none"/>
              </w:rPr>
            </w:pPr>
            <w:r>
              <w:rPr>
                <w:rFonts w:hint="eastAsia"/>
                <w:color w:val="auto"/>
                <w:szCs w:val="21"/>
                <w:highlight w:val="none"/>
                <w:u w:val="single"/>
              </w:rPr>
              <w:t xml:space="preserve">        </w:t>
            </w:r>
            <w:r>
              <w:rPr>
                <w:color w:val="auto"/>
                <w:szCs w:val="21"/>
                <w:highlight w:val="none"/>
              </w:rPr>
              <w:t>年</w:t>
            </w:r>
          </w:p>
        </w:tc>
      </w:tr>
      <w:tr w14:paraId="0EA438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3043" w:type="dxa"/>
            <w:gridSpan w:val="4"/>
            <w:vAlign w:val="center"/>
          </w:tcPr>
          <w:p w14:paraId="3EE472AE">
            <w:pPr>
              <w:tabs>
                <w:tab w:val="left" w:pos="4680"/>
              </w:tabs>
              <w:jc w:val="center"/>
              <w:rPr>
                <w:color w:val="auto"/>
                <w:szCs w:val="21"/>
                <w:highlight w:val="none"/>
              </w:rPr>
            </w:pPr>
          </w:p>
        </w:tc>
        <w:tc>
          <w:tcPr>
            <w:tcW w:w="3047" w:type="dxa"/>
            <w:gridSpan w:val="7"/>
            <w:vAlign w:val="center"/>
          </w:tcPr>
          <w:p w14:paraId="430A0C79">
            <w:pPr>
              <w:tabs>
                <w:tab w:val="left" w:pos="4680"/>
              </w:tabs>
              <w:jc w:val="center"/>
              <w:rPr>
                <w:color w:val="auto"/>
                <w:szCs w:val="21"/>
                <w:highlight w:val="none"/>
              </w:rPr>
            </w:pPr>
          </w:p>
        </w:tc>
        <w:tc>
          <w:tcPr>
            <w:tcW w:w="3044" w:type="dxa"/>
            <w:gridSpan w:val="6"/>
            <w:vAlign w:val="center"/>
          </w:tcPr>
          <w:p w14:paraId="227DCF19">
            <w:pPr>
              <w:tabs>
                <w:tab w:val="left" w:pos="4680"/>
              </w:tabs>
              <w:jc w:val="center"/>
              <w:rPr>
                <w:color w:val="auto"/>
                <w:szCs w:val="21"/>
                <w:highlight w:val="none"/>
              </w:rPr>
            </w:pPr>
          </w:p>
        </w:tc>
      </w:tr>
    </w:tbl>
    <w:p w14:paraId="52F9E4EC">
      <w:pPr>
        <w:spacing w:line="440" w:lineRule="exact"/>
        <w:ind w:left="359" w:leftChars="171" w:right="535" w:rightChars="255"/>
        <w:rPr>
          <w:color w:val="auto"/>
          <w:sz w:val="18"/>
          <w:szCs w:val="18"/>
          <w:highlight w:val="none"/>
        </w:rPr>
      </w:pPr>
      <w:r>
        <w:rPr>
          <w:rFonts w:hint="eastAsia"/>
          <w:color w:val="auto"/>
          <w:sz w:val="18"/>
          <w:szCs w:val="18"/>
          <w:highlight w:val="none"/>
        </w:rPr>
        <w:t>注：本表后应附营业执照副本、监理资质证书副本相关资料的扫描件。</w:t>
      </w:r>
    </w:p>
    <w:p w14:paraId="707F5C23">
      <w:pPr>
        <w:rPr>
          <w:color w:val="auto"/>
          <w:sz w:val="24"/>
          <w:highlight w:val="none"/>
        </w:rPr>
      </w:pPr>
    </w:p>
    <w:p w14:paraId="094E1104">
      <w:pPr>
        <w:rPr>
          <w:color w:val="auto"/>
          <w:sz w:val="24"/>
          <w:highlight w:val="none"/>
        </w:rPr>
      </w:pPr>
    </w:p>
    <w:p w14:paraId="221870F2">
      <w:pPr>
        <w:rPr>
          <w:color w:val="auto"/>
          <w:sz w:val="24"/>
          <w:highlight w:val="none"/>
        </w:rPr>
      </w:pPr>
    </w:p>
    <w:p w14:paraId="0AA3C5EB">
      <w:pPr>
        <w:rPr>
          <w:color w:val="auto"/>
          <w:sz w:val="24"/>
          <w:highlight w:val="none"/>
        </w:rPr>
      </w:pPr>
    </w:p>
    <w:p w14:paraId="6A4AD2C6">
      <w:pPr>
        <w:pStyle w:val="5"/>
        <w:spacing w:before="100" w:after="100"/>
        <w:jc w:val="center"/>
        <w:rPr>
          <w:rFonts w:ascii="黑体" w:hAnsi="宋体"/>
          <w:color w:val="auto"/>
          <w:sz w:val="24"/>
          <w:szCs w:val="24"/>
          <w:highlight w:val="none"/>
        </w:rPr>
      </w:pPr>
      <w:bookmarkStart w:id="1557" w:name="_Toc356568033"/>
      <w:bookmarkStart w:id="1558" w:name="_Toc341805356"/>
      <w:bookmarkStart w:id="1559" w:name="_Toc488651028"/>
      <w:bookmarkStart w:id="1560" w:name="_Toc487291642"/>
      <w:bookmarkStart w:id="1561" w:name="_Toc487619607"/>
      <w:r>
        <w:rPr>
          <w:rFonts w:hint="eastAsia" w:ascii="黑体" w:hAnsi="宋体"/>
          <w:color w:val="auto"/>
          <w:sz w:val="24"/>
          <w:szCs w:val="24"/>
          <w:highlight w:val="none"/>
        </w:rPr>
        <w:t>（二）</w:t>
      </w:r>
      <w:bookmarkEnd w:id="1557"/>
      <w:bookmarkEnd w:id="1558"/>
      <w:bookmarkStart w:id="1562" w:name="_Toc356568034"/>
      <w:bookmarkStart w:id="1563" w:name="_Toc341805357"/>
      <w:r>
        <w:rPr>
          <w:rFonts w:hint="eastAsia" w:ascii="黑体" w:hAnsi="宋体"/>
          <w:color w:val="auto"/>
          <w:sz w:val="24"/>
          <w:szCs w:val="24"/>
          <w:highlight w:val="none"/>
        </w:rPr>
        <w:t>投标人近年</w:t>
      </w:r>
      <w:r>
        <w:rPr>
          <w:rFonts w:ascii="黑体" w:hAnsi="宋体"/>
          <w:color w:val="auto"/>
          <w:sz w:val="24"/>
          <w:szCs w:val="24"/>
          <w:highlight w:val="none"/>
        </w:rPr>
        <w:t>已完工的</w:t>
      </w:r>
      <w:r>
        <w:rPr>
          <w:rFonts w:hint="eastAsia" w:ascii="黑体" w:hAnsi="宋体"/>
          <w:color w:val="auto"/>
          <w:sz w:val="24"/>
          <w:szCs w:val="24"/>
          <w:highlight w:val="none"/>
        </w:rPr>
        <w:t>类似工程</w:t>
      </w:r>
      <w:r>
        <w:rPr>
          <w:rFonts w:ascii="黑体" w:hAnsi="宋体"/>
          <w:color w:val="auto"/>
          <w:sz w:val="24"/>
          <w:szCs w:val="24"/>
          <w:highlight w:val="none"/>
        </w:rPr>
        <w:t>表</w:t>
      </w:r>
      <w:bookmarkEnd w:id="1559"/>
      <w:bookmarkEnd w:id="1560"/>
      <w:bookmarkEnd w:id="1561"/>
      <w:bookmarkEnd w:id="1562"/>
      <w:bookmarkEnd w:id="1563"/>
    </w:p>
    <w:tbl>
      <w:tblPr>
        <w:tblStyle w:val="4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88"/>
        <w:gridCol w:w="1227"/>
        <w:gridCol w:w="1209"/>
        <w:gridCol w:w="2304"/>
        <w:gridCol w:w="1440"/>
        <w:gridCol w:w="1650"/>
      </w:tblGrid>
      <w:tr w14:paraId="023998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588" w:type="dxa"/>
            <w:vMerge w:val="restart"/>
            <w:vAlign w:val="center"/>
          </w:tcPr>
          <w:p w14:paraId="4B8E908A">
            <w:pPr>
              <w:spacing w:line="360" w:lineRule="auto"/>
              <w:rPr>
                <w:color w:val="auto"/>
                <w:szCs w:val="21"/>
                <w:highlight w:val="none"/>
              </w:rPr>
            </w:pPr>
            <w:r>
              <w:rPr>
                <w:color w:val="auto"/>
                <w:szCs w:val="21"/>
                <w:highlight w:val="none"/>
              </w:rPr>
              <w:t>1.</w:t>
            </w:r>
          </w:p>
        </w:tc>
        <w:tc>
          <w:tcPr>
            <w:tcW w:w="2436" w:type="dxa"/>
            <w:gridSpan w:val="2"/>
            <w:vAlign w:val="center"/>
          </w:tcPr>
          <w:p w14:paraId="61DD8457">
            <w:pPr>
              <w:spacing w:line="360" w:lineRule="auto"/>
              <w:rPr>
                <w:color w:val="auto"/>
                <w:position w:val="-6"/>
                <w:szCs w:val="21"/>
                <w:highlight w:val="none"/>
              </w:rPr>
            </w:pPr>
            <w:r>
              <w:rPr>
                <w:rFonts w:hint="eastAsia"/>
                <w:color w:val="auto"/>
                <w:position w:val="-6"/>
                <w:szCs w:val="21"/>
                <w:highlight w:val="none"/>
              </w:rPr>
              <w:t>工程名称</w:t>
            </w:r>
            <w:r>
              <w:rPr>
                <w:color w:val="auto"/>
                <w:position w:val="-6"/>
                <w:szCs w:val="21"/>
                <w:highlight w:val="none"/>
              </w:rPr>
              <w:t xml:space="preserve"> </w:t>
            </w:r>
          </w:p>
        </w:tc>
        <w:tc>
          <w:tcPr>
            <w:tcW w:w="5394" w:type="dxa"/>
            <w:gridSpan w:val="3"/>
            <w:vAlign w:val="center"/>
          </w:tcPr>
          <w:p w14:paraId="049C33AE">
            <w:pPr>
              <w:spacing w:line="360" w:lineRule="auto"/>
              <w:jc w:val="center"/>
              <w:rPr>
                <w:color w:val="auto"/>
                <w:szCs w:val="21"/>
                <w:highlight w:val="none"/>
              </w:rPr>
            </w:pPr>
          </w:p>
        </w:tc>
      </w:tr>
      <w:tr w14:paraId="2F5FB2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588" w:type="dxa"/>
            <w:vMerge w:val="continue"/>
            <w:vAlign w:val="center"/>
          </w:tcPr>
          <w:p w14:paraId="7A8B2DFC">
            <w:pPr>
              <w:spacing w:line="360" w:lineRule="auto"/>
              <w:rPr>
                <w:color w:val="auto"/>
                <w:szCs w:val="21"/>
                <w:highlight w:val="none"/>
              </w:rPr>
            </w:pPr>
          </w:p>
        </w:tc>
        <w:tc>
          <w:tcPr>
            <w:tcW w:w="2436" w:type="dxa"/>
            <w:gridSpan w:val="2"/>
            <w:vAlign w:val="center"/>
          </w:tcPr>
          <w:p w14:paraId="7DF3B278">
            <w:pPr>
              <w:spacing w:line="360" w:lineRule="auto"/>
              <w:rPr>
                <w:color w:val="auto"/>
                <w:szCs w:val="21"/>
                <w:highlight w:val="none"/>
              </w:rPr>
            </w:pPr>
            <w:r>
              <w:rPr>
                <w:rFonts w:hint="eastAsia"/>
                <w:color w:val="auto"/>
                <w:szCs w:val="21"/>
                <w:highlight w:val="none"/>
              </w:rPr>
              <w:t>工程地点</w:t>
            </w:r>
          </w:p>
        </w:tc>
        <w:tc>
          <w:tcPr>
            <w:tcW w:w="5394" w:type="dxa"/>
            <w:gridSpan w:val="3"/>
            <w:vAlign w:val="center"/>
          </w:tcPr>
          <w:p w14:paraId="217349F7">
            <w:pPr>
              <w:spacing w:line="360" w:lineRule="auto"/>
              <w:jc w:val="center"/>
              <w:rPr>
                <w:color w:val="auto"/>
                <w:szCs w:val="21"/>
                <w:highlight w:val="none"/>
              </w:rPr>
            </w:pPr>
          </w:p>
        </w:tc>
      </w:tr>
      <w:tr w14:paraId="2BD643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588" w:type="dxa"/>
            <w:vMerge w:val="restart"/>
            <w:vAlign w:val="center"/>
          </w:tcPr>
          <w:p w14:paraId="6DC1B511">
            <w:pPr>
              <w:spacing w:line="360" w:lineRule="auto"/>
              <w:rPr>
                <w:color w:val="auto"/>
                <w:szCs w:val="21"/>
                <w:highlight w:val="none"/>
              </w:rPr>
            </w:pPr>
            <w:r>
              <w:rPr>
                <w:color w:val="auto"/>
                <w:szCs w:val="21"/>
                <w:highlight w:val="none"/>
              </w:rPr>
              <w:t>2.</w:t>
            </w:r>
          </w:p>
        </w:tc>
        <w:tc>
          <w:tcPr>
            <w:tcW w:w="1227" w:type="dxa"/>
            <w:vMerge w:val="restart"/>
            <w:vAlign w:val="center"/>
          </w:tcPr>
          <w:p w14:paraId="21F2EB0E">
            <w:pPr>
              <w:spacing w:line="360" w:lineRule="auto"/>
              <w:rPr>
                <w:color w:val="auto"/>
                <w:szCs w:val="21"/>
                <w:highlight w:val="none"/>
              </w:rPr>
            </w:pPr>
            <w:r>
              <w:rPr>
                <w:rFonts w:hint="eastAsia"/>
                <w:color w:val="auto"/>
                <w:szCs w:val="21"/>
                <w:highlight w:val="none"/>
              </w:rPr>
              <w:t>建设单位</w:t>
            </w:r>
          </w:p>
        </w:tc>
        <w:tc>
          <w:tcPr>
            <w:tcW w:w="1209" w:type="dxa"/>
            <w:vAlign w:val="center"/>
          </w:tcPr>
          <w:p w14:paraId="2167B845">
            <w:pPr>
              <w:spacing w:line="360" w:lineRule="auto"/>
              <w:rPr>
                <w:color w:val="auto"/>
                <w:szCs w:val="21"/>
                <w:highlight w:val="none"/>
              </w:rPr>
            </w:pPr>
            <w:r>
              <w:rPr>
                <w:rFonts w:hint="eastAsia"/>
                <w:color w:val="auto"/>
                <w:szCs w:val="21"/>
                <w:highlight w:val="none"/>
              </w:rPr>
              <w:t>名称</w:t>
            </w:r>
          </w:p>
        </w:tc>
        <w:tc>
          <w:tcPr>
            <w:tcW w:w="2304" w:type="dxa"/>
            <w:vAlign w:val="center"/>
          </w:tcPr>
          <w:p w14:paraId="2C2E4BA2">
            <w:pPr>
              <w:spacing w:line="360" w:lineRule="auto"/>
              <w:jc w:val="center"/>
              <w:rPr>
                <w:color w:val="auto"/>
                <w:szCs w:val="21"/>
                <w:highlight w:val="none"/>
              </w:rPr>
            </w:pPr>
          </w:p>
        </w:tc>
        <w:tc>
          <w:tcPr>
            <w:tcW w:w="1440" w:type="dxa"/>
            <w:vAlign w:val="center"/>
          </w:tcPr>
          <w:p w14:paraId="5DA207FF">
            <w:pPr>
              <w:spacing w:line="360" w:lineRule="auto"/>
              <w:rPr>
                <w:color w:val="auto"/>
                <w:szCs w:val="21"/>
                <w:highlight w:val="none"/>
              </w:rPr>
            </w:pPr>
            <w:r>
              <w:rPr>
                <w:rFonts w:hint="eastAsia"/>
                <w:color w:val="auto"/>
                <w:szCs w:val="21"/>
                <w:highlight w:val="none"/>
              </w:rPr>
              <w:t>联 系 人</w:t>
            </w:r>
          </w:p>
        </w:tc>
        <w:tc>
          <w:tcPr>
            <w:tcW w:w="1650" w:type="dxa"/>
            <w:vAlign w:val="center"/>
          </w:tcPr>
          <w:p w14:paraId="53820B44">
            <w:pPr>
              <w:spacing w:line="360" w:lineRule="auto"/>
              <w:jc w:val="center"/>
              <w:rPr>
                <w:color w:val="auto"/>
                <w:szCs w:val="21"/>
                <w:highlight w:val="none"/>
              </w:rPr>
            </w:pPr>
          </w:p>
        </w:tc>
      </w:tr>
      <w:tr w14:paraId="297473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2" w:hRule="atLeast"/>
          <w:jc w:val="center"/>
        </w:trPr>
        <w:tc>
          <w:tcPr>
            <w:tcW w:w="588" w:type="dxa"/>
            <w:vMerge w:val="continue"/>
            <w:vAlign w:val="center"/>
          </w:tcPr>
          <w:p w14:paraId="28E1FC10">
            <w:pPr>
              <w:spacing w:line="360" w:lineRule="auto"/>
              <w:rPr>
                <w:color w:val="auto"/>
                <w:szCs w:val="21"/>
                <w:highlight w:val="none"/>
              </w:rPr>
            </w:pPr>
          </w:p>
        </w:tc>
        <w:tc>
          <w:tcPr>
            <w:tcW w:w="1227" w:type="dxa"/>
            <w:vMerge w:val="continue"/>
            <w:vAlign w:val="center"/>
          </w:tcPr>
          <w:p w14:paraId="7AD06718">
            <w:pPr>
              <w:spacing w:line="360" w:lineRule="auto"/>
              <w:rPr>
                <w:color w:val="auto"/>
                <w:szCs w:val="21"/>
                <w:highlight w:val="none"/>
              </w:rPr>
            </w:pPr>
          </w:p>
        </w:tc>
        <w:tc>
          <w:tcPr>
            <w:tcW w:w="1209" w:type="dxa"/>
            <w:vAlign w:val="center"/>
          </w:tcPr>
          <w:p w14:paraId="77270339">
            <w:pPr>
              <w:spacing w:line="360" w:lineRule="auto"/>
              <w:rPr>
                <w:color w:val="auto"/>
                <w:szCs w:val="21"/>
                <w:highlight w:val="none"/>
              </w:rPr>
            </w:pPr>
            <w:r>
              <w:rPr>
                <w:rFonts w:hint="eastAsia"/>
                <w:color w:val="auto"/>
                <w:szCs w:val="21"/>
                <w:highlight w:val="none"/>
              </w:rPr>
              <w:t>地址</w:t>
            </w:r>
          </w:p>
        </w:tc>
        <w:tc>
          <w:tcPr>
            <w:tcW w:w="2304" w:type="dxa"/>
            <w:vAlign w:val="center"/>
          </w:tcPr>
          <w:p w14:paraId="00320B17">
            <w:pPr>
              <w:spacing w:line="360" w:lineRule="auto"/>
              <w:jc w:val="center"/>
              <w:rPr>
                <w:color w:val="auto"/>
                <w:szCs w:val="21"/>
                <w:highlight w:val="none"/>
              </w:rPr>
            </w:pPr>
          </w:p>
        </w:tc>
        <w:tc>
          <w:tcPr>
            <w:tcW w:w="1440" w:type="dxa"/>
            <w:vAlign w:val="center"/>
          </w:tcPr>
          <w:p w14:paraId="682272A3">
            <w:pPr>
              <w:spacing w:line="360" w:lineRule="auto"/>
              <w:rPr>
                <w:color w:val="auto"/>
                <w:szCs w:val="21"/>
                <w:highlight w:val="none"/>
              </w:rPr>
            </w:pPr>
            <w:r>
              <w:rPr>
                <w:rFonts w:hint="eastAsia"/>
                <w:color w:val="auto"/>
                <w:szCs w:val="21"/>
                <w:highlight w:val="none"/>
              </w:rPr>
              <w:t>联系电话</w:t>
            </w:r>
          </w:p>
        </w:tc>
        <w:tc>
          <w:tcPr>
            <w:tcW w:w="1650" w:type="dxa"/>
            <w:vAlign w:val="center"/>
          </w:tcPr>
          <w:p w14:paraId="6F3E105A">
            <w:pPr>
              <w:spacing w:line="360" w:lineRule="auto"/>
              <w:jc w:val="center"/>
              <w:rPr>
                <w:color w:val="auto"/>
                <w:szCs w:val="21"/>
                <w:highlight w:val="none"/>
              </w:rPr>
            </w:pPr>
          </w:p>
        </w:tc>
      </w:tr>
      <w:tr w14:paraId="259AD4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8" w:hRule="atLeast"/>
          <w:jc w:val="center"/>
        </w:trPr>
        <w:tc>
          <w:tcPr>
            <w:tcW w:w="588" w:type="dxa"/>
            <w:vMerge w:val="restart"/>
            <w:vAlign w:val="center"/>
          </w:tcPr>
          <w:p w14:paraId="7E089DD5">
            <w:pPr>
              <w:spacing w:line="360" w:lineRule="auto"/>
              <w:rPr>
                <w:color w:val="auto"/>
                <w:szCs w:val="21"/>
                <w:highlight w:val="none"/>
              </w:rPr>
            </w:pPr>
            <w:r>
              <w:rPr>
                <w:rFonts w:hint="eastAsia"/>
                <w:color w:val="auto"/>
                <w:szCs w:val="21"/>
                <w:highlight w:val="none"/>
              </w:rPr>
              <w:t>3.</w:t>
            </w:r>
          </w:p>
        </w:tc>
        <w:tc>
          <w:tcPr>
            <w:tcW w:w="1227" w:type="dxa"/>
            <w:vMerge w:val="restart"/>
            <w:vAlign w:val="center"/>
          </w:tcPr>
          <w:p w14:paraId="124817E7">
            <w:pPr>
              <w:spacing w:line="360" w:lineRule="auto"/>
              <w:rPr>
                <w:color w:val="auto"/>
                <w:szCs w:val="21"/>
                <w:highlight w:val="none"/>
              </w:rPr>
            </w:pPr>
            <w:r>
              <w:rPr>
                <w:rFonts w:hint="eastAsia"/>
                <w:color w:val="auto"/>
                <w:szCs w:val="21"/>
                <w:highlight w:val="none"/>
              </w:rPr>
              <w:t>施工单位</w:t>
            </w:r>
          </w:p>
        </w:tc>
        <w:tc>
          <w:tcPr>
            <w:tcW w:w="1209" w:type="dxa"/>
            <w:vAlign w:val="center"/>
          </w:tcPr>
          <w:p w14:paraId="66692FA3">
            <w:pPr>
              <w:spacing w:line="360" w:lineRule="auto"/>
              <w:rPr>
                <w:color w:val="auto"/>
                <w:szCs w:val="21"/>
                <w:highlight w:val="none"/>
              </w:rPr>
            </w:pPr>
            <w:r>
              <w:rPr>
                <w:rFonts w:hint="eastAsia"/>
                <w:color w:val="auto"/>
                <w:szCs w:val="21"/>
                <w:highlight w:val="none"/>
              </w:rPr>
              <w:t>名称</w:t>
            </w:r>
          </w:p>
        </w:tc>
        <w:tc>
          <w:tcPr>
            <w:tcW w:w="2304" w:type="dxa"/>
            <w:vAlign w:val="center"/>
          </w:tcPr>
          <w:p w14:paraId="760E36C5">
            <w:pPr>
              <w:spacing w:line="360" w:lineRule="auto"/>
              <w:jc w:val="center"/>
              <w:rPr>
                <w:color w:val="auto"/>
                <w:szCs w:val="21"/>
                <w:highlight w:val="none"/>
              </w:rPr>
            </w:pPr>
          </w:p>
        </w:tc>
        <w:tc>
          <w:tcPr>
            <w:tcW w:w="1440" w:type="dxa"/>
            <w:vAlign w:val="center"/>
          </w:tcPr>
          <w:p w14:paraId="74F71073">
            <w:pPr>
              <w:spacing w:line="360" w:lineRule="auto"/>
              <w:rPr>
                <w:color w:val="auto"/>
                <w:szCs w:val="21"/>
                <w:highlight w:val="none"/>
              </w:rPr>
            </w:pPr>
            <w:r>
              <w:rPr>
                <w:rFonts w:hint="eastAsia"/>
                <w:color w:val="auto"/>
                <w:szCs w:val="21"/>
                <w:highlight w:val="none"/>
              </w:rPr>
              <w:t>联 系 人</w:t>
            </w:r>
          </w:p>
        </w:tc>
        <w:tc>
          <w:tcPr>
            <w:tcW w:w="1650" w:type="dxa"/>
            <w:vAlign w:val="center"/>
          </w:tcPr>
          <w:p w14:paraId="68F199CE">
            <w:pPr>
              <w:spacing w:line="360" w:lineRule="auto"/>
              <w:jc w:val="center"/>
              <w:rPr>
                <w:color w:val="auto"/>
                <w:szCs w:val="21"/>
                <w:highlight w:val="none"/>
              </w:rPr>
            </w:pPr>
          </w:p>
        </w:tc>
      </w:tr>
      <w:tr w14:paraId="007A82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0" w:hRule="atLeast"/>
          <w:jc w:val="center"/>
        </w:trPr>
        <w:tc>
          <w:tcPr>
            <w:tcW w:w="588" w:type="dxa"/>
            <w:vMerge w:val="continue"/>
            <w:vAlign w:val="center"/>
          </w:tcPr>
          <w:p w14:paraId="016CEEF0">
            <w:pPr>
              <w:spacing w:line="360" w:lineRule="auto"/>
              <w:rPr>
                <w:color w:val="auto"/>
                <w:szCs w:val="21"/>
                <w:highlight w:val="none"/>
              </w:rPr>
            </w:pPr>
          </w:p>
        </w:tc>
        <w:tc>
          <w:tcPr>
            <w:tcW w:w="1227" w:type="dxa"/>
            <w:vMerge w:val="continue"/>
            <w:vAlign w:val="center"/>
          </w:tcPr>
          <w:p w14:paraId="0CDC8985">
            <w:pPr>
              <w:spacing w:line="360" w:lineRule="auto"/>
              <w:rPr>
                <w:color w:val="auto"/>
                <w:szCs w:val="21"/>
                <w:highlight w:val="none"/>
              </w:rPr>
            </w:pPr>
          </w:p>
        </w:tc>
        <w:tc>
          <w:tcPr>
            <w:tcW w:w="1209" w:type="dxa"/>
            <w:vAlign w:val="center"/>
          </w:tcPr>
          <w:p w14:paraId="7C5C5CFB">
            <w:pPr>
              <w:spacing w:line="360" w:lineRule="auto"/>
              <w:rPr>
                <w:color w:val="auto"/>
                <w:szCs w:val="21"/>
                <w:highlight w:val="none"/>
              </w:rPr>
            </w:pPr>
            <w:r>
              <w:rPr>
                <w:rFonts w:hint="eastAsia"/>
                <w:color w:val="auto"/>
                <w:szCs w:val="21"/>
                <w:highlight w:val="none"/>
              </w:rPr>
              <w:t>地址</w:t>
            </w:r>
          </w:p>
        </w:tc>
        <w:tc>
          <w:tcPr>
            <w:tcW w:w="2304" w:type="dxa"/>
            <w:vAlign w:val="center"/>
          </w:tcPr>
          <w:p w14:paraId="46A6DE7B">
            <w:pPr>
              <w:spacing w:line="360" w:lineRule="auto"/>
              <w:jc w:val="center"/>
              <w:rPr>
                <w:color w:val="auto"/>
                <w:szCs w:val="21"/>
                <w:highlight w:val="none"/>
              </w:rPr>
            </w:pPr>
          </w:p>
        </w:tc>
        <w:tc>
          <w:tcPr>
            <w:tcW w:w="1440" w:type="dxa"/>
            <w:vAlign w:val="center"/>
          </w:tcPr>
          <w:p w14:paraId="3161F851">
            <w:pPr>
              <w:spacing w:line="360" w:lineRule="auto"/>
              <w:rPr>
                <w:color w:val="auto"/>
                <w:szCs w:val="21"/>
                <w:highlight w:val="none"/>
              </w:rPr>
            </w:pPr>
            <w:r>
              <w:rPr>
                <w:rFonts w:hint="eastAsia"/>
                <w:color w:val="auto"/>
                <w:szCs w:val="21"/>
                <w:highlight w:val="none"/>
              </w:rPr>
              <w:t>联系电话</w:t>
            </w:r>
          </w:p>
        </w:tc>
        <w:tc>
          <w:tcPr>
            <w:tcW w:w="1650" w:type="dxa"/>
            <w:vAlign w:val="center"/>
          </w:tcPr>
          <w:p w14:paraId="5C6F117E">
            <w:pPr>
              <w:spacing w:line="360" w:lineRule="auto"/>
              <w:jc w:val="center"/>
              <w:rPr>
                <w:color w:val="auto"/>
                <w:szCs w:val="21"/>
                <w:highlight w:val="none"/>
              </w:rPr>
            </w:pPr>
          </w:p>
        </w:tc>
      </w:tr>
      <w:tr w14:paraId="291E8C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37" w:hRule="atLeast"/>
          <w:jc w:val="center"/>
        </w:trPr>
        <w:tc>
          <w:tcPr>
            <w:tcW w:w="588" w:type="dxa"/>
            <w:vAlign w:val="center"/>
          </w:tcPr>
          <w:p w14:paraId="6320C867">
            <w:pPr>
              <w:spacing w:line="360" w:lineRule="auto"/>
              <w:rPr>
                <w:color w:val="auto"/>
                <w:szCs w:val="21"/>
                <w:highlight w:val="none"/>
              </w:rPr>
            </w:pPr>
            <w:r>
              <w:rPr>
                <w:rFonts w:hint="eastAsia"/>
                <w:color w:val="auto"/>
                <w:szCs w:val="21"/>
                <w:highlight w:val="none"/>
              </w:rPr>
              <w:t>4.</w:t>
            </w:r>
          </w:p>
        </w:tc>
        <w:tc>
          <w:tcPr>
            <w:tcW w:w="7830" w:type="dxa"/>
            <w:gridSpan w:val="5"/>
            <w:vAlign w:val="center"/>
          </w:tcPr>
          <w:p w14:paraId="7B3E1591">
            <w:pPr>
              <w:spacing w:line="360" w:lineRule="auto"/>
              <w:rPr>
                <w:color w:val="auto"/>
                <w:szCs w:val="21"/>
                <w:highlight w:val="none"/>
              </w:rPr>
            </w:pPr>
            <w:r>
              <w:rPr>
                <w:rFonts w:hint="eastAsia"/>
                <w:color w:val="auto"/>
                <w:szCs w:val="21"/>
                <w:highlight w:val="none"/>
              </w:rPr>
              <w:t>合同身份</w:t>
            </w:r>
            <w:r>
              <w:rPr>
                <w:color w:val="auto"/>
                <w:szCs w:val="21"/>
                <w:highlight w:val="none"/>
              </w:rPr>
              <w:t xml:space="preserve"> (</w:t>
            </w:r>
            <w:r>
              <w:rPr>
                <w:rFonts w:hint="eastAsia"/>
                <w:color w:val="auto"/>
                <w:szCs w:val="21"/>
                <w:highlight w:val="none"/>
              </w:rPr>
              <w:t>标明其中之一</w:t>
            </w:r>
            <w:r>
              <w:rPr>
                <w:color w:val="auto"/>
                <w:szCs w:val="21"/>
                <w:highlight w:val="none"/>
              </w:rPr>
              <w:t>)</w:t>
            </w:r>
          </w:p>
          <w:p w14:paraId="18F557C1">
            <w:pPr>
              <w:spacing w:line="360" w:lineRule="auto"/>
              <w:rPr>
                <w:color w:val="auto"/>
                <w:szCs w:val="21"/>
                <w:highlight w:val="none"/>
              </w:rPr>
            </w:pPr>
            <w:r>
              <w:rPr>
                <w:color w:val="auto"/>
                <w:szCs w:val="21"/>
                <w:highlight w:val="none"/>
              </w:rPr>
              <w:t xml:space="preserve">         </w:t>
            </w:r>
            <w:r>
              <w:rPr>
                <w:color w:val="auto"/>
                <w:szCs w:val="21"/>
                <w:highlight w:val="none"/>
              </w:rPr>
              <w:sym w:font="Symbol" w:char="F086"/>
            </w:r>
            <w:r>
              <w:rPr>
                <w:rFonts w:hint="eastAsia"/>
                <w:color w:val="auto"/>
                <w:szCs w:val="21"/>
                <w:highlight w:val="none"/>
              </w:rPr>
              <w:t xml:space="preserve">  独立承监人</w:t>
            </w:r>
            <w:r>
              <w:rPr>
                <w:color w:val="auto"/>
                <w:szCs w:val="21"/>
                <w:highlight w:val="none"/>
              </w:rPr>
              <w:t xml:space="preserve">   </w:t>
            </w:r>
            <w:r>
              <w:rPr>
                <w:rFonts w:hint="eastAsia"/>
                <w:color w:val="auto"/>
                <w:szCs w:val="21"/>
                <w:highlight w:val="none"/>
              </w:rPr>
              <w:t xml:space="preserve">  </w:t>
            </w:r>
            <w:r>
              <w:rPr>
                <w:color w:val="auto"/>
                <w:szCs w:val="21"/>
                <w:highlight w:val="none"/>
              </w:rPr>
              <w:t xml:space="preserve">   </w:t>
            </w:r>
            <w:r>
              <w:rPr>
                <w:color w:val="auto"/>
                <w:szCs w:val="21"/>
                <w:highlight w:val="none"/>
              </w:rPr>
              <w:sym w:font="Symbol" w:char="F086"/>
            </w:r>
            <w:r>
              <w:rPr>
                <w:color w:val="auto"/>
                <w:szCs w:val="21"/>
                <w:highlight w:val="none"/>
              </w:rPr>
              <w:t xml:space="preserve">   </w:t>
            </w:r>
            <w:r>
              <w:rPr>
                <w:rFonts w:hint="eastAsia"/>
                <w:color w:val="auto"/>
                <w:szCs w:val="21"/>
                <w:highlight w:val="none"/>
              </w:rPr>
              <w:t xml:space="preserve">联合体牵头人     </w:t>
            </w:r>
            <w:r>
              <w:rPr>
                <w:color w:val="auto"/>
                <w:szCs w:val="21"/>
                <w:highlight w:val="none"/>
              </w:rPr>
              <w:sym w:font="Symbol" w:char="F086"/>
            </w:r>
            <w:r>
              <w:rPr>
                <w:color w:val="auto"/>
                <w:szCs w:val="21"/>
                <w:highlight w:val="none"/>
              </w:rPr>
              <w:t xml:space="preserve">   </w:t>
            </w:r>
            <w:r>
              <w:rPr>
                <w:rFonts w:hint="eastAsia"/>
                <w:color w:val="auto"/>
                <w:szCs w:val="21"/>
                <w:highlight w:val="none"/>
              </w:rPr>
              <w:t xml:space="preserve">联合体成员      </w:t>
            </w:r>
          </w:p>
        </w:tc>
      </w:tr>
      <w:tr w14:paraId="371A7C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59" w:hRule="atLeast"/>
          <w:jc w:val="center"/>
        </w:trPr>
        <w:tc>
          <w:tcPr>
            <w:tcW w:w="588" w:type="dxa"/>
            <w:vAlign w:val="center"/>
          </w:tcPr>
          <w:p w14:paraId="645849D4">
            <w:pPr>
              <w:spacing w:line="360" w:lineRule="auto"/>
              <w:rPr>
                <w:color w:val="auto"/>
                <w:szCs w:val="21"/>
                <w:highlight w:val="none"/>
              </w:rPr>
            </w:pPr>
            <w:r>
              <w:rPr>
                <w:color w:val="auto"/>
                <w:szCs w:val="21"/>
                <w:highlight w:val="none"/>
              </w:rPr>
              <w:t>5.</w:t>
            </w:r>
          </w:p>
        </w:tc>
        <w:tc>
          <w:tcPr>
            <w:tcW w:w="7830" w:type="dxa"/>
            <w:gridSpan w:val="5"/>
            <w:vAlign w:val="center"/>
          </w:tcPr>
          <w:p w14:paraId="6D4009A0">
            <w:pPr>
              <w:spacing w:line="360" w:lineRule="auto"/>
              <w:rPr>
                <w:color w:val="auto"/>
                <w:szCs w:val="21"/>
                <w:highlight w:val="none"/>
              </w:rPr>
            </w:pPr>
            <w:r>
              <w:rPr>
                <w:rFonts w:hint="eastAsia"/>
                <w:color w:val="auto"/>
                <w:szCs w:val="21"/>
                <w:highlight w:val="none"/>
              </w:rPr>
              <w:t>工程施工合同总价：</w:t>
            </w:r>
          </w:p>
        </w:tc>
      </w:tr>
      <w:tr w14:paraId="30A8F6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588" w:type="dxa"/>
            <w:vAlign w:val="center"/>
          </w:tcPr>
          <w:p w14:paraId="270453C7">
            <w:pPr>
              <w:spacing w:line="360" w:lineRule="auto"/>
              <w:rPr>
                <w:color w:val="auto"/>
                <w:szCs w:val="21"/>
                <w:highlight w:val="none"/>
              </w:rPr>
            </w:pPr>
            <w:r>
              <w:rPr>
                <w:rFonts w:hint="eastAsia"/>
                <w:color w:val="auto"/>
                <w:szCs w:val="21"/>
                <w:highlight w:val="none"/>
              </w:rPr>
              <w:t>6</w:t>
            </w:r>
            <w:r>
              <w:rPr>
                <w:color w:val="auto"/>
                <w:szCs w:val="21"/>
                <w:highlight w:val="none"/>
              </w:rPr>
              <w:t>.</w:t>
            </w:r>
          </w:p>
        </w:tc>
        <w:tc>
          <w:tcPr>
            <w:tcW w:w="7830" w:type="dxa"/>
            <w:gridSpan w:val="5"/>
            <w:vAlign w:val="center"/>
          </w:tcPr>
          <w:p w14:paraId="44582A31">
            <w:pPr>
              <w:spacing w:line="360" w:lineRule="auto"/>
              <w:rPr>
                <w:color w:val="auto"/>
                <w:szCs w:val="21"/>
                <w:highlight w:val="none"/>
              </w:rPr>
            </w:pPr>
            <w:r>
              <w:rPr>
                <w:rFonts w:hint="eastAsia"/>
                <w:color w:val="auto"/>
                <w:szCs w:val="21"/>
                <w:highlight w:val="none"/>
              </w:rPr>
              <w:t>工程质量等级、获得何种荣誉：</w:t>
            </w:r>
          </w:p>
        </w:tc>
      </w:tr>
      <w:tr w14:paraId="1F1032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588" w:type="dxa"/>
            <w:vAlign w:val="center"/>
          </w:tcPr>
          <w:p w14:paraId="22639010">
            <w:pPr>
              <w:spacing w:line="360" w:lineRule="auto"/>
              <w:rPr>
                <w:color w:val="auto"/>
                <w:szCs w:val="21"/>
                <w:highlight w:val="none"/>
              </w:rPr>
            </w:pPr>
            <w:r>
              <w:rPr>
                <w:rFonts w:hint="eastAsia"/>
                <w:color w:val="auto"/>
                <w:szCs w:val="21"/>
                <w:highlight w:val="none"/>
              </w:rPr>
              <w:t>7.</w:t>
            </w:r>
          </w:p>
        </w:tc>
        <w:tc>
          <w:tcPr>
            <w:tcW w:w="7830" w:type="dxa"/>
            <w:gridSpan w:val="5"/>
            <w:vAlign w:val="center"/>
          </w:tcPr>
          <w:p w14:paraId="3E2EB450">
            <w:pPr>
              <w:spacing w:line="360" w:lineRule="auto"/>
              <w:rPr>
                <w:color w:val="auto"/>
                <w:szCs w:val="21"/>
                <w:highlight w:val="none"/>
              </w:rPr>
            </w:pPr>
            <w:r>
              <w:rPr>
                <w:rFonts w:hint="eastAsia"/>
                <w:color w:val="auto"/>
                <w:szCs w:val="21"/>
                <w:highlight w:val="none"/>
              </w:rPr>
              <w:t>工程开工及竣工时间：</w:t>
            </w:r>
          </w:p>
        </w:tc>
      </w:tr>
      <w:tr w14:paraId="45757C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7" w:hRule="atLeast"/>
          <w:jc w:val="center"/>
        </w:trPr>
        <w:tc>
          <w:tcPr>
            <w:tcW w:w="588" w:type="dxa"/>
            <w:vAlign w:val="center"/>
          </w:tcPr>
          <w:p w14:paraId="6DC0E10C">
            <w:pPr>
              <w:spacing w:line="360" w:lineRule="auto"/>
              <w:rPr>
                <w:color w:val="auto"/>
                <w:szCs w:val="21"/>
                <w:highlight w:val="none"/>
              </w:rPr>
            </w:pPr>
            <w:r>
              <w:rPr>
                <w:rFonts w:hint="eastAsia"/>
                <w:color w:val="auto"/>
                <w:szCs w:val="21"/>
                <w:highlight w:val="none"/>
              </w:rPr>
              <w:t>8.</w:t>
            </w:r>
          </w:p>
        </w:tc>
        <w:tc>
          <w:tcPr>
            <w:tcW w:w="7830" w:type="dxa"/>
            <w:gridSpan w:val="5"/>
            <w:vAlign w:val="center"/>
          </w:tcPr>
          <w:p w14:paraId="4E8DB327">
            <w:pPr>
              <w:spacing w:line="360" w:lineRule="auto"/>
              <w:rPr>
                <w:color w:val="auto"/>
                <w:szCs w:val="21"/>
                <w:highlight w:val="none"/>
              </w:rPr>
            </w:pPr>
            <w:r>
              <w:rPr>
                <w:rFonts w:hint="eastAsia"/>
                <w:color w:val="auto"/>
                <w:szCs w:val="21"/>
                <w:highlight w:val="none"/>
              </w:rPr>
              <w:t>工程规模和主要工程内容：</w:t>
            </w:r>
          </w:p>
          <w:p w14:paraId="0A06C6BE">
            <w:pPr>
              <w:spacing w:line="360" w:lineRule="auto"/>
              <w:rPr>
                <w:color w:val="auto"/>
                <w:szCs w:val="21"/>
                <w:highlight w:val="none"/>
              </w:rPr>
            </w:pPr>
          </w:p>
        </w:tc>
      </w:tr>
    </w:tbl>
    <w:p w14:paraId="2022D5CC">
      <w:pPr>
        <w:spacing w:line="440" w:lineRule="exact"/>
        <w:ind w:left="359" w:leftChars="171" w:right="535" w:rightChars="255"/>
        <w:rPr>
          <w:color w:val="auto"/>
          <w:sz w:val="18"/>
          <w:szCs w:val="18"/>
          <w:highlight w:val="none"/>
        </w:rPr>
      </w:pPr>
      <w:r>
        <w:rPr>
          <w:rFonts w:hint="eastAsia"/>
          <w:color w:val="auto"/>
          <w:sz w:val="18"/>
          <w:szCs w:val="18"/>
          <w:highlight w:val="none"/>
        </w:rPr>
        <w:t>注：1、每张表格只填写一个项目，并标明序号。</w:t>
      </w:r>
    </w:p>
    <w:p w14:paraId="73CBDED2">
      <w:pPr>
        <w:spacing w:line="400" w:lineRule="exact"/>
        <w:ind w:left="359" w:leftChars="171" w:right="535" w:rightChars="255" w:firstLine="360" w:firstLineChars="200"/>
        <w:rPr>
          <w:color w:val="auto"/>
          <w:szCs w:val="21"/>
          <w:highlight w:val="none"/>
        </w:rPr>
      </w:pPr>
      <w:r>
        <w:rPr>
          <w:rFonts w:hint="eastAsia"/>
          <w:color w:val="auto"/>
          <w:sz w:val="18"/>
          <w:szCs w:val="18"/>
          <w:highlight w:val="none"/>
        </w:rPr>
        <w:t>2、本表后须附应附在交通运输部“全国水运建设市场信用信息管理系统”（https://wtis.mot.gov.cn/credit/index.html）中查询到的企业“业绩信息”相关项目网页截图扫描件，或附在“福建省交通公路水运建设与运输市场信用信息管理系统（信用交通·福建）”（http://220.160.53.3:30050/gzwz/）中查询到的网页截图（并注明查询路径）；并提供①合同文件扫描件，②交(竣)工验收证书或交工验收表或竣工验收现场核查报告</w:t>
      </w:r>
      <w:r>
        <w:rPr>
          <w:rFonts w:hint="eastAsia"/>
          <w:color w:val="auto"/>
          <w:sz w:val="18"/>
          <w:szCs w:val="18"/>
          <w:highlight w:val="none"/>
          <w:lang w:val="en-US" w:eastAsia="zh-CN"/>
        </w:rPr>
        <w:t>扫描件，③工程交工质量核验意见或工程</w:t>
      </w:r>
      <w:r>
        <w:rPr>
          <w:rFonts w:hint="eastAsia"/>
          <w:color w:val="auto"/>
          <w:sz w:val="18"/>
          <w:szCs w:val="18"/>
          <w:highlight w:val="none"/>
        </w:rPr>
        <w:t>质量鉴定</w:t>
      </w:r>
      <w:r>
        <w:rPr>
          <w:rFonts w:hint="eastAsia"/>
          <w:color w:val="auto"/>
          <w:sz w:val="18"/>
          <w:szCs w:val="18"/>
          <w:highlight w:val="none"/>
          <w:lang w:val="en-US" w:eastAsia="zh-CN"/>
        </w:rPr>
        <w:t>报告</w:t>
      </w:r>
      <w:r>
        <w:rPr>
          <w:rFonts w:hint="eastAsia"/>
          <w:color w:val="auto"/>
          <w:sz w:val="18"/>
          <w:szCs w:val="18"/>
          <w:highlight w:val="none"/>
        </w:rPr>
        <w:t>扫描件。航道工程还需提供单独立项的</w:t>
      </w:r>
      <w:r>
        <w:rPr>
          <w:rFonts w:hint="eastAsia"/>
          <w:color w:val="auto"/>
          <w:sz w:val="18"/>
          <w:szCs w:val="18"/>
          <w:highlight w:val="none"/>
          <w:lang w:val="en-US" w:eastAsia="zh-CN"/>
        </w:rPr>
        <w:t>工可</w:t>
      </w:r>
      <w:r>
        <w:rPr>
          <w:rFonts w:hint="eastAsia"/>
          <w:color w:val="auto"/>
          <w:sz w:val="18"/>
          <w:szCs w:val="18"/>
          <w:highlight w:val="none"/>
        </w:rPr>
        <w:t>批复文件扫描件。</w:t>
      </w:r>
      <w:bookmarkStart w:id="1564" w:name="_Toc341805358"/>
      <w:bookmarkStart w:id="1565" w:name="_Toc356568035"/>
    </w:p>
    <w:p w14:paraId="1C0697B1">
      <w:pPr>
        <w:pStyle w:val="5"/>
        <w:spacing w:before="100" w:after="100"/>
        <w:jc w:val="center"/>
        <w:rPr>
          <w:rFonts w:ascii="黑体" w:hAnsi="宋体"/>
          <w:color w:val="auto"/>
          <w:sz w:val="24"/>
          <w:szCs w:val="24"/>
          <w:highlight w:val="none"/>
        </w:rPr>
      </w:pPr>
      <w:r>
        <w:rPr>
          <w:rFonts w:hint="eastAsia" w:ascii="黑体" w:hAnsi="宋体"/>
          <w:color w:val="auto"/>
          <w:sz w:val="24"/>
          <w:szCs w:val="24"/>
          <w:highlight w:val="none"/>
        </w:rPr>
        <w:br w:type="page"/>
      </w:r>
      <w:bookmarkEnd w:id="1564"/>
      <w:bookmarkEnd w:id="1565"/>
      <w:bookmarkStart w:id="1566" w:name="_Toc222105648"/>
      <w:bookmarkStart w:id="1567" w:name="_Toc187983514"/>
      <w:bookmarkStart w:id="1568" w:name="_Toc187983931"/>
      <w:bookmarkStart w:id="1569" w:name="_Toc222116508"/>
      <w:bookmarkStart w:id="1570" w:name="_Toc341805359"/>
      <w:bookmarkStart w:id="1571" w:name="_Toc487291644"/>
      <w:bookmarkStart w:id="1572" w:name="_Toc356568036"/>
      <w:bookmarkStart w:id="1573" w:name="_Toc488651029"/>
      <w:bookmarkStart w:id="1574" w:name="_Toc487619609"/>
      <w:r>
        <w:rPr>
          <w:rFonts w:hint="eastAsia" w:ascii="黑体" w:hAnsi="宋体"/>
          <w:color w:val="auto"/>
          <w:sz w:val="24"/>
          <w:szCs w:val="24"/>
          <w:highlight w:val="none"/>
        </w:rPr>
        <w:t xml:space="preserve">（三） </w:t>
      </w:r>
      <w:bookmarkEnd w:id="1566"/>
      <w:bookmarkEnd w:id="1567"/>
      <w:bookmarkEnd w:id="1568"/>
      <w:bookmarkEnd w:id="1569"/>
      <w:r>
        <w:rPr>
          <w:rFonts w:hint="eastAsia" w:ascii="黑体" w:hAnsi="宋体"/>
          <w:color w:val="auto"/>
          <w:sz w:val="24"/>
          <w:szCs w:val="24"/>
          <w:highlight w:val="none"/>
        </w:rPr>
        <w:t>投标人近年发生的诉讼及仲裁情况一览表</w:t>
      </w:r>
      <w:bookmarkEnd w:id="1570"/>
      <w:bookmarkEnd w:id="1571"/>
      <w:bookmarkEnd w:id="1572"/>
      <w:bookmarkEnd w:id="1573"/>
      <w:bookmarkEnd w:id="1574"/>
    </w:p>
    <w:p w14:paraId="47A23272">
      <w:pPr>
        <w:rPr>
          <w:color w:val="auto"/>
          <w:highlight w:val="none"/>
        </w:rPr>
      </w:pPr>
    </w:p>
    <w:p w14:paraId="42458888">
      <w:pPr>
        <w:rPr>
          <w:color w:val="auto"/>
          <w:highlight w:val="none"/>
        </w:rPr>
      </w:pP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67891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5" w:hRule="atLeast"/>
          <w:jc w:val="center"/>
        </w:trPr>
        <w:tc>
          <w:tcPr>
            <w:tcW w:w="8820" w:type="dxa"/>
          </w:tcPr>
          <w:p w14:paraId="131B6BCC">
            <w:pPr>
              <w:rPr>
                <w:color w:val="auto"/>
                <w:highlight w:val="none"/>
              </w:rPr>
            </w:pPr>
          </w:p>
          <w:p w14:paraId="1EE1F87D">
            <w:pPr>
              <w:rPr>
                <w:color w:val="auto"/>
                <w:highlight w:val="none"/>
              </w:rPr>
            </w:pPr>
            <w:r>
              <w:rPr>
                <w:color w:val="auto"/>
                <w:highlight w:val="none"/>
              </w:rPr>
              <w:t>（详细说明</w:t>
            </w:r>
            <w:r>
              <w:rPr>
                <w:rFonts w:hint="eastAsia"/>
                <w:color w:val="auto"/>
                <w:highlight w:val="none"/>
              </w:rPr>
              <w:t>投标人</w:t>
            </w:r>
            <w:r>
              <w:rPr>
                <w:color w:val="auto"/>
                <w:highlight w:val="none"/>
              </w:rPr>
              <w:t>介入的诉讼案件）</w:t>
            </w:r>
          </w:p>
          <w:p w14:paraId="157E167F">
            <w:pPr>
              <w:rPr>
                <w:color w:val="auto"/>
                <w:highlight w:val="none"/>
              </w:rPr>
            </w:pPr>
          </w:p>
          <w:p w14:paraId="5037C1D1">
            <w:pPr>
              <w:rPr>
                <w:color w:val="auto"/>
                <w:highlight w:val="none"/>
              </w:rPr>
            </w:pPr>
          </w:p>
          <w:p w14:paraId="24EF80C5">
            <w:pPr>
              <w:rPr>
                <w:color w:val="auto"/>
                <w:highlight w:val="none"/>
              </w:rPr>
            </w:pPr>
          </w:p>
          <w:p w14:paraId="2DD62132">
            <w:pPr>
              <w:rPr>
                <w:color w:val="auto"/>
                <w:highlight w:val="none"/>
              </w:rPr>
            </w:pPr>
          </w:p>
          <w:p w14:paraId="2BB8EFF2">
            <w:pPr>
              <w:rPr>
                <w:color w:val="auto"/>
                <w:highlight w:val="none"/>
              </w:rPr>
            </w:pPr>
          </w:p>
          <w:p w14:paraId="59853CD0">
            <w:pPr>
              <w:rPr>
                <w:color w:val="auto"/>
                <w:highlight w:val="none"/>
              </w:rPr>
            </w:pPr>
          </w:p>
          <w:p w14:paraId="481BA242">
            <w:pPr>
              <w:rPr>
                <w:color w:val="auto"/>
                <w:highlight w:val="none"/>
              </w:rPr>
            </w:pPr>
          </w:p>
          <w:p w14:paraId="01449A32">
            <w:pPr>
              <w:rPr>
                <w:color w:val="auto"/>
                <w:highlight w:val="none"/>
              </w:rPr>
            </w:pPr>
          </w:p>
          <w:p w14:paraId="212D8D11">
            <w:pPr>
              <w:rPr>
                <w:color w:val="auto"/>
                <w:highlight w:val="none"/>
              </w:rPr>
            </w:pPr>
          </w:p>
          <w:p w14:paraId="36598BBB">
            <w:pPr>
              <w:rPr>
                <w:color w:val="auto"/>
                <w:highlight w:val="none"/>
              </w:rPr>
            </w:pPr>
          </w:p>
          <w:p w14:paraId="6FBBF3AA">
            <w:pPr>
              <w:rPr>
                <w:color w:val="auto"/>
                <w:highlight w:val="none"/>
              </w:rPr>
            </w:pPr>
          </w:p>
          <w:p w14:paraId="27C55DDE">
            <w:pPr>
              <w:rPr>
                <w:color w:val="auto"/>
                <w:highlight w:val="none"/>
              </w:rPr>
            </w:pPr>
          </w:p>
          <w:p w14:paraId="0395BF4E">
            <w:pPr>
              <w:rPr>
                <w:color w:val="auto"/>
                <w:highlight w:val="none"/>
              </w:rPr>
            </w:pPr>
          </w:p>
          <w:p w14:paraId="40192478">
            <w:pPr>
              <w:rPr>
                <w:color w:val="auto"/>
                <w:highlight w:val="none"/>
              </w:rPr>
            </w:pPr>
          </w:p>
          <w:p w14:paraId="7A6FEB2F">
            <w:pPr>
              <w:rPr>
                <w:color w:val="auto"/>
                <w:highlight w:val="none"/>
              </w:rPr>
            </w:pPr>
          </w:p>
          <w:p w14:paraId="0F39CAD9">
            <w:pPr>
              <w:rPr>
                <w:color w:val="auto"/>
                <w:highlight w:val="none"/>
              </w:rPr>
            </w:pPr>
          </w:p>
          <w:p w14:paraId="2B9EF298">
            <w:pPr>
              <w:rPr>
                <w:color w:val="auto"/>
                <w:highlight w:val="none"/>
              </w:rPr>
            </w:pPr>
          </w:p>
          <w:p w14:paraId="76F3E75B">
            <w:pPr>
              <w:rPr>
                <w:color w:val="auto"/>
                <w:highlight w:val="none"/>
              </w:rPr>
            </w:pPr>
          </w:p>
          <w:p w14:paraId="616DC607">
            <w:pPr>
              <w:rPr>
                <w:color w:val="auto"/>
                <w:highlight w:val="none"/>
              </w:rPr>
            </w:pPr>
          </w:p>
          <w:p w14:paraId="2DCA8251">
            <w:pPr>
              <w:rPr>
                <w:color w:val="auto"/>
                <w:highlight w:val="none"/>
              </w:rPr>
            </w:pPr>
          </w:p>
          <w:p w14:paraId="527CBD7A">
            <w:pPr>
              <w:rPr>
                <w:color w:val="auto"/>
                <w:highlight w:val="none"/>
              </w:rPr>
            </w:pPr>
          </w:p>
          <w:p w14:paraId="302BD6C6">
            <w:pPr>
              <w:rPr>
                <w:color w:val="auto"/>
                <w:highlight w:val="none"/>
              </w:rPr>
            </w:pPr>
          </w:p>
          <w:p w14:paraId="34AF1B34">
            <w:pPr>
              <w:rPr>
                <w:color w:val="auto"/>
                <w:highlight w:val="none"/>
              </w:rPr>
            </w:pPr>
          </w:p>
          <w:p w14:paraId="3FB5E7D5">
            <w:pPr>
              <w:rPr>
                <w:color w:val="auto"/>
                <w:highlight w:val="none"/>
              </w:rPr>
            </w:pPr>
          </w:p>
          <w:p w14:paraId="6909DBA6">
            <w:pPr>
              <w:rPr>
                <w:color w:val="auto"/>
                <w:highlight w:val="none"/>
              </w:rPr>
            </w:pPr>
          </w:p>
          <w:p w14:paraId="1861D2DA">
            <w:pPr>
              <w:rPr>
                <w:color w:val="auto"/>
                <w:highlight w:val="none"/>
              </w:rPr>
            </w:pPr>
          </w:p>
          <w:p w14:paraId="59AB09C5">
            <w:pPr>
              <w:rPr>
                <w:color w:val="auto"/>
                <w:highlight w:val="none"/>
              </w:rPr>
            </w:pPr>
          </w:p>
          <w:p w14:paraId="7D091B61">
            <w:pPr>
              <w:rPr>
                <w:color w:val="auto"/>
                <w:highlight w:val="none"/>
              </w:rPr>
            </w:pPr>
          </w:p>
          <w:p w14:paraId="5271612C">
            <w:pPr>
              <w:rPr>
                <w:color w:val="auto"/>
                <w:highlight w:val="none"/>
              </w:rPr>
            </w:pPr>
          </w:p>
          <w:p w14:paraId="7E311C63">
            <w:pPr>
              <w:rPr>
                <w:color w:val="auto"/>
                <w:highlight w:val="none"/>
              </w:rPr>
            </w:pPr>
          </w:p>
          <w:p w14:paraId="16FE0E97">
            <w:pPr>
              <w:rPr>
                <w:color w:val="auto"/>
                <w:highlight w:val="none"/>
              </w:rPr>
            </w:pPr>
          </w:p>
        </w:tc>
      </w:tr>
    </w:tbl>
    <w:p w14:paraId="4A825B55">
      <w:pPr>
        <w:rPr>
          <w:color w:val="auto"/>
          <w:highlight w:val="none"/>
        </w:rPr>
      </w:pPr>
    </w:p>
    <w:p w14:paraId="7B6866FD">
      <w:pPr>
        <w:rPr>
          <w:color w:val="auto"/>
          <w:highlight w:val="none"/>
        </w:rPr>
      </w:pPr>
    </w:p>
    <w:p w14:paraId="0F1A7C74">
      <w:pPr>
        <w:rPr>
          <w:color w:val="auto"/>
          <w:highlight w:val="none"/>
        </w:rPr>
      </w:pPr>
    </w:p>
    <w:p w14:paraId="42FC269C">
      <w:pPr>
        <w:rPr>
          <w:color w:val="auto"/>
          <w:highlight w:val="none"/>
        </w:rPr>
      </w:pPr>
    </w:p>
    <w:p w14:paraId="324743CE">
      <w:pPr>
        <w:rPr>
          <w:color w:val="auto"/>
          <w:highlight w:val="none"/>
        </w:rPr>
        <w:sectPr>
          <w:pgSz w:w="11910" w:h="16840"/>
          <w:pgMar w:top="1600" w:right="790" w:bottom="1180" w:left="1040" w:header="0" w:footer="982" w:gutter="0"/>
          <w:cols w:space="720" w:num="1"/>
        </w:sectPr>
      </w:pPr>
    </w:p>
    <w:p w14:paraId="5152E58B">
      <w:pPr>
        <w:wordWrap w:val="0"/>
        <w:spacing w:before="240" w:beforeLines="100" w:line="300" w:lineRule="auto"/>
        <w:jc w:val="center"/>
        <w:rPr>
          <w:rFonts w:hint="eastAsia" w:eastAsia="黑体"/>
          <w:bCs/>
          <w:color w:val="auto"/>
          <w:kern w:val="44"/>
          <w:sz w:val="28"/>
          <w:szCs w:val="28"/>
          <w:highlight w:val="none"/>
          <w:shd w:val="clear" w:color="auto" w:fill="auto"/>
        </w:rPr>
      </w:pPr>
      <w:bookmarkStart w:id="1575" w:name="_Toc300650506_WPSOffice_Level2"/>
      <w:r>
        <w:rPr>
          <w:rFonts w:hint="eastAsia" w:eastAsia="黑体"/>
          <w:bCs/>
          <w:color w:val="auto"/>
          <w:kern w:val="44"/>
          <w:sz w:val="28"/>
          <w:szCs w:val="28"/>
          <w:highlight w:val="none"/>
          <w:shd w:val="clear" w:color="auto" w:fill="auto"/>
        </w:rPr>
        <w:t>（</w:t>
      </w:r>
      <w:r>
        <w:rPr>
          <w:rFonts w:hint="eastAsia" w:eastAsia="黑体"/>
          <w:bCs/>
          <w:color w:val="auto"/>
          <w:kern w:val="44"/>
          <w:sz w:val="28"/>
          <w:szCs w:val="28"/>
          <w:highlight w:val="none"/>
          <w:shd w:val="clear" w:color="auto" w:fill="auto"/>
          <w:lang w:val="en-US" w:eastAsia="zh-CN"/>
        </w:rPr>
        <w:t>四</w:t>
      </w:r>
      <w:r>
        <w:rPr>
          <w:rFonts w:hint="eastAsia" w:eastAsia="黑体"/>
          <w:bCs/>
          <w:color w:val="auto"/>
          <w:kern w:val="44"/>
          <w:sz w:val="28"/>
          <w:szCs w:val="28"/>
          <w:highlight w:val="none"/>
          <w:shd w:val="clear" w:color="auto" w:fill="auto"/>
        </w:rPr>
        <w:t>）投标人的信誉情况表</w:t>
      </w:r>
      <w:bookmarkEnd w:id="1575"/>
      <w:r>
        <w:rPr>
          <w:rStyle w:val="53"/>
          <w:rFonts w:hint="eastAsia" w:eastAsia="黑体"/>
          <w:bCs/>
          <w:color w:val="auto"/>
          <w:kern w:val="44"/>
          <w:sz w:val="28"/>
          <w:szCs w:val="28"/>
          <w:highlight w:val="none"/>
          <w:shd w:val="clear" w:color="auto" w:fill="auto"/>
        </w:rPr>
        <w:footnoteReference w:id="12"/>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164"/>
        <w:gridCol w:w="6598"/>
      </w:tblGrid>
      <w:tr w14:paraId="5E164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70" w:hRule="exact"/>
          <w:jc w:val="center"/>
        </w:trPr>
        <w:tc>
          <w:tcPr>
            <w:tcW w:w="2164" w:type="dxa"/>
            <w:shd w:val="clear" w:color="auto" w:fill="FFFFFF"/>
            <w:noWrap w:val="0"/>
            <w:vAlign w:val="center"/>
          </w:tcPr>
          <w:p w14:paraId="5910C1FE">
            <w:pPr>
              <w:pStyle w:val="121"/>
              <w:wordWrap w:val="0"/>
              <w:spacing w:before="120" w:beforeLines="50" w:line="300" w:lineRule="auto"/>
              <w:ind w:firstLine="0"/>
              <w:jc w:val="center"/>
              <w:rPr>
                <w:color w:val="auto"/>
                <w:sz w:val="21"/>
                <w:szCs w:val="21"/>
                <w:highlight w:val="none"/>
                <w:shd w:val="clear" w:color="auto" w:fill="auto"/>
              </w:rPr>
            </w:pPr>
            <w:bookmarkStart w:id="1576" w:name="bookmark1962"/>
            <w:r>
              <w:rPr>
                <w:color w:val="auto"/>
                <w:sz w:val="21"/>
                <w:szCs w:val="21"/>
                <w:highlight w:val="none"/>
                <w:shd w:val="clear" w:color="auto" w:fill="auto"/>
              </w:rPr>
              <w:t>项目</w:t>
            </w:r>
            <w:bookmarkEnd w:id="1576"/>
          </w:p>
        </w:tc>
        <w:tc>
          <w:tcPr>
            <w:tcW w:w="6598" w:type="dxa"/>
            <w:shd w:val="clear" w:color="auto" w:fill="FFFFFF"/>
            <w:noWrap w:val="0"/>
            <w:vAlign w:val="center"/>
          </w:tcPr>
          <w:p w14:paraId="19767414">
            <w:pPr>
              <w:pStyle w:val="121"/>
              <w:wordWrap w:val="0"/>
              <w:spacing w:before="120" w:beforeLines="50" w:line="300" w:lineRule="auto"/>
              <w:ind w:firstLine="0"/>
              <w:jc w:val="center"/>
              <w:rPr>
                <w:color w:val="auto"/>
                <w:sz w:val="21"/>
                <w:szCs w:val="21"/>
                <w:highlight w:val="none"/>
                <w:shd w:val="clear" w:color="auto" w:fill="auto"/>
              </w:rPr>
            </w:pPr>
            <w:r>
              <w:rPr>
                <w:color w:val="auto"/>
                <w:sz w:val="21"/>
                <w:szCs w:val="21"/>
                <w:highlight w:val="none"/>
                <w:shd w:val="clear" w:color="auto" w:fill="auto"/>
              </w:rPr>
              <w:t>投标人情况说明</w:t>
            </w:r>
          </w:p>
        </w:tc>
      </w:tr>
      <w:tr w14:paraId="0CD29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38" w:hRule="exact"/>
          <w:jc w:val="center"/>
        </w:trPr>
        <w:tc>
          <w:tcPr>
            <w:tcW w:w="2164" w:type="dxa"/>
            <w:shd w:val="clear" w:color="auto" w:fill="FFFFFF"/>
            <w:noWrap w:val="0"/>
            <w:vAlign w:val="top"/>
          </w:tcPr>
          <w:p w14:paraId="194CEF9C">
            <w:pPr>
              <w:wordWrap w:val="0"/>
              <w:spacing w:before="120" w:beforeLines="50" w:line="300" w:lineRule="auto"/>
              <w:rPr>
                <w:color w:val="auto"/>
                <w:szCs w:val="21"/>
                <w:highlight w:val="none"/>
                <w:shd w:val="clear" w:color="auto" w:fill="auto"/>
              </w:rPr>
            </w:pPr>
          </w:p>
        </w:tc>
        <w:tc>
          <w:tcPr>
            <w:tcW w:w="6598" w:type="dxa"/>
            <w:shd w:val="clear" w:color="auto" w:fill="FFFFFF"/>
            <w:noWrap w:val="0"/>
            <w:vAlign w:val="top"/>
          </w:tcPr>
          <w:p w14:paraId="364C5FF5">
            <w:pPr>
              <w:wordWrap w:val="0"/>
              <w:spacing w:before="120" w:beforeLines="50" w:line="300" w:lineRule="auto"/>
              <w:rPr>
                <w:color w:val="auto"/>
                <w:szCs w:val="21"/>
                <w:highlight w:val="none"/>
                <w:shd w:val="clear" w:color="auto" w:fill="auto"/>
              </w:rPr>
            </w:pPr>
          </w:p>
        </w:tc>
      </w:tr>
      <w:tr w14:paraId="1112A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33" w:hRule="exact"/>
          <w:jc w:val="center"/>
        </w:trPr>
        <w:tc>
          <w:tcPr>
            <w:tcW w:w="2164" w:type="dxa"/>
            <w:shd w:val="clear" w:color="auto" w:fill="FFFFFF"/>
            <w:noWrap w:val="0"/>
            <w:vAlign w:val="top"/>
          </w:tcPr>
          <w:p w14:paraId="19BFA1FE">
            <w:pPr>
              <w:wordWrap w:val="0"/>
              <w:spacing w:before="120" w:beforeLines="50" w:line="300" w:lineRule="auto"/>
              <w:rPr>
                <w:color w:val="auto"/>
                <w:szCs w:val="21"/>
                <w:highlight w:val="none"/>
                <w:shd w:val="clear" w:color="auto" w:fill="auto"/>
              </w:rPr>
            </w:pPr>
          </w:p>
        </w:tc>
        <w:tc>
          <w:tcPr>
            <w:tcW w:w="6598" w:type="dxa"/>
            <w:shd w:val="clear" w:color="auto" w:fill="FFFFFF"/>
            <w:noWrap w:val="0"/>
            <w:vAlign w:val="top"/>
          </w:tcPr>
          <w:p w14:paraId="69F37F09">
            <w:pPr>
              <w:wordWrap w:val="0"/>
              <w:spacing w:before="120" w:beforeLines="50" w:line="300" w:lineRule="auto"/>
              <w:rPr>
                <w:color w:val="auto"/>
                <w:szCs w:val="21"/>
                <w:highlight w:val="none"/>
                <w:shd w:val="clear" w:color="auto" w:fill="auto"/>
              </w:rPr>
            </w:pPr>
          </w:p>
        </w:tc>
      </w:tr>
      <w:tr w14:paraId="1D681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38" w:hRule="exact"/>
          <w:jc w:val="center"/>
        </w:trPr>
        <w:tc>
          <w:tcPr>
            <w:tcW w:w="2164" w:type="dxa"/>
            <w:shd w:val="clear" w:color="auto" w:fill="FFFFFF"/>
            <w:noWrap w:val="0"/>
            <w:vAlign w:val="top"/>
          </w:tcPr>
          <w:p w14:paraId="7A67B48A">
            <w:pPr>
              <w:wordWrap w:val="0"/>
              <w:spacing w:before="120" w:beforeLines="50" w:line="300" w:lineRule="auto"/>
              <w:rPr>
                <w:color w:val="auto"/>
                <w:szCs w:val="21"/>
                <w:highlight w:val="none"/>
                <w:shd w:val="clear" w:color="auto" w:fill="auto"/>
              </w:rPr>
            </w:pPr>
          </w:p>
        </w:tc>
        <w:tc>
          <w:tcPr>
            <w:tcW w:w="6598" w:type="dxa"/>
            <w:shd w:val="clear" w:color="auto" w:fill="FFFFFF"/>
            <w:noWrap w:val="0"/>
            <w:vAlign w:val="top"/>
          </w:tcPr>
          <w:p w14:paraId="38A3E85E">
            <w:pPr>
              <w:wordWrap w:val="0"/>
              <w:spacing w:before="120" w:beforeLines="50" w:line="300" w:lineRule="auto"/>
              <w:rPr>
                <w:color w:val="auto"/>
                <w:szCs w:val="21"/>
                <w:highlight w:val="none"/>
                <w:shd w:val="clear" w:color="auto" w:fill="auto"/>
              </w:rPr>
            </w:pPr>
          </w:p>
        </w:tc>
      </w:tr>
      <w:tr w14:paraId="407FD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33" w:hRule="exact"/>
          <w:jc w:val="center"/>
        </w:trPr>
        <w:tc>
          <w:tcPr>
            <w:tcW w:w="2164" w:type="dxa"/>
            <w:shd w:val="clear" w:color="auto" w:fill="FFFFFF"/>
            <w:noWrap w:val="0"/>
            <w:vAlign w:val="top"/>
          </w:tcPr>
          <w:p w14:paraId="75B37A0F">
            <w:pPr>
              <w:wordWrap w:val="0"/>
              <w:spacing w:before="120" w:beforeLines="50" w:line="300" w:lineRule="auto"/>
              <w:rPr>
                <w:color w:val="auto"/>
                <w:szCs w:val="21"/>
                <w:highlight w:val="none"/>
                <w:shd w:val="clear" w:color="auto" w:fill="auto"/>
              </w:rPr>
            </w:pPr>
          </w:p>
        </w:tc>
        <w:tc>
          <w:tcPr>
            <w:tcW w:w="6598" w:type="dxa"/>
            <w:shd w:val="clear" w:color="auto" w:fill="FFFFFF"/>
            <w:noWrap w:val="0"/>
            <w:vAlign w:val="top"/>
          </w:tcPr>
          <w:p w14:paraId="1EEB68AF">
            <w:pPr>
              <w:wordWrap w:val="0"/>
              <w:spacing w:before="120" w:beforeLines="50" w:line="300" w:lineRule="auto"/>
              <w:rPr>
                <w:color w:val="auto"/>
                <w:szCs w:val="21"/>
                <w:highlight w:val="none"/>
                <w:shd w:val="clear" w:color="auto" w:fill="auto"/>
              </w:rPr>
            </w:pPr>
          </w:p>
        </w:tc>
      </w:tr>
      <w:tr w14:paraId="23F50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38" w:hRule="exact"/>
          <w:jc w:val="center"/>
        </w:trPr>
        <w:tc>
          <w:tcPr>
            <w:tcW w:w="2164" w:type="dxa"/>
            <w:shd w:val="clear" w:color="auto" w:fill="FFFFFF"/>
            <w:noWrap w:val="0"/>
            <w:vAlign w:val="top"/>
          </w:tcPr>
          <w:p w14:paraId="3A8958B8">
            <w:pPr>
              <w:wordWrap w:val="0"/>
              <w:spacing w:before="120" w:beforeLines="50" w:line="300" w:lineRule="auto"/>
              <w:rPr>
                <w:color w:val="auto"/>
                <w:szCs w:val="21"/>
                <w:highlight w:val="none"/>
                <w:shd w:val="clear" w:color="auto" w:fill="auto"/>
              </w:rPr>
            </w:pPr>
          </w:p>
        </w:tc>
        <w:tc>
          <w:tcPr>
            <w:tcW w:w="6598" w:type="dxa"/>
            <w:shd w:val="clear" w:color="auto" w:fill="FFFFFF"/>
            <w:noWrap w:val="0"/>
            <w:vAlign w:val="top"/>
          </w:tcPr>
          <w:p w14:paraId="7E3FD990">
            <w:pPr>
              <w:wordWrap w:val="0"/>
              <w:spacing w:before="120" w:beforeLines="50" w:line="300" w:lineRule="auto"/>
              <w:rPr>
                <w:color w:val="auto"/>
                <w:szCs w:val="21"/>
                <w:highlight w:val="none"/>
                <w:shd w:val="clear" w:color="auto" w:fill="auto"/>
              </w:rPr>
            </w:pPr>
          </w:p>
        </w:tc>
      </w:tr>
      <w:tr w14:paraId="4A557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33" w:hRule="exact"/>
          <w:jc w:val="center"/>
        </w:trPr>
        <w:tc>
          <w:tcPr>
            <w:tcW w:w="2164" w:type="dxa"/>
            <w:shd w:val="clear" w:color="auto" w:fill="FFFFFF"/>
            <w:noWrap w:val="0"/>
            <w:vAlign w:val="top"/>
          </w:tcPr>
          <w:p w14:paraId="5A412244">
            <w:pPr>
              <w:wordWrap w:val="0"/>
              <w:spacing w:before="120" w:beforeLines="50" w:line="300" w:lineRule="auto"/>
              <w:rPr>
                <w:color w:val="auto"/>
                <w:szCs w:val="21"/>
                <w:highlight w:val="none"/>
                <w:shd w:val="clear" w:color="auto" w:fill="auto"/>
              </w:rPr>
            </w:pPr>
          </w:p>
        </w:tc>
        <w:tc>
          <w:tcPr>
            <w:tcW w:w="6598" w:type="dxa"/>
            <w:shd w:val="clear" w:color="auto" w:fill="FFFFFF"/>
            <w:noWrap w:val="0"/>
            <w:vAlign w:val="top"/>
          </w:tcPr>
          <w:p w14:paraId="7CC0E489">
            <w:pPr>
              <w:wordWrap w:val="0"/>
              <w:spacing w:before="120" w:beforeLines="50" w:line="300" w:lineRule="auto"/>
              <w:rPr>
                <w:color w:val="auto"/>
                <w:szCs w:val="21"/>
                <w:highlight w:val="none"/>
                <w:shd w:val="clear" w:color="auto" w:fill="auto"/>
              </w:rPr>
            </w:pPr>
          </w:p>
        </w:tc>
      </w:tr>
      <w:tr w14:paraId="7E801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38" w:hRule="exact"/>
          <w:jc w:val="center"/>
        </w:trPr>
        <w:tc>
          <w:tcPr>
            <w:tcW w:w="2164" w:type="dxa"/>
            <w:shd w:val="clear" w:color="auto" w:fill="FFFFFF"/>
            <w:noWrap w:val="0"/>
            <w:vAlign w:val="top"/>
          </w:tcPr>
          <w:p w14:paraId="68875F5A">
            <w:pPr>
              <w:wordWrap w:val="0"/>
              <w:spacing w:before="120" w:beforeLines="50" w:line="300" w:lineRule="auto"/>
              <w:rPr>
                <w:color w:val="auto"/>
                <w:szCs w:val="21"/>
                <w:highlight w:val="none"/>
                <w:shd w:val="clear" w:color="auto" w:fill="auto"/>
              </w:rPr>
            </w:pPr>
          </w:p>
        </w:tc>
        <w:tc>
          <w:tcPr>
            <w:tcW w:w="6598" w:type="dxa"/>
            <w:shd w:val="clear" w:color="auto" w:fill="FFFFFF"/>
            <w:noWrap w:val="0"/>
            <w:vAlign w:val="top"/>
          </w:tcPr>
          <w:p w14:paraId="4354E60E">
            <w:pPr>
              <w:wordWrap w:val="0"/>
              <w:spacing w:before="120" w:beforeLines="50" w:line="300" w:lineRule="auto"/>
              <w:rPr>
                <w:color w:val="auto"/>
                <w:szCs w:val="21"/>
                <w:highlight w:val="none"/>
                <w:shd w:val="clear" w:color="auto" w:fill="auto"/>
              </w:rPr>
            </w:pPr>
          </w:p>
        </w:tc>
      </w:tr>
      <w:tr w14:paraId="719F4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42" w:hRule="exact"/>
          <w:jc w:val="center"/>
        </w:trPr>
        <w:tc>
          <w:tcPr>
            <w:tcW w:w="2164" w:type="dxa"/>
            <w:shd w:val="clear" w:color="auto" w:fill="FFFFFF"/>
            <w:noWrap w:val="0"/>
            <w:vAlign w:val="top"/>
          </w:tcPr>
          <w:p w14:paraId="172870D3">
            <w:pPr>
              <w:wordWrap w:val="0"/>
              <w:spacing w:before="120" w:beforeLines="50" w:line="300" w:lineRule="auto"/>
              <w:rPr>
                <w:color w:val="auto"/>
                <w:szCs w:val="21"/>
                <w:highlight w:val="none"/>
                <w:shd w:val="clear" w:color="auto" w:fill="auto"/>
              </w:rPr>
            </w:pPr>
          </w:p>
        </w:tc>
        <w:tc>
          <w:tcPr>
            <w:tcW w:w="6598" w:type="dxa"/>
            <w:shd w:val="clear" w:color="auto" w:fill="FFFFFF"/>
            <w:noWrap w:val="0"/>
            <w:vAlign w:val="top"/>
          </w:tcPr>
          <w:p w14:paraId="79BDAAB5">
            <w:pPr>
              <w:wordWrap w:val="0"/>
              <w:spacing w:before="120" w:beforeLines="50" w:line="300" w:lineRule="auto"/>
              <w:rPr>
                <w:color w:val="auto"/>
                <w:szCs w:val="21"/>
                <w:highlight w:val="none"/>
                <w:shd w:val="clear" w:color="auto" w:fill="auto"/>
              </w:rPr>
            </w:pPr>
          </w:p>
        </w:tc>
      </w:tr>
    </w:tbl>
    <w:p w14:paraId="281C2866">
      <w:pPr>
        <w:rPr>
          <w:color w:val="auto"/>
          <w:highlight w:val="none"/>
        </w:rPr>
      </w:pPr>
      <w:r>
        <w:rPr>
          <w:rFonts w:hint="eastAsia"/>
          <w:color w:val="auto"/>
          <w:sz w:val="24"/>
          <w:highlight w:val="none"/>
          <w:shd w:val="clear" w:color="auto" w:fill="auto"/>
        </w:rPr>
        <w:br w:type="page"/>
      </w:r>
    </w:p>
    <w:p w14:paraId="6241B799">
      <w:pPr>
        <w:rPr>
          <w:color w:val="auto"/>
          <w:highlight w:val="none"/>
        </w:rPr>
        <w:sectPr>
          <w:pgSz w:w="11910" w:h="16840"/>
          <w:pgMar w:top="1600" w:right="520" w:bottom="1180" w:left="820" w:header="0" w:footer="982" w:gutter="0"/>
          <w:cols w:space="720" w:num="1"/>
        </w:sectPr>
      </w:pPr>
    </w:p>
    <w:p w14:paraId="6D2B1DD1">
      <w:pPr>
        <w:pStyle w:val="5"/>
        <w:tabs>
          <w:tab w:val="left" w:leader="dot" w:pos="480"/>
        </w:tabs>
        <w:jc w:val="center"/>
        <w:rPr>
          <w:color w:val="auto"/>
          <w:highlight w:val="none"/>
        </w:rPr>
      </w:pPr>
      <w:r>
        <w:rPr>
          <w:rFonts w:hint="eastAsia"/>
          <w:color w:val="auto"/>
          <w:highlight w:val="none"/>
        </w:rPr>
        <w:t>无行贿犯罪记录承诺书</w:t>
      </w:r>
    </w:p>
    <w:p w14:paraId="4D271F65">
      <w:pPr>
        <w:widowControl/>
        <w:adjustRightInd w:val="0"/>
        <w:spacing w:line="360" w:lineRule="auto"/>
        <w:jc w:val="left"/>
        <w:textAlignment w:val="bottom"/>
        <w:rPr>
          <w:rFonts w:ascii="宋体" w:hAnsi="宋体" w:cs="宋体"/>
          <w:color w:val="auto"/>
          <w:sz w:val="24"/>
          <w:highlight w:val="none"/>
          <w:u w:val="single"/>
        </w:rPr>
      </w:pPr>
    </w:p>
    <w:p w14:paraId="325D933F">
      <w:pPr>
        <w:widowControl/>
        <w:adjustRightInd w:val="0"/>
        <w:spacing w:line="360" w:lineRule="auto"/>
        <w:jc w:val="left"/>
        <w:textAlignment w:val="bottom"/>
        <w:rPr>
          <w:rFonts w:ascii="宋体" w:hAnsi="宋体" w:cs="宋体"/>
          <w:color w:val="auto"/>
          <w:sz w:val="24"/>
          <w:highlight w:val="none"/>
        </w:rPr>
      </w:pPr>
      <w:r>
        <w:rPr>
          <w:rFonts w:hint="eastAsia" w:ascii="宋体" w:hAnsi="宋体" w:cs="宋体"/>
          <w:color w:val="auto"/>
          <w:sz w:val="24"/>
          <w:highlight w:val="none"/>
          <w:u w:val="single"/>
        </w:rPr>
        <w:t xml:space="preserve">                         （招标人名称）</w:t>
      </w:r>
      <w:r>
        <w:rPr>
          <w:rFonts w:hint="eastAsia" w:ascii="宋体" w:hAnsi="宋体" w:cs="宋体"/>
          <w:color w:val="auto"/>
          <w:sz w:val="24"/>
          <w:highlight w:val="none"/>
        </w:rPr>
        <w:t>：</w:t>
      </w:r>
    </w:p>
    <w:p w14:paraId="7A8E7D0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我方在此声明，本公司包括企业本身、法定代表人及拟委任的总监理工程师或试验室主任</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如有</w:t>
      </w:r>
      <w:r>
        <w:rPr>
          <w:rFonts w:hint="eastAsia" w:ascii="宋体" w:hAnsi="宋体" w:cs="宋体"/>
          <w:color w:val="auto"/>
          <w:sz w:val="24"/>
          <w:highlight w:val="none"/>
          <w:lang w:eastAsia="zh-CN"/>
        </w:rPr>
        <w:t>）</w:t>
      </w:r>
      <w:r>
        <w:rPr>
          <w:rFonts w:hint="eastAsia" w:ascii="宋体" w:hAnsi="宋体" w:cs="宋体"/>
          <w:color w:val="auto"/>
          <w:sz w:val="24"/>
          <w:highlight w:val="none"/>
        </w:rPr>
        <w:t>近三年内在检察机关无行贿犯罪记录。我方保证上述信息的真实和准确，并愿意承担因我方就此弄虚作假所引起的一切法律后果。</w:t>
      </w:r>
    </w:p>
    <w:p w14:paraId="727B2F8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特此承诺。</w:t>
      </w:r>
    </w:p>
    <w:p w14:paraId="26A09637">
      <w:pPr>
        <w:spacing w:line="360" w:lineRule="auto"/>
        <w:ind w:firstLine="480" w:firstLineChars="200"/>
        <w:rPr>
          <w:rFonts w:ascii="宋体" w:hAnsi="宋体" w:cs="宋体"/>
          <w:color w:val="auto"/>
          <w:sz w:val="24"/>
          <w:highlight w:val="none"/>
        </w:rPr>
      </w:pPr>
    </w:p>
    <w:p w14:paraId="31C8C40B">
      <w:pPr>
        <w:spacing w:line="400" w:lineRule="exact"/>
        <w:jc w:val="right"/>
        <w:rPr>
          <w:rFonts w:ascii="宋体" w:hAnsi="宋体" w:cs="宋体"/>
          <w:color w:val="auto"/>
          <w:sz w:val="24"/>
          <w:highlight w:val="none"/>
        </w:rPr>
      </w:pPr>
      <w:r>
        <w:rPr>
          <w:rFonts w:hint="eastAsia" w:ascii="宋体" w:hAnsi="宋体" w:cs="宋体"/>
          <w:color w:val="auto"/>
          <w:sz w:val="24"/>
          <w:highlight w:val="none"/>
        </w:rPr>
        <w:t xml:space="preserve">        投  标  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（盖单位电子章）</w:t>
      </w:r>
    </w:p>
    <w:p w14:paraId="1ABDA5BF">
      <w:pPr>
        <w:spacing w:line="400" w:lineRule="exact"/>
        <w:jc w:val="right"/>
        <w:rPr>
          <w:rFonts w:ascii="宋体" w:hAnsi="宋体" w:cs="宋体"/>
          <w:color w:val="auto"/>
          <w:sz w:val="24"/>
          <w:highlight w:val="none"/>
        </w:rPr>
      </w:pPr>
      <w:r>
        <w:rPr>
          <w:rFonts w:hint="eastAsia" w:ascii="宋体" w:hAnsi="宋体" w:cs="宋体"/>
          <w:color w:val="auto"/>
          <w:sz w:val="24"/>
          <w:highlight w:val="none"/>
        </w:rPr>
        <w:t xml:space="preserve">                                      </w:t>
      </w:r>
    </w:p>
    <w:p w14:paraId="7AE53309">
      <w:pPr>
        <w:spacing w:line="400" w:lineRule="exact"/>
        <w:jc w:val="right"/>
        <w:rPr>
          <w:rFonts w:ascii="宋体" w:hAnsi="宋体" w:cs="宋体"/>
          <w:color w:val="auto"/>
          <w:sz w:val="24"/>
          <w:highlight w:val="none"/>
        </w:rPr>
      </w:pPr>
      <w:r>
        <w:rPr>
          <w:rFonts w:hint="eastAsia" w:ascii="宋体" w:hAnsi="宋体" w:cs="宋体"/>
          <w:color w:val="auto"/>
          <w:sz w:val="24"/>
          <w:highlight w:val="none"/>
        </w:rPr>
        <w:t xml:space="preserve">                                                                          </w:t>
      </w:r>
    </w:p>
    <w:p w14:paraId="4B7F17D8">
      <w:pPr>
        <w:pStyle w:val="5"/>
        <w:autoSpaceDE w:val="0"/>
        <w:autoSpaceDN w:val="0"/>
        <w:adjustRightInd w:val="0"/>
        <w:spacing w:before="156" w:beforeLines="50" w:after="156" w:afterLines="50"/>
        <w:ind w:firstLine="2356" w:firstLineChars="978"/>
        <w:rPr>
          <w:rFonts w:ascii="宋体" w:hAnsi="宋体" w:eastAsia="宋体"/>
          <w:b w:val="0"/>
          <w:color w:val="auto"/>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CB6985C">
      <w:pPr>
        <w:pStyle w:val="2"/>
        <w:rPr>
          <w:color w:val="auto"/>
          <w:highlight w:val="none"/>
        </w:rPr>
        <w:sectPr>
          <w:pgSz w:w="11910" w:h="16840"/>
          <w:pgMar w:top="1600" w:right="520" w:bottom="1180" w:left="820" w:header="0" w:footer="982" w:gutter="0"/>
          <w:cols w:space="720" w:num="1"/>
        </w:sectPr>
      </w:pPr>
    </w:p>
    <w:p w14:paraId="74DF1AA2">
      <w:pPr>
        <w:pStyle w:val="2"/>
        <w:rPr>
          <w:color w:val="auto"/>
          <w:highlight w:val="none"/>
        </w:rPr>
      </w:pPr>
    </w:p>
    <w:p w14:paraId="5B0D7921">
      <w:pPr>
        <w:rPr>
          <w:color w:val="auto"/>
          <w:highlight w:val="none"/>
        </w:rPr>
      </w:pPr>
    </w:p>
    <w:p w14:paraId="42E50346">
      <w:pPr>
        <w:pStyle w:val="5"/>
        <w:jc w:val="center"/>
        <w:rPr>
          <w:color w:val="auto"/>
          <w:highlight w:val="none"/>
        </w:rPr>
      </w:pPr>
      <w:bookmarkStart w:id="1577" w:name="_Toc488651030"/>
      <w:bookmarkStart w:id="1578" w:name="_Toc487291645"/>
      <w:r>
        <w:rPr>
          <w:rFonts w:hint="eastAsia"/>
          <w:color w:val="auto"/>
          <w:highlight w:val="none"/>
        </w:rPr>
        <w:t>九、定标要素情况表</w:t>
      </w:r>
    </w:p>
    <w:p w14:paraId="6FD9B37A">
      <w:pPr>
        <w:pStyle w:val="18"/>
        <w:spacing w:before="7"/>
        <w:rPr>
          <w:rFonts w:ascii="黑体"/>
          <w:color w:val="auto"/>
          <w:sz w:val="15"/>
          <w:highlight w:val="none"/>
        </w:rPr>
      </w:pPr>
    </w:p>
    <w:p w14:paraId="02442AA3">
      <w:pPr>
        <w:ind w:left="766"/>
        <w:jc w:val="left"/>
        <w:rPr>
          <w:rFonts w:ascii="黑体" w:hAnsi="黑体" w:eastAsia="黑体"/>
          <w:color w:val="auto"/>
          <w:sz w:val="10"/>
          <w:highlight w:val="none"/>
        </w:rPr>
      </w:pPr>
      <w:r>
        <w:rPr>
          <w:rFonts w:hint="eastAsia" w:ascii="黑体" w:hAnsi="黑体" w:eastAsia="黑体"/>
          <w:b/>
          <w:color w:val="auto"/>
          <w:highlight w:val="none"/>
        </w:rPr>
        <w:t>1、</w:t>
      </w:r>
      <w:r>
        <w:rPr>
          <w:rFonts w:hint="eastAsia" w:ascii="黑体" w:hAnsi="黑体" w:eastAsia="黑体"/>
          <w:color w:val="auto"/>
          <w:highlight w:val="none"/>
        </w:rPr>
        <w:t>信用要素情况表</w:t>
      </w:r>
      <w:r>
        <w:rPr>
          <w:rFonts w:hint="eastAsia" w:ascii="黑体" w:hAnsi="黑体" w:eastAsia="黑体"/>
          <w:color w:val="auto"/>
          <w:position w:val="9"/>
          <w:sz w:val="10"/>
          <w:highlight w:val="none"/>
        </w:rPr>
        <w:t>①</w:t>
      </w:r>
    </w:p>
    <w:p w14:paraId="76D2035F">
      <w:pPr>
        <w:pStyle w:val="18"/>
        <w:spacing w:before="10"/>
        <w:rPr>
          <w:rFonts w:ascii="黑体"/>
          <w:color w:val="auto"/>
          <w:sz w:val="13"/>
          <w:highlight w:val="none"/>
        </w:rPr>
      </w:pPr>
    </w:p>
    <w:tbl>
      <w:tblPr>
        <w:tblStyle w:val="44"/>
        <w:tblW w:w="0" w:type="auto"/>
        <w:tblInd w:w="7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64"/>
        <w:gridCol w:w="5753"/>
      </w:tblGrid>
      <w:tr w14:paraId="14437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3364" w:type="dxa"/>
          </w:tcPr>
          <w:p w14:paraId="7EF74480">
            <w:pPr>
              <w:pStyle w:val="116"/>
              <w:spacing w:before="107"/>
              <w:ind w:left="473"/>
              <w:rPr>
                <w:rFonts w:ascii="黑体" w:hAnsi="黑体" w:eastAsia="黑体"/>
                <w:color w:val="auto"/>
                <w:sz w:val="10"/>
                <w:highlight w:val="none"/>
              </w:rPr>
            </w:pPr>
            <w:r>
              <w:rPr>
                <w:rFonts w:hint="eastAsia" w:ascii="黑体" w:hAnsi="黑体" w:eastAsia="黑体"/>
                <w:color w:val="auto"/>
                <w:highlight w:val="none"/>
              </w:rPr>
              <w:t>招标人要求的信用子要素</w:t>
            </w:r>
            <w:r>
              <w:rPr>
                <w:rFonts w:hint="eastAsia" w:ascii="黑体" w:hAnsi="黑体" w:eastAsia="黑体"/>
                <w:color w:val="auto"/>
                <w:position w:val="9"/>
                <w:sz w:val="10"/>
                <w:highlight w:val="none"/>
              </w:rPr>
              <w:t>②</w:t>
            </w:r>
          </w:p>
        </w:tc>
        <w:tc>
          <w:tcPr>
            <w:tcW w:w="5753" w:type="dxa"/>
          </w:tcPr>
          <w:p w14:paraId="56CC7AB4">
            <w:pPr>
              <w:pStyle w:val="116"/>
              <w:spacing w:before="107"/>
              <w:ind w:left="1614"/>
              <w:rPr>
                <w:rFonts w:ascii="黑体" w:eastAsia="黑体"/>
                <w:color w:val="auto"/>
                <w:highlight w:val="none"/>
              </w:rPr>
            </w:pPr>
            <w:r>
              <w:rPr>
                <w:rFonts w:hint="eastAsia" w:ascii="黑体" w:eastAsia="黑体"/>
                <w:color w:val="auto"/>
                <w:highlight w:val="none"/>
              </w:rPr>
              <w:t>投标人提供的证明材料明细</w:t>
            </w:r>
          </w:p>
        </w:tc>
      </w:tr>
      <w:tr w14:paraId="714A9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1" w:hRule="atLeast"/>
        </w:trPr>
        <w:tc>
          <w:tcPr>
            <w:tcW w:w="3364" w:type="dxa"/>
          </w:tcPr>
          <w:p w14:paraId="5D37420B">
            <w:pPr>
              <w:pStyle w:val="116"/>
              <w:rPr>
                <w:rFonts w:ascii="Times New Roman"/>
                <w:color w:val="auto"/>
                <w:sz w:val="18"/>
                <w:highlight w:val="none"/>
              </w:rPr>
            </w:pPr>
          </w:p>
        </w:tc>
        <w:tc>
          <w:tcPr>
            <w:tcW w:w="5753" w:type="dxa"/>
          </w:tcPr>
          <w:p w14:paraId="1C918691">
            <w:pPr>
              <w:pStyle w:val="116"/>
              <w:tabs>
                <w:tab w:val="left" w:pos="1051"/>
              </w:tabs>
              <w:spacing w:before="109"/>
              <w:ind w:left="106"/>
              <w:rPr>
                <w:color w:val="auto"/>
                <w:highlight w:val="none"/>
              </w:rPr>
            </w:pPr>
            <w:r>
              <w:rPr>
                <w:color w:val="auto"/>
                <w:highlight w:val="none"/>
              </w:rPr>
              <w:t>①</w:t>
            </w:r>
            <w:r>
              <w:rPr>
                <w:color w:val="auto"/>
                <w:highlight w:val="none"/>
                <w:u w:val="single"/>
              </w:rPr>
              <w:t xml:space="preserve"> </w:t>
            </w:r>
            <w:r>
              <w:rPr>
                <w:color w:val="auto"/>
                <w:highlight w:val="none"/>
                <w:u w:val="single"/>
              </w:rPr>
              <w:tab/>
            </w:r>
            <w:r>
              <w:rPr>
                <w:color w:val="auto"/>
                <w:highlight w:val="none"/>
              </w:rPr>
              <w:t>；</w:t>
            </w:r>
          </w:p>
          <w:p w14:paraId="49D258C9">
            <w:pPr>
              <w:pStyle w:val="116"/>
              <w:tabs>
                <w:tab w:val="left" w:pos="1051"/>
              </w:tabs>
              <w:spacing w:before="88"/>
              <w:ind w:left="106"/>
              <w:rPr>
                <w:color w:val="auto"/>
                <w:highlight w:val="none"/>
              </w:rPr>
            </w:pPr>
            <w:r>
              <w:rPr>
                <w:color w:val="auto"/>
                <w:highlight w:val="none"/>
              </w:rPr>
              <w:t>②</w:t>
            </w:r>
            <w:r>
              <w:rPr>
                <w:color w:val="auto"/>
                <w:highlight w:val="none"/>
                <w:u w:val="single"/>
              </w:rPr>
              <w:t xml:space="preserve"> </w:t>
            </w:r>
            <w:r>
              <w:rPr>
                <w:color w:val="auto"/>
                <w:highlight w:val="none"/>
                <w:u w:val="single"/>
              </w:rPr>
              <w:tab/>
            </w:r>
            <w:r>
              <w:rPr>
                <w:color w:val="auto"/>
                <w:highlight w:val="none"/>
              </w:rPr>
              <w:t>；</w:t>
            </w:r>
          </w:p>
          <w:p w14:paraId="199AD2A6">
            <w:pPr>
              <w:pStyle w:val="116"/>
              <w:spacing w:before="137"/>
              <w:ind w:left="106"/>
              <w:rPr>
                <w:color w:val="auto"/>
                <w:highlight w:val="none"/>
              </w:rPr>
            </w:pPr>
            <w:r>
              <w:rPr>
                <w:color w:val="auto"/>
                <w:highlight w:val="none"/>
              </w:rPr>
              <w:t>③</w:t>
            </w:r>
            <w:r>
              <w:rPr>
                <w:color w:val="auto"/>
                <w:highlight w:val="none"/>
                <w:u w:val="single"/>
              </w:rPr>
              <w:t xml:space="preserve">…… </w:t>
            </w:r>
          </w:p>
        </w:tc>
      </w:tr>
      <w:tr w14:paraId="1A66B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9117" w:type="dxa"/>
            <w:gridSpan w:val="2"/>
          </w:tcPr>
          <w:p w14:paraId="646D37E3">
            <w:pPr>
              <w:pStyle w:val="116"/>
              <w:spacing w:before="109"/>
              <w:ind w:left="107"/>
              <w:rPr>
                <w:color w:val="auto"/>
                <w:highlight w:val="none"/>
              </w:rPr>
            </w:pPr>
            <w:r>
              <w:rPr>
                <w:color w:val="auto"/>
                <w:highlight w:val="none"/>
              </w:rPr>
              <w:t>说明：投标人应根据招标文件第四章定标</w:t>
            </w:r>
            <w:r>
              <w:rPr>
                <w:rFonts w:hint="eastAsia"/>
                <w:color w:val="auto"/>
                <w:highlight w:val="none"/>
              </w:rPr>
              <w:t>方案</w:t>
            </w:r>
            <w:r>
              <w:rPr>
                <w:color w:val="auto"/>
                <w:highlight w:val="none"/>
              </w:rPr>
              <w:t>的前附表中定标要素编列内容的规定提供与信用子</w:t>
            </w:r>
          </w:p>
          <w:p w14:paraId="48A6EBEC">
            <w:pPr>
              <w:pStyle w:val="116"/>
              <w:spacing w:before="130"/>
              <w:ind w:left="107"/>
              <w:rPr>
                <w:color w:val="auto"/>
                <w:highlight w:val="none"/>
              </w:rPr>
            </w:pPr>
            <w:r>
              <w:rPr>
                <w:color w:val="auto"/>
                <w:highlight w:val="none"/>
              </w:rPr>
              <w:t>要素有关的证明材料，作为附件列于本表续页并按上述明细顺序列编，附件是本表的组成部分。</w:t>
            </w:r>
          </w:p>
        </w:tc>
      </w:tr>
    </w:tbl>
    <w:p w14:paraId="58763AFA">
      <w:pPr>
        <w:pStyle w:val="18"/>
        <w:rPr>
          <w:rFonts w:ascii="黑体"/>
          <w:color w:val="auto"/>
          <w:sz w:val="20"/>
          <w:highlight w:val="none"/>
        </w:rPr>
      </w:pPr>
    </w:p>
    <w:p w14:paraId="47BF451F">
      <w:pPr>
        <w:pStyle w:val="18"/>
        <w:rPr>
          <w:rFonts w:ascii="黑体"/>
          <w:color w:val="auto"/>
          <w:sz w:val="20"/>
          <w:highlight w:val="none"/>
        </w:rPr>
      </w:pPr>
    </w:p>
    <w:p w14:paraId="10792894">
      <w:pPr>
        <w:pStyle w:val="18"/>
        <w:rPr>
          <w:rFonts w:ascii="黑体"/>
          <w:color w:val="auto"/>
          <w:sz w:val="20"/>
          <w:highlight w:val="none"/>
        </w:rPr>
      </w:pPr>
    </w:p>
    <w:p w14:paraId="7F1A6201">
      <w:pPr>
        <w:pStyle w:val="18"/>
        <w:rPr>
          <w:rFonts w:ascii="黑体"/>
          <w:color w:val="auto"/>
          <w:sz w:val="20"/>
          <w:highlight w:val="none"/>
        </w:rPr>
      </w:pPr>
    </w:p>
    <w:p w14:paraId="18F6DA2C">
      <w:pPr>
        <w:pStyle w:val="18"/>
        <w:rPr>
          <w:rFonts w:ascii="黑体"/>
          <w:color w:val="auto"/>
          <w:sz w:val="20"/>
          <w:highlight w:val="none"/>
        </w:rPr>
      </w:pPr>
    </w:p>
    <w:p w14:paraId="0D5E1A50">
      <w:pPr>
        <w:pStyle w:val="18"/>
        <w:rPr>
          <w:rFonts w:ascii="黑体"/>
          <w:color w:val="auto"/>
          <w:sz w:val="20"/>
          <w:highlight w:val="none"/>
        </w:rPr>
      </w:pPr>
    </w:p>
    <w:p w14:paraId="3DF48DF3">
      <w:pPr>
        <w:pStyle w:val="18"/>
        <w:rPr>
          <w:rFonts w:ascii="黑体"/>
          <w:color w:val="auto"/>
          <w:sz w:val="20"/>
          <w:highlight w:val="none"/>
        </w:rPr>
      </w:pPr>
    </w:p>
    <w:p w14:paraId="099930FA">
      <w:pPr>
        <w:pStyle w:val="18"/>
        <w:rPr>
          <w:rFonts w:ascii="黑体"/>
          <w:color w:val="auto"/>
          <w:sz w:val="20"/>
          <w:highlight w:val="none"/>
        </w:rPr>
      </w:pPr>
    </w:p>
    <w:p w14:paraId="410DF86B">
      <w:pPr>
        <w:pStyle w:val="18"/>
        <w:rPr>
          <w:rFonts w:ascii="黑体"/>
          <w:color w:val="auto"/>
          <w:sz w:val="20"/>
          <w:highlight w:val="none"/>
        </w:rPr>
      </w:pPr>
    </w:p>
    <w:p w14:paraId="1B11D78C">
      <w:pPr>
        <w:pStyle w:val="18"/>
        <w:rPr>
          <w:rFonts w:ascii="黑体"/>
          <w:color w:val="auto"/>
          <w:sz w:val="20"/>
          <w:highlight w:val="none"/>
        </w:rPr>
      </w:pPr>
    </w:p>
    <w:p w14:paraId="53E7894C">
      <w:pPr>
        <w:pStyle w:val="18"/>
        <w:rPr>
          <w:rFonts w:ascii="黑体"/>
          <w:color w:val="auto"/>
          <w:sz w:val="20"/>
          <w:highlight w:val="none"/>
        </w:rPr>
      </w:pPr>
    </w:p>
    <w:p w14:paraId="5CAE0C5E">
      <w:pPr>
        <w:pStyle w:val="18"/>
        <w:rPr>
          <w:rFonts w:ascii="黑体"/>
          <w:color w:val="auto"/>
          <w:sz w:val="20"/>
          <w:highlight w:val="none"/>
        </w:rPr>
      </w:pPr>
    </w:p>
    <w:p w14:paraId="7E46E0AA">
      <w:pPr>
        <w:pStyle w:val="18"/>
        <w:rPr>
          <w:rFonts w:ascii="黑体"/>
          <w:color w:val="auto"/>
          <w:sz w:val="20"/>
          <w:highlight w:val="none"/>
        </w:rPr>
      </w:pPr>
    </w:p>
    <w:p w14:paraId="173411C9">
      <w:pPr>
        <w:pStyle w:val="18"/>
        <w:rPr>
          <w:rFonts w:ascii="黑体"/>
          <w:color w:val="auto"/>
          <w:sz w:val="20"/>
          <w:highlight w:val="none"/>
        </w:rPr>
      </w:pPr>
    </w:p>
    <w:p w14:paraId="6064FB93">
      <w:pPr>
        <w:pStyle w:val="18"/>
        <w:rPr>
          <w:rFonts w:ascii="黑体"/>
          <w:color w:val="auto"/>
          <w:sz w:val="20"/>
          <w:highlight w:val="none"/>
        </w:rPr>
      </w:pPr>
    </w:p>
    <w:p w14:paraId="0B1A8F07">
      <w:pPr>
        <w:pStyle w:val="18"/>
        <w:rPr>
          <w:rFonts w:ascii="黑体"/>
          <w:color w:val="auto"/>
          <w:sz w:val="20"/>
          <w:highlight w:val="none"/>
        </w:rPr>
      </w:pPr>
    </w:p>
    <w:p w14:paraId="5685763E">
      <w:pPr>
        <w:pStyle w:val="18"/>
        <w:rPr>
          <w:rFonts w:ascii="黑体"/>
          <w:color w:val="auto"/>
          <w:sz w:val="20"/>
          <w:highlight w:val="none"/>
        </w:rPr>
      </w:pPr>
    </w:p>
    <w:p w14:paraId="23731690">
      <w:pPr>
        <w:pStyle w:val="18"/>
        <w:rPr>
          <w:rFonts w:ascii="黑体"/>
          <w:color w:val="auto"/>
          <w:sz w:val="20"/>
          <w:highlight w:val="none"/>
        </w:rPr>
      </w:pPr>
    </w:p>
    <w:p w14:paraId="11FB4257">
      <w:pPr>
        <w:pStyle w:val="18"/>
        <w:rPr>
          <w:rFonts w:ascii="黑体"/>
          <w:color w:val="auto"/>
          <w:sz w:val="20"/>
          <w:highlight w:val="none"/>
        </w:rPr>
      </w:pPr>
    </w:p>
    <w:p w14:paraId="0C087C24">
      <w:pPr>
        <w:pStyle w:val="18"/>
        <w:spacing w:before="6"/>
        <w:rPr>
          <w:rFonts w:ascii="黑体"/>
          <w:color w:val="auto"/>
          <w:highlight w:val="none"/>
        </w:rPr>
      </w:pPr>
      <w:r>
        <w:rPr>
          <w:color w:val="auto"/>
          <w:highlight w:val="none"/>
        </w:rPr>
        <mc:AlternateContent>
          <mc:Choice Requires="wps">
            <w:drawing>
              <wp:anchor distT="0" distB="0" distL="114300" distR="114300" simplePos="0" relativeHeight="251665408" behindDoc="1" locked="0" layoutInCell="1" allowOverlap="1">
                <wp:simplePos x="0" y="0"/>
                <wp:positionH relativeFrom="page">
                  <wp:posOffset>1007745</wp:posOffset>
                </wp:positionH>
                <wp:positionV relativeFrom="paragraph">
                  <wp:posOffset>199390</wp:posOffset>
                </wp:positionV>
                <wp:extent cx="1828800" cy="0"/>
                <wp:effectExtent l="0" t="0" r="0" b="0"/>
                <wp:wrapTopAndBottom/>
                <wp:docPr id="3" name="直线 3"/>
                <wp:cNvGraphicFramePr/>
                <a:graphic xmlns:a="http://schemas.openxmlformats.org/drawingml/2006/main">
                  <a:graphicData uri="http://schemas.microsoft.com/office/word/2010/wordprocessingShape">
                    <wps:wsp>
                      <wps:cNvCnPr/>
                      <wps:spPr>
                        <a:xfrm>
                          <a:off x="0" y="0"/>
                          <a:ext cx="1828800" cy="0"/>
                        </a:xfrm>
                        <a:prstGeom prst="line">
                          <a:avLst/>
                        </a:prstGeom>
                        <a:ln w="0" cap="flat" cmpd="sng">
                          <a:solidFill>
                            <a:srgbClr val="000000"/>
                          </a:solidFill>
                          <a:prstDash val="solid"/>
                          <a:headEnd type="none" w="med" len="med"/>
                          <a:tailEnd type="none" w="med" len="med"/>
                        </a:ln>
                      </wps:spPr>
                      <wps:bodyPr/>
                    </wps:wsp>
                  </a:graphicData>
                </a:graphic>
              </wp:anchor>
            </w:drawing>
          </mc:Choice>
          <mc:Fallback>
            <w:pict>
              <v:line id="直线 3" o:spid="_x0000_s1026" o:spt="20" style="position:absolute;left:0pt;margin-left:79.35pt;margin-top:15.7pt;height:0pt;width:144pt;mso-position-horizontal-relative:page;mso-wrap-distance-bottom:0pt;mso-wrap-distance-top:0pt;z-index:-251651072;mso-width-relative:page;mso-height-relative:page;" filled="f" stroked="t" coordsize="21600,21600" o:gfxdata="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F7ulnDWAAAACQEAAA8AAAAAAAAA&#10;AQAgAAAAIgAAAGRycy9kb3ducmV2LnhtbFBLAQIUABQAAAAIAIdO4kBg5Vre2gEAAMwDAAAOAAAA&#10;AAAAAAEAIAAAACUBAABkcnMvZTJvRG9jLnhtbFBLBQYAAAAABgAGAFkBAABxBQAAAAA=&#10;">
                <v:fill on="f" focussize="0,0"/>
                <v:stroke weight="0pt" color="#000000" joinstyle="round"/>
                <v:imagedata o:title=""/>
                <o:lock v:ext="edit" aspectratio="f"/>
                <w10:wrap type="topAndBottom"/>
              </v:line>
            </w:pict>
          </mc:Fallback>
        </mc:AlternateContent>
      </w:r>
    </w:p>
    <w:p w14:paraId="0E02F794">
      <w:pPr>
        <w:spacing w:before="101"/>
        <w:ind w:left="766"/>
        <w:jc w:val="left"/>
        <w:rPr>
          <w:color w:val="auto"/>
          <w:sz w:val="15"/>
          <w:highlight w:val="none"/>
        </w:rPr>
      </w:pPr>
      <w:r>
        <w:rPr>
          <w:color w:val="auto"/>
          <w:sz w:val="15"/>
          <w:highlight w:val="none"/>
        </w:rPr>
        <w:t>①投标人针对每一项信用子要素需分别单独编制情况表。</w:t>
      </w:r>
    </w:p>
    <w:p w14:paraId="319678CB">
      <w:pPr>
        <w:spacing w:before="8"/>
        <w:ind w:left="766"/>
        <w:jc w:val="left"/>
        <w:rPr>
          <w:color w:val="auto"/>
          <w:sz w:val="15"/>
          <w:highlight w:val="none"/>
        </w:rPr>
      </w:pPr>
      <w:r>
        <w:rPr>
          <w:color w:val="auto"/>
          <w:sz w:val="15"/>
          <w:highlight w:val="none"/>
        </w:rPr>
        <w:t>②此处由投标人根据招标文件第四章定标</w:t>
      </w:r>
      <w:r>
        <w:rPr>
          <w:rFonts w:hint="eastAsia"/>
          <w:color w:val="auto"/>
          <w:sz w:val="15"/>
          <w:highlight w:val="none"/>
        </w:rPr>
        <w:t>方案</w:t>
      </w:r>
      <w:r>
        <w:rPr>
          <w:color w:val="auto"/>
          <w:sz w:val="15"/>
          <w:highlight w:val="none"/>
        </w:rPr>
        <w:t>规定的定标要素中的信用要素填入相应的子要素。</w:t>
      </w:r>
    </w:p>
    <w:p w14:paraId="468F68A1">
      <w:pPr>
        <w:jc w:val="left"/>
        <w:rPr>
          <w:color w:val="auto"/>
          <w:sz w:val="15"/>
          <w:highlight w:val="none"/>
        </w:rPr>
        <w:sectPr>
          <w:pgSz w:w="11910" w:h="16840"/>
          <w:pgMar w:top="1600" w:right="520" w:bottom="1180" w:left="820" w:header="0" w:footer="982" w:gutter="0"/>
          <w:cols w:space="720" w:num="1"/>
        </w:sectPr>
      </w:pPr>
    </w:p>
    <w:p w14:paraId="45A6C575">
      <w:pPr>
        <w:rPr>
          <w:color w:val="auto"/>
          <w:highlight w:val="none"/>
        </w:rPr>
      </w:pPr>
    </w:p>
    <w:p w14:paraId="3F6AA43E">
      <w:pPr>
        <w:spacing w:before="49"/>
        <w:ind w:left="767" w:hanging="767" w:hangingChars="364"/>
        <w:jc w:val="left"/>
        <w:rPr>
          <w:rFonts w:ascii="黑体" w:hAnsi="黑体" w:eastAsia="黑体"/>
          <w:color w:val="auto"/>
          <w:sz w:val="10"/>
          <w:highlight w:val="none"/>
        </w:rPr>
      </w:pPr>
      <w:r>
        <w:rPr>
          <w:rFonts w:hint="eastAsia" w:ascii="黑体" w:hAnsi="黑体" w:eastAsia="黑体"/>
          <w:b/>
          <w:color w:val="auto"/>
          <w:highlight w:val="none"/>
        </w:rPr>
        <w:t>2、</w:t>
      </w:r>
      <w:r>
        <w:rPr>
          <w:rFonts w:hint="eastAsia" w:ascii="黑体" w:hAnsi="黑体" w:eastAsia="黑体"/>
          <w:color w:val="auto"/>
          <w:highlight w:val="none"/>
        </w:rPr>
        <w:t>实力要素情况表</w:t>
      </w:r>
      <w:r>
        <w:rPr>
          <w:rFonts w:hint="eastAsia" w:ascii="黑体" w:hAnsi="黑体" w:eastAsia="黑体"/>
          <w:color w:val="auto"/>
          <w:position w:val="9"/>
          <w:sz w:val="10"/>
          <w:highlight w:val="none"/>
        </w:rPr>
        <w:t>①</w:t>
      </w:r>
    </w:p>
    <w:tbl>
      <w:tblPr>
        <w:tblStyle w:val="44"/>
        <w:tblpPr w:leftFromText="180" w:rightFromText="180" w:vertAnchor="text" w:horzAnchor="page" w:tblpX="1306" w:tblpY="508"/>
        <w:tblOverlap w:val="neve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58"/>
        <w:gridCol w:w="5759"/>
      </w:tblGrid>
      <w:tr w14:paraId="7CA73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3358" w:type="dxa"/>
          </w:tcPr>
          <w:p w14:paraId="1154CD97">
            <w:pPr>
              <w:pStyle w:val="116"/>
              <w:spacing w:before="107"/>
              <w:ind w:left="470"/>
              <w:rPr>
                <w:rFonts w:ascii="黑体" w:hAnsi="黑体" w:eastAsia="黑体"/>
                <w:color w:val="auto"/>
                <w:sz w:val="10"/>
                <w:highlight w:val="none"/>
              </w:rPr>
            </w:pPr>
            <w:r>
              <w:rPr>
                <w:rFonts w:hint="eastAsia" w:ascii="黑体" w:hAnsi="黑体" w:eastAsia="黑体"/>
                <w:color w:val="auto"/>
                <w:highlight w:val="none"/>
              </w:rPr>
              <w:t>招标人要求的实力子要素</w:t>
            </w:r>
            <w:r>
              <w:rPr>
                <w:rFonts w:hint="eastAsia" w:ascii="黑体" w:hAnsi="黑体" w:eastAsia="黑体"/>
                <w:color w:val="auto"/>
                <w:position w:val="9"/>
                <w:sz w:val="10"/>
                <w:highlight w:val="none"/>
              </w:rPr>
              <w:t>②</w:t>
            </w:r>
          </w:p>
        </w:tc>
        <w:tc>
          <w:tcPr>
            <w:tcW w:w="5759" w:type="dxa"/>
          </w:tcPr>
          <w:p w14:paraId="77BAFFC1">
            <w:pPr>
              <w:pStyle w:val="116"/>
              <w:spacing w:before="107"/>
              <w:ind w:left="1616"/>
              <w:rPr>
                <w:rFonts w:ascii="黑体" w:eastAsia="黑体"/>
                <w:color w:val="auto"/>
                <w:highlight w:val="none"/>
              </w:rPr>
            </w:pPr>
            <w:r>
              <w:rPr>
                <w:rFonts w:hint="eastAsia" w:ascii="黑体" w:eastAsia="黑体"/>
                <w:color w:val="auto"/>
                <w:highlight w:val="none"/>
              </w:rPr>
              <w:t>投标人提供的证明材料明细</w:t>
            </w:r>
          </w:p>
        </w:tc>
      </w:tr>
      <w:tr w14:paraId="7550D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1" w:hRule="atLeast"/>
        </w:trPr>
        <w:tc>
          <w:tcPr>
            <w:tcW w:w="3358" w:type="dxa"/>
          </w:tcPr>
          <w:p w14:paraId="43420190">
            <w:pPr>
              <w:pStyle w:val="116"/>
              <w:rPr>
                <w:rFonts w:ascii="Times New Roman"/>
                <w:color w:val="auto"/>
                <w:sz w:val="18"/>
                <w:highlight w:val="none"/>
              </w:rPr>
            </w:pPr>
          </w:p>
        </w:tc>
        <w:tc>
          <w:tcPr>
            <w:tcW w:w="5759" w:type="dxa"/>
          </w:tcPr>
          <w:p w14:paraId="5D457C11">
            <w:pPr>
              <w:pStyle w:val="116"/>
              <w:tabs>
                <w:tab w:val="left" w:pos="1051"/>
              </w:tabs>
              <w:spacing w:before="109"/>
              <w:ind w:left="106"/>
              <w:rPr>
                <w:color w:val="auto"/>
                <w:highlight w:val="none"/>
              </w:rPr>
            </w:pPr>
            <w:r>
              <w:rPr>
                <w:color w:val="auto"/>
                <w:highlight w:val="none"/>
              </w:rPr>
              <w:t>①</w:t>
            </w:r>
            <w:r>
              <w:rPr>
                <w:color w:val="auto"/>
                <w:highlight w:val="none"/>
                <w:u w:val="single"/>
              </w:rPr>
              <w:t xml:space="preserve"> </w:t>
            </w:r>
            <w:r>
              <w:rPr>
                <w:color w:val="auto"/>
                <w:highlight w:val="none"/>
                <w:u w:val="single"/>
              </w:rPr>
              <w:tab/>
            </w:r>
            <w:r>
              <w:rPr>
                <w:color w:val="auto"/>
                <w:highlight w:val="none"/>
              </w:rPr>
              <w:t>；</w:t>
            </w:r>
          </w:p>
          <w:p w14:paraId="06BD9205">
            <w:pPr>
              <w:pStyle w:val="116"/>
              <w:tabs>
                <w:tab w:val="left" w:pos="1051"/>
              </w:tabs>
              <w:spacing w:before="88"/>
              <w:ind w:left="106"/>
              <w:rPr>
                <w:color w:val="auto"/>
                <w:highlight w:val="none"/>
              </w:rPr>
            </w:pPr>
            <w:r>
              <w:rPr>
                <w:color w:val="auto"/>
                <w:highlight w:val="none"/>
              </w:rPr>
              <w:t>②</w:t>
            </w:r>
            <w:r>
              <w:rPr>
                <w:color w:val="auto"/>
                <w:highlight w:val="none"/>
                <w:u w:val="single"/>
              </w:rPr>
              <w:t xml:space="preserve"> </w:t>
            </w:r>
            <w:r>
              <w:rPr>
                <w:color w:val="auto"/>
                <w:highlight w:val="none"/>
                <w:u w:val="single"/>
              </w:rPr>
              <w:tab/>
            </w:r>
            <w:r>
              <w:rPr>
                <w:color w:val="auto"/>
                <w:highlight w:val="none"/>
              </w:rPr>
              <w:t>；</w:t>
            </w:r>
          </w:p>
          <w:p w14:paraId="231782CD">
            <w:pPr>
              <w:pStyle w:val="116"/>
              <w:spacing w:before="137"/>
              <w:ind w:left="106"/>
              <w:rPr>
                <w:color w:val="auto"/>
                <w:highlight w:val="none"/>
              </w:rPr>
            </w:pPr>
            <w:r>
              <w:rPr>
                <w:color w:val="auto"/>
                <w:highlight w:val="none"/>
              </w:rPr>
              <w:t>③</w:t>
            </w:r>
            <w:r>
              <w:rPr>
                <w:color w:val="auto"/>
                <w:highlight w:val="none"/>
                <w:u w:val="single"/>
              </w:rPr>
              <w:t xml:space="preserve">…… </w:t>
            </w:r>
          </w:p>
        </w:tc>
      </w:tr>
      <w:tr w14:paraId="765B9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9117" w:type="dxa"/>
            <w:gridSpan w:val="2"/>
          </w:tcPr>
          <w:p w14:paraId="46F6CA4E">
            <w:pPr>
              <w:pStyle w:val="116"/>
              <w:spacing w:before="109"/>
              <w:ind w:left="107"/>
              <w:rPr>
                <w:color w:val="auto"/>
                <w:highlight w:val="none"/>
              </w:rPr>
            </w:pPr>
            <w:r>
              <w:rPr>
                <w:color w:val="auto"/>
                <w:highlight w:val="none"/>
              </w:rPr>
              <w:t>说明：投标人应根据招标文件第四章定标</w:t>
            </w:r>
            <w:r>
              <w:rPr>
                <w:rFonts w:hint="eastAsia"/>
                <w:color w:val="auto"/>
                <w:highlight w:val="none"/>
              </w:rPr>
              <w:t>方案</w:t>
            </w:r>
            <w:r>
              <w:rPr>
                <w:color w:val="auto"/>
                <w:highlight w:val="none"/>
              </w:rPr>
              <w:t>的前附表中定标要素编列内容的规定提供与实力子</w:t>
            </w:r>
          </w:p>
          <w:p w14:paraId="1EEDB3F5">
            <w:pPr>
              <w:pStyle w:val="116"/>
              <w:spacing w:before="130"/>
              <w:ind w:left="107"/>
              <w:rPr>
                <w:color w:val="auto"/>
                <w:highlight w:val="none"/>
              </w:rPr>
            </w:pPr>
            <w:r>
              <w:rPr>
                <w:color w:val="auto"/>
                <w:highlight w:val="none"/>
              </w:rPr>
              <w:t>要素有关的证明材料，作为附件列于本表续页并按上述明细顺序列编，附件是本表的组成部分。</w:t>
            </w:r>
          </w:p>
        </w:tc>
      </w:tr>
    </w:tbl>
    <w:p w14:paraId="7E9FC30D">
      <w:pPr>
        <w:pStyle w:val="18"/>
        <w:rPr>
          <w:rFonts w:ascii="黑体"/>
          <w:color w:val="auto"/>
          <w:sz w:val="20"/>
          <w:highlight w:val="none"/>
        </w:rPr>
      </w:pPr>
    </w:p>
    <w:p w14:paraId="12B34B7F">
      <w:pPr>
        <w:pStyle w:val="18"/>
        <w:rPr>
          <w:rFonts w:ascii="黑体"/>
          <w:color w:val="auto"/>
          <w:sz w:val="20"/>
          <w:highlight w:val="none"/>
        </w:rPr>
      </w:pPr>
    </w:p>
    <w:p w14:paraId="56332B31">
      <w:pPr>
        <w:pStyle w:val="18"/>
        <w:rPr>
          <w:rFonts w:ascii="黑体"/>
          <w:color w:val="auto"/>
          <w:sz w:val="20"/>
          <w:highlight w:val="none"/>
        </w:rPr>
      </w:pPr>
    </w:p>
    <w:p w14:paraId="6372942E">
      <w:pPr>
        <w:pStyle w:val="18"/>
        <w:rPr>
          <w:rFonts w:ascii="黑体"/>
          <w:color w:val="auto"/>
          <w:sz w:val="20"/>
          <w:highlight w:val="none"/>
        </w:rPr>
      </w:pPr>
    </w:p>
    <w:p w14:paraId="29377EDD">
      <w:pPr>
        <w:pStyle w:val="18"/>
        <w:rPr>
          <w:rFonts w:ascii="黑体"/>
          <w:color w:val="auto"/>
          <w:sz w:val="20"/>
          <w:highlight w:val="none"/>
        </w:rPr>
      </w:pPr>
    </w:p>
    <w:p w14:paraId="43AEE046">
      <w:pPr>
        <w:pStyle w:val="18"/>
        <w:rPr>
          <w:rFonts w:ascii="黑体"/>
          <w:color w:val="auto"/>
          <w:sz w:val="20"/>
          <w:highlight w:val="none"/>
        </w:rPr>
      </w:pPr>
    </w:p>
    <w:p w14:paraId="5C293FDE">
      <w:pPr>
        <w:pStyle w:val="18"/>
        <w:rPr>
          <w:rFonts w:ascii="黑体"/>
          <w:color w:val="auto"/>
          <w:sz w:val="20"/>
          <w:highlight w:val="none"/>
        </w:rPr>
      </w:pPr>
    </w:p>
    <w:p w14:paraId="3E22C5D3">
      <w:pPr>
        <w:pStyle w:val="18"/>
        <w:rPr>
          <w:rFonts w:ascii="黑体"/>
          <w:color w:val="auto"/>
          <w:sz w:val="20"/>
          <w:highlight w:val="none"/>
        </w:rPr>
      </w:pPr>
    </w:p>
    <w:p w14:paraId="70AEC5EB">
      <w:pPr>
        <w:pStyle w:val="18"/>
        <w:rPr>
          <w:rFonts w:ascii="黑体"/>
          <w:color w:val="auto"/>
          <w:sz w:val="20"/>
          <w:highlight w:val="none"/>
        </w:rPr>
      </w:pPr>
    </w:p>
    <w:p w14:paraId="45055B74">
      <w:pPr>
        <w:pStyle w:val="18"/>
        <w:rPr>
          <w:rFonts w:ascii="黑体"/>
          <w:color w:val="auto"/>
          <w:sz w:val="20"/>
          <w:highlight w:val="none"/>
        </w:rPr>
      </w:pPr>
    </w:p>
    <w:p w14:paraId="06CD2092">
      <w:pPr>
        <w:pStyle w:val="18"/>
        <w:rPr>
          <w:rFonts w:ascii="黑体"/>
          <w:color w:val="auto"/>
          <w:sz w:val="20"/>
          <w:highlight w:val="none"/>
        </w:rPr>
      </w:pPr>
    </w:p>
    <w:p w14:paraId="5BA8BEAC">
      <w:pPr>
        <w:pStyle w:val="18"/>
        <w:rPr>
          <w:rFonts w:ascii="黑体"/>
          <w:color w:val="auto"/>
          <w:sz w:val="20"/>
          <w:highlight w:val="none"/>
        </w:rPr>
      </w:pPr>
    </w:p>
    <w:p w14:paraId="25BFCAF8">
      <w:pPr>
        <w:pStyle w:val="18"/>
        <w:rPr>
          <w:rFonts w:ascii="黑体"/>
          <w:color w:val="auto"/>
          <w:sz w:val="20"/>
          <w:highlight w:val="none"/>
        </w:rPr>
      </w:pPr>
    </w:p>
    <w:p w14:paraId="1B5D4CCB">
      <w:pPr>
        <w:pStyle w:val="18"/>
        <w:rPr>
          <w:rFonts w:ascii="黑体"/>
          <w:color w:val="auto"/>
          <w:sz w:val="20"/>
          <w:highlight w:val="none"/>
        </w:rPr>
      </w:pPr>
    </w:p>
    <w:p w14:paraId="255B4350">
      <w:pPr>
        <w:pStyle w:val="18"/>
        <w:rPr>
          <w:rFonts w:ascii="黑体"/>
          <w:color w:val="auto"/>
          <w:sz w:val="20"/>
          <w:highlight w:val="none"/>
        </w:rPr>
      </w:pPr>
    </w:p>
    <w:p w14:paraId="4B2545B7">
      <w:pPr>
        <w:pStyle w:val="18"/>
        <w:rPr>
          <w:rFonts w:ascii="黑体"/>
          <w:color w:val="auto"/>
          <w:sz w:val="20"/>
          <w:highlight w:val="none"/>
        </w:rPr>
      </w:pPr>
    </w:p>
    <w:p w14:paraId="473DFA72">
      <w:pPr>
        <w:pStyle w:val="18"/>
        <w:rPr>
          <w:rFonts w:ascii="黑体"/>
          <w:color w:val="auto"/>
          <w:sz w:val="20"/>
          <w:highlight w:val="none"/>
        </w:rPr>
      </w:pPr>
    </w:p>
    <w:p w14:paraId="70F3C6F3">
      <w:pPr>
        <w:pStyle w:val="18"/>
        <w:rPr>
          <w:rFonts w:ascii="黑体"/>
          <w:color w:val="auto"/>
          <w:sz w:val="20"/>
          <w:highlight w:val="none"/>
        </w:rPr>
      </w:pPr>
    </w:p>
    <w:p w14:paraId="176D718F">
      <w:pPr>
        <w:pStyle w:val="18"/>
        <w:spacing w:before="2"/>
        <w:rPr>
          <w:rFonts w:ascii="黑体"/>
          <w:color w:val="auto"/>
          <w:sz w:val="16"/>
          <w:highlight w:val="none"/>
        </w:rPr>
      </w:pPr>
      <w:r>
        <w:rPr>
          <w:color w:val="auto"/>
          <w:highlight w:val="none"/>
        </w:rPr>
        <mc:AlternateContent>
          <mc:Choice Requires="wps">
            <w:drawing>
              <wp:anchor distT="0" distB="0" distL="114300" distR="114300" simplePos="0" relativeHeight="251664384" behindDoc="1" locked="0" layoutInCell="1" allowOverlap="1">
                <wp:simplePos x="0" y="0"/>
                <wp:positionH relativeFrom="page">
                  <wp:posOffset>1007745</wp:posOffset>
                </wp:positionH>
                <wp:positionV relativeFrom="paragraph">
                  <wp:posOffset>107315</wp:posOffset>
                </wp:positionV>
                <wp:extent cx="1828800" cy="0"/>
                <wp:effectExtent l="0" t="0" r="0" b="0"/>
                <wp:wrapTopAndBottom/>
                <wp:docPr id="2" name="直线 4"/>
                <wp:cNvGraphicFramePr/>
                <a:graphic xmlns:a="http://schemas.openxmlformats.org/drawingml/2006/main">
                  <a:graphicData uri="http://schemas.microsoft.com/office/word/2010/wordprocessingShape">
                    <wps:wsp>
                      <wps:cNvCnPr/>
                      <wps:spPr>
                        <a:xfrm>
                          <a:off x="0" y="0"/>
                          <a:ext cx="1828800" cy="0"/>
                        </a:xfrm>
                        <a:prstGeom prst="line">
                          <a:avLst/>
                        </a:prstGeom>
                        <a:ln w="0" cap="flat" cmpd="sng">
                          <a:solidFill>
                            <a:srgbClr val="000000"/>
                          </a:solidFill>
                          <a:prstDash val="solid"/>
                          <a:headEnd type="none" w="med" len="med"/>
                          <a:tailEnd type="none" w="med" len="med"/>
                        </a:ln>
                      </wps:spPr>
                      <wps:bodyPr/>
                    </wps:wsp>
                  </a:graphicData>
                </a:graphic>
              </wp:anchor>
            </w:drawing>
          </mc:Choice>
          <mc:Fallback>
            <w:pict>
              <v:line id="直线 4" o:spid="_x0000_s1026" o:spt="20" style="position:absolute;left:0pt;margin-left:79.35pt;margin-top:8.45pt;height:0pt;width:144pt;mso-position-horizontal-relative:page;mso-wrap-distance-bottom:0pt;mso-wrap-distance-top:0pt;z-index:-251652096;mso-width-relative:page;mso-height-relative:page;" filled="f" stroked="t" coordsize="21600,21600" o:gfxdata="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5cO9r1wAAAAkBAAAPAAAAAAAA&#10;AAEAIAAAACIAAABkcnMvZG93bnJldi54bWxQSwECFAAUAAAACACHTuJAoG0PwtoBAADMAwAADgAA&#10;AAAAAAABACAAAAAmAQAAZHJzL2Uyb0RvYy54bWxQSwUGAAAAAAYABgBZAQAAcgUAAAAA&#10;">
                <v:fill on="f" focussize="0,0"/>
                <v:stroke weight="0pt" color="#000000" joinstyle="round"/>
                <v:imagedata o:title=""/>
                <o:lock v:ext="edit" aspectratio="f"/>
                <w10:wrap type="topAndBottom"/>
              </v:line>
            </w:pict>
          </mc:Fallback>
        </mc:AlternateContent>
      </w:r>
    </w:p>
    <w:p w14:paraId="12AB4B30">
      <w:pPr>
        <w:jc w:val="left"/>
        <w:rPr>
          <w:color w:val="auto"/>
          <w:sz w:val="15"/>
          <w:highlight w:val="none"/>
        </w:rPr>
      </w:pPr>
      <w:r>
        <w:rPr>
          <w:color w:val="auto"/>
          <w:sz w:val="15"/>
          <w:highlight w:val="none"/>
        </w:rPr>
        <w:t>①投标人针对每一项子要素需分别单独编制情况表。</w:t>
      </w:r>
    </w:p>
    <w:p w14:paraId="10B66648">
      <w:pPr>
        <w:spacing w:before="12"/>
        <w:jc w:val="left"/>
        <w:rPr>
          <w:color w:val="auto"/>
          <w:sz w:val="15"/>
          <w:highlight w:val="none"/>
        </w:rPr>
      </w:pPr>
      <w:r>
        <w:rPr>
          <w:color w:val="auto"/>
          <w:sz w:val="15"/>
          <w:highlight w:val="none"/>
        </w:rPr>
        <w:t>②此处由投标人根据招标文件第四章定标</w:t>
      </w:r>
      <w:r>
        <w:rPr>
          <w:rFonts w:hint="eastAsia"/>
          <w:color w:val="auto"/>
          <w:sz w:val="15"/>
          <w:highlight w:val="none"/>
        </w:rPr>
        <w:t>方案</w:t>
      </w:r>
      <w:r>
        <w:rPr>
          <w:color w:val="auto"/>
          <w:sz w:val="15"/>
          <w:highlight w:val="none"/>
        </w:rPr>
        <w:t>规定的定标要素中的实力要素填入相应的子要素。</w:t>
      </w:r>
    </w:p>
    <w:p w14:paraId="09D66D1B">
      <w:pPr>
        <w:pStyle w:val="5"/>
        <w:jc w:val="center"/>
        <w:rPr>
          <w:color w:val="auto"/>
          <w:highlight w:val="none"/>
        </w:rPr>
      </w:pPr>
      <w:r>
        <w:rPr>
          <w:rFonts w:hint="eastAsia"/>
          <w:color w:val="auto"/>
          <w:highlight w:val="none"/>
        </w:rPr>
        <w:t>十、其他材料</w:t>
      </w:r>
      <w:bookmarkEnd w:id="1577"/>
      <w:bookmarkEnd w:id="1578"/>
    </w:p>
    <w:p w14:paraId="0A66C998">
      <w:pPr>
        <w:pStyle w:val="5"/>
        <w:jc w:val="center"/>
        <w:rPr>
          <w:rFonts w:ascii="宋体" w:hAnsi="宋体" w:eastAsia="宋体"/>
          <w:b w:val="0"/>
          <w:color w:val="auto"/>
          <w:highlight w:val="none"/>
        </w:rPr>
      </w:pPr>
      <w:bookmarkStart w:id="1579" w:name="_Toc488651032"/>
      <w:bookmarkStart w:id="1580" w:name="_Toc487291647"/>
      <w:bookmarkStart w:id="1581" w:name="_Toc487619613"/>
      <w:r>
        <w:rPr>
          <w:rFonts w:hint="eastAsia" w:ascii="宋体" w:hAnsi="宋体" w:eastAsia="宋体"/>
          <w:b w:val="0"/>
          <w:color w:val="auto"/>
          <w:highlight w:val="none"/>
        </w:rPr>
        <w:t>1、企业信用声明</w:t>
      </w:r>
      <w:bookmarkEnd w:id="1579"/>
      <w:bookmarkEnd w:id="1580"/>
      <w:bookmarkEnd w:id="1581"/>
    </w:p>
    <w:p w14:paraId="658F58B6">
      <w:pPr>
        <w:rPr>
          <w:color w:val="auto"/>
          <w:highlight w:val="none"/>
        </w:rPr>
      </w:pP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134"/>
        <w:gridCol w:w="1275"/>
        <w:gridCol w:w="1701"/>
        <w:gridCol w:w="2897"/>
      </w:tblGrid>
      <w:tr w14:paraId="6B9D7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A7971B5">
            <w:pPr>
              <w:jc w:val="center"/>
              <w:rPr>
                <w:rFonts w:ascii="宋体" w:hAnsi="宋体" w:cs="Calibri"/>
                <w:bCs/>
                <w:color w:val="auto"/>
                <w:szCs w:val="21"/>
                <w:highlight w:val="none"/>
              </w:rPr>
            </w:pPr>
            <w:r>
              <w:rPr>
                <w:rFonts w:hint="eastAsia" w:ascii="宋体" w:hAnsi="宋体" w:cs="Calibri"/>
                <w:bCs/>
                <w:color w:val="auto"/>
                <w:szCs w:val="21"/>
                <w:highlight w:val="none"/>
              </w:rPr>
              <w:t>序号</w:t>
            </w:r>
          </w:p>
        </w:tc>
        <w:tc>
          <w:tcPr>
            <w:tcW w:w="1560" w:type="dxa"/>
            <w:vAlign w:val="center"/>
          </w:tcPr>
          <w:p w14:paraId="5CAC9CBC">
            <w:pPr>
              <w:jc w:val="center"/>
              <w:rPr>
                <w:rFonts w:ascii="宋体" w:hAnsi="宋体" w:cs="Calibri"/>
                <w:bCs/>
                <w:color w:val="auto"/>
                <w:szCs w:val="21"/>
                <w:highlight w:val="none"/>
              </w:rPr>
            </w:pPr>
            <w:r>
              <w:rPr>
                <w:rFonts w:hint="eastAsia" w:ascii="宋体" w:hAnsi="宋体" w:cs="Calibri"/>
                <w:bCs/>
                <w:color w:val="auto"/>
                <w:szCs w:val="21"/>
                <w:highlight w:val="none"/>
              </w:rPr>
              <w:t>信用项目</w:t>
            </w:r>
          </w:p>
        </w:tc>
        <w:tc>
          <w:tcPr>
            <w:tcW w:w="1134" w:type="dxa"/>
            <w:vAlign w:val="center"/>
          </w:tcPr>
          <w:p w14:paraId="0950BEDA">
            <w:pPr>
              <w:jc w:val="center"/>
              <w:rPr>
                <w:rFonts w:ascii="宋体" w:hAnsi="宋体" w:cs="Calibri"/>
                <w:bCs/>
                <w:color w:val="auto"/>
                <w:szCs w:val="21"/>
                <w:highlight w:val="none"/>
              </w:rPr>
            </w:pPr>
            <w:r>
              <w:rPr>
                <w:rFonts w:hint="eastAsia" w:ascii="宋体" w:hAnsi="宋体" w:cs="Calibri"/>
                <w:bCs/>
                <w:color w:val="auto"/>
                <w:szCs w:val="21"/>
                <w:highlight w:val="none"/>
              </w:rPr>
              <w:t>信用等级</w:t>
            </w:r>
          </w:p>
        </w:tc>
        <w:tc>
          <w:tcPr>
            <w:tcW w:w="1275" w:type="dxa"/>
            <w:vAlign w:val="center"/>
          </w:tcPr>
          <w:p w14:paraId="42073642">
            <w:pPr>
              <w:jc w:val="center"/>
              <w:rPr>
                <w:rFonts w:ascii="宋体" w:hAnsi="宋体" w:cs="Calibri"/>
                <w:bCs/>
                <w:color w:val="auto"/>
                <w:szCs w:val="21"/>
                <w:highlight w:val="none"/>
              </w:rPr>
            </w:pPr>
            <w:r>
              <w:rPr>
                <w:rFonts w:hint="eastAsia" w:ascii="宋体" w:hAnsi="宋体" w:cs="Calibri"/>
                <w:bCs/>
                <w:color w:val="auto"/>
                <w:szCs w:val="21"/>
                <w:highlight w:val="none"/>
              </w:rPr>
              <w:t>AA、A是否失效</w:t>
            </w:r>
          </w:p>
        </w:tc>
        <w:tc>
          <w:tcPr>
            <w:tcW w:w="1701" w:type="dxa"/>
            <w:vAlign w:val="center"/>
          </w:tcPr>
          <w:p w14:paraId="7D5E732E">
            <w:pPr>
              <w:jc w:val="center"/>
              <w:rPr>
                <w:rFonts w:ascii="宋体" w:hAnsi="宋体" w:cs="Calibri"/>
                <w:bCs/>
                <w:color w:val="auto"/>
                <w:szCs w:val="21"/>
                <w:highlight w:val="none"/>
              </w:rPr>
            </w:pPr>
            <w:r>
              <w:rPr>
                <w:rFonts w:hint="eastAsia" w:ascii="宋体" w:hAnsi="宋体" w:cs="Calibri"/>
                <w:bCs/>
                <w:color w:val="auto"/>
                <w:szCs w:val="21"/>
                <w:highlight w:val="none"/>
              </w:rPr>
              <w:t>本次投标是否使用信用分</w:t>
            </w:r>
          </w:p>
        </w:tc>
        <w:tc>
          <w:tcPr>
            <w:tcW w:w="2897" w:type="dxa"/>
            <w:vAlign w:val="center"/>
          </w:tcPr>
          <w:p w14:paraId="27260A60">
            <w:pPr>
              <w:jc w:val="center"/>
              <w:rPr>
                <w:rFonts w:ascii="宋体" w:hAnsi="宋体" w:cs="Calibri"/>
                <w:bCs/>
                <w:color w:val="auto"/>
                <w:szCs w:val="21"/>
                <w:highlight w:val="none"/>
              </w:rPr>
            </w:pPr>
            <w:r>
              <w:rPr>
                <w:rFonts w:hint="eastAsia" w:ascii="宋体" w:hAnsi="宋体" w:cs="Calibri"/>
                <w:color w:val="auto"/>
                <w:szCs w:val="21"/>
                <w:highlight w:val="none"/>
              </w:rPr>
              <w:t>评标使用的等级</w:t>
            </w:r>
          </w:p>
        </w:tc>
      </w:tr>
      <w:tr w14:paraId="731E0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75" w:type="dxa"/>
            <w:vAlign w:val="center"/>
          </w:tcPr>
          <w:p w14:paraId="59E91FA3">
            <w:pPr>
              <w:jc w:val="center"/>
              <w:rPr>
                <w:rFonts w:ascii="宋体" w:hAnsi="宋体" w:cs="Calibri"/>
                <w:bCs/>
                <w:color w:val="auto"/>
                <w:szCs w:val="21"/>
                <w:highlight w:val="none"/>
              </w:rPr>
            </w:pPr>
            <w:r>
              <w:rPr>
                <w:rFonts w:hint="eastAsia" w:ascii="宋体" w:hAnsi="宋体" w:cs="Calibri"/>
                <w:bCs/>
                <w:color w:val="auto"/>
                <w:szCs w:val="21"/>
                <w:highlight w:val="none"/>
              </w:rPr>
              <w:t>1</w:t>
            </w:r>
          </w:p>
        </w:tc>
        <w:tc>
          <w:tcPr>
            <w:tcW w:w="1560" w:type="dxa"/>
            <w:vAlign w:val="center"/>
          </w:tcPr>
          <w:p w14:paraId="2D2A9C37">
            <w:pPr>
              <w:jc w:val="center"/>
              <w:rPr>
                <w:rFonts w:ascii="宋体" w:hAnsi="宋体" w:cs="Calibri"/>
                <w:bCs/>
                <w:color w:val="auto"/>
                <w:szCs w:val="21"/>
                <w:highlight w:val="none"/>
              </w:rPr>
            </w:pPr>
            <w:r>
              <w:rPr>
                <w:rFonts w:hint="eastAsia" w:ascii="宋体" w:hAnsi="宋体" w:cs="Calibri"/>
                <w:bCs/>
                <w:color w:val="auto"/>
                <w:szCs w:val="21"/>
                <w:highlight w:val="none"/>
              </w:rPr>
              <w:t>企业</w:t>
            </w:r>
          </w:p>
        </w:tc>
        <w:tc>
          <w:tcPr>
            <w:tcW w:w="1134" w:type="dxa"/>
            <w:vAlign w:val="center"/>
          </w:tcPr>
          <w:p w14:paraId="1883DA60">
            <w:pPr>
              <w:rPr>
                <w:rFonts w:ascii="宋体" w:hAnsi="宋体" w:cs="Calibri"/>
                <w:bCs/>
                <w:color w:val="auto"/>
                <w:szCs w:val="21"/>
                <w:highlight w:val="none"/>
              </w:rPr>
            </w:pPr>
          </w:p>
        </w:tc>
        <w:tc>
          <w:tcPr>
            <w:tcW w:w="1275" w:type="dxa"/>
            <w:vAlign w:val="center"/>
          </w:tcPr>
          <w:p w14:paraId="1F425A61">
            <w:pPr>
              <w:rPr>
                <w:rFonts w:ascii="宋体" w:hAnsi="宋体" w:cs="Calibri"/>
                <w:bCs/>
                <w:color w:val="auto"/>
                <w:szCs w:val="21"/>
                <w:highlight w:val="none"/>
              </w:rPr>
            </w:pPr>
          </w:p>
        </w:tc>
        <w:tc>
          <w:tcPr>
            <w:tcW w:w="1701" w:type="dxa"/>
            <w:vAlign w:val="center"/>
          </w:tcPr>
          <w:p w14:paraId="15909E16">
            <w:pPr>
              <w:rPr>
                <w:rFonts w:ascii="宋体" w:hAnsi="宋体" w:cs="Calibri"/>
                <w:bCs/>
                <w:color w:val="auto"/>
                <w:szCs w:val="21"/>
                <w:highlight w:val="none"/>
              </w:rPr>
            </w:pPr>
          </w:p>
        </w:tc>
        <w:tc>
          <w:tcPr>
            <w:tcW w:w="2897" w:type="dxa"/>
            <w:vAlign w:val="center"/>
          </w:tcPr>
          <w:p w14:paraId="38B4D984">
            <w:pPr>
              <w:rPr>
                <w:rFonts w:ascii="宋体" w:hAnsi="宋体" w:cs="Calibri"/>
                <w:bCs/>
                <w:color w:val="auto"/>
                <w:szCs w:val="21"/>
                <w:highlight w:val="none"/>
              </w:rPr>
            </w:pPr>
          </w:p>
        </w:tc>
      </w:tr>
      <w:tr w14:paraId="1C33E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75" w:type="dxa"/>
            <w:vAlign w:val="center"/>
          </w:tcPr>
          <w:p w14:paraId="399F5338">
            <w:pPr>
              <w:jc w:val="center"/>
              <w:rPr>
                <w:rFonts w:ascii="宋体" w:hAnsi="宋体" w:cs="Calibri"/>
                <w:bCs/>
                <w:color w:val="auto"/>
                <w:szCs w:val="21"/>
                <w:highlight w:val="none"/>
              </w:rPr>
            </w:pPr>
            <w:r>
              <w:rPr>
                <w:rFonts w:hint="eastAsia" w:ascii="宋体" w:hAnsi="宋体" w:cs="Calibri"/>
                <w:bCs/>
                <w:color w:val="auto"/>
                <w:szCs w:val="21"/>
                <w:highlight w:val="none"/>
              </w:rPr>
              <w:t>2</w:t>
            </w:r>
          </w:p>
        </w:tc>
        <w:tc>
          <w:tcPr>
            <w:tcW w:w="1560" w:type="dxa"/>
            <w:vAlign w:val="center"/>
          </w:tcPr>
          <w:p w14:paraId="6C943FDB">
            <w:pPr>
              <w:rPr>
                <w:rFonts w:ascii="宋体" w:hAnsi="宋体" w:cs="Calibri"/>
                <w:bCs/>
                <w:color w:val="auto"/>
                <w:szCs w:val="21"/>
                <w:highlight w:val="none"/>
              </w:rPr>
            </w:pPr>
            <w:r>
              <w:rPr>
                <w:rFonts w:hint="eastAsia" w:ascii="宋体" w:hAnsi="宋体" w:cs="Calibri"/>
                <w:bCs/>
                <w:color w:val="auto"/>
                <w:szCs w:val="21"/>
                <w:highlight w:val="none"/>
              </w:rPr>
              <w:t>总监理工程师</w:t>
            </w:r>
          </w:p>
        </w:tc>
        <w:tc>
          <w:tcPr>
            <w:tcW w:w="1134" w:type="dxa"/>
            <w:vAlign w:val="center"/>
          </w:tcPr>
          <w:p w14:paraId="0A52DE47">
            <w:pPr>
              <w:rPr>
                <w:rFonts w:ascii="宋体" w:hAnsi="宋体" w:cs="Calibri"/>
                <w:bCs/>
                <w:color w:val="auto"/>
                <w:szCs w:val="21"/>
                <w:highlight w:val="none"/>
              </w:rPr>
            </w:pPr>
          </w:p>
        </w:tc>
        <w:tc>
          <w:tcPr>
            <w:tcW w:w="1275" w:type="dxa"/>
            <w:vAlign w:val="center"/>
          </w:tcPr>
          <w:p w14:paraId="7732C892">
            <w:pPr>
              <w:rPr>
                <w:rFonts w:ascii="宋体" w:hAnsi="宋体" w:cs="Calibri"/>
                <w:bCs/>
                <w:color w:val="auto"/>
                <w:szCs w:val="21"/>
                <w:highlight w:val="none"/>
              </w:rPr>
            </w:pPr>
          </w:p>
        </w:tc>
        <w:tc>
          <w:tcPr>
            <w:tcW w:w="1701" w:type="dxa"/>
            <w:vAlign w:val="center"/>
          </w:tcPr>
          <w:p w14:paraId="40A22928">
            <w:pPr>
              <w:rPr>
                <w:rFonts w:ascii="宋体" w:hAnsi="宋体" w:cs="Calibri"/>
                <w:bCs/>
                <w:color w:val="auto"/>
                <w:szCs w:val="21"/>
                <w:highlight w:val="none"/>
              </w:rPr>
            </w:pPr>
          </w:p>
        </w:tc>
        <w:tc>
          <w:tcPr>
            <w:tcW w:w="2897" w:type="dxa"/>
            <w:vAlign w:val="center"/>
          </w:tcPr>
          <w:p w14:paraId="39EC758D">
            <w:pPr>
              <w:rPr>
                <w:rFonts w:ascii="宋体" w:hAnsi="宋体" w:cs="Calibri"/>
                <w:bCs/>
                <w:color w:val="auto"/>
                <w:szCs w:val="21"/>
                <w:highlight w:val="none"/>
              </w:rPr>
            </w:pPr>
          </w:p>
        </w:tc>
      </w:tr>
    </w:tbl>
    <w:p w14:paraId="26AF4049">
      <w:pPr>
        <w:rPr>
          <w:color w:val="auto"/>
          <w:highlight w:val="none"/>
        </w:rPr>
      </w:pPr>
    </w:p>
    <w:p w14:paraId="15505D18">
      <w:pPr>
        <w:rPr>
          <w:rFonts w:ascii="宋体" w:hAnsi="宋体"/>
          <w:color w:val="auto"/>
          <w:szCs w:val="21"/>
          <w:highlight w:val="none"/>
        </w:rPr>
      </w:pPr>
      <w:r>
        <w:rPr>
          <w:rFonts w:hint="eastAsia" w:ascii="宋体" w:hAnsi="宋体"/>
          <w:color w:val="auto"/>
          <w:szCs w:val="21"/>
          <w:highlight w:val="none"/>
        </w:rPr>
        <w:t>注：</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水运项目：</w:t>
      </w:r>
      <w:r>
        <w:rPr>
          <w:rFonts w:hint="eastAsia" w:ascii="宋体" w:hAnsi="宋体"/>
          <w:color w:val="auto"/>
          <w:szCs w:val="21"/>
          <w:highlight w:val="none"/>
        </w:rPr>
        <w:t>1.投标人应如实填写上表，若与实际情况不符，其投标文件将被否决。企业及人员信用等级可查阅福建省交通公路水运建设与运输市场信用信息管理系统（信用交通·福建）”（http://220.160.53.3:30050/gzwz）。若上传投标文件之日至投标截止时，信用交通·福建网站公布最新的信用结果适用情况，造成投标人填写不实的，不否决其投标，按实际信用结果适用情况进行调整。</w:t>
      </w:r>
    </w:p>
    <w:p w14:paraId="4BBF2C43">
      <w:pPr>
        <w:rPr>
          <w:rFonts w:ascii="宋体" w:hAnsi="宋体"/>
          <w:color w:val="auto"/>
          <w:szCs w:val="21"/>
          <w:highlight w:val="none"/>
        </w:rPr>
      </w:pPr>
      <w:r>
        <w:rPr>
          <w:rFonts w:hint="eastAsia" w:ascii="宋体" w:hAnsi="宋体"/>
          <w:color w:val="auto"/>
          <w:szCs w:val="21"/>
          <w:highlight w:val="none"/>
        </w:rPr>
        <w:t>2.考核为AA级、A级的总监理工程师信用结果使用规定，仅适用于当年已完工合同段（</w:t>
      </w:r>
      <w:r>
        <w:rPr>
          <w:rFonts w:hint="eastAsia" w:ascii="宋体" w:hAnsi="宋体"/>
          <w:color w:val="auto"/>
          <w:szCs w:val="21"/>
        </w:rPr>
        <w:t>完工证明</w:t>
      </w:r>
      <w:r>
        <w:rPr>
          <w:rFonts w:hint="eastAsia" w:ascii="宋体" w:hAnsi="宋体"/>
          <w:color w:val="auto"/>
          <w:szCs w:val="21"/>
          <w:lang w:eastAsia="zh-CN"/>
        </w:rPr>
        <w:t>材料为：</w:t>
      </w:r>
      <w:r>
        <w:rPr>
          <w:rFonts w:hint="eastAsia" w:ascii="汉仪书宋二S" w:hAnsi="汉仪书宋二S" w:eastAsia="汉仪书宋二S" w:cs="汉仪书宋二S"/>
          <w:color w:val="auto"/>
          <w:szCs w:val="21"/>
          <w:lang w:eastAsia="zh-CN"/>
        </w:rPr>
        <w:t>①</w:t>
      </w:r>
      <w:r>
        <w:rPr>
          <w:rFonts w:hint="eastAsia" w:ascii="汉仪书宋二S" w:hAnsi="汉仪书宋二S" w:eastAsia="汉仪书宋二S" w:cs="汉仪书宋二S"/>
          <w:color w:val="auto"/>
          <w:szCs w:val="21"/>
          <w:lang w:val="en-US" w:eastAsia="zh-CN"/>
        </w:rPr>
        <w:t>监理</w:t>
      </w:r>
      <w:r>
        <w:rPr>
          <w:rFonts w:hint="eastAsia" w:ascii="汉仪书宋二S" w:hAnsi="汉仪书宋二S" w:eastAsia="汉仪书宋二S" w:cs="汉仪书宋二S"/>
          <w:color w:val="auto"/>
          <w:szCs w:val="21"/>
          <w:lang w:eastAsia="zh-CN"/>
        </w:rPr>
        <w:t>合同，②</w:t>
      </w:r>
      <w:r>
        <w:rPr>
          <w:rFonts w:hint="eastAsia" w:ascii="汉仪书宋二S" w:hAnsi="汉仪书宋二S" w:eastAsia="汉仪书宋二S" w:cs="汉仪书宋二S"/>
          <w:color w:val="auto"/>
          <w:szCs w:val="21"/>
          <w:lang w:val="en-US" w:eastAsia="zh-CN"/>
        </w:rPr>
        <w:t>监理</w:t>
      </w:r>
      <w:bookmarkStart w:id="1585" w:name="_GoBack"/>
      <w:bookmarkEnd w:id="1585"/>
      <w:r>
        <w:rPr>
          <w:rFonts w:hint="eastAsia" w:ascii="宋体" w:hAnsi="宋体"/>
          <w:color w:val="auto"/>
          <w:szCs w:val="21"/>
        </w:rPr>
        <w:t>合同范围内全部单位工程</w:t>
      </w:r>
      <w:r>
        <w:rPr>
          <w:rFonts w:hint="eastAsia" w:ascii="宋体" w:hAnsi="宋体"/>
          <w:color w:val="auto"/>
          <w:szCs w:val="21"/>
          <w:lang w:eastAsia="zh-CN"/>
        </w:rPr>
        <w:t>交工质量核验意见</w:t>
      </w:r>
      <w:r>
        <w:rPr>
          <w:rFonts w:hint="eastAsia" w:ascii="宋体" w:hAnsi="宋体"/>
          <w:color w:val="auto"/>
          <w:szCs w:val="21"/>
        </w:rPr>
        <w:t>或预验收证明材料</w:t>
      </w:r>
      <w:r>
        <w:rPr>
          <w:rFonts w:hint="eastAsia" w:ascii="宋体" w:hAnsi="宋体"/>
          <w:color w:val="auto"/>
          <w:szCs w:val="21"/>
          <w:highlight w:val="none"/>
        </w:rPr>
        <w:t>）评为AA级、A级的总监理工程师，提供不实完工证明材料，其投标文件将被否决；未完工合同段评为AA级、A级的总监理工程师，参与新项目投标时，其信用结果使用一律按B级执行。</w:t>
      </w:r>
    </w:p>
    <w:p w14:paraId="1BF04E43">
      <w:pPr>
        <w:rPr>
          <w:rFonts w:ascii="宋体" w:hAnsi="宋体"/>
          <w:color w:val="auto"/>
          <w:szCs w:val="21"/>
          <w:highlight w:val="none"/>
        </w:rPr>
      </w:pPr>
    </w:p>
    <w:p w14:paraId="0FC75342">
      <w:pPr>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rPr>
        <w:t>涉海项目：本项目不属于厦门港口管理局监管的依法必须招标的涉海项目，</w:t>
      </w:r>
      <w:r>
        <w:rPr>
          <w:rFonts w:hint="eastAsia"/>
          <w:color w:val="auto"/>
          <w:highlight w:val="none"/>
        </w:rPr>
        <w:t>信用分规定</w:t>
      </w:r>
      <w:r>
        <w:rPr>
          <w:rFonts w:hint="eastAsia" w:ascii="宋体" w:hAnsi="宋体"/>
          <w:snapToGrid w:val="0"/>
          <w:color w:val="auto"/>
          <w:kern w:val="0"/>
          <w:szCs w:val="21"/>
          <w:highlight w:val="none"/>
        </w:rPr>
        <w:t>应严格按照《厦门市建设局厦门市交通运输局厦门市水利局厦门港口管理局关于进一步规范公路水运水利等专业工程招标业绩设置的若干意见》（厦建规【2020】4 号-筑）“涉海项目”要求执行。</w:t>
      </w:r>
    </w:p>
    <w:p w14:paraId="36B73B7D">
      <w:pPr>
        <w:rPr>
          <w:rFonts w:ascii="宋体" w:hAnsi="宋体"/>
          <w:color w:val="auto"/>
          <w:szCs w:val="21"/>
          <w:highlight w:val="none"/>
        </w:rPr>
      </w:pPr>
    </w:p>
    <w:p w14:paraId="5AFAED15">
      <w:pPr>
        <w:rPr>
          <w:color w:val="auto"/>
          <w:highlight w:val="none"/>
        </w:rPr>
      </w:pPr>
    </w:p>
    <w:p w14:paraId="2FD271B7">
      <w:pPr>
        <w:rPr>
          <w:color w:val="auto"/>
          <w:highlight w:val="none"/>
        </w:rPr>
      </w:pPr>
    </w:p>
    <w:p w14:paraId="44971398">
      <w:pPr>
        <w:rPr>
          <w:color w:val="auto"/>
          <w:highlight w:val="none"/>
        </w:rPr>
      </w:pPr>
    </w:p>
    <w:p w14:paraId="320F5F5C">
      <w:pPr>
        <w:jc w:val="center"/>
        <w:rPr>
          <w:rFonts w:ascii="宋体" w:hAnsi="宋体"/>
          <w:color w:val="auto"/>
          <w:highlight w:val="none"/>
        </w:rPr>
      </w:pPr>
      <w:bookmarkStart w:id="1582" w:name="_Toc488651033"/>
      <w:bookmarkStart w:id="1583" w:name="_Toc487619614"/>
      <w:bookmarkStart w:id="1584" w:name="_Toc487291648"/>
      <w:r>
        <w:rPr>
          <w:rFonts w:hint="eastAsia" w:ascii="宋体" w:hAnsi="宋体"/>
          <w:color w:val="auto"/>
          <w:highlight w:val="none"/>
        </w:rPr>
        <w:br w:type="page"/>
      </w:r>
    </w:p>
    <w:p w14:paraId="0B015786">
      <w:pPr>
        <w:pStyle w:val="5"/>
        <w:ind w:firstLine="2738" w:firstLineChars="978"/>
        <w:rPr>
          <w:rFonts w:ascii="宋体" w:hAnsi="宋体" w:eastAsia="宋体"/>
          <w:b w:val="0"/>
          <w:color w:val="auto"/>
          <w:highlight w:val="none"/>
        </w:rPr>
      </w:pPr>
      <w:r>
        <w:rPr>
          <w:rFonts w:hint="eastAsia" w:ascii="宋体" w:hAnsi="宋体" w:eastAsia="宋体"/>
          <w:b w:val="0"/>
          <w:color w:val="auto"/>
          <w:highlight w:val="none"/>
        </w:rPr>
        <w:t>2.承诺函（涉海项目须提供）</w:t>
      </w:r>
    </w:p>
    <w:p w14:paraId="3F403000">
      <w:pPr>
        <w:autoSpaceDE w:val="0"/>
        <w:autoSpaceDN w:val="0"/>
        <w:adjustRightInd w:val="0"/>
        <w:snapToGrid w:val="0"/>
        <w:spacing w:line="480" w:lineRule="auto"/>
        <w:jc w:val="left"/>
        <w:rPr>
          <w:rFonts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（招标人）：</w:t>
      </w:r>
    </w:p>
    <w:p w14:paraId="119BE4E6">
      <w:pPr>
        <w:autoSpaceDE w:val="0"/>
        <w:autoSpaceDN w:val="0"/>
        <w:adjustRightInd w:val="0"/>
        <w:snapToGrid w:val="0"/>
        <w:spacing w:line="48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本人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（姓名）系 </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（投标人名称）的法定代表人，现承诺：</w:t>
      </w:r>
    </w:p>
    <w:p w14:paraId="0260719C">
      <w:pPr>
        <w:autoSpaceDE w:val="0"/>
        <w:autoSpaceDN w:val="0"/>
        <w:adjustRightInd w:val="0"/>
        <w:snapToGrid w:val="0"/>
        <w:spacing w:line="480" w:lineRule="auto"/>
        <w:jc w:val="left"/>
        <w:rPr>
          <w:rFonts w:ascii="宋体" w:hAnsi="宋体"/>
          <w:color w:val="auto"/>
          <w:szCs w:val="21"/>
          <w:highlight w:val="none"/>
        </w:rPr>
      </w:pPr>
      <w:r>
        <w:rPr>
          <w:rFonts w:hint="eastAsia" w:ascii="宋体" w:hAnsi="宋体"/>
          <w:color w:val="auto"/>
          <w:sz w:val="24"/>
          <w:highlight w:val="none"/>
        </w:rPr>
        <w:t xml:space="preserve">    </w:t>
      </w:r>
      <w:r>
        <w:rPr>
          <w:rFonts w:ascii="宋体" w:hAnsi="宋体" w:cs="宋体"/>
          <w:color w:val="auto"/>
          <w:sz w:val="24"/>
          <w:highlight w:val="none"/>
        </w:rPr>
        <w:t>我单位严格执行《厦门市建设局厦门市交通运输局厦门市水利局厦门港口管理局关于进一步规范公路水运水利等专业工程招标业绩设置的若干意见》（厦建规【2020】4号-筑）中第五条及（厦建筑【2021】39 号）文件规定，</w:t>
      </w:r>
      <w:r>
        <w:rPr>
          <w:rFonts w:hint="eastAsia" w:ascii="宋体" w:hAnsi="宋体" w:cs="宋体"/>
          <w:color w:val="auto"/>
          <w:sz w:val="24"/>
          <w:highlight w:val="none"/>
        </w:rPr>
        <w:t>且投标文件中包括但不限于入围抽取、评分标准及定标要素的信用分享用情况均保持一致，</w:t>
      </w:r>
      <w:r>
        <w:rPr>
          <w:rFonts w:ascii="宋体" w:hAnsi="宋体" w:cs="宋体"/>
          <w:color w:val="auto"/>
          <w:sz w:val="24"/>
          <w:highlight w:val="none"/>
        </w:rPr>
        <w:t>并对我司在投标文件中提供的各种资料、说明、承诺的真实性、准确性和完整性负责。若我司存在为谋取中标而提供虚假资料和承诺欺骗招标人和评委的行为，我司自愿放弃本项目</w:t>
      </w:r>
      <w:r>
        <w:rPr>
          <w:rFonts w:hint="eastAsia" w:ascii="宋体" w:hAnsi="宋体" w:cs="宋体"/>
          <w:color w:val="auto"/>
          <w:sz w:val="24"/>
          <w:highlight w:val="none"/>
        </w:rPr>
        <w:t>定标候选人资格</w:t>
      </w:r>
      <w:r>
        <w:rPr>
          <w:rFonts w:ascii="宋体" w:hAnsi="宋体" w:cs="宋体"/>
          <w:color w:val="auto"/>
          <w:sz w:val="24"/>
          <w:highlight w:val="none"/>
        </w:rPr>
        <w:t>并承担由此产生的一切后果(包括但不限于被招标人没收投标保证金等)。</w:t>
      </w:r>
    </w:p>
    <w:p w14:paraId="6AD7E9A9">
      <w:pPr>
        <w:autoSpaceDE w:val="0"/>
        <w:autoSpaceDN w:val="0"/>
        <w:adjustRightInd w:val="0"/>
        <w:snapToGrid w:val="0"/>
        <w:spacing w:line="480" w:lineRule="auto"/>
        <w:jc w:val="right"/>
        <w:rPr>
          <w:rFonts w:ascii="宋体" w:hAnsi="宋体"/>
          <w:color w:val="auto"/>
          <w:szCs w:val="21"/>
          <w:highlight w:val="none"/>
        </w:rPr>
      </w:pPr>
    </w:p>
    <w:p w14:paraId="7E1AAC71">
      <w:pPr>
        <w:autoSpaceDE w:val="0"/>
        <w:autoSpaceDN w:val="0"/>
        <w:adjustRightInd w:val="0"/>
        <w:snapToGrid w:val="0"/>
        <w:spacing w:line="480" w:lineRule="auto"/>
        <w:jc w:val="right"/>
        <w:rPr>
          <w:rFonts w:ascii="宋体" w:hAnsi="宋体"/>
          <w:color w:val="auto"/>
          <w:szCs w:val="21"/>
          <w:highlight w:val="none"/>
        </w:rPr>
      </w:pPr>
      <w:r>
        <w:rPr>
          <w:rFonts w:hint="eastAsia" w:ascii="宋体" w:hAnsi="宋体"/>
          <w:color w:val="auto"/>
          <w:szCs w:val="21"/>
          <w:highlight w:val="none"/>
        </w:rPr>
        <w:t xml:space="preserve"> 投标人名称： （盖单位章）</w:t>
      </w:r>
    </w:p>
    <w:p w14:paraId="4F9EC82D">
      <w:pPr>
        <w:snapToGrid w:val="0"/>
        <w:spacing w:after="120" w:line="480" w:lineRule="auto"/>
        <w:ind w:left="420" w:leftChars="200" w:firstLine="420" w:firstLineChars="200"/>
        <w:rPr>
          <w:rFonts w:cs="Calibri"/>
          <w:color w:val="auto"/>
          <w:szCs w:val="21"/>
          <w:highlight w:val="none"/>
        </w:rPr>
      </w:pPr>
    </w:p>
    <w:p w14:paraId="7CDB4EE7">
      <w:pPr>
        <w:autoSpaceDE w:val="0"/>
        <w:autoSpaceDN w:val="0"/>
        <w:adjustRightInd w:val="0"/>
        <w:snapToGrid w:val="0"/>
        <w:spacing w:line="480" w:lineRule="auto"/>
        <w:jc w:val="right"/>
        <w:rPr>
          <w:rFonts w:ascii="宋体" w:hAnsi="宋体"/>
          <w:color w:val="auto"/>
          <w:szCs w:val="21"/>
          <w:highlight w:val="none"/>
        </w:rPr>
      </w:pPr>
      <w:r>
        <w:rPr>
          <w:rFonts w:hint="eastAsia" w:ascii="宋体" w:hAnsi="宋体"/>
          <w:color w:val="auto"/>
          <w:szCs w:val="21"/>
          <w:highlight w:val="none"/>
        </w:rPr>
        <w:t xml:space="preserve"> 法定代表人或委托代理人： （盖章）</w:t>
      </w:r>
    </w:p>
    <w:p w14:paraId="65CC6BB6">
      <w:pPr>
        <w:snapToGrid w:val="0"/>
        <w:spacing w:after="120" w:line="480" w:lineRule="auto"/>
        <w:ind w:left="420" w:leftChars="200" w:firstLine="420" w:firstLineChars="200"/>
        <w:jc w:val="right"/>
        <w:rPr>
          <w:rFonts w:ascii="宋体" w:hAnsi="宋体"/>
          <w:color w:val="auto"/>
          <w:szCs w:val="21"/>
          <w:highlight w:val="none"/>
        </w:rPr>
      </w:pPr>
    </w:p>
    <w:p w14:paraId="3ECC7481">
      <w:pPr>
        <w:snapToGrid w:val="0"/>
        <w:spacing w:after="120" w:line="480" w:lineRule="auto"/>
        <w:ind w:left="420" w:leftChars="200" w:firstLine="420" w:firstLineChars="200"/>
        <w:jc w:val="right"/>
        <w:rPr>
          <w:rFonts w:ascii="宋体" w:hAnsi="宋体"/>
          <w:color w:val="auto"/>
          <w:szCs w:val="21"/>
          <w:highlight w:val="none"/>
        </w:rPr>
      </w:pPr>
      <w:r>
        <w:rPr>
          <w:rFonts w:hint="eastAsia" w:ascii="宋体" w:hAnsi="宋体"/>
          <w:color w:val="auto"/>
          <w:szCs w:val="21"/>
          <w:highlight w:val="none"/>
        </w:rPr>
        <w:t>日期：  年  月  日</w:t>
      </w:r>
    </w:p>
    <w:p w14:paraId="5531F782">
      <w:pPr>
        <w:pStyle w:val="18"/>
        <w:rPr>
          <w:color w:val="auto"/>
          <w:highlight w:val="none"/>
        </w:rPr>
      </w:pPr>
      <w:r>
        <w:rPr>
          <w:rFonts w:hint="eastAsia" w:ascii="宋体" w:hAnsi="宋体"/>
          <w:color w:val="auto"/>
          <w:szCs w:val="21"/>
          <w:highlight w:val="none"/>
        </w:rPr>
        <w:t>注：若项目</w:t>
      </w:r>
      <w:r>
        <w:rPr>
          <w:rFonts w:hint="eastAsia" w:ascii="宋体" w:hAnsi="宋体" w:cs="Calibri"/>
          <w:snapToGrid w:val="0"/>
          <w:color w:val="auto"/>
          <w:kern w:val="0"/>
          <w:szCs w:val="21"/>
          <w:highlight w:val="none"/>
        </w:rPr>
        <w:t>不属于厦门港口管理局监管的依法必须招标的涉海项目</w:t>
      </w:r>
      <w:r>
        <w:rPr>
          <w:rFonts w:hint="eastAsia" w:ascii="宋体" w:hAnsi="宋体"/>
          <w:color w:val="auto"/>
          <w:szCs w:val="21"/>
          <w:highlight w:val="none"/>
        </w:rPr>
        <w:t>，则须填写上述《承诺函》，未按要求提交承诺函的视为投标文件存在重大偏差，其投标作废标处理。</w:t>
      </w:r>
    </w:p>
    <w:p w14:paraId="643A80C1">
      <w:pPr>
        <w:rPr>
          <w:color w:val="auto"/>
          <w:highlight w:val="none"/>
        </w:rPr>
      </w:pPr>
    </w:p>
    <w:p w14:paraId="3C211C22">
      <w:pPr>
        <w:rPr>
          <w:color w:val="auto"/>
          <w:highlight w:val="none"/>
        </w:rPr>
      </w:pPr>
    </w:p>
    <w:p w14:paraId="37926505">
      <w:pPr>
        <w:rPr>
          <w:color w:val="auto"/>
          <w:highlight w:val="none"/>
        </w:rPr>
      </w:pPr>
    </w:p>
    <w:p w14:paraId="610B7DD3">
      <w:pPr>
        <w:autoSpaceDE w:val="0"/>
        <w:autoSpaceDN w:val="0"/>
        <w:adjustRightInd w:val="0"/>
        <w:spacing w:before="156" w:beforeLines="50" w:after="156" w:afterLines="50"/>
        <w:ind w:firstLine="2053" w:firstLineChars="978"/>
        <w:rPr>
          <w:rFonts w:ascii="宋体" w:hAnsi="宋体"/>
          <w:color w:val="auto"/>
          <w:highlight w:val="none"/>
        </w:rPr>
      </w:pPr>
      <w:r>
        <w:rPr>
          <w:rFonts w:ascii="宋体" w:hAnsi="宋体"/>
          <w:color w:val="auto"/>
          <w:highlight w:val="none"/>
        </w:rPr>
        <w:br w:type="page"/>
      </w:r>
    </w:p>
    <w:p w14:paraId="5C8C17EE">
      <w:pPr>
        <w:pStyle w:val="5"/>
        <w:autoSpaceDE w:val="0"/>
        <w:autoSpaceDN w:val="0"/>
        <w:adjustRightInd w:val="0"/>
        <w:spacing w:before="156" w:beforeLines="50" w:after="156" w:afterLines="50"/>
        <w:ind w:firstLine="2738" w:firstLineChars="978"/>
        <w:rPr>
          <w:rFonts w:ascii="宋体" w:hAnsi="宋体"/>
          <w:color w:val="auto"/>
          <w:sz w:val="24"/>
          <w:highlight w:val="none"/>
        </w:rPr>
      </w:pPr>
      <w:r>
        <w:rPr>
          <w:rFonts w:hint="eastAsia" w:ascii="宋体" w:hAnsi="宋体" w:eastAsia="宋体"/>
          <w:b w:val="0"/>
          <w:color w:val="auto"/>
          <w:highlight w:val="none"/>
          <w:lang w:val="en-US" w:eastAsia="zh-CN"/>
        </w:rPr>
        <w:t>3</w:t>
      </w:r>
      <w:r>
        <w:rPr>
          <w:rFonts w:hint="eastAsia" w:ascii="宋体" w:hAnsi="宋体" w:eastAsia="宋体"/>
          <w:b w:val="0"/>
          <w:color w:val="auto"/>
          <w:highlight w:val="none"/>
        </w:rPr>
        <w:t>、投标人认为必要的其他材料</w:t>
      </w:r>
      <w:bookmarkEnd w:id="1582"/>
      <w:bookmarkEnd w:id="1583"/>
      <w:bookmarkEnd w:id="1584"/>
    </w:p>
    <w:sectPr>
      <w:footerReference r:id="rId17" w:type="default"/>
      <w:pgSz w:w="11906" w:h="16838"/>
      <w:pgMar w:top="1418" w:right="1304" w:bottom="1418"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方正楷体简体">
    <w:altName w:val="黑体"/>
    <w:panose1 w:val="00000000000000000000"/>
    <w:charset w:val="86"/>
    <w:family w:val="auto"/>
    <w:pitch w:val="default"/>
    <w:sig w:usb0="00000000" w:usb1="00000000" w:usb2="00000010" w:usb3="00000000" w:csb0="00040000" w:csb1="00000000"/>
  </w:font>
  <w:font w:name="@昆仑仿宋">
    <w:altName w:val="@黑体"/>
    <w:panose1 w:val="00000000000000000000"/>
    <w:charset w:val="86"/>
    <w:family w:val="modern"/>
    <w:pitch w:val="default"/>
    <w:sig w:usb0="00000000" w:usb1="00000000" w:usb2="00000010" w:usb3="00000000" w:csb0="00040000" w:csb1="00000000"/>
  </w:font>
  <w:font w:name="@黑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瀹嬩綋">
    <w:altName w:val="宋体"/>
    <w:panose1 w:val="00000000000000000000"/>
    <w:charset w:val="86"/>
    <w:family w:val="auto"/>
    <w:pitch w:val="default"/>
    <w:sig w:usb0="00000000" w:usb1="00000000" w:usb2="00000010" w:usb3="00000000" w:csb0="00040000" w:csb1="00000000"/>
  </w:font>
  <w:font w:name="汉仪书宋二S">
    <w:altName w:val="宋体"/>
    <w:panose1 w:val="00000000000000000000"/>
    <w:charset w:val="86"/>
    <w:family w:val="auto"/>
    <w:pitch w:val="default"/>
    <w:sig w:usb0="00000000" w:usb1="00000000" w:usb2="00000016" w:usb3="00000000" w:csb0="00040000" w:csb1="00000000"/>
  </w:font>
  <w:font w:name="方正大标宋简体">
    <w:altName w:val="微软雅黑"/>
    <w:panose1 w:val="00000000000000000000"/>
    <w:charset w:val="86"/>
    <w:family w:val="script"/>
    <w:pitch w:val="default"/>
    <w:sig w:usb0="00000000" w:usb1="00000000" w:usb2="00000000" w:usb3="00000000" w:csb0="00040000" w:csb1="00000000"/>
  </w:font>
  <w:font w:name="方正公文小标宋">
    <w:altName w:val="宋体"/>
    <w:panose1 w:val="00000000000000000000"/>
    <w:charset w:val="86"/>
    <w:family w:val="auto"/>
    <w:pitch w:val="default"/>
    <w:sig w:usb0="00000000" w:usb1="00000000" w:usb2="00000016" w:usb3="00000000" w:csb0="00040001" w:csb1="00000000"/>
  </w:font>
  <w:font w:name="Kingsoft UE">
    <w:panose1 w:val="02000100010000000000"/>
    <w:charset w:val="00"/>
    <w:family w:val="auto"/>
    <w:pitch w:val="default"/>
    <w:sig w:usb0="00000001" w:usb1="00004000" w:usb2="00000000" w:usb3="00000000" w:csb0="00000001"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4E787">
    <w:pPr>
      <w:pStyle w:val="2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B4BA1D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upright="1">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BeBYY9IBAACkAwAADgAAAAAAAAABACAAAAAi&#10;AQAAZHJzL2Uyb0RvYy54bWxQSwUGAAAAAAYABgBZAQAAZgUAAAAA&#10;">
              <v:fill on="f" focussize="0,0"/>
              <v:stroke on="f" weight="1.25pt"/>
              <v:imagedata o:title=""/>
              <o:lock v:ext="edit" aspectratio="f"/>
              <v:textbox inset="0mm,0mm,0mm,0mm" style="mso-fit-shape-to-text:t;">
                <w:txbxContent>
                  <w:p w14:paraId="0B4BA1D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6CBDE">
    <w:pPr>
      <w:pStyle w:val="28"/>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8" name="文本框 1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5281AF8E">
                          <w:pPr>
                            <w:pStyle w:val="28"/>
                            <w:jc w:val="center"/>
                          </w:pPr>
                          <w:r>
                            <w:fldChar w:fldCharType="begin"/>
                          </w:r>
                          <w:r>
                            <w:instrText xml:space="preserve">PAGE   \* MERGEFORMAT</w:instrText>
                          </w:r>
                          <w:r>
                            <w:fldChar w:fldCharType="separate"/>
                          </w:r>
                          <w:r>
                            <w:rPr>
                              <w:lang w:val="zh-CN"/>
                            </w:rPr>
                            <w:t>19</w:t>
                          </w:r>
                          <w:r>
                            <w:fldChar w:fldCharType="end"/>
                          </w:r>
                        </w:p>
                      </w:txbxContent>
                    </wps:txbx>
                    <wps:bodyPr wrap="none" lIns="0" tIns="0" rIns="0" bIns="0">
                      <a:spAutoFit/>
                    </wps:bodyPr>
                  </wps:wsp>
                </a:graphicData>
              </a:graphic>
            </wp:anchor>
          </w:drawing>
        </mc:Choice>
        <mc:Fallback>
          <w:pict>
            <v:shape id="文本框 12"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Q+V+SdAAAAADAQAADwAAAAAAAAABACAAAAAiAAAAZHJzL2Rvd25yZXYueG1s&#10;UEsBAhQAFAAAAAgAh07iQOn+MwXHAQAAjAMAAA4AAAAAAAAAAQAgAAAAHwEAAGRycy9lMm9Eb2Mu&#10;eG1sUEsFBgAAAAAGAAYAWQEAAFgFAAAAAA==&#10;">
              <v:fill on="f" focussize="0,0"/>
              <v:stroke on="f"/>
              <v:imagedata o:title=""/>
              <o:lock v:ext="edit" aspectratio="f"/>
              <v:textbox inset="0mm,0mm,0mm,0mm" style="mso-fit-shape-to-text:t;">
                <w:txbxContent>
                  <w:p w14:paraId="5281AF8E">
                    <w:pPr>
                      <w:pStyle w:val="28"/>
                      <w:jc w:val="center"/>
                    </w:pPr>
                    <w:r>
                      <w:fldChar w:fldCharType="begin"/>
                    </w:r>
                    <w:r>
                      <w:instrText xml:space="preserve">PAGE   \* MERGEFORMAT</w:instrText>
                    </w:r>
                    <w:r>
                      <w:fldChar w:fldCharType="separate"/>
                    </w:r>
                    <w:r>
                      <w:rPr>
                        <w:lang w:val="zh-CN"/>
                      </w:rPr>
                      <w:t>19</w:t>
                    </w:r>
                    <w:r>
                      <w:fldChar w:fldCharType="end"/>
                    </w:r>
                  </w:p>
                </w:txbxContent>
              </v:textbox>
            </v:shape>
          </w:pict>
        </mc:Fallback>
      </mc:AlternateContent>
    </w:r>
  </w:p>
  <w:p w14:paraId="7E548BFB">
    <w:pPr>
      <w:pStyle w:val="28"/>
      <w:spacing w:line="240" w:lineRule="exact"/>
      <w:ind w:right="360" w:firstLine="360"/>
      <w:jc w:val="center"/>
      <w:rPr>
        <w:rFonts w:eastAsia="黑体"/>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76369">
    <w:pPr>
      <w:pStyle w:val="28"/>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67136">
    <w:pPr>
      <w:pStyle w:val="28"/>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31445"/>
              <wp:effectExtent l="0" t="0" r="0" b="0"/>
              <wp:wrapNone/>
              <wp:docPr id="10" name="文本框 1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6DE7C81C">
                          <w:pPr>
                            <w:pStyle w:val="28"/>
                            <w:jc w:val="center"/>
                          </w:pPr>
                          <w:r>
                            <w:fldChar w:fldCharType="begin"/>
                          </w:r>
                          <w:r>
                            <w:instrText xml:space="preserve">PAGE   \* MERGEFORMAT</w:instrText>
                          </w:r>
                          <w:r>
                            <w:fldChar w:fldCharType="separate"/>
                          </w:r>
                          <w:r>
                            <w:rPr>
                              <w:lang w:val="zh-CN"/>
                            </w:rPr>
                            <w:t>40</w:t>
                          </w:r>
                          <w:r>
                            <w:fldChar w:fldCharType="end"/>
                          </w:r>
                        </w:p>
                      </w:txbxContent>
                    </wps:txbx>
                    <wps:bodyPr wrap="none" lIns="0" tIns="0" rIns="0" bIns="0">
                      <a:spAutoFit/>
                    </wps:bodyPr>
                  </wps:wsp>
                </a:graphicData>
              </a:graphic>
            </wp:anchor>
          </w:drawing>
        </mc:Choice>
        <mc:Fallback>
          <w:pict>
            <v:shape id="文本框 15" o:spid="_x0000_s1026" o:spt="202" type="#_x0000_t202" style="position:absolute;left:0pt;margin-top:0pt;height:10.35pt;width:9.05pt;mso-position-horizontal:center;mso-position-horizontal-relative:margin;mso-wrap-style:none;z-index:25166336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EPlfknQAAAAAwEAAA8AAAAAAAAAAQAgAAAAIgAAAGRycy9kb3ducmV2Lnht&#10;bFBLAQIUABQAAAAIAIdO4kBDiE1UyAEAAI0DAAAOAAAAAAAAAAEAIAAAAB8BAABkcnMvZTJvRG9j&#10;LnhtbFBLBQYAAAAABgAGAFkBAABZBQAAAAA=&#10;">
              <v:fill on="f" focussize="0,0"/>
              <v:stroke on="f"/>
              <v:imagedata o:title=""/>
              <o:lock v:ext="edit" aspectratio="f"/>
              <v:textbox inset="0mm,0mm,0mm,0mm" style="mso-fit-shape-to-text:t;">
                <w:txbxContent>
                  <w:p w14:paraId="6DE7C81C">
                    <w:pPr>
                      <w:pStyle w:val="28"/>
                      <w:jc w:val="center"/>
                    </w:pPr>
                    <w:r>
                      <w:fldChar w:fldCharType="begin"/>
                    </w:r>
                    <w:r>
                      <w:instrText xml:space="preserve">PAGE   \* MERGEFORMAT</w:instrText>
                    </w:r>
                    <w:r>
                      <w:fldChar w:fldCharType="separate"/>
                    </w:r>
                    <w:r>
                      <w:rPr>
                        <w:lang w:val="zh-CN"/>
                      </w:rPr>
                      <w:t>40</w:t>
                    </w:r>
                    <w:r>
                      <w:fldChar w:fldCharType="end"/>
                    </w:r>
                  </w:p>
                </w:txbxContent>
              </v:textbox>
            </v:shape>
          </w:pict>
        </mc:Fallback>
      </mc:AlternateContent>
    </w:r>
  </w:p>
  <w:p w14:paraId="63FDFEB1">
    <w:pPr>
      <w:pStyle w:val="28"/>
      <w:spacing w:line="240" w:lineRule="exact"/>
      <w:ind w:right="360" w:firstLine="360"/>
      <w:jc w:val="center"/>
      <w:rPr>
        <w:rFonts w:eastAsia="黑体"/>
        <w:sz w:val="17"/>
        <w:szCs w:val="17"/>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6AE42">
    <w:pPr>
      <w:pStyle w:val="28"/>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31445"/>
              <wp:effectExtent l="0" t="0" r="0" b="0"/>
              <wp:wrapNone/>
              <wp:docPr id="9" name="文本框 13"/>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60E9A268">
                          <w:pPr>
                            <w:pStyle w:val="28"/>
                            <w:jc w:val="center"/>
                          </w:pPr>
                          <w:r>
                            <w:fldChar w:fldCharType="begin"/>
                          </w:r>
                          <w:r>
                            <w:instrText xml:space="preserve">PAGE   \* MERGEFORMAT</w:instrText>
                          </w:r>
                          <w:r>
                            <w:fldChar w:fldCharType="separate"/>
                          </w:r>
                          <w:r>
                            <w:rPr>
                              <w:lang w:val="zh-CN"/>
                            </w:rPr>
                            <w:t>53</w:t>
                          </w:r>
                          <w:r>
                            <w:fldChar w:fldCharType="end"/>
                          </w:r>
                        </w:p>
                      </w:txbxContent>
                    </wps:txbx>
                    <wps:bodyPr wrap="none" lIns="0" tIns="0" rIns="0" bIns="0">
                      <a:spAutoFit/>
                    </wps:bodyPr>
                  </wps:wsp>
                </a:graphicData>
              </a:graphic>
            </wp:anchor>
          </w:drawing>
        </mc:Choice>
        <mc:Fallback>
          <w:pict>
            <v:shape id="文本框 13" o:spid="_x0000_s1026" o:spt="202" type="#_x0000_t202" style="position:absolute;left:0pt;margin-top:0pt;height:10.35pt;width:9.05pt;mso-position-horizontal:center;mso-position-horizontal-relative:margin;mso-wrap-style:none;z-index:25166438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Q+V+SdAAAAADAQAADwAAAAAAAAABACAAAAAiAAAAZHJzL2Rvd25yZXYueG1s&#10;UEsBAhQAFAAAAAgAh07iQBBLHzbHAQAAjAMAAA4AAAAAAAAAAQAgAAAAHwEAAGRycy9lMm9Eb2Mu&#10;eG1sUEsFBgAAAAAGAAYAWQEAAFgFAAAAAA==&#10;">
              <v:fill on="f" focussize="0,0"/>
              <v:stroke on="f"/>
              <v:imagedata o:title=""/>
              <o:lock v:ext="edit" aspectratio="f"/>
              <v:textbox inset="0mm,0mm,0mm,0mm" style="mso-fit-shape-to-text:t;">
                <w:txbxContent>
                  <w:p w14:paraId="60E9A268">
                    <w:pPr>
                      <w:pStyle w:val="28"/>
                      <w:jc w:val="center"/>
                    </w:pPr>
                    <w:r>
                      <w:fldChar w:fldCharType="begin"/>
                    </w:r>
                    <w:r>
                      <w:instrText xml:space="preserve">PAGE   \* MERGEFORMAT</w:instrText>
                    </w:r>
                    <w:r>
                      <w:fldChar w:fldCharType="separate"/>
                    </w:r>
                    <w:r>
                      <w:rPr>
                        <w:lang w:val="zh-CN"/>
                      </w:rPr>
                      <w:t>53</w:t>
                    </w:r>
                    <w:r>
                      <w:fldChar w:fldCharType="end"/>
                    </w:r>
                  </w:p>
                </w:txbxContent>
              </v:textbox>
            </v:shape>
          </w:pict>
        </mc:Fallback>
      </mc:AlternateContent>
    </w:r>
  </w:p>
  <w:p w14:paraId="036A69F1">
    <w:pPr>
      <w:pStyle w:val="28"/>
      <w:spacing w:line="240" w:lineRule="exact"/>
      <w:ind w:right="360" w:firstLine="360"/>
      <w:jc w:val="center"/>
      <w:rPr>
        <w:rFonts w:eastAsia="黑体"/>
        <w:sz w:val="17"/>
        <w:szCs w:val="17"/>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1951A">
    <w:pPr>
      <w:pStyle w:val="28"/>
      <w:ind w:right="360" w:firstLine="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13429">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B632C9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105</w:t>
                          </w:r>
                          <w:r>
                            <w:rPr>
                              <w:rFonts w:hint="eastAsia"/>
                              <w:sz w:val="18"/>
                            </w:rP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&#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bn4iqdIBAACjAwAADgAAAAAAAAABACAAAAAi&#10;AQAAZHJzL2Uyb0RvYy54bWxQSwUGAAAAAAYABgBZAQAAZgUAAAAA&#10;">
              <v:fill on="f" focussize="0,0"/>
              <v:stroke on="f" weight="1.25pt"/>
              <v:imagedata o:title=""/>
              <o:lock v:ext="edit" aspectratio="f"/>
              <v:textbox inset="0mm,0mm,0mm,0mm" style="mso-fit-shape-to-text:t;">
                <w:txbxContent>
                  <w:p w14:paraId="1B632C9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105</w:t>
                    </w:r>
                    <w:r>
                      <w:rPr>
                        <w:rFonts w:hint="eastAsia"/>
                        <w:sz w:val="1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F0388">
    <w:pPr>
      <w:pStyle w:val="2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54000" cy="284480"/>
              <wp:effectExtent l="0" t="0" r="0" b="0"/>
              <wp:wrapNone/>
              <wp:docPr id="6" name="文本框 5"/>
              <wp:cNvGraphicFramePr/>
              <a:graphic xmlns:a="http://schemas.openxmlformats.org/drawingml/2006/main">
                <a:graphicData uri="http://schemas.microsoft.com/office/word/2010/wordprocessingShape">
                  <wps:wsp>
                    <wps:cNvSpPr txBox="1"/>
                    <wps:spPr>
                      <a:xfrm>
                        <a:off x="0" y="0"/>
                        <a:ext cx="254000" cy="284480"/>
                      </a:xfrm>
                      <a:prstGeom prst="rect">
                        <a:avLst/>
                      </a:prstGeom>
                      <a:noFill/>
                      <a:ln w="15875">
                        <a:noFill/>
                      </a:ln>
                    </wps:spPr>
                    <wps:txbx>
                      <w:txbxContent>
                        <w:p w14:paraId="3637787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109</w:t>
                          </w:r>
                          <w:r>
                            <w:rPr>
                              <w:rFonts w:hint="eastAsia"/>
                              <w:sz w:val="18"/>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22.4pt;width:20pt;mso-position-horizontal:center;mso-position-horizontal-relative:margin;mso-wrap-style:none;z-index:251660288;mso-width-relative:page;mso-height-relative:page;" filled="f" stroked="f" coordsize="21600,21600" o:gfxdata="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08wizTAAAAAwEAAA8AAAAAAAAAAQAgAAAA&#10;IgAAAGRycy9kb3ducmV2LnhtbFBLAQIUABQAAAAIAIdO4kD6HAiJ1wEAAKEDAAAOAAAAAAAAAAEA&#10;IAAAACIBAABkcnMvZTJvRG9jLnhtbFBLBQYAAAAABgAGAFkBAABrBQAAAAA=&#10;">
              <v:fill on="f" focussize="0,0"/>
              <v:stroke on="f" weight="1.25pt"/>
              <v:imagedata o:title=""/>
              <o:lock v:ext="edit" aspectratio="f"/>
              <v:textbox inset="0mm,0mm,0mm,0mm" style="mso-fit-shape-to-text:t;">
                <w:txbxContent>
                  <w:p w14:paraId="3637787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109</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6">
    <w:p>
      <w:r>
        <w:separator/>
      </w:r>
    </w:p>
  </w:footnote>
  <w:footnote w:type="continuationSeparator" w:id="27">
    <w:p>
      <w:r>
        <w:continuationSeparator/>
      </w:r>
    </w:p>
  </w:footnote>
  <w:footnote w:id="0">
    <w:p w14:paraId="2EF6FEA4">
      <w:pPr>
        <w:pStyle w:val="32"/>
      </w:pPr>
      <w:r>
        <w:rPr>
          <w:rStyle w:val="53"/>
        </w:rPr>
        <w:footnoteRef/>
      </w:r>
      <w:r>
        <w:t xml:space="preserve"> 建设规模中至少应写明</w:t>
      </w:r>
      <w:r>
        <w:rPr>
          <w:rFonts w:hint="eastAsia"/>
        </w:rPr>
        <w:t>用于确定企业资质及等级的相关数据。</w:t>
      </w:r>
    </w:p>
  </w:footnote>
  <w:footnote w:id="1">
    <w:p w14:paraId="3F5BDFF6">
      <w:pPr>
        <w:pStyle w:val="32"/>
      </w:pPr>
      <w:r>
        <w:rPr>
          <w:rStyle w:val="53"/>
        </w:rPr>
        <w:footnoteRef/>
      </w:r>
      <w:r>
        <w:t xml:space="preserve"> </w:t>
      </w:r>
      <w:r>
        <w:rPr>
          <w:rFonts w:hint="eastAsia"/>
        </w:rPr>
        <w:t>选择“高分低价法”、“高分随机法”、“低价随机法”之一进行填写，或按“在高分低价法、高分随机法、低价随机法中随机抽取”</w:t>
      </w:r>
      <w:r>
        <w:rPr>
          <w:rFonts w:hint="eastAsia"/>
          <w:lang w:val="en-US" w:eastAsia="zh-CN"/>
        </w:rPr>
        <w:t>之一进行</w:t>
      </w:r>
      <w:r>
        <w:rPr>
          <w:rFonts w:hint="eastAsia"/>
        </w:rPr>
        <w:t>填写，且应当与招标文件其他章节有关内容一致。</w:t>
      </w:r>
    </w:p>
  </w:footnote>
  <w:footnote w:id="2">
    <w:p w14:paraId="3369509A">
      <w:pPr>
        <w:pStyle w:val="32"/>
        <w:wordWrap w:val="0"/>
        <w:rPr>
          <w:rFonts w:hint="eastAsia" w:ascii="宋体" w:hAnsi="宋体" w:cs="宋体"/>
          <w:szCs w:val="18"/>
          <w:shd w:val="clear" w:color="auto" w:fill="auto"/>
        </w:rPr>
      </w:pPr>
      <w:r>
        <w:rPr>
          <w:rStyle w:val="53"/>
          <w:rFonts w:hint="eastAsia" w:ascii="宋体" w:hAnsi="宋体" w:cs="宋体"/>
          <w:szCs w:val="18"/>
          <w:shd w:val="clear" w:color="auto" w:fill="auto"/>
        </w:rPr>
        <w:footnoteRef/>
      </w:r>
      <w:r>
        <w:rPr>
          <w:rFonts w:hint="eastAsia" w:ascii="宋体" w:hAnsi="宋体" w:cs="宋体"/>
          <w:szCs w:val="18"/>
          <w:shd w:val="clear" w:color="auto" w:fill="auto"/>
        </w:rPr>
        <w:t xml:space="preserve"> 投标保证金具体缴纳方式按当地或省公共资源交易中心的规定执行。招标人不得强制限定投标保证金必须采用现金或支票方式缴纳，不得拒绝银行保函形式的投标保证金。</w:t>
      </w:r>
    </w:p>
  </w:footnote>
  <w:footnote w:id="3">
    <w:p w14:paraId="2DFC1EBD">
      <w:pPr>
        <w:pStyle w:val="32"/>
      </w:pPr>
      <w:r>
        <w:rPr>
          <w:rStyle w:val="53"/>
        </w:rPr>
        <w:footnoteRef/>
      </w:r>
      <w:r>
        <w:t xml:space="preserve"> </w:t>
      </w:r>
      <w:r>
        <w:rPr>
          <w:rFonts w:hint="eastAsia"/>
        </w:rPr>
        <w:t>未采用随机抽取确定定标方法的，填写“/”</w:t>
      </w:r>
    </w:p>
  </w:footnote>
  <w:footnote w:id="4">
    <w:p w14:paraId="6977C362">
      <w:pPr>
        <w:pStyle w:val="32"/>
        <w:snapToGrid w:val="0"/>
      </w:pPr>
      <w:r>
        <w:rPr>
          <w:rStyle w:val="53"/>
        </w:rPr>
        <w:footnoteRef/>
      </w:r>
      <w:r>
        <w:t xml:space="preserve"> </w:t>
      </w:r>
      <w:r>
        <w:rPr>
          <w:rFonts w:hint="eastAsia" w:ascii="宋体" w:hAnsi="宋体" w:cs="宋体"/>
          <w:szCs w:val="18"/>
          <w:shd w:val="clear" w:color="auto" w:fill="auto"/>
        </w:rPr>
        <w:t>评标办法正文若有与评标办法前附表不一致之处，以评标办法前附表为准。</w:t>
      </w:r>
    </w:p>
  </w:footnote>
  <w:footnote w:id="5">
    <w:p w14:paraId="047F14A1">
      <w:pPr>
        <w:pStyle w:val="32"/>
        <w:spacing w:line="200" w:lineRule="exact"/>
        <w:rPr>
          <w:rFonts w:ascii="宋体" w:hAnsi="宋体"/>
          <w:color w:val="FF0000"/>
          <w:sz w:val="15"/>
          <w:szCs w:val="15"/>
        </w:rPr>
      </w:pPr>
      <w:r>
        <w:rPr>
          <w:rFonts w:hint="eastAsia" w:ascii="宋体" w:hAnsi="宋体"/>
          <w:color w:val="FF0000"/>
          <w:sz w:val="15"/>
          <w:szCs w:val="15"/>
        </w:rPr>
        <w:footnoteRef/>
      </w:r>
      <w:r>
        <w:rPr>
          <w:rFonts w:hint="eastAsia" w:ascii="宋体" w:hAnsi="宋体"/>
          <w:color w:val="FF0000"/>
          <w:sz w:val="15"/>
          <w:szCs w:val="15"/>
        </w:rPr>
        <w:t xml:space="preserve"> 定标要素及其评审标准、权重应当根据</w:t>
      </w:r>
      <w:r>
        <w:rPr>
          <w:rFonts w:hint="eastAsia" w:ascii="宋体" w:hAnsi="宋体" w:cs="宋体"/>
          <w:color w:val="000000" w:themeColor="text1"/>
          <w:sz w:val="15"/>
          <w:szCs w:val="15"/>
          <w14:textFill>
            <w14:solidFill>
              <w14:schemeClr w14:val="tx1"/>
            </w14:solidFill>
          </w14:textFill>
        </w:rPr>
        <w:t>《厦门市住房和建设局关于印发建设工程招投标评定分离办法的通知》（厦住建规〔2024〕6号）</w:t>
      </w:r>
      <w:r>
        <w:rPr>
          <w:rFonts w:hint="eastAsia" w:ascii="宋体" w:hAnsi="宋体"/>
          <w:color w:val="FF0000"/>
          <w:sz w:val="15"/>
          <w:szCs w:val="15"/>
        </w:rPr>
        <w:t>有关规定编制，应特别注意不得设置经营主体的规模（例如产值）、注册地址、注册资金、市场占有率、负债率、净资产规模等作为定标子要素。</w:t>
      </w:r>
    </w:p>
  </w:footnote>
  <w:footnote w:id="6">
    <w:p w14:paraId="200727F9">
      <w:pPr>
        <w:pStyle w:val="32"/>
        <w:snapToGrid/>
        <w:spacing w:line="200" w:lineRule="exact"/>
        <w:rPr>
          <w:rFonts w:hint="eastAsia" w:ascii="宋体" w:hAnsi="宋体" w:eastAsia="宋体" w:cs="宋体"/>
          <w:color w:val="000000" w:themeColor="text1"/>
          <w:sz w:val="15"/>
          <w:szCs w:val="15"/>
          <w:lang w:val="en-US" w:eastAsia="zh-CN"/>
          <w14:textFill>
            <w14:solidFill>
              <w14:schemeClr w14:val="tx1"/>
            </w14:solidFill>
          </w14:textFill>
        </w:rPr>
      </w:pPr>
      <w:r>
        <w:rPr>
          <w:rFonts w:hint="eastAsia" w:ascii="宋体" w:hAnsi="宋体" w:cs="宋体"/>
          <w:color w:val="000000" w:themeColor="text1"/>
          <w:sz w:val="15"/>
          <w:szCs w:val="15"/>
          <w14:textFill>
            <w14:solidFill>
              <w14:schemeClr w14:val="tx1"/>
            </w14:solidFill>
          </w14:textFill>
        </w:rPr>
        <w:footnoteRef/>
      </w:r>
      <w:r>
        <w:rPr>
          <w:rFonts w:hint="eastAsia" w:ascii="宋体" w:hAnsi="宋体" w:cs="宋体"/>
          <w:color w:val="000000" w:themeColor="text1"/>
          <w:sz w:val="15"/>
          <w:szCs w:val="15"/>
          <w14:textFill>
            <w14:solidFill>
              <w14:schemeClr w14:val="tx1"/>
            </w14:solidFill>
          </w14:textFill>
        </w:rPr>
        <w:t xml:space="preserve"> </w:t>
      </w:r>
      <w:r>
        <w:rPr>
          <w:rFonts w:hint="eastAsia" w:ascii="宋体" w:hAnsi="宋体" w:cs="宋体"/>
          <w:color w:val="000000" w:themeColor="text1"/>
          <w:sz w:val="15"/>
          <w:szCs w:val="15"/>
          <w:lang w:val="en-US" w:eastAsia="zh-CN"/>
          <w14:textFill>
            <w14:solidFill>
              <w14:schemeClr w14:val="tx1"/>
            </w14:solidFill>
          </w14:textFill>
        </w:rPr>
        <w:t>定标要素中若使用最近期的</w:t>
      </w:r>
      <w:r>
        <w:rPr>
          <w:rFonts w:hint="eastAsia" w:ascii="宋体" w:hAnsi="宋体" w:cs="宋体"/>
          <w:color w:val="000000" w:themeColor="text1"/>
          <w:sz w:val="15"/>
          <w:szCs w:val="15"/>
          <w14:textFill>
            <w14:solidFill>
              <w14:schemeClr w14:val="tx1"/>
            </w14:solidFill>
          </w14:textFill>
        </w:rPr>
        <w:t>福建省交通建设市场信用考核评价</w:t>
      </w:r>
      <w:r>
        <w:rPr>
          <w:rFonts w:hint="eastAsia" w:ascii="宋体" w:hAnsi="宋体" w:cs="宋体"/>
          <w:color w:val="000000" w:themeColor="text1"/>
          <w:sz w:val="15"/>
          <w:szCs w:val="15"/>
          <w:lang w:val="en-US" w:eastAsia="zh-CN"/>
          <w14:textFill>
            <w14:solidFill>
              <w14:schemeClr w14:val="tx1"/>
            </w14:solidFill>
          </w14:textFill>
        </w:rPr>
        <w:t>结果的，投标人应在第九章投标文件中“</w:t>
      </w:r>
      <w:r>
        <w:rPr>
          <w:rFonts w:hint="eastAsia" w:ascii="宋体" w:hAnsi="宋体" w:cs="宋体"/>
          <w:color w:val="000000" w:themeColor="text1"/>
          <w:sz w:val="15"/>
          <w:szCs w:val="15"/>
          <w14:textFill>
            <w14:solidFill>
              <w14:schemeClr w14:val="tx1"/>
            </w14:solidFill>
          </w14:textFill>
        </w:rPr>
        <w:t>企业信用声明</w:t>
      </w:r>
      <w:r>
        <w:rPr>
          <w:rFonts w:hint="eastAsia" w:ascii="宋体" w:hAnsi="宋体" w:cs="宋体"/>
          <w:color w:val="000000" w:themeColor="text1"/>
          <w:sz w:val="15"/>
          <w:szCs w:val="15"/>
          <w:lang w:eastAsia="zh-CN"/>
          <w14:textFill>
            <w14:solidFill>
              <w14:schemeClr w14:val="tx1"/>
            </w14:solidFill>
          </w14:textFill>
        </w:rPr>
        <w:t>”</w:t>
      </w:r>
      <w:r>
        <w:rPr>
          <w:rFonts w:hint="eastAsia" w:ascii="宋体" w:hAnsi="宋体" w:cs="宋体"/>
          <w:color w:val="000000" w:themeColor="text1"/>
          <w:sz w:val="15"/>
          <w:szCs w:val="15"/>
          <w:lang w:val="en-US" w:eastAsia="zh-CN"/>
          <w14:textFill>
            <w14:solidFill>
              <w14:schemeClr w14:val="tx1"/>
            </w14:solidFill>
          </w14:textFill>
        </w:rPr>
        <w:t>填写相应声明。</w:t>
      </w:r>
    </w:p>
  </w:footnote>
  <w:footnote w:id="7">
    <w:p w14:paraId="59F45DB1">
      <w:pPr>
        <w:pStyle w:val="32"/>
        <w:spacing w:line="200" w:lineRule="exact"/>
        <w:rPr>
          <w:rFonts w:ascii="宋体" w:hAnsi="宋体" w:cs="宋体"/>
          <w:sz w:val="15"/>
          <w:szCs w:val="15"/>
        </w:rPr>
      </w:pPr>
      <w:r>
        <w:rPr>
          <w:rFonts w:hint="eastAsia" w:ascii="宋体" w:hAnsi="宋体" w:cs="宋体"/>
          <w:sz w:val="15"/>
          <w:szCs w:val="15"/>
        </w:rPr>
        <w:footnoteRef/>
      </w:r>
      <w:r>
        <w:rPr>
          <w:rFonts w:hint="eastAsia" w:ascii="宋体" w:hAnsi="宋体" w:cs="宋体"/>
          <w:sz w:val="15"/>
          <w:szCs w:val="15"/>
        </w:rPr>
        <w:t xml:space="preserve"> 应当与投标人须知第</w:t>
      </w:r>
      <w:r>
        <w:rPr>
          <w:rFonts w:hint="eastAsia" w:ascii="宋体" w:hAnsi="宋体" w:cs="宋体"/>
          <w:szCs w:val="21"/>
        </w:rPr>
        <w:t>7.</w:t>
      </w:r>
      <w:r>
        <w:rPr>
          <w:rFonts w:hint="eastAsia" w:ascii="宋体" w:hAnsi="宋体" w:cs="宋体"/>
          <w:szCs w:val="21"/>
          <w:lang w:val="en-US" w:eastAsia="zh-CN"/>
        </w:rPr>
        <w:t>3</w:t>
      </w:r>
      <w:r>
        <w:rPr>
          <w:rFonts w:hint="eastAsia" w:ascii="宋体" w:hAnsi="宋体" w:cs="宋体"/>
          <w:sz w:val="15"/>
          <w:szCs w:val="15"/>
        </w:rPr>
        <w:t>项选择的定标方法一致。</w:t>
      </w:r>
    </w:p>
    <w:p w14:paraId="615E2661">
      <w:pPr>
        <w:pStyle w:val="32"/>
      </w:pPr>
    </w:p>
  </w:footnote>
  <w:footnote w:id="8">
    <w:p w14:paraId="6A6C6E00">
      <w:pPr>
        <w:pStyle w:val="32"/>
        <w:rPr>
          <w:rFonts w:ascii="宋体" w:hAnsi="宋体" w:cs="宋体"/>
          <w:color w:val="000000" w:themeColor="text1"/>
          <w:sz w:val="15"/>
          <w:szCs w:val="15"/>
          <w14:textFill>
            <w14:solidFill>
              <w14:schemeClr w14:val="tx1"/>
            </w14:solidFill>
          </w14:textFill>
        </w:rPr>
      </w:pPr>
      <w:r>
        <w:rPr>
          <w:rFonts w:hint="eastAsia" w:ascii="宋体" w:hAnsi="宋体" w:cs="宋体"/>
          <w:color w:val="000000" w:themeColor="text1"/>
          <w:kern w:val="0"/>
          <w:sz w:val="15"/>
          <w:szCs w:val="15"/>
          <w14:textFill>
            <w14:solidFill>
              <w14:schemeClr w14:val="tx1"/>
            </w14:solidFill>
          </w14:textFill>
        </w:rPr>
        <w:footnoteRef/>
      </w:r>
      <w:r>
        <w:rPr>
          <w:rFonts w:hint="eastAsia" w:ascii="宋体" w:hAnsi="宋体" w:cs="宋体"/>
          <w:color w:val="000000" w:themeColor="text1"/>
          <w:kern w:val="0"/>
          <w:sz w:val="15"/>
          <w:szCs w:val="15"/>
          <w14:textFill>
            <w14:solidFill>
              <w14:schemeClr w14:val="tx1"/>
            </w14:solidFill>
          </w14:textFill>
        </w:rPr>
        <w:t>陈述、答辩子要素的权重不高于10%。</w:t>
      </w:r>
    </w:p>
  </w:footnote>
  <w:footnote w:id="9">
    <w:p w14:paraId="0E522452">
      <w:pPr>
        <w:pStyle w:val="32"/>
        <w:rPr>
          <w:rFonts w:ascii="宋体" w:hAnsi="宋体" w:cs="宋体"/>
          <w:color w:val="000000" w:themeColor="text1"/>
          <w:kern w:val="0"/>
          <w:sz w:val="15"/>
          <w:szCs w:val="15"/>
          <w14:textFill>
            <w14:solidFill>
              <w14:schemeClr w14:val="tx1"/>
            </w14:solidFill>
          </w14:textFill>
        </w:rPr>
      </w:pPr>
      <w:r>
        <w:rPr>
          <w:rFonts w:hint="eastAsia" w:ascii="宋体" w:hAnsi="宋体" w:cs="宋体"/>
          <w:color w:val="000000" w:themeColor="text1"/>
          <w:kern w:val="0"/>
          <w:sz w:val="15"/>
          <w:szCs w:val="15"/>
          <w14:textFill>
            <w14:solidFill>
              <w14:schemeClr w14:val="tx1"/>
            </w14:solidFill>
          </w14:textFill>
        </w:rPr>
        <w:footnoteRef/>
      </w:r>
      <w:r>
        <w:rPr>
          <w:rFonts w:hint="eastAsia" w:ascii="宋体" w:hAnsi="宋体" w:cs="宋体"/>
          <w:color w:val="000000" w:themeColor="text1"/>
          <w:kern w:val="0"/>
          <w:sz w:val="15"/>
          <w:szCs w:val="15"/>
          <w14:textFill>
            <w14:solidFill>
              <w14:schemeClr w14:val="tx1"/>
            </w14:solidFill>
          </w14:textFill>
        </w:rPr>
        <w:t>项目应急保障能力部分的陈述权重不高于5%。</w:t>
      </w:r>
    </w:p>
  </w:footnote>
  <w:footnote w:id="10">
    <w:p w14:paraId="3FDFE20D">
      <w:pPr>
        <w:pStyle w:val="32"/>
        <w:snapToGrid w:val="0"/>
      </w:pPr>
      <w:r>
        <w:rPr>
          <w:rStyle w:val="53"/>
        </w:rPr>
        <w:footnoteRef/>
      </w:r>
      <w:r>
        <w:t xml:space="preserve"> </w:t>
      </w:r>
      <w:r>
        <w:rPr>
          <w:rFonts w:hint="eastAsia" w:ascii="宋体" w:hAnsi="宋体" w:cs="宋体"/>
          <w:szCs w:val="18"/>
          <w:shd w:val="clear" w:color="auto" w:fill="auto"/>
        </w:rPr>
        <w:t>如果由投标人的法定代表人签署投标文件，则无须提交授权委托书。</w:t>
      </w:r>
    </w:p>
  </w:footnote>
  <w:footnote w:id="11">
    <w:p w14:paraId="40703EC0">
      <w:pPr>
        <w:spacing w:line="360" w:lineRule="auto"/>
        <w:ind w:firstLine="420"/>
      </w:pPr>
      <w:r>
        <w:rPr>
          <w:rStyle w:val="53"/>
        </w:rPr>
        <w:footnoteRef/>
      </w:r>
      <w:r>
        <w:t xml:space="preserve"> </w:t>
      </w:r>
      <w:r>
        <w:rPr>
          <w:rFonts w:hint="eastAsia" w:ascii="黑体" w:hAnsi="黑体" w:eastAsia="黑体"/>
          <w:color w:val="000000" w:themeColor="text1"/>
          <w:sz w:val="21"/>
          <w:szCs w:val="24"/>
          <w:highlight w:val="none"/>
          <w14:textFill>
            <w14:solidFill>
              <w14:schemeClr w14:val="tx1"/>
            </w14:solidFill>
          </w14:textFill>
        </w:rPr>
        <w:t>投标</w:t>
      </w:r>
      <w:r>
        <w:rPr>
          <w:rFonts w:ascii="黑体" w:hAnsi="黑体" w:eastAsia="黑体"/>
          <w:color w:val="000000" w:themeColor="text1"/>
          <w:sz w:val="21"/>
          <w:szCs w:val="24"/>
          <w:highlight w:val="none"/>
          <w14:textFill>
            <w14:solidFill>
              <w14:schemeClr w14:val="tx1"/>
            </w14:solidFill>
          </w14:textFill>
        </w:rPr>
        <w:t>保证金其他材料</w:t>
      </w:r>
      <w:r>
        <w:rPr>
          <w:rFonts w:hint="eastAsia" w:ascii="黑体" w:hAnsi="黑体" w:eastAsia="黑体"/>
          <w:color w:val="000000" w:themeColor="text1"/>
          <w:sz w:val="21"/>
          <w:szCs w:val="24"/>
          <w:highlight w:val="none"/>
          <w14:textFill>
            <w14:solidFill>
              <w14:schemeClr w14:val="tx1"/>
            </w14:solidFill>
          </w14:textFill>
        </w:rPr>
        <w:t>（免缴投标保证金的除外）</w:t>
      </w:r>
    </w:p>
    <w:p w14:paraId="3236E0FE">
      <w:pPr>
        <w:spacing w:line="360" w:lineRule="auto"/>
        <w:ind w:firstLine="420"/>
        <w:rPr>
          <w:rFonts w:hint="eastAsia" w:cs="宋体"/>
          <w:b w:val="0"/>
          <w:bCs w:val="0"/>
          <w:color w:val="000000" w:themeColor="text1"/>
          <w:kern w:val="1"/>
          <w:sz w:val="21"/>
          <w:szCs w:val="21"/>
          <w:highlight w:val="none"/>
          <w14:textFill>
            <w14:solidFill>
              <w14:schemeClr w14:val="tx1"/>
            </w14:solidFill>
          </w14:textFill>
        </w:rPr>
      </w:pPr>
      <w:r>
        <w:rPr>
          <w:rFonts w:hint="eastAsia" w:cs="宋体"/>
          <w:b w:val="0"/>
          <w:bCs w:val="0"/>
          <w:color w:val="000000" w:themeColor="text1"/>
          <w:kern w:val="1"/>
          <w:sz w:val="21"/>
          <w:szCs w:val="21"/>
          <w:highlight w:val="none"/>
          <w14:textFill>
            <w14:solidFill>
              <w14:schemeClr w14:val="tx1"/>
            </w14:solidFill>
          </w14:textFill>
        </w:rPr>
        <w:t>（1）中国人民银行发出的投标人企业基本账户许可证扫描件或基本存款账户开户银行开具的《基本存款账户信息》扫描件</w:t>
      </w:r>
      <w:r>
        <w:rPr>
          <w:rFonts w:hint="eastAsia" w:ascii="宋体" w:hAnsi="宋体" w:eastAsia="宋体" w:cs="宋体"/>
          <w:b w:val="0"/>
          <w:bCs w:val="0"/>
          <w:color w:val="000000" w:themeColor="text1"/>
          <w:sz w:val="21"/>
          <w:szCs w:val="21"/>
          <w:highlight w:val="none"/>
          <w14:textFill>
            <w14:solidFill>
              <w14:schemeClr w14:val="tx1"/>
            </w14:solidFill>
          </w14:textFill>
        </w:rPr>
        <w:t>并加盖投标人单位电子印章</w:t>
      </w:r>
      <w:r>
        <w:rPr>
          <w:rFonts w:hint="eastAsia" w:cs="宋体"/>
          <w:b w:val="0"/>
          <w:bCs w:val="0"/>
          <w:color w:val="000000" w:themeColor="text1"/>
          <w:kern w:val="1"/>
          <w:sz w:val="21"/>
          <w:szCs w:val="21"/>
          <w:highlight w:val="none"/>
          <w14:textFill>
            <w14:solidFill>
              <w14:schemeClr w14:val="tx1"/>
            </w14:solidFill>
          </w14:textFill>
        </w:rPr>
        <w:t>；</w:t>
      </w:r>
    </w:p>
    <w:p w14:paraId="6B9B31F7">
      <w:pPr>
        <w:spacing w:line="360" w:lineRule="auto"/>
        <w:ind w:firstLine="42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cs="宋体"/>
          <w:b w:val="0"/>
          <w:bCs w:val="0"/>
          <w:color w:val="000000" w:themeColor="text1"/>
          <w:kern w:val="1"/>
          <w:sz w:val="21"/>
          <w:szCs w:val="24"/>
          <w:highlight w:val="none"/>
          <w14:textFill>
            <w14:solidFill>
              <w14:schemeClr w14:val="tx1"/>
            </w14:solidFill>
          </w14:textFill>
        </w:rPr>
        <w:t>（2）</w:t>
      </w:r>
      <w:r>
        <w:rPr>
          <w:rFonts w:hint="eastAsia" w:ascii="宋体" w:hAnsi="宋体" w:eastAsia="宋体" w:cs="宋体"/>
          <w:b w:val="0"/>
          <w:bCs w:val="0"/>
          <w:color w:val="000000" w:themeColor="text1"/>
          <w:sz w:val="21"/>
          <w:szCs w:val="21"/>
          <w:highlight w:val="none"/>
          <w14:textFill>
            <w14:solidFill>
              <w14:schemeClr w14:val="tx1"/>
            </w14:solidFill>
          </w14:textFill>
        </w:rPr>
        <w:t>支付电子投标保函费用的电汇或银行转账回单扫描件并加盖投标人单位电子印章；</w:t>
      </w:r>
    </w:p>
    <w:p w14:paraId="07A30BB7">
      <w:pPr>
        <w:spacing w:line="360" w:lineRule="auto"/>
        <w:ind w:firstLine="42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（3）电子投标保函开立人出具的加盖电子投标保函开立人电子印章或电子投标保函开立人依法刻制并授权用于投标保函业务的专用章的到账证明扫描件并加盖投标人单位电子印章。</w:t>
      </w:r>
    </w:p>
    <w:p w14:paraId="347F5E45">
      <w:pPr>
        <w:pStyle w:val="32"/>
        <w:snapToGrid w:val="0"/>
      </w:pPr>
    </w:p>
  </w:footnote>
  <w:footnote w:id="12">
    <w:p w14:paraId="21190D78">
      <w:pPr>
        <w:pStyle w:val="32"/>
        <w:wordWrap w:val="0"/>
        <w:rPr>
          <w:rFonts w:hint="eastAsia" w:ascii="宋体" w:hAnsi="宋体" w:cs="宋体"/>
          <w:szCs w:val="18"/>
          <w:shd w:val="clear" w:color="auto" w:fill="auto"/>
        </w:rPr>
      </w:pPr>
      <w:r>
        <w:rPr>
          <w:rStyle w:val="53"/>
          <w:rFonts w:hint="eastAsia" w:ascii="宋体" w:hAnsi="宋体" w:cs="宋体"/>
          <w:szCs w:val="18"/>
          <w:shd w:val="clear" w:color="auto" w:fill="auto"/>
        </w:rPr>
        <w:footnoteRef/>
      </w:r>
      <w:r>
        <w:rPr>
          <w:rFonts w:hint="eastAsia" w:ascii="宋体" w:hAnsi="宋体" w:cs="宋体"/>
          <w:szCs w:val="18"/>
          <w:shd w:val="clear" w:color="auto" w:fill="auto"/>
        </w:rPr>
        <w:t xml:space="preserve"> a.投标人应按照招标文件第二章“投标人须知”前附表附</w:t>
      </w:r>
      <w:r>
        <w:rPr>
          <w:rFonts w:hint="eastAsia" w:ascii="宋体" w:hAnsi="宋体" w:cs="宋体"/>
          <w:szCs w:val="18"/>
          <w:shd w:val="clear" w:color="auto" w:fill="auto"/>
          <w:lang w:val="en-US" w:eastAsia="zh-CN"/>
        </w:rPr>
        <w:t>件3</w:t>
      </w:r>
      <w:r>
        <w:rPr>
          <w:rFonts w:hint="eastAsia" w:ascii="宋体" w:hAnsi="宋体" w:cs="宋体"/>
          <w:szCs w:val="18"/>
          <w:shd w:val="clear" w:color="auto" w:fill="auto"/>
        </w:rPr>
        <w:t>和“投标人须知”正文第1.4.4项规定，逐条说明其信誉情况。</w:t>
      </w:r>
    </w:p>
    <w:p w14:paraId="6EC5307B">
      <w:pPr>
        <w:pStyle w:val="32"/>
        <w:wordWrap w:val="0"/>
        <w:ind w:firstLine="180" w:firstLineChars="100"/>
        <w:rPr>
          <w:rFonts w:hint="eastAsia" w:ascii="宋体" w:hAnsi="宋体" w:cs="宋体"/>
          <w:szCs w:val="18"/>
          <w:shd w:val="clear" w:color="auto" w:fill="auto"/>
        </w:rPr>
      </w:pPr>
      <w:r>
        <w:rPr>
          <w:rFonts w:hint="eastAsia" w:ascii="宋体" w:hAnsi="宋体" w:cs="宋体"/>
          <w:szCs w:val="18"/>
          <w:shd w:val="clear" w:color="auto" w:fill="auto"/>
        </w:rPr>
        <w:t>b.投标人应根据招标文件第二章“投标人须知”第3.5.</w:t>
      </w:r>
      <w:r>
        <w:rPr>
          <w:rFonts w:hint="eastAsia" w:ascii="宋体" w:hAnsi="宋体" w:cs="宋体"/>
          <w:szCs w:val="18"/>
          <w:shd w:val="clear" w:color="auto" w:fill="auto"/>
          <w:lang w:val="en-US" w:eastAsia="zh-CN"/>
        </w:rPr>
        <w:t>5</w:t>
      </w:r>
      <w:r>
        <w:rPr>
          <w:rFonts w:hint="eastAsia" w:ascii="宋体" w:hAnsi="宋体" w:cs="宋体"/>
          <w:szCs w:val="18"/>
          <w:shd w:val="clear" w:color="auto" w:fill="auto"/>
        </w:rPr>
        <w:t>项的要求在本表后附相关证明材料。</w:t>
      </w:r>
    </w:p>
    <w:p w14:paraId="35219C1B">
      <w:pPr>
        <w:pStyle w:val="32"/>
        <w:wordWrap w:val="0"/>
        <w:ind w:firstLine="180" w:firstLineChars="100"/>
        <w:rPr>
          <w:rFonts w:hint="eastAsia" w:ascii="宋体" w:hAnsi="宋体" w:cs="宋体"/>
          <w:szCs w:val="18"/>
          <w:shd w:val="clear" w:color="auto" w:fill="auto"/>
        </w:rPr>
      </w:pPr>
      <w:r>
        <w:rPr>
          <w:rFonts w:hint="eastAsia" w:ascii="宋体" w:hAnsi="宋体" w:cs="宋体"/>
          <w:szCs w:val="18"/>
          <w:shd w:val="clear" w:color="auto" w:fill="auto"/>
        </w:rPr>
        <w:t>c.投标人应上传“无行贿犯罪记录承诺书”。</w:t>
      </w:r>
    </w:p>
    <w:p w14:paraId="4EE56A42">
      <w:pPr>
        <w:pStyle w:val="32"/>
        <w:wordWrap w:val="0"/>
        <w:ind w:firstLine="180" w:firstLineChars="100"/>
        <w:rPr>
          <w:rFonts w:hint="eastAsia" w:ascii="宋体" w:hAnsi="宋体" w:cs="宋体"/>
          <w:szCs w:val="18"/>
          <w:shd w:val="clear" w:color="auto" w:fill="auto"/>
        </w:rPr>
      </w:pPr>
      <w:r>
        <w:rPr>
          <w:rFonts w:hint="eastAsia" w:ascii="宋体" w:hAnsi="宋体" w:cs="宋体"/>
          <w:szCs w:val="18"/>
          <w:shd w:val="clear" w:color="auto" w:fill="auto"/>
        </w:rPr>
        <w:t>d.以联合体形式参与投标的，联合体各成员应分别填写。</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4D940">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2C1AE">
    <w:pPr>
      <w:pStyle w:val="29"/>
      <w:pBdr>
        <w:bottom w:val="single" w:color="auto" w:sz="6" w:space="0"/>
      </w:pBdr>
      <w:jc w:val="both"/>
      <w:rPr>
        <w:rFonts w:ascii="宋体" w:hAnsi="宋体"/>
        <w:iCs/>
      </w:rPr>
    </w:pPr>
    <w:r>
      <w:rPr>
        <w:rFonts w:hint="eastAsia" w:ascii="宋体" w:hAnsi="宋体"/>
        <w:iC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07B2B">
    <w:pPr>
      <w:pBdr>
        <w:bottom w:val="single" w:color="auto" w:sz="4" w:space="1"/>
      </w:pBdr>
      <w:topLinePunct/>
      <w:spacing w:line="240" w:lineRule="atLeast"/>
      <w:ind w:right="190"/>
      <w:rPr>
        <w:sz w:val="17"/>
        <w:szCs w:val="17"/>
      </w:rPr>
    </w:pPr>
    <w:r>
      <w:rPr>
        <w:rStyle w:val="83"/>
        <w:rFonts w:hint="eastAsia" w:eastAsia="黑体"/>
        <w:kern w:val="10"/>
        <w:sz w:val="22"/>
        <w:szCs w:val="22"/>
      </w:rPr>
      <w:t>公路工程标准勘察设计招标文件（2018年版）</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819E7">
    <w:pPr>
      <w:pStyle w:val="29"/>
      <w:pBdr>
        <w:bottom w:val="none" w:color="auto" w:sz="0" w:space="1"/>
      </w:pBdr>
      <w:jc w:val="both"/>
      <w:rPr>
        <w:rFonts w:ascii="黑体" w:hAnsi="黑体" w:eastAsia="黑体"/>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5B2D7">
    <w:pPr>
      <w:pStyle w:val="29"/>
      <w:pBdr>
        <w:bottom w:val="single" w:color="auto" w:sz="4" w:space="1"/>
      </w:pBd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7026F">
    <w:pPr>
      <w:pStyle w:val="29"/>
      <w:rPr>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FCAC20"/>
    <w:multiLevelType w:val="singleLevel"/>
    <w:tmpl w:val="ACFCAC20"/>
    <w:lvl w:ilvl="0" w:tentative="0">
      <w:start w:val="1"/>
      <w:numFmt w:val="decimal"/>
      <w:suff w:val="nothing"/>
      <w:lvlText w:val="%1、"/>
      <w:lvlJc w:val="left"/>
    </w:lvl>
  </w:abstractNum>
  <w:abstractNum w:abstractNumId="1">
    <w:nsid w:val="AED7C8C1"/>
    <w:multiLevelType w:val="singleLevel"/>
    <w:tmpl w:val="AED7C8C1"/>
    <w:lvl w:ilvl="0" w:tentative="0">
      <w:start w:val="8"/>
      <w:numFmt w:val="decimal"/>
      <w:lvlText w:val="%1."/>
      <w:lvlJc w:val="left"/>
      <w:pPr>
        <w:tabs>
          <w:tab w:val="left" w:pos="312"/>
        </w:tabs>
      </w:pPr>
    </w:lvl>
  </w:abstractNum>
  <w:abstractNum w:abstractNumId="2">
    <w:nsid w:val="CC1B2CE9"/>
    <w:multiLevelType w:val="singleLevel"/>
    <w:tmpl w:val="CC1B2CE9"/>
    <w:lvl w:ilvl="0" w:tentative="0">
      <w:start w:val="1"/>
      <w:numFmt w:val="decimal"/>
      <w:suff w:val="nothing"/>
      <w:lvlText w:val="（%1）"/>
      <w:lvlJc w:val="left"/>
    </w:lvl>
  </w:abstractNum>
  <w:abstractNum w:abstractNumId="3">
    <w:nsid w:val="D8DD0A76"/>
    <w:multiLevelType w:val="singleLevel"/>
    <w:tmpl w:val="D8DD0A76"/>
    <w:lvl w:ilvl="0" w:tentative="0">
      <w:start w:val="4"/>
      <w:numFmt w:val="chineseCounting"/>
      <w:suff w:val="space"/>
      <w:lvlText w:val="第%1章"/>
      <w:lvlJc w:val="left"/>
      <w:rPr>
        <w:rFonts w:hint="eastAsia"/>
      </w:rPr>
    </w:lvl>
  </w:abstractNum>
  <w:abstractNum w:abstractNumId="4">
    <w:nsid w:val="FD2EF957"/>
    <w:multiLevelType w:val="singleLevel"/>
    <w:tmpl w:val="FD2EF957"/>
    <w:lvl w:ilvl="0" w:tentative="0">
      <w:start w:val="1"/>
      <w:numFmt w:val="decimal"/>
      <w:suff w:val="nothing"/>
      <w:lvlText w:val="（%1）"/>
      <w:lvlJc w:val="left"/>
    </w:lvl>
  </w:abstractNum>
  <w:abstractNum w:abstractNumId="5">
    <w:nsid w:val="FDF4F668"/>
    <w:multiLevelType w:val="singleLevel"/>
    <w:tmpl w:val="FDF4F668"/>
    <w:lvl w:ilvl="0" w:tentative="0">
      <w:start w:val="1"/>
      <w:numFmt w:val="decimal"/>
      <w:suff w:val="nothing"/>
      <w:lvlText w:val="（%1）"/>
      <w:lvlJc w:val="left"/>
    </w:lvl>
  </w:abstractNum>
  <w:abstractNum w:abstractNumId="6">
    <w:nsid w:val="27246320"/>
    <w:multiLevelType w:val="singleLevel"/>
    <w:tmpl w:val="27246320"/>
    <w:lvl w:ilvl="0" w:tentative="0">
      <w:start w:val="1"/>
      <w:numFmt w:val="decimal"/>
      <w:suff w:val="nothing"/>
      <w:lvlText w:val="%1、"/>
      <w:lvlJc w:val="left"/>
    </w:lvl>
  </w:abstractNum>
  <w:abstractNum w:abstractNumId="7">
    <w:nsid w:val="3C82C462"/>
    <w:multiLevelType w:val="singleLevel"/>
    <w:tmpl w:val="3C82C462"/>
    <w:lvl w:ilvl="0" w:tentative="0">
      <w:start w:val="1"/>
      <w:numFmt w:val="decimal"/>
      <w:suff w:val="nothing"/>
      <w:lvlText w:val="（%1）"/>
      <w:lvlJc w:val="left"/>
    </w:lvl>
  </w:abstractNum>
  <w:abstractNum w:abstractNumId="8">
    <w:nsid w:val="3F050AB2"/>
    <w:multiLevelType w:val="singleLevel"/>
    <w:tmpl w:val="3F050AB2"/>
    <w:lvl w:ilvl="0" w:tentative="0">
      <w:start w:val="2"/>
      <w:numFmt w:val="chineseCounting"/>
      <w:suff w:val="nothing"/>
      <w:lvlText w:val="（%1）"/>
      <w:lvlJc w:val="left"/>
      <w:rPr>
        <w:rFonts w:hint="eastAsia"/>
      </w:rPr>
    </w:lvl>
  </w:abstractNum>
  <w:abstractNum w:abstractNumId="9">
    <w:nsid w:val="3FEA28E7"/>
    <w:multiLevelType w:val="multilevel"/>
    <w:tmpl w:val="3FEA28E7"/>
    <w:lvl w:ilvl="0" w:tentative="0">
      <w:start w:val="1"/>
      <w:numFmt w:val="decimal"/>
      <w:suff w:val="space"/>
      <w:lvlText w:val="（%1）"/>
      <w:lvlJc w:val="left"/>
      <w:pPr>
        <w:ind w:left="703" w:hanging="420"/>
      </w:pPr>
      <w:rPr>
        <w:rFonts w:hint="default"/>
        <w:lang w:val="en-US"/>
      </w:rPr>
    </w:lvl>
    <w:lvl w:ilvl="1" w:tentative="0">
      <w:start w:val="1"/>
      <w:numFmt w:val="decimal"/>
      <w:suff w:val="space"/>
      <w:lvlText w:val="（%2）"/>
      <w:lvlJc w:val="left"/>
      <w:pPr>
        <w:ind w:left="703" w:hanging="419"/>
      </w:pPr>
      <w:rPr>
        <w:rFonts w:hint="default" w:ascii="宋体" w:hAnsi="宋体"/>
        <w:color w:val="000000"/>
        <w:lang w:val="en-US"/>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80F4AFF"/>
    <w:multiLevelType w:val="singleLevel"/>
    <w:tmpl w:val="580F4AFF"/>
    <w:lvl w:ilvl="0" w:tentative="0">
      <w:start w:val="1"/>
      <w:numFmt w:val="decimal"/>
      <w:suff w:val="nothing"/>
      <w:lvlText w:val="（%1）"/>
      <w:lvlJc w:val="left"/>
    </w:lvl>
  </w:abstractNum>
  <w:num w:numId="1">
    <w:abstractNumId w:val="0"/>
  </w:num>
  <w:num w:numId="2">
    <w:abstractNumId w:val="10"/>
  </w:num>
  <w:num w:numId="3">
    <w:abstractNumId w:val="4"/>
  </w:num>
  <w:num w:numId="4">
    <w:abstractNumId w:val="6"/>
  </w:num>
  <w:num w:numId="5">
    <w:abstractNumId w:val="7"/>
  </w:num>
  <w:num w:numId="6">
    <w:abstractNumId w:val="5"/>
  </w:num>
  <w:num w:numId="7">
    <w:abstractNumId w:val="9"/>
  </w:num>
  <w:num w:numId="8">
    <w:abstractNumId w:val="3"/>
  </w:num>
  <w:num w:numId="9">
    <w:abstractNumId w:val="2"/>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210"/>
  <w:drawingGridVerticalSpacing w:val="-7946"/>
  <w:noPunctuationKerning w:val="1"/>
  <w:characterSpacingControl w:val="compressPunctuation"/>
  <w:doNotValidateAgainstSchema/>
  <w:doNotDemarcateInvalidXml/>
  <w:footnotePr>
    <w:numRestart w:val="eachPage"/>
    <w:footnote w:id="26"/>
    <w:footnote w:id="27"/>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iMDZlYmFiNDc3NWE4MzZjMzdmZmQxMTMzNTA5MDIifQ=="/>
  </w:docVars>
  <w:rsids>
    <w:rsidRoot w:val="00F8164B"/>
    <w:rsid w:val="00001C07"/>
    <w:rsid w:val="00002FFE"/>
    <w:rsid w:val="00003163"/>
    <w:rsid w:val="00003CB0"/>
    <w:rsid w:val="00011D2C"/>
    <w:rsid w:val="00013E9E"/>
    <w:rsid w:val="00016EFA"/>
    <w:rsid w:val="0002649C"/>
    <w:rsid w:val="00032070"/>
    <w:rsid w:val="00037000"/>
    <w:rsid w:val="00037603"/>
    <w:rsid w:val="00047430"/>
    <w:rsid w:val="000478CB"/>
    <w:rsid w:val="000506DF"/>
    <w:rsid w:val="0005669B"/>
    <w:rsid w:val="00057A1D"/>
    <w:rsid w:val="00057F2D"/>
    <w:rsid w:val="000677E0"/>
    <w:rsid w:val="00074962"/>
    <w:rsid w:val="0007517F"/>
    <w:rsid w:val="00080C43"/>
    <w:rsid w:val="00080DD5"/>
    <w:rsid w:val="000823CF"/>
    <w:rsid w:val="0008649C"/>
    <w:rsid w:val="00090451"/>
    <w:rsid w:val="000956D9"/>
    <w:rsid w:val="000A52F5"/>
    <w:rsid w:val="000A5CD2"/>
    <w:rsid w:val="000B156F"/>
    <w:rsid w:val="000B5C2E"/>
    <w:rsid w:val="000B62D1"/>
    <w:rsid w:val="000C16C2"/>
    <w:rsid w:val="000C5200"/>
    <w:rsid w:val="000C6ACB"/>
    <w:rsid w:val="000D4AB0"/>
    <w:rsid w:val="000D5EB3"/>
    <w:rsid w:val="000D6566"/>
    <w:rsid w:val="000E685B"/>
    <w:rsid w:val="000F04B8"/>
    <w:rsid w:val="000F0FFA"/>
    <w:rsid w:val="000F12C7"/>
    <w:rsid w:val="000F2D3E"/>
    <w:rsid w:val="0010166E"/>
    <w:rsid w:val="00102A1C"/>
    <w:rsid w:val="00106988"/>
    <w:rsid w:val="00112A88"/>
    <w:rsid w:val="00112BA1"/>
    <w:rsid w:val="00120A88"/>
    <w:rsid w:val="001225F8"/>
    <w:rsid w:val="001361FA"/>
    <w:rsid w:val="001440E9"/>
    <w:rsid w:val="00144C68"/>
    <w:rsid w:val="00145456"/>
    <w:rsid w:val="00146D70"/>
    <w:rsid w:val="0014799F"/>
    <w:rsid w:val="00150311"/>
    <w:rsid w:val="00150790"/>
    <w:rsid w:val="00152564"/>
    <w:rsid w:val="00172B80"/>
    <w:rsid w:val="00175D81"/>
    <w:rsid w:val="0017609A"/>
    <w:rsid w:val="00180A2A"/>
    <w:rsid w:val="00182C51"/>
    <w:rsid w:val="00185150"/>
    <w:rsid w:val="00190551"/>
    <w:rsid w:val="001911D1"/>
    <w:rsid w:val="00194883"/>
    <w:rsid w:val="001958D0"/>
    <w:rsid w:val="00195D93"/>
    <w:rsid w:val="00196797"/>
    <w:rsid w:val="00196C7A"/>
    <w:rsid w:val="001A3C37"/>
    <w:rsid w:val="001A4018"/>
    <w:rsid w:val="001A56DB"/>
    <w:rsid w:val="001B4D95"/>
    <w:rsid w:val="001B50A4"/>
    <w:rsid w:val="001C045D"/>
    <w:rsid w:val="001C2374"/>
    <w:rsid w:val="001C3D5D"/>
    <w:rsid w:val="001C44A1"/>
    <w:rsid w:val="001C77EC"/>
    <w:rsid w:val="001C7893"/>
    <w:rsid w:val="001D01CB"/>
    <w:rsid w:val="001D15C6"/>
    <w:rsid w:val="001D2BEA"/>
    <w:rsid w:val="001D3E6A"/>
    <w:rsid w:val="001E413A"/>
    <w:rsid w:val="001E41B6"/>
    <w:rsid w:val="001E6940"/>
    <w:rsid w:val="001F0EE9"/>
    <w:rsid w:val="001F1654"/>
    <w:rsid w:val="001F2ADC"/>
    <w:rsid w:val="001F45DF"/>
    <w:rsid w:val="002029F8"/>
    <w:rsid w:val="00202FDD"/>
    <w:rsid w:val="00210D1F"/>
    <w:rsid w:val="002136CB"/>
    <w:rsid w:val="00222EFA"/>
    <w:rsid w:val="0022719C"/>
    <w:rsid w:val="00227E38"/>
    <w:rsid w:val="002302BF"/>
    <w:rsid w:val="002338D8"/>
    <w:rsid w:val="00237381"/>
    <w:rsid w:val="00243BE0"/>
    <w:rsid w:val="00244817"/>
    <w:rsid w:val="00245E79"/>
    <w:rsid w:val="00247481"/>
    <w:rsid w:val="00250DC9"/>
    <w:rsid w:val="00251D25"/>
    <w:rsid w:val="00251D34"/>
    <w:rsid w:val="002520D3"/>
    <w:rsid w:val="00252B02"/>
    <w:rsid w:val="0025371C"/>
    <w:rsid w:val="00260BB4"/>
    <w:rsid w:val="00263FA7"/>
    <w:rsid w:val="00274BAF"/>
    <w:rsid w:val="00276783"/>
    <w:rsid w:val="00283673"/>
    <w:rsid w:val="00284D34"/>
    <w:rsid w:val="002A01D2"/>
    <w:rsid w:val="002A05BE"/>
    <w:rsid w:val="002A3117"/>
    <w:rsid w:val="002A5BFB"/>
    <w:rsid w:val="002A638E"/>
    <w:rsid w:val="002A65A3"/>
    <w:rsid w:val="002B029C"/>
    <w:rsid w:val="002B05FE"/>
    <w:rsid w:val="002B06D1"/>
    <w:rsid w:val="002B3DA0"/>
    <w:rsid w:val="002C0C85"/>
    <w:rsid w:val="002C1437"/>
    <w:rsid w:val="002C2DC2"/>
    <w:rsid w:val="002D12D3"/>
    <w:rsid w:val="002D5753"/>
    <w:rsid w:val="002D612F"/>
    <w:rsid w:val="002F0404"/>
    <w:rsid w:val="002F5D32"/>
    <w:rsid w:val="002F7F3C"/>
    <w:rsid w:val="00303813"/>
    <w:rsid w:val="00311DB6"/>
    <w:rsid w:val="0031236A"/>
    <w:rsid w:val="00324CDA"/>
    <w:rsid w:val="00326825"/>
    <w:rsid w:val="00330300"/>
    <w:rsid w:val="00340585"/>
    <w:rsid w:val="003424E5"/>
    <w:rsid w:val="00345436"/>
    <w:rsid w:val="00347816"/>
    <w:rsid w:val="00350232"/>
    <w:rsid w:val="00353835"/>
    <w:rsid w:val="00353B22"/>
    <w:rsid w:val="003623D9"/>
    <w:rsid w:val="003626D9"/>
    <w:rsid w:val="003632EC"/>
    <w:rsid w:val="003644B4"/>
    <w:rsid w:val="00374ACD"/>
    <w:rsid w:val="00376CE0"/>
    <w:rsid w:val="00387E95"/>
    <w:rsid w:val="00387FED"/>
    <w:rsid w:val="00395DA3"/>
    <w:rsid w:val="003A4D4A"/>
    <w:rsid w:val="003B2E33"/>
    <w:rsid w:val="003B2FB9"/>
    <w:rsid w:val="003B3565"/>
    <w:rsid w:val="003B4420"/>
    <w:rsid w:val="003B5E29"/>
    <w:rsid w:val="003B6327"/>
    <w:rsid w:val="003C4466"/>
    <w:rsid w:val="003C535D"/>
    <w:rsid w:val="003D0C50"/>
    <w:rsid w:val="003D1072"/>
    <w:rsid w:val="003D358E"/>
    <w:rsid w:val="003D4AED"/>
    <w:rsid w:val="003E0321"/>
    <w:rsid w:val="003E28FB"/>
    <w:rsid w:val="003E3115"/>
    <w:rsid w:val="003E5E91"/>
    <w:rsid w:val="003E6FCA"/>
    <w:rsid w:val="003F3768"/>
    <w:rsid w:val="00402E64"/>
    <w:rsid w:val="004054CF"/>
    <w:rsid w:val="004059E1"/>
    <w:rsid w:val="00407E8B"/>
    <w:rsid w:val="0041376C"/>
    <w:rsid w:val="004169FB"/>
    <w:rsid w:val="00423A70"/>
    <w:rsid w:val="00434EE7"/>
    <w:rsid w:val="00435C17"/>
    <w:rsid w:val="00446459"/>
    <w:rsid w:val="0045541C"/>
    <w:rsid w:val="00455BDB"/>
    <w:rsid w:val="00460676"/>
    <w:rsid w:val="00461877"/>
    <w:rsid w:val="004700A6"/>
    <w:rsid w:val="00472A8B"/>
    <w:rsid w:val="00484791"/>
    <w:rsid w:val="00485ECE"/>
    <w:rsid w:val="00485FBF"/>
    <w:rsid w:val="00487B46"/>
    <w:rsid w:val="004917D6"/>
    <w:rsid w:val="00495800"/>
    <w:rsid w:val="004A4F93"/>
    <w:rsid w:val="004B6952"/>
    <w:rsid w:val="004C22E1"/>
    <w:rsid w:val="004C3B63"/>
    <w:rsid w:val="004C5ED9"/>
    <w:rsid w:val="004C64A6"/>
    <w:rsid w:val="004C7AE4"/>
    <w:rsid w:val="004C7BC7"/>
    <w:rsid w:val="004D4BF2"/>
    <w:rsid w:val="004D591B"/>
    <w:rsid w:val="004D7D50"/>
    <w:rsid w:val="004E00F1"/>
    <w:rsid w:val="004E1F98"/>
    <w:rsid w:val="004F0132"/>
    <w:rsid w:val="004F3644"/>
    <w:rsid w:val="004F552D"/>
    <w:rsid w:val="004F678B"/>
    <w:rsid w:val="004F6E91"/>
    <w:rsid w:val="00507E26"/>
    <w:rsid w:val="00510AB6"/>
    <w:rsid w:val="00511D7B"/>
    <w:rsid w:val="005140F2"/>
    <w:rsid w:val="0051497A"/>
    <w:rsid w:val="00514EEB"/>
    <w:rsid w:val="00517862"/>
    <w:rsid w:val="00520D64"/>
    <w:rsid w:val="005224EF"/>
    <w:rsid w:val="00522DF2"/>
    <w:rsid w:val="005232A7"/>
    <w:rsid w:val="00523EBC"/>
    <w:rsid w:val="0052677D"/>
    <w:rsid w:val="00532B7E"/>
    <w:rsid w:val="00533D55"/>
    <w:rsid w:val="00533F61"/>
    <w:rsid w:val="00534AE1"/>
    <w:rsid w:val="00541B10"/>
    <w:rsid w:val="00554744"/>
    <w:rsid w:val="00554F09"/>
    <w:rsid w:val="005562D3"/>
    <w:rsid w:val="005628FE"/>
    <w:rsid w:val="005638CD"/>
    <w:rsid w:val="00563F6F"/>
    <w:rsid w:val="00566F3F"/>
    <w:rsid w:val="00571D05"/>
    <w:rsid w:val="0057346F"/>
    <w:rsid w:val="00577EF7"/>
    <w:rsid w:val="00587304"/>
    <w:rsid w:val="00596270"/>
    <w:rsid w:val="00596D79"/>
    <w:rsid w:val="005A10F7"/>
    <w:rsid w:val="005A16E5"/>
    <w:rsid w:val="005A39D9"/>
    <w:rsid w:val="005B1F6F"/>
    <w:rsid w:val="005B1FD7"/>
    <w:rsid w:val="005B6399"/>
    <w:rsid w:val="005B6843"/>
    <w:rsid w:val="005B692A"/>
    <w:rsid w:val="005B7E6E"/>
    <w:rsid w:val="005C2F65"/>
    <w:rsid w:val="005C52E3"/>
    <w:rsid w:val="005D5948"/>
    <w:rsid w:val="005E6D39"/>
    <w:rsid w:val="005F13BC"/>
    <w:rsid w:val="005F2DF1"/>
    <w:rsid w:val="005F4EFF"/>
    <w:rsid w:val="006049D7"/>
    <w:rsid w:val="006065DA"/>
    <w:rsid w:val="00610702"/>
    <w:rsid w:val="00615124"/>
    <w:rsid w:val="00616C27"/>
    <w:rsid w:val="00621DC8"/>
    <w:rsid w:val="00626440"/>
    <w:rsid w:val="0063015E"/>
    <w:rsid w:val="00630D68"/>
    <w:rsid w:val="0063300E"/>
    <w:rsid w:val="006356E2"/>
    <w:rsid w:val="00640C56"/>
    <w:rsid w:val="006410B9"/>
    <w:rsid w:val="006414DD"/>
    <w:rsid w:val="00644C46"/>
    <w:rsid w:val="00645166"/>
    <w:rsid w:val="00646970"/>
    <w:rsid w:val="00647D99"/>
    <w:rsid w:val="006534D9"/>
    <w:rsid w:val="006543EC"/>
    <w:rsid w:val="00656684"/>
    <w:rsid w:val="00661138"/>
    <w:rsid w:val="00662F10"/>
    <w:rsid w:val="00663532"/>
    <w:rsid w:val="00674A55"/>
    <w:rsid w:val="0067548D"/>
    <w:rsid w:val="006820A4"/>
    <w:rsid w:val="00683998"/>
    <w:rsid w:val="006856D8"/>
    <w:rsid w:val="00692E24"/>
    <w:rsid w:val="00693CBD"/>
    <w:rsid w:val="00693FF1"/>
    <w:rsid w:val="006A0F78"/>
    <w:rsid w:val="006A12F8"/>
    <w:rsid w:val="006A1937"/>
    <w:rsid w:val="006A3998"/>
    <w:rsid w:val="006C125B"/>
    <w:rsid w:val="006C2A41"/>
    <w:rsid w:val="006C3785"/>
    <w:rsid w:val="006C4B22"/>
    <w:rsid w:val="006D2FF2"/>
    <w:rsid w:val="006E1D64"/>
    <w:rsid w:val="006E628E"/>
    <w:rsid w:val="006E77DE"/>
    <w:rsid w:val="006F1B09"/>
    <w:rsid w:val="006F5467"/>
    <w:rsid w:val="00712C37"/>
    <w:rsid w:val="0071621B"/>
    <w:rsid w:val="0071711A"/>
    <w:rsid w:val="007226EF"/>
    <w:rsid w:val="0072470E"/>
    <w:rsid w:val="00733E26"/>
    <w:rsid w:val="00736046"/>
    <w:rsid w:val="00742FA7"/>
    <w:rsid w:val="007454CE"/>
    <w:rsid w:val="00746F18"/>
    <w:rsid w:val="00751113"/>
    <w:rsid w:val="007529BC"/>
    <w:rsid w:val="00752BE2"/>
    <w:rsid w:val="00753004"/>
    <w:rsid w:val="00755A8F"/>
    <w:rsid w:val="00761121"/>
    <w:rsid w:val="00761D21"/>
    <w:rsid w:val="00762CE7"/>
    <w:rsid w:val="007642A3"/>
    <w:rsid w:val="00765EDA"/>
    <w:rsid w:val="00773148"/>
    <w:rsid w:val="00782116"/>
    <w:rsid w:val="00782A86"/>
    <w:rsid w:val="00785EAC"/>
    <w:rsid w:val="00786F6D"/>
    <w:rsid w:val="00787FEF"/>
    <w:rsid w:val="0079073B"/>
    <w:rsid w:val="0079289A"/>
    <w:rsid w:val="007A200B"/>
    <w:rsid w:val="007A3FE8"/>
    <w:rsid w:val="007B077E"/>
    <w:rsid w:val="007B128B"/>
    <w:rsid w:val="007B43E9"/>
    <w:rsid w:val="007B4974"/>
    <w:rsid w:val="007C3269"/>
    <w:rsid w:val="007D06AC"/>
    <w:rsid w:val="007D0806"/>
    <w:rsid w:val="007D24FC"/>
    <w:rsid w:val="007D3C0C"/>
    <w:rsid w:val="007D62E2"/>
    <w:rsid w:val="007D78A5"/>
    <w:rsid w:val="007E40C8"/>
    <w:rsid w:val="007E469B"/>
    <w:rsid w:val="007E554A"/>
    <w:rsid w:val="007E7DEA"/>
    <w:rsid w:val="007F01B1"/>
    <w:rsid w:val="007F17B6"/>
    <w:rsid w:val="007F280D"/>
    <w:rsid w:val="007F2C91"/>
    <w:rsid w:val="007F6FF6"/>
    <w:rsid w:val="007F785A"/>
    <w:rsid w:val="007F7EE9"/>
    <w:rsid w:val="008017EC"/>
    <w:rsid w:val="00812797"/>
    <w:rsid w:val="008207EC"/>
    <w:rsid w:val="00822C80"/>
    <w:rsid w:val="0082498B"/>
    <w:rsid w:val="00824A3F"/>
    <w:rsid w:val="00827AC0"/>
    <w:rsid w:val="00836F7C"/>
    <w:rsid w:val="0083748A"/>
    <w:rsid w:val="0084269B"/>
    <w:rsid w:val="00843EC0"/>
    <w:rsid w:val="0084651E"/>
    <w:rsid w:val="008465E7"/>
    <w:rsid w:val="00857F48"/>
    <w:rsid w:val="00862E32"/>
    <w:rsid w:val="008639D8"/>
    <w:rsid w:val="00864BE4"/>
    <w:rsid w:val="0086580A"/>
    <w:rsid w:val="008720CA"/>
    <w:rsid w:val="00872255"/>
    <w:rsid w:val="0087253C"/>
    <w:rsid w:val="008727A4"/>
    <w:rsid w:val="008730DD"/>
    <w:rsid w:val="00874225"/>
    <w:rsid w:val="00877B0B"/>
    <w:rsid w:val="00883ADE"/>
    <w:rsid w:val="008860F1"/>
    <w:rsid w:val="008866B3"/>
    <w:rsid w:val="00887459"/>
    <w:rsid w:val="00894C4A"/>
    <w:rsid w:val="00896A83"/>
    <w:rsid w:val="008A53B8"/>
    <w:rsid w:val="008B0376"/>
    <w:rsid w:val="008B6043"/>
    <w:rsid w:val="008B71D4"/>
    <w:rsid w:val="008B79E8"/>
    <w:rsid w:val="008C29CA"/>
    <w:rsid w:val="008C2FFB"/>
    <w:rsid w:val="008C64A7"/>
    <w:rsid w:val="008C7EA5"/>
    <w:rsid w:val="008C7F54"/>
    <w:rsid w:val="008D23B0"/>
    <w:rsid w:val="008D4F0A"/>
    <w:rsid w:val="008D6242"/>
    <w:rsid w:val="008D6E95"/>
    <w:rsid w:val="008E443A"/>
    <w:rsid w:val="008E5AF3"/>
    <w:rsid w:val="008E6F4E"/>
    <w:rsid w:val="008E76DB"/>
    <w:rsid w:val="008F13FB"/>
    <w:rsid w:val="008F2184"/>
    <w:rsid w:val="008F71BC"/>
    <w:rsid w:val="008F75B6"/>
    <w:rsid w:val="009055EE"/>
    <w:rsid w:val="00905C38"/>
    <w:rsid w:val="00912FFD"/>
    <w:rsid w:val="009146F6"/>
    <w:rsid w:val="00915BFF"/>
    <w:rsid w:val="00917F92"/>
    <w:rsid w:val="0092147A"/>
    <w:rsid w:val="009252D2"/>
    <w:rsid w:val="00925823"/>
    <w:rsid w:val="0092597E"/>
    <w:rsid w:val="00931037"/>
    <w:rsid w:val="00931AC6"/>
    <w:rsid w:val="00932FB4"/>
    <w:rsid w:val="009352F4"/>
    <w:rsid w:val="009377C9"/>
    <w:rsid w:val="00942257"/>
    <w:rsid w:val="0094364E"/>
    <w:rsid w:val="00944560"/>
    <w:rsid w:val="00944E08"/>
    <w:rsid w:val="009459C5"/>
    <w:rsid w:val="009508CF"/>
    <w:rsid w:val="0095165A"/>
    <w:rsid w:val="009529D8"/>
    <w:rsid w:val="009538B8"/>
    <w:rsid w:val="00954C40"/>
    <w:rsid w:val="0095721C"/>
    <w:rsid w:val="0096033A"/>
    <w:rsid w:val="00962439"/>
    <w:rsid w:val="00966B15"/>
    <w:rsid w:val="00970839"/>
    <w:rsid w:val="009731AB"/>
    <w:rsid w:val="00974E69"/>
    <w:rsid w:val="009775B9"/>
    <w:rsid w:val="00981034"/>
    <w:rsid w:val="00984238"/>
    <w:rsid w:val="009851D0"/>
    <w:rsid w:val="0098687E"/>
    <w:rsid w:val="009A2C47"/>
    <w:rsid w:val="009B1CF2"/>
    <w:rsid w:val="009B72E0"/>
    <w:rsid w:val="009B7B02"/>
    <w:rsid w:val="009C2314"/>
    <w:rsid w:val="009C73DC"/>
    <w:rsid w:val="009D23C3"/>
    <w:rsid w:val="009D2C97"/>
    <w:rsid w:val="009D4B9F"/>
    <w:rsid w:val="009D5BAE"/>
    <w:rsid w:val="009D7C1A"/>
    <w:rsid w:val="009E2D3D"/>
    <w:rsid w:val="009E6CF9"/>
    <w:rsid w:val="009E7A06"/>
    <w:rsid w:val="009F1B0F"/>
    <w:rsid w:val="009F41D8"/>
    <w:rsid w:val="00A00172"/>
    <w:rsid w:val="00A16014"/>
    <w:rsid w:val="00A208A1"/>
    <w:rsid w:val="00A24876"/>
    <w:rsid w:val="00A25A80"/>
    <w:rsid w:val="00A300C9"/>
    <w:rsid w:val="00A31FB8"/>
    <w:rsid w:val="00A3556C"/>
    <w:rsid w:val="00A42C7B"/>
    <w:rsid w:val="00A471E4"/>
    <w:rsid w:val="00A54B80"/>
    <w:rsid w:val="00A577EC"/>
    <w:rsid w:val="00A640E1"/>
    <w:rsid w:val="00A653F3"/>
    <w:rsid w:val="00A67ACF"/>
    <w:rsid w:val="00A722CA"/>
    <w:rsid w:val="00A72D70"/>
    <w:rsid w:val="00A736D1"/>
    <w:rsid w:val="00A739F8"/>
    <w:rsid w:val="00A755A2"/>
    <w:rsid w:val="00A7646A"/>
    <w:rsid w:val="00A77486"/>
    <w:rsid w:val="00A846BD"/>
    <w:rsid w:val="00A84A87"/>
    <w:rsid w:val="00A873B6"/>
    <w:rsid w:val="00A90E3D"/>
    <w:rsid w:val="00AA2D0C"/>
    <w:rsid w:val="00AA2E9C"/>
    <w:rsid w:val="00AA5C0B"/>
    <w:rsid w:val="00AA6DBE"/>
    <w:rsid w:val="00AB0034"/>
    <w:rsid w:val="00AB3684"/>
    <w:rsid w:val="00AB5FC7"/>
    <w:rsid w:val="00AB611D"/>
    <w:rsid w:val="00AD215B"/>
    <w:rsid w:val="00AD2584"/>
    <w:rsid w:val="00AD4DEB"/>
    <w:rsid w:val="00AD5CAF"/>
    <w:rsid w:val="00AD5CED"/>
    <w:rsid w:val="00AD680C"/>
    <w:rsid w:val="00AD6861"/>
    <w:rsid w:val="00AD788A"/>
    <w:rsid w:val="00AE27DD"/>
    <w:rsid w:val="00AE30B2"/>
    <w:rsid w:val="00AE4882"/>
    <w:rsid w:val="00AE5C4D"/>
    <w:rsid w:val="00AF05AA"/>
    <w:rsid w:val="00AF2E1F"/>
    <w:rsid w:val="00AF36A2"/>
    <w:rsid w:val="00AF40EF"/>
    <w:rsid w:val="00AF645D"/>
    <w:rsid w:val="00B170E4"/>
    <w:rsid w:val="00B176E9"/>
    <w:rsid w:val="00B2052B"/>
    <w:rsid w:val="00B219EF"/>
    <w:rsid w:val="00B2354B"/>
    <w:rsid w:val="00B25776"/>
    <w:rsid w:val="00B278C8"/>
    <w:rsid w:val="00B31DDE"/>
    <w:rsid w:val="00B37AE7"/>
    <w:rsid w:val="00B41DC6"/>
    <w:rsid w:val="00B432F8"/>
    <w:rsid w:val="00B43A43"/>
    <w:rsid w:val="00B45587"/>
    <w:rsid w:val="00B45BB1"/>
    <w:rsid w:val="00B50F6A"/>
    <w:rsid w:val="00B52FE6"/>
    <w:rsid w:val="00B53E38"/>
    <w:rsid w:val="00B56734"/>
    <w:rsid w:val="00B56C98"/>
    <w:rsid w:val="00B63AAD"/>
    <w:rsid w:val="00B70416"/>
    <w:rsid w:val="00B70C00"/>
    <w:rsid w:val="00B73475"/>
    <w:rsid w:val="00B75D9C"/>
    <w:rsid w:val="00B77A86"/>
    <w:rsid w:val="00B80DC3"/>
    <w:rsid w:val="00B838FB"/>
    <w:rsid w:val="00B92746"/>
    <w:rsid w:val="00B92CCA"/>
    <w:rsid w:val="00B93458"/>
    <w:rsid w:val="00BA1607"/>
    <w:rsid w:val="00BA2ED4"/>
    <w:rsid w:val="00BA7201"/>
    <w:rsid w:val="00BB4F2D"/>
    <w:rsid w:val="00BB7C6A"/>
    <w:rsid w:val="00BC1074"/>
    <w:rsid w:val="00BC5265"/>
    <w:rsid w:val="00BC59F7"/>
    <w:rsid w:val="00BC6B1C"/>
    <w:rsid w:val="00BD022A"/>
    <w:rsid w:val="00BD1790"/>
    <w:rsid w:val="00BD381D"/>
    <w:rsid w:val="00BD3F95"/>
    <w:rsid w:val="00BD78FA"/>
    <w:rsid w:val="00BE221A"/>
    <w:rsid w:val="00BE280E"/>
    <w:rsid w:val="00BE2FE1"/>
    <w:rsid w:val="00BE3D82"/>
    <w:rsid w:val="00BE7A5F"/>
    <w:rsid w:val="00BF225E"/>
    <w:rsid w:val="00BF324C"/>
    <w:rsid w:val="00BF4555"/>
    <w:rsid w:val="00BF7985"/>
    <w:rsid w:val="00C03F2C"/>
    <w:rsid w:val="00C047F8"/>
    <w:rsid w:val="00C06171"/>
    <w:rsid w:val="00C20383"/>
    <w:rsid w:val="00C211E6"/>
    <w:rsid w:val="00C35F74"/>
    <w:rsid w:val="00C373A4"/>
    <w:rsid w:val="00C43343"/>
    <w:rsid w:val="00C441EB"/>
    <w:rsid w:val="00C463EB"/>
    <w:rsid w:val="00C5082D"/>
    <w:rsid w:val="00C50B6F"/>
    <w:rsid w:val="00C51CEC"/>
    <w:rsid w:val="00C547CB"/>
    <w:rsid w:val="00C55FC3"/>
    <w:rsid w:val="00C571CF"/>
    <w:rsid w:val="00C64FD7"/>
    <w:rsid w:val="00C7094B"/>
    <w:rsid w:val="00C71E50"/>
    <w:rsid w:val="00C74C02"/>
    <w:rsid w:val="00C8073D"/>
    <w:rsid w:val="00C8705C"/>
    <w:rsid w:val="00C9248D"/>
    <w:rsid w:val="00C94E72"/>
    <w:rsid w:val="00CA2D7A"/>
    <w:rsid w:val="00CA41F5"/>
    <w:rsid w:val="00CA421B"/>
    <w:rsid w:val="00CB019B"/>
    <w:rsid w:val="00CB1021"/>
    <w:rsid w:val="00CB3D9B"/>
    <w:rsid w:val="00CC2506"/>
    <w:rsid w:val="00CC50DA"/>
    <w:rsid w:val="00CC57BE"/>
    <w:rsid w:val="00CC72B4"/>
    <w:rsid w:val="00CD3AFD"/>
    <w:rsid w:val="00CD4929"/>
    <w:rsid w:val="00CE1A9E"/>
    <w:rsid w:val="00CE4D07"/>
    <w:rsid w:val="00CE50C8"/>
    <w:rsid w:val="00CE5878"/>
    <w:rsid w:val="00CF26B3"/>
    <w:rsid w:val="00CF4B94"/>
    <w:rsid w:val="00CF6B10"/>
    <w:rsid w:val="00D02071"/>
    <w:rsid w:val="00D0443D"/>
    <w:rsid w:val="00D063DC"/>
    <w:rsid w:val="00D06ED1"/>
    <w:rsid w:val="00D13CFF"/>
    <w:rsid w:val="00D16955"/>
    <w:rsid w:val="00D2159F"/>
    <w:rsid w:val="00D2168D"/>
    <w:rsid w:val="00D25ED2"/>
    <w:rsid w:val="00D26AE5"/>
    <w:rsid w:val="00D34362"/>
    <w:rsid w:val="00D378B0"/>
    <w:rsid w:val="00D46D26"/>
    <w:rsid w:val="00D46FE1"/>
    <w:rsid w:val="00D47717"/>
    <w:rsid w:val="00D5020A"/>
    <w:rsid w:val="00D57B97"/>
    <w:rsid w:val="00D57E34"/>
    <w:rsid w:val="00D62ECD"/>
    <w:rsid w:val="00D71188"/>
    <w:rsid w:val="00D74B51"/>
    <w:rsid w:val="00D7676F"/>
    <w:rsid w:val="00D80D4C"/>
    <w:rsid w:val="00D811E7"/>
    <w:rsid w:val="00D909D8"/>
    <w:rsid w:val="00D92582"/>
    <w:rsid w:val="00D9524B"/>
    <w:rsid w:val="00DA1F10"/>
    <w:rsid w:val="00DA26AF"/>
    <w:rsid w:val="00DB09C6"/>
    <w:rsid w:val="00DB3D08"/>
    <w:rsid w:val="00DB50BD"/>
    <w:rsid w:val="00DB6581"/>
    <w:rsid w:val="00DC1AA0"/>
    <w:rsid w:val="00DC29B4"/>
    <w:rsid w:val="00DC682E"/>
    <w:rsid w:val="00DD1673"/>
    <w:rsid w:val="00DD4229"/>
    <w:rsid w:val="00DE7A6B"/>
    <w:rsid w:val="00DE7BE2"/>
    <w:rsid w:val="00DF5080"/>
    <w:rsid w:val="00E01A5B"/>
    <w:rsid w:val="00E05987"/>
    <w:rsid w:val="00E07BEC"/>
    <w:rsid w:val="00E108D3"/>
    <w:rsid w:val="00E15D59"/>
    <w:rsid w:val="00E16906"/>
    <w:rsid w:val="00E23C4C"/>
    <w:rsid w:val="00E24762"/>
    <w:rsid w:val="00E3116A"/>
    <w:rsid w:val="00E31AF4"/>
    <w:rsid w:val="00E31B2B"/>
    <w:rsid w:val="00E33B70"/>
    <w:rsid w:val="00E348F2"/>
    <w:rsid w:val="00E36EDA"/>
    <w:rsid w:val="00E40E89"/>
    <w:rsid w:val="00E47500"/>
    <w:rsid w:val="00E47F71"/>
    <w:rsid w:val="00E508D8"/>
    <w:rsid w:val="00E53498"/>
    <w:rsid w:val="00E53CA7"/>
    <w:rsid w:val="00E540AB"/>
    <w:rsid w:val="00E567D4"/>
    <w:rsid w:val="00E569DB"/>
    <w:rsid w:val="00E63877"/>
    <w:rsid w:val="00E64F60"/>
    <w:rsid w:val="00E74BB4"/>
    <w:rsid w:val="00E8035B"/>
    <w:rsid w:val="00E87106"/>
    <w:rsid w:val="00E87761"/>
    <w:rsid w:val="00E90C3F"/>
    <w:rsid w:val="00E9564F"/>
    <w:rsid w:val="00EA08D4"/>
    <w:rsid w:val="00EA0918"/>
    <w:rsid w:val="00EA2B2F"/>
    <w:rsid w:val="00EB7232"/>
    <w:rsid w:val="00EC216B"/>
    <w:rsid w:val="00EC384E"/>
    <w:rsid w:val="00EC40BD"/>
    <w:rsid w:val="00EC76E4"/>
    <w:rsid w:val="00ED11F6"/>
    <w:rsid w:val="00ED363B"/>
    <w:rsid w:val="00ED41B6"/>
    <w:rsid w:val="00ED6345"/>
    <w:rsid w:val="00EE2080"/>
    <w:rsid w:val="00EE3ADC"/>
    <w:rsid w:val="00EE5AA3"/>
    <w:rsid w:val="00EE6C70"/>
    <w:rsid w:val="00EF05F4"/>
    <w:rsid w:val="00EF1A5A"/>
    <w:rsid w:val="00EF1EA3"/>
    <w:rsid w:val="00EF232B"/>
    <w:rsid w:val="00EF4351"/>
    <w:rsid w:val="00F00253"/>
    <w:rsid w:val="00F005F8"/>
    <w:rsid w:val="00F07E20"/>
    <w:rsid w:val="00F10392"/>
    <w:rsid w:val="00F11AF5"/>
    <w:rsid w:val="00F13C9E"/>
    <w:rsid w:val="00F1434C"/>
    <w:rsid w:val="00F30B15"/>
    <w:rsid w:val="00F31BF7"/>
    <w:rsid w:val="00F32A95"/>
    <w:rsid w:val="00F3436E"/>
    <w:rsid w:val="00F42104"/>
    <w:rsid w:val="00F43AFB"/>
    <w:rsid w:val="00F51EB4"/>
    <w:rsid w:val="00F53CF7"/>
    <w:rsid w:val="00F57602"/>
    <w:rsid w:val="00F62F12"/>
    <w:rsid w:val="00F64CFD"/>
    <w:rsid w:val="00F70FE2"/>
    <w:rsid w:val="00F8164B"/>
    <w:rsid w:val="00F87CED"/>
    <w:rsid w:val="00F90A6B"/>
    <w:rsid w:val="00F91D79"/>
    <w:rsid w:val="00F950FA"/>
    <w:rsid w:val="00FA2C90"/>
    <w:rsid w:val="00FB24AB"/>
    <w:rsid w:val="00FB2714"/>
    <w:rsid w:val="00FB5591"/>
    <w:rsid w:val="00FC205C"/>
    <w:rsid w:val="00FC34AA"/>
    <w:rsid w:val="00FC7E9C"/>
    <w:rsid w:val="00FD640F"/>
    <w:rsid w:val="00FE0F53"/>
    <w:rsid w:val="00FE21A9"/>
    <w:rsid w:val="00FE2F80"/>
    <w:rsid w:val="00FF2591"/>
    <w:rsid w:val="00FF2CCB"/>
    <w:rsid w:val="00FF2D74"/>
    <w:rsid w:val="00FF6ED8"/>
    <w:rsid w:val="011E3D92"/>
    <w:rsid w:val="013E3BB6"/>
    <w:rsid w:val="013E475B"/>
    <w:rsid w:val="01521C8D"/>
    <w:rsid w:val="01A869EC"/>
    <w:rsid w:val="01C169E1"/>
    <w:rsid w:val="01C9315E"/>
    <w:rsid w:val="01CD4A22"/>
    <w:rsid w:val="01E273D1"/>
    <w:rsid w:val="01F24CEC"/>
    <w:rsid w:val="01F7777F"/>
    <w:rsid w:val="02112DC4"/>
    <w:rsid w:val="021138F7"/>
    <w:rsid w:val="0213254B"/>
    <w:rsid w:val="021437A9"/>
    <w:rsid w:val="024E406C"/>
    <w:rsid w:val="025C24CC"/>
    <w:rsid w:val="025D303A"/>
    <w:rsid w:val="02A92245"/>
    <w:rsid w:val="02B823CD"/>
    <w:rsid w:val="02C52399"/>
    <w:rsid w:val="02C82C0A"/>
    <w:rsid w:val="02F366CF"/>
    <w:rsid w:val="02F837A0"/>
    <w:rsid w:val="02FE69B2"/>
    <w:rsid w:val="031501B1"/>
    <w:rsid w:val="032B749F"/>
    <w:rsid w:val="039E63A5"/>
    <w:rsid w:val="03B37D2C"/>
    <w:rsid w:val="03C32A75"/>
    <w:rsid w:val="03D6212B"/>
    <w:rsid w:val="03FD46E0"/>
    <w:rsid w:val="041B1B1C"/>
    <w:rsid w:val="042B2F4D"/>
    <w:rsid w:val="044E0E32"/>
    <w:rsid w:val="04624C61"/>
    <w:rsid w:val="04694B3D"/>
    <w:rsid w:val="046D55C1"/>
    <w:rsid w:val="04C403B6"/>
    <w:rsid w:val="04CD61FB"/>
    <w:rsid w:val="04DC643E"/>
    <w:rsid w:val="05047743"/>
    <w:rsid w:val="051310CD"/>
    <w:rsid w:val="052A0CDB"/>
    <w:rsid w:val="0536295C"/>
    <w:rsid w:val="056000ED"/>
    <w:rsid w:val="05713BD0"/>
    <w:rsid w:val="05A71CE3"/>
    <w:rsid w:val="05AC5D14"/>
    <w:rsid w:val="05B50A42"/>
    <w:rsid w:val="05C631ED"/>
    <w:rsid w:val="05D021CE"/>
    <w:rsid w:val="05DF5747"/>
    <w:rsid w:val="05F60C44"/>
    <w:rsid w:val="06334BC4"/>
    <w:rsid w:val="06342598"/>
    <w:rsid w:val="066E7569"/>
    <w:rsid w:val="06824129"/>
    <w:rsid w:val="0684751B"/>
    <w:rsid w:val="068B587E"/>
    <w:rsid w:val="069D1BFD"/>
    <w:rsid w:val="06A747BE"/>
    <w:rsid w:val="06A86F66"/>
    <w:rsid w:val="06CE00EC"/>
    <w:rsid w:val="070650AF"/>
    <w:rsid w:val="07082B95"/>
    <w:rsid w:val="070C28DE"/>
    <w:rsid w:val="07186BE6"/>
    <w:rsid w:val="071B2817"/>
    <w:rsid w:val="071B5995"/>
    <w:rsid w:val="07440873"/>
    <w:rsid w:val="07570890"/>
    <w:rsid w:val="07665711"/>
    <w:rsid w:val="076914A9"/>
    <w:rsid w:val="07895189"/>
    <w:rsid w:val="078F7F5A"/>
    <w:rsid w:val="07964F99"/>
    <w:rsid w:val="07B53791"/>
    <w:rsid w:val="07B57D82"/>
    <w:rsid w:val="07B67A4F"/>
    <w:rsid w:val="07CC1B5B"/>
    <w:rsid w:val="07E24407"/>
    <w:rsid w:val="07F66B40"/>
    <w:rsid w:val="07F678A9"/>
    <w:rsid w:val="0820440E"/>
    <w:rsid w:val="083540FE"/>
    <w:rsid w:val="08455D85"/>
    <w:rsid w:val="08481D55"/>
    <w:rsid w:val="08602EE2"/>
    <w:rsid w:val="08B223F1"/>
    <w:rsid w:val="08D3033E"/>
    <w:rsid w:val="08D90BAB"/>
    <w:rsid w:val="08EC6D0A"/>
    <w:rsid w:val="090D1DF1"/>
    <w:rsid w:val="09103231"/>
    <w:rsid w:val="09267C87"/>
    <w:rsid w:val="092B2623"/>
    <w:rsid w:val="093E0412"/>
    <w:rsid w:val="094452FA"/>
    <w:rsid w:val="094A666A"/>
    <w:rsid w:val="096628D5"/>
    <w:rsid w:val="09775BB6"/>
    <w:rsid w:val="097D65E9"/>
    <w:rsid w:val="09862E1C"/>
    <w:rsid w:val="09B10820"/>
    <w:rsid w:val="09BB695B"/>
    <w:rsid w:val="09C863D7"/>
    <w:rsid w:val="09D300B7"/>
    <w:rsid w:val="09F85EF5"/>
    <w:rsid w:val="09FF2389"/>
    <w:rsid w:val="0A045443"/>
    <w:rsid w:val="0A0F547A"/>
    <w:rsid w:val="0A29203F"/>
    <w:rsid w:val="0A3D172D"/>
    <w:rsid w:val="0A4F7AE9"/>
    <w:rsid w:val="0A715C6E"/>
    <w:rsid w:val="0A75225D"/>
    <w:rsid w:val="0A7E302F"/>
    <w:rsid w:val="0AA91C09"/>
    <w:rsid w:val="0ABF43E3"/>
    <w:rsid w:val="0AF2416F"/>
    <w:rsid w:val="0B00324F"/>
    <w:rsid w:val="0B446AEB"/>
    <w:rsid w:val="0B4A1445"/>
    <w:rsid w:val="0B66329F"/>
    <w:rsid w:val="0B703C27"/>
    <w:rsid w:val="0B8227FC"/>
    <w:rsid w:val="0B8E4F69"/>
    <w:rsid w:val="0B953E9F"/>
    <w:rsid w:val="0BAA50C4"/>
    <w:rsid w:val="0BAD5928"/>
    <w:rsid w:val="0BBD2C9C"/>
    <w:rsid w:val="0BCF1100"/>
    <w:rsid w:val="0BD20953"/>
    <w:rsid w:val="0BD61350"/>
    <w:rsid w:val="0BD76B2E"/>
    <w:rsid w:val="0BF40511"/>
    <w:rsid w:val="0C056A41"/>
    <w:rsid w:val="0C3F5FB7"/>
    <w:rsid w:val="0C5620A5"/>
    <w:rsid w:val="0C57738D"/>
    <w:rsid w:val="0C5C7DF3"/>
    <w:rsid w:val="0C971839"/>
    <w:rsid w:val="0CAF3AE2"/>
    <w:rsid w:val="0CBC5855"/>
    <w:rsid w:val="0CF000A8"/>
    <w:rsid w:val="0CF0771F"/>
    <w:rsid w:val="0CFF716D"/>
    <w:rsid w:val="0D076C0B"/>
    <w:rsid w:val="0D233C5F"/>
    <w:rsid w:val="0D38442D"/>
    <w:rsid w:val="0D3E7D58"/>
    <w:rsid w:val="0D58130B"/>
    <w:rsid w:val="0D5C59EB"/>
    <w:rsid w:val="0D755681"/>
    <w:rsid w:val="0D8335BD"/>
    <w:rsid w:val="0DBD6880"/>
    <w:rsid w:val="0DE240DB"/>
    <w:rsid w:val="0DE625F2"/>
    <w:rsid w:val="0DE966DE"/>
    <w:rsid w:val="0DFB64F3"/>
    <w:rsid w:val="0DFE7425"/>
    <w:rsid w:val="0E124C7E"/>
    <w:rsid w:val="0E1C1269"/>
    <w:rsid w:val="0E1F2640"/>
    <w:rsid w:val="0E20578F"/>
    <w:rsid w:val="0E4513E8"/>
    <w:rsid w:val="0E4720F0"/>
    <w:rsid w:val="0E4E4708"/>
    <w:rsid w:val="0E751B49"/>
    <w:rsid w:val="0EE12080"/>
    <w:rsid w:val="0EEB2695"/>
    <w:rsid w:val="0EEC54CF"/>
    <w:rsid w:val="0EF66DF7"/>
    <w:rsid w:val="0F327676"/>
    <w:rsid w:val="0F4A0495"/>
    <w:rsid w:val="0F5A086D"/>
    <w:rsid w:val="0F5A1BFA"/>
    <w:rsid w:val="0F5D461F"/>
    <w:rsid w:val="0F7C2485"/>
    <w:rsid w:val="0FCE365C"/>
    <w:rsid w:val="0FCF5919"/>
    <w:rsid w:val="0FE1571A"/>
    <w:rsid w:val="101265D3"/>
    <w:rsid w:val="101F642E"/>
    <w:rsid w:val="10830384"/>
    <w:rsid w:val="109204BE"/>
    <w:rsid w:val="10954A2B"/>
    <w:rsid w:val="109A09B8"/>
    <w:rsid w:val="10A178FB"/>
    <w:rsid w:val="10CD225C"/>
    <w:rsid w:val="10DB745E"/>
    <w:rsid w:val="10E85924"/>
    <w:rsid w:val="10E94110"/>
    <w:rsid w:val="10F6555F"/>
    <w:rsid w:val="1113520B"/>
    <w:rsid w:val="11156DC4"/>
    <w:rsid w:val="11220530"/>
    <w:rsid w:val="11311EA4"/>
    <w:rsid w:val="11390774"/>
    <w:rsid w:val="113B6DD9"/>
    <w:rsid w:val="115E66C9"/>
    <w:rsid w:val="11852D20"/>
    <w:rsid w:val="118E4640"/>
    <w:rsid w:val="119D6F55"/>
    <w:rsid w:val="11C34370"/>
    <w:rsid w:val="11C440C6"/>
    <w:rsid w:val="11CD7B36"/>
    <w:rsid w:val="11D21746"/>
    <w:rsid w:val="11D566B1"/>
    <w:rsid w:val="11E56E5B"/>
    <w:rsid w:val="12027C95"/>
    <w:rsid w:val="121F5BBC"/>
    <w:rsid w:val="12224473"/>
    <w:rsid w:val="122A3892"/>
    <w:rsid w:val="12404692"/>
    <w:rsid w:val="12463B21"/>
    <w:rsid w:val="124C519A"/>
    <w:rsid w:val="12911452"/>
    <w:rsid w:val="129B0C08"/>
    <w:rsid w:val="12B57500"/>
    <w:rsid w:val="12BB7299"/>
    <w:rsid w:val="12E30BB0"/>
    <w:rsid w:val="131211B1"/>
    <w:rsid w:val="1327675F"/>
    <w:rsid w:val="133D09EF"/>
    <w:rsid w:val="136B23D1"/>
    <w:rsid w:val="136E3386"/>
    <w:rsid w:val="138959E3"/>
    <w:rsid w:val="13C22CA3"/>
    <w:rsid w:val="13C97009"/>
    <w:rsid w:val="13D70A02"/>
    <w:rsid w:val="13DE57AE"/>
    <w:rsid w:val="14602CB7"/>
    <w:rsid w:val="14800411"/>
    <w:rsid w:val="148F7029"/>
    <w:rsid w:val="14902DA1"/>
    <w:rsid w:val="14965CF1"/>
    <w:rsid w:val="14C819BA"/>
    <w:rsid w:val="14C91594"/>
    <w:rsid w:val="14E028EA"/>
    <w:rsid w:val="150572EB"/>
    <w:rsid w:val="152A3BCA"/>
    <w:rsid w:val="15334F24"/>
    <w:rsid w:val="15384261"/>
    <w:rsid w:val="15655185"/>
    <w:rsid w:val="15676703"/>
    <w:rsid w:val="15737374"/>
    <w:rsid w:val="157C3359"/>
    <w:rsid w:val="15936A56"/>
    <w:rsid w:val="1594066F"/>
    <w:rsid w:val="15D92BBE"/>
    <w:rsid w:val="15EF545F"/>
    <w:rsid w:val="1602382A"/>
    <w:rsid w:val="160F4543"/>
    <w:rsid w:val="163C23A2"/>
    <w:rsid w:val="164B0C75"/>
    <w:rsid w:val="164B51D1"/>
    <w:rsid w:val="16690530"/>
    <w:rsid w:val="166B265E"/>
    <w:rsid w:val="168406E3"/>
    <w:rsid w:val="16C310EB"/>
    <w:rsid w:val="16C514EC"/>
    <w:rsid w:val="16C96FEB"/>
    <w:rsid w:val="16D9191F"/>
    <w:rsid w:val="16F1467D"/>
    <w:rsid w:val="17076D0D"/>
    <w:rsid w:val="170D2487"/>
    <w:rsid w:val="17432FAD"/>
    <w:rsid w:val="174D0895"/>
    <w:rsid w:val="1758565E"/>
    <w:rsid w:val="176A3A8C"/>
    <w:rsid w:val="177B4C53"/>
    <w:rsid w:val="17834B63"/>
    <w:rsid w:val="17CB6D31"/>
    <w:rsid w:val="17CC0AF8"/>
    <w:rsid w:val="17D35207"/>
    <w:rsid w:val="17DB4137"/>
    <w:rsid w:val="17FF1A91"/>
    <w:rsid w:val="184A7DB3"/>
    <w:rsid w:val="188F0843"/>
    <w:rsid w:val="189204DC"/>
    <w:rsid w:val="18AE3393"/>
    <w:rsid w:val="18B65A60"/>
    <w:rsid w:val="18CF1A14"/>
    <w:rsid w:val="18E23A6B"/>
    <w:rsid w:val="18E40EA3"/>
    <w:rsid w:val="18ED07C2"/>
    <w:rsid w:val="18F50DCA"/>
    <w:rsid w:val="18F53C9F"/>
    <w:rsid w:val="19023CE8"/>
    <w:rsid w:val="19165511"/>
    <w:rsid w:val="19227F3D"/>
    <w:rsid w:val="192573CE"/>
    <w:rsid w:val="192D076D"/>
    <w:rsid w:val="19404D95"/>
    <w:rsid w:val="19745D6D"/>
    <w:rsid w:val="197747D8"/>
    <w:rsid w:val="19C6326D"/>
    <w:rsid w:val="1A0E6B77"/>
    <w:rsid w:val="1A227947"/>
    <w:rsid w:val="1A242992"/>
    <w:rsid w:val="1A2C7EDF"/>
    <w:rsid w:val="1A386EB1"/>
    <w:rsid w:val="1A566C7C"/>
    <w:rsid w:val="1A686F43"/>
    <w:rsid w:val="1A7A7ACD"/>
    <w:rsid w:val="1A7D597C"/>
    <w:rsid w:val="1A916027"/>
    <w:rsid w:val="1A917A0E"/>
    <w:rsid w:val="1AA014D6"/>
    <w:rsid w:val="1AA102BE"/>
    <w:rsid w:val="1AA255DC"/>
    <w:rsid w:val="1AA27CD2"/>
    <w:rsid w:val="1AB603AB"/>
    <w:rsid w:val="1ABD2416"/>
    <w:rsid w:val="1AF16EC1"/>
    <w:rsid w:val="1B0E4D6C"/>
    <w:rsid w:val="1B150C98"/>
    <w:rsid w:val="1B32070E"/>
    <w:rsid w:val="1B512DF4"/>
    <w:rsid w:val="1B57160C"/>
    <w:rsid w:val="1B7947F9"/>
    <w:rsid w:val="1B8C20C3"/>
    <w:rsid w:val="1B8F3DB2"/>
    <w:rsid w:val="1B915091"/>
    <w:rsid w:val="1B93611D"/>
    <w:rsid w:val="1B9E7BF1"/>
    <w:rsid w:val="1BA72E84"/>
    <w:rsid w:val="1BB461CF"/>
    <w:rsid w:val="1BEF3BE7"/>
    <w:rsid w:val="1C015692"/>
    <w:rsid w:val="1C146065"/>
    <w:rsid w:val="1C2722F9"/>
    <w:rsid w:val="1C382C28"/>
    <w:rsid w:val="1C480AE0"/>
    <w:rsid w:val="1C7003FC"/>
    <w:rsid w:val="1C7829B7"/>
    <w:rsid w:val="1C940FBB"/>
    <w:rsid w:val="1C953FDB"/>
    <w:rsid w:val="1CBD0830"/>
    <w:rsid w:val="1CCA09DB"/>
    <w:rsid w:val="1CD505C4"/>
    <w:rsid w:val="1D022A77"/>
    <w:rsid w:val="1D293D92"/>
    <w:rsid w:val="1D33076D"/>
    <w:rsid w:val="1D4B70F4"/>
    <w:rsid w:val="1D4E0175"/>
    <w:rsid w:val="1D4E4A24"/>
    <w:rsid w:val="1D6B0A67"/>
    <w:rsid w:val="1DAE72ED"/>
    <w:rsid w:val="1DBE1D5C"/>
    <w:rsid w:val="1DE122CB"/>
    <w:rsid w:val="1DE86C91"/>
    <w:rsid w:val="1DF3687A"/>
    <w:rsid w:val="1DF704A8"/>
    <w:rsid w:val="1E685842"/>
    <w:rsid w:val="1E780B2E"/>
    <w:rsid w:val="1E7E1EBC"/>
    <w:rsid w:val="1E8D7B50"/>
    <w:rsid w:val="1EAE38CF"/>
    <w:rsid w:val="1EB30457"/>
    <w:rsid w:val="1EC27FFB"/>
    <w:rsid w:val="1ED56E6B"/>
    <w:rsid w:val="1F053D83"/>
    <w:rsid w:val="1F2B5BA0"/>
    <w:rsid w:val="1F325B42"/>
    <w:rsid w:val="1F533DCE"/>
    <w:rsid w:val="1F8619B1"/>
    <w:rsid w:val="1FBE0529"/>
    <w:rsid w:val="1FDF20FD"/>
    <w:rsid w:val="1FEA15B7"/>
    <w:rsid w:val="202A6E40"/>
    <w:rsid w:val="204346BB"/>
    <w:rsid w:val="204B54BC"/>
    <w:rsid w:val="206520DF"/>
    <w:rsid w:val="20AB6433"/>
    <w:rsid w:val="20C42B86"/>
    <w:rsid w:val="20D1784D"/>
    <w:rsid w:val="20E352B2"/>
    <w:rsid w:val="20E52E02"/>
    <w:rsid w:val="20E908CE"/>
    <w:rsid w:val="21075990"/>
    <w:rsid w:val="211679D0"/>
    <w:rsid w:val="211E639A"/>
    <w:rsid w:val="212A5EA5"/>
    <w:rsid w:val="2144119B"/>
    <w:rsid w:val="21452096"/>
    <w:rsid w:val="217B0EEE"/>
    <w:rsid w:val="217E0F92"/>
    <w:rsid w:val="219720D6"/>
    <w:rsid w:val="219D230C"/>
    <w:rsid w:val="21A13C1F"/>
    <w:rsid w:val="21B70428"/>
    <w:rsid w:val="21C05598"/>
    <w:rsid w:val="21C85928"/>
    <w:rsid w:val="21CE59BE"/>
    <w:rsid w:val="21D411F1"/>
    <w:rsid w:val="21D679DF"/>
    <w:rsid w:val="21FD5760"/>
    <w:rsid w:val="22186EED"/>
    <w:rsid w:val="222818E6"/>
    <w:rsid w:val="2257119B"/>
    <w:rsid w:val="225D0F84"/>
    <w:rsid w:val="225D289A"/>
    <w:rsid w:val="22603DB8"/>
    <w:rsid w:val="22A24F88"/>
    <w:rsid w:val="22B934C3"/>
    <w:rsid w:val="22C24F4D"/>
    <w:rsid w:val="22C2681B"/>
    <w:rsid w:val="22E20285"/>
    <w:rsid w:val="22F10EAE"/>
    <w:rsid w:val="22F8166B"/>
    <w:rsid w:val="2304505A"/>
    <w:rsid w:val="23122A93"/>
    <w:rsid w:val="23362823"/>
    <w:rsid w:val="23711FEF"/>
    <w:rsid w:val="2378562E"/>
    <w:rsid w:val="23AE1830"/>
    <w:rsid w:val="23C77FD8"/>
    <w:rsid w:val="23DA2CD7"/>
    <w:rsid w:val="23F04DD7"/>
    <w:rsid w:val="23F50214"/>
    <w:rsid w:val="23F91C02"/>
    <w:rsid w:val="24066BDB"/>
    <w:rsid w:val="2434504E"/>
    <w:rsid w:val="24376A1A"/>
    <w:rsid w:val="24637B8A"/>
    <w:rsid w:val="246A399F"/>
    <w:rsid w:val="247339EF"/>
    <w:rsid w:val="248140B7"/>
    <w:rsid w:val="249A1C21"/>
    <w:rsid w:val="24A93529"/>
    <w:rsid w:val="24B03DD2"/>
    <w:rsid w:val="24B60B27"/>
    <w:rsid w:val="24BB567D"/>
    <w:rsid w:val="24CC1BD3"/>
    <w:rsid w:val="24E110D2"/>
    <w:rsid w:val="25177C31"/>
    <w:rsid w:val="25186BC1"/>
    <w:rsid w:val="25500989"/>
    <w:rsid w:val="255153A9"/>
    <w:rsid w:val="25573E92"/>
    <w:rsid w:val="2572269B"/>
    <w:rsid w:val="25834833"/>
    <w:rsid w:val="258945A4"/>
    <w:rsid w:val="259B538D"/>
    <w:rsid w:val="25A104FF"/>
    <w:rsid w:val="25C33B5E"/>
    <w:rsid w:val="25C43393"/>
    <w:rsid w:val="25CE699F"/>
    <w:rsid w:val="25DD137E"/>
    <w:rsid w:val="25E87CF2"/>
    <w:rsid w:val="25ED0C02"/>
    <w:rsid w:val="261C67AC"/>
    <w:rsid w:val="265E6FC7"/>
    <w:rsid w:val="268C43BC"/>
    <w:rsid w:val="26AD4D6E"/>
    <w:rsid w:val="26C47201"/>
    <w:rsid w:val="26C84DF5"/>
    <w:rsid w:val="26D357C1"/>
    <w:rsid w:val="26EB4246"/>
    <w:rsid w:val="26F23447"/>
    <w:rsid w:val="26FD1F97"/>
    <w:rsid w:val="270A51E8"/>
    <w:rsid w:val="271B352C"/>
    <w:rsid w:val="272D74D1"/>
    <w:rsid w:val="27300417"/>
    <w:rsid w:val="275B60EB"/>
    <w:rsid w:val="277D231A"/>
    <w:rsid w:val="277F4CDB"/>
    <w:rsid w:val="2797255F"/>
    <w:rsid w:val="27974EBD"/>
    <w:rsid w:val="27B21AED"/>
    <w:rsid w:val="27B3041C"/>
    <w:rsid w:val="27C2106B"/>
    <w:rsid w:val="27CD3A42"/>
    <w:rsid w:val="27DE0077"/>
    <w:rsid w:val="27F92C3C"/>
    <w:rsid w:val="280B44BC"/>
    <w:rsid w:val="281066AD"/>
    <w:rsid w:val="282D30C0"/>
    <w:rsid w:val="283B7F78"/>
    <w:rsid w:val="28514C54"/>
    <w:rsid w:val="285C6E1D"/>
    <w:rsid w:val="286B7BA1"/>
    <w:rsid w:val="28820AF3"/>
    <w:rsid w:val="28A13E50"/>
    <w:rsid w:val="28A86C18"/>
    <w:rsid w:val="28AC57E0"/>
    <w:rsid w:val="28B37030"/>
    <w:rsid w:val="28C73EA2"/>
    <w:rsid w:val="28FA7AA9"/>
    <w:rsid w:val="28FE0D65"/>
    <w:rsid w:val="290731DA"/>
    <w:rsid w:val="292018D3"/>
    <w:rsid w:val="29235B3A"/>
    <w:rsid w:val="292412BA"/>
    <w:rsid w:val="29292636"/>
    <w:rsid w:val="292A12CF"/>
    <w:rsid w:val="29325357"/>
    <w:rsid w:val="295F5369"/>
    <w:rsid w:val="296F3E0D"/>
    <w:rsid w:val="297D3C05"/>
    <w:rsid w:val="29842A7C"/>
    <w:rsid w:val="29860E30"/>
    <w:rsid w:val="298B69E1"/>
    <w:rsid w:val="299A7538"/>
    <w:rsid w:val="299E5FCA"/>
    <w:rsid w:val="29DD01E2"/>
    <w:rsid w:val="2A07423B"/>
    <w:rsid w:val="2A1F18CE"/>
    <w:rsid w:val="2A3D6280"/>
    <w:rsid w:val="2A4111FF"/>
    <w:rsid w:val="2A79675E"/>
    <w:rsid w:val="2AB729DE"/>
    <w:rsid w:val="2ACE70DB"/>
    <w:rsid w:val="2B120224"/>
    <w:rsid w:val="2B163446"/>
    <w:rsid w:val="2B1D243D"/>
    <w:rsid w:val="2B212E98"/>
    <w:rsid w:val="2B2D2CA0"/>
    <w:rsid w:val="2B33475A"/>
    <w:rsid w:val="2B3417FD"/>
    <w:rsid w:val="2B3F4EED"/>
    <w:rsid w:val="2B4673F4"/>
    <w:rsid w:val="2B660011"/>
    <w:rsid w:val="2BCE03DD"/>
    <w:rsid w:val="2BD1355D"/>
    <w:rsid w:val="2BEE18A7"/>
    <w:rsid w:val="2C1874AC"/>
    <w:rsid w:val="2C202CEA"/>
    <w:rsid w:val="2C56609D"/>
    <w:rsid w:val="2C5E40E7"/>
    <w:rsid w:val="2C6B7469"/>
    <w:rsid w:val="2C7D39B1"/>
    <w:rsid w:val="2C846B07"/>
    <w:rsid w:val="2C946CAC"/>
    <w:rsid w:val="2C9F71A5"/>
    <w:rsid w:val="2CA45172"/>
    <w:rsid w:val="2CB4131F"/>
    <w:rsid w:val="2CD5228D"/>
    <w:rsid w:val="2CE71897"/>
    <w:rsid w:val="2CF831CB"/>
    <w:rsid w:val="2CF93F14"/>
    <w:rsid w:val="2CFE3E99"/>
    <w:rsid w:val="2D196FB7"/>
    <w:rsid w:val="2D337523"/>
    <w:rsid w:val="2D4521CD"/>
    <w:rsid w:val="2D5D0ECF"/>
    <w:rsid w:val="2D6A40E6"/>
    <w:rsid w:val="2D9C110E"/>
    <w:rsid w:val="2DC22638"/>
    <w:rsid w:val="2DDD09AD"/>
    <w:rsid w:val="2DE13A03"/>
    <w:rsid w:val="2E027A13"/>
    <w:rsid w:val="2E272322"/>
    <w:rsid w:val="2E520269"/>
    <w:rsid w:val="2E664BB5"/>
    <w:rsid w:val="2E975000"/>
    <w:rsid w:val="2EA65243"/>
    <w:rsid w:val="2EB42F26"/>
    <w:rsid w:val="2EB60053"/>
    <w:rsid w:val="2ED231E7"/>
    <w:rsid w:val="2EE5005D"/>
    <w:rsid w:val="2EF41849"/>
    <w:rsid w:val="2F152D54"/>
    <w:rsid w:val="2F8A06C1"/>
    <w:rsid w:val="2F8B6260"/>
    <w:rsid w:val="2F9652B7"/>
    <w:rsid w:val="2FA342DF"/>
    <w:rsid w:val="2FAB0637"/>
    <w:rsid w:val="2FCF4325"/>
    <w:rsid w:val="2FDE13B7"/>
    <w:rsid w:val="300A476D"/>
    <w:rsid w:val="300D26DC"/>
    <w:rsid w:val="302B3212"/>
    <w:rsid w:val="303C4833"/>
    <w:rsid w:val="30601B4C"/>
    <w:rsid w:val="306E5E5A"/>
    <w:rsid w:val="30837BB3"/>
    <w:rsid w:val="308C618A"/>
    <w:rsid w:val="309A3A28"/>
    <w:rsid w:val="30B1666F"/>
    <w:rsid w:val="30C61AD8"/>
    <w:rsid w:val="30E62C73"/>
    <w:rsid w:val="31160F68"/>
    <w:rsid w:val="31172428"/>
    <w:rsid w:val="31252946"/>
    <w:rsid w:val="312959CE"/>
    <w:rsid w:val="31413629"/>
    <w:rsid w:val="3143321D"/>
    <w:rsid w:val="314B0324"/>
    <w:rsid w:val="31574B3A"/>
    <w:rsid w:val="316022ED"/>
    <w:rsid w:val="316D0D64"/>
    <w:rsid w:val="316F400C"/>
    <w:rsid w:val="3179231D"/>
    <w:rsid w:val="31920B2E"/>
    <w:rsid w:val="31922F7D"/>
    <w:rsid w:val="31A77958"/>
    <w:rsid w:val="31B15C0C"/>
    <w:rsid w:val="31B670CE"/>
    <w:rsid w:val="31C15D1F"/>
    <w:rsid w:val="31C77D73"/>
    <w:rsid w:val="31D21193"/>
    <w:rsid w:val="31D86A3C"/>
    <w:rsid w:val="31E26C7A"/>
    <w:rsid w:val="323203E7"/>
    <w:rsid w:val="323C1F33"/>
    <w:rsid w:val="323F1C36"/>
    <w:rsid w:val="325537EB"/>
    <w:rsid w:val="32582CF8"/>
    <w:rsid w:val="325C4D17"/>
    <w:rsid w:val="327D450D"/>
    <w:rsid w:val="328C20DC"/>
    <w:rsid w:val="328E085B"/>
    <w:rsid w:val="32A01FA9"/>
    <w:rsid w:val="32A67107"/>
    <w:rsid w:val="32B7578F"/>
    <w:rsid w:val="32C7033D"/>
    <w:rsid w:val="32CE089F"/>
    <w:rsid w:val="32D560F7"/>
    <w:rsid w:val="32EB3B6C"/>
    <w:rsid w:val="32F24013"/>
    <w:rsid w:val="330459A4"/>
    <w:rsid w:val="331816BD"/>
    <w:rsid w:val="33492641"/>
    <w:rsid w:val="33512C20"/>
    <w:rsid w:val="33585F23"/>
    <w:rsid w:val="335F3C12"/>
    <w:rsid w:val="338B4E03"/>
    <w:rsid w:val="33AE7B22"/>
    <w:rsid w:val="33B4606A"/>
    <w:rsid w:val="33B540B6"/>
    <w:rsid w:val="340B6DCD"/>
    <w:rsid w:val="340C3D9A"/>
    <w:rsid w:val="34194DE4"/>
    <w:rsid w:val="342144C7"/>
    <w:rsid w:val="34287A81"/>
    <w:rsid w:val="342C6098"/>
    <w:rsid w:val="345121D2"/>
    <w:rsid w:val="34702735"/>
    <w:rsid w:val="34767958"/>
    <w:rsid w:val="347B1300"/>
    <w:rsid w:val="34B95A57"/>
    <w:rsid w:val="34FB3808"/>
    <w:rsid w:val="34FE6BFF"/>
    <w:rsid w:val="35161EF3"/>
    <w:rsid w:val="351751E6"/>
    <w:rsid w:val="35232F81"/>
    <w:rsid w:val="354A6CFF"/>
    <w:rsid w:val="354E3D30"/>
    <w:rsid w:val="356720BE"/>
    <w:rsid w:val="35B94341"/>
    <w:rsid w:val="35CD6477"/>
    <w:rsid w:val="362131E6"/>
    <w:rsid w:val="362732AA"/>
    <w:rsid w:val="36356EAC"/>
    <w:rsid w:val="363E2B15"/>
    <w:rsid w:val="364C3FBF"/>
    <w:rsid w:val="366F26BD"/>
    <w:rsid w:val="367A3047"/>
    <w:rsid w:val="368756AA"/>
    <w:rsid w:val="36A92CE0"/>
    <w:rsid w:val="36C85CF0"/>
    <w:rsid w:val="36DE5751"/>
    <w:rsid w:val="36DF37B2"/>
    <w:rsid w:val="36E27034"/>
    <w:rsid w:val="36F004AC"/>
    <w:rsid w:val="36FE5A97"/>
    <w:rsid w:val="371E36CC"/>
    <w:rsid w:val="379E4A22"/>
    <w:rsid w:val="37A02216"/>
    <w:rsid w:val="37BC5B52"/>
    <w:rsid w:val="37BD2C7D"/>
    <w:rsid w:val="37C042AF"/>
    <w:rsid w:val="37CA25A3"/>
    <w:rsid w:val="37CE75B8"/>
    <w:rsid w:val="37DC6FE5"/>
    <w:rsid w:val="37E77656"/>
    <w:rsid w:val="37FB36C0"/>
    <w:rsid w:val="381F6B5D"/>
    <w:rsid w:val="382877F5"/>
    <w:rsid w:val="38302898"/>
    <w:rsid w:val="38416438"/>
    <w:rsid w:val="38431E48"/>
    <w:rsid w:val="38591578"/>
    <w:rsid w:val="3863409F"/>
    <w:rsid w:val="389B4F15"/>
    <w:rsid w:val="389C68A3"/>
    <w:rsid w:val="38EC35B5"/>
    <w:rsid w:val="38EC5F39"/>
    <w:rsid w:val="38F057A8"/>
    <w:rsid w:val="390C0B34"/>
    <w:rsid w:val="390F4555"/>
    <w:rsid w:val="39134890"/>
    <w:rsid w:val="393645EB"/>
    <w:rsid w:val="3975010C"/>
    <w:rsid w:val="39783C80"/>
    <w:rsid w:val="39A77A4C"/>
    <w:rsid w:val="39BC2B79"/>
    <w:rsid w:val="39EC1A24"/>
    <w:rsid w:val="39F26BF4"/>
    <w:rsid w:val="3A21360B"/>
    <w:rsid w:val="3A2269AA"/>
    <w:rsid w:val="3A251DDF"/>
    <w:rsid w:val="3A260322"/>
    <w:rsid w:val="3A286608"/>
    <w:rsid w:val="3A326F5D"/>
    <w:rsid w:val="3A4362FD"/>
    <w:rsid w:val="3A5C1B82"/>
    <w:rsid w:val="3A6D7161"/>
    <w:rsid w:val="3A8A5A19"/>
    <w:rsid w:val="3A9F39A3"/>
    <w:rsid w:val="3AB941ED"/>
    <w:rsid w:val="3AE5559A"/>
    <w:rsid w:val="3AE639F6"/>
    <w:rsid w:val="3AE74E6A"/>
    <w:rsid w:val="3AEB3ADE"/>
    <w:rsid w:val="3B085695"/>
    <w:rsid w:val="3B0F71B5"/>
    <w:rsid w:val="3B151C52"/>
    <w:rsid w:val="3B596393"/>
    <w:rsid w:val="3B5F4B7F"/>
    <w:rsid w:val="3B607ABA"/>
    <w:rsid w:val="3B651E7E"/>
    <w:rsid w:val="3B732951"/>
    <w:rsid w:val="3B833905"/>
    <w:rsid w:val="3B9D177C"/>
    <w:rsid w:val="3BDE113D"/>
    <w:rsid w:val="3BEC5E86"/>
    <w:rsid w:val="3C063EAE"/>
    <w:rsid w:val="3C122BF5"/>
    <w:rsid w:val="3C1A101E"/>
    <w:rsid w:val="3C25614A"/>
    <w:rsid w:val="3C6061D8"/>
    <w:rsid w:val="3C6350D6"/>
    <w:rsid w:val="3CC329C1"/>
    <w:rsid w:val="3CF01B70"/>
    <w:rsid w:val="3D2F28A7"/>
    <w:rsid w:val="3D4F78DE"/>
    <w:rsid w:val="3D5F008C"/>
    <w:rsid w:val="3D67454F"/>
    <w:rsid w:val="3D7E738B"/>
    <w:rsid w:val="3D8F4377"/>
    <w:rsid w:val="3DDD1947"/>
    <w:rsid w:val="3DF65C0B"/>
    <w:rsid w:val="3E0922F2"/>
    <w:rsid w:val="3E0B50C2"/>
    <w:rsid w:val="3E1343EC"/>
    <w:rsid w:val="3E152AA4"/>
    <w:rsid w:val="3E353083"/>
    <w:rsid w:val="3E7072B3"/>
    <w:rsid w:val="3E7C36D8"/>
    <w:rsid w:val="3E861786"/>
    <w:rsid w:val="3E8729BE"/>
    <w:rsid w:val="3EA5045E"/>
    <w:rsid w:val="3ECA4A86"/>
    <w:rsid w:val="3ECB599E"/>
    <w:rsid w:val="3ED32C55"/>
    <w:rsid w:val="3EE80F60"/>
    <w:rsid w:val="3F0B16F7"/>
    <w:rsid w:val="3F0F3E9B"/>
    <w:rsid w:val="3F1538BC"/>
    <w:rsid w:val="3F2F0879"/>
    <w:rsid w:val="3F3B2274"/>
    <w:rsid w:val="3F4C3E42"/>
    <w:rsid w:val="3F4D7AF8"/>
    <w:rsid w:val="3FAB7EE4"/>
    <w:rsid w:val="3FAD37B5"/>
    <w:rsid w:val="3FBD4B64"/>
    <w:rsid w:val="40036D9F"/>
    <w:rsid w:val="402266F3"/>
    <w:rsid w:val="403E232B"/>
    <w:rsid w:val="40573435"/>
    <w:rsid w:val="405F69E0"/>
    <w:rsid w:val="40823F76"/>
    <w:rsid w:val="408E5A46"/>
    <w:rsid w:val="408F0D79"/>
    <w:rsid w:val="409E4AB9"/>
    <w:rsid w:val="40BF0225"/>
    <w:rsid w:val="40DA56CD"/>
    <w:rsid w:val="40E57D12"/>
    <w:rsid w:val="40EE5EC7"/>
    <w:rsid w:val="40F77BCC"/>
    <w:rsid w:val="40FD37E1"/>
    <w:rsid w:val="41395519"/>
    <w:rsid w:val="415114DA"/>
    <w:rsid w:val="417C3D43"/>
    <w:rsid w:val="419129F9"/>
    <w:rsid w:val="419973DD"/>
    <w:rsid w:val="419E3A6D"/>
    <w:rsid w:val="41AE69C7"/>
    <w:rsid w:val="41D05035"/>
    <w:rsid w:val="41EF4767"/>
    <w:rsid w:val="41F3173D"/>
    <w:rsid w:val="420B3127"/>
    <w:rsid w:val="42113CE7"/>
    <w:rsid w:val="42326603"/>
    <w:rsid w:val="42660B19"/>
    <w:rsid w:val="426C75C1"/>
    <w:rsid w:val="42764AD5"/>
    <w:rsid w:val="427A34D5"/>
    <w:rsid w:val="427B0AB6"/>
    <w:rsid w:val="42877B72"/>
    <w:rsid w:val="42EE37EC"/>
    <w:rsid w:val="42F11EA3"/>
    <w:rsid w:val="42F35B97"/>
    <w:rsid w:val="431C1B20"/>
    <w:rsid w:val="43223332"/>
    <w:rsid w:val="435766B4"/>
    <w:rsid w:val="436571A4"/>
    <w:rsid w:val="438545E5"/>
    <w:rsid w:val="439601F5"/>
    <w:rsid w:val="43A32E97"/>
    <w:rsid w:val="43AF5C17"/>
    <w:rsid w:val="43B056F6"/>
    <w:rsid w:val="43B21BFE"/>
    <w:rsid w:val="43CD0EDA"/>
    <w:rsid w:val="43E36230"/>
    <w:rsid w:val="44003021"/>
    <w:rsid w:val="4412554B"/>
    <w:rsid w:val="444C0106"/>
    <w:rsid w:val="44571B5E"/>
    <w:rsid w:val="44590835"/>
    <w:rsid w:val="446141EF"/>
    <w:rsid w:val="446C0568"/>
    <w:rsid w:val="447A700F"/>
    <w:rsid w:val="44902FFF"/>
    <w:rsid w:val="44A930AB"/>
    <w:rsid w:val="44B0374E"/>
    <w:rsid w:val="44D92438"/>
    <w:rsid w:val="44F15ED6"/>
    <w:rsid w:val="44FC5765"/>
    <w:rsid w:val="452A4A3B"/>
    <w:rsid w:val="453526D1"/>
    <w:rsid w:val="45460E2C"/>
    <w:rsid w:val="45693C11"/>
    <w:rsid w:val="456E4DC0"/>
    <w:rsid w:val="456F23DB"/>
    <w:rsid w:val="456F5F37"/>
    <w:rsid w:val="459B57A2"/>
    <w:rsid w:val="45C1283B"/>
    <w:rsid w:val="45C32528"/>
    <w:rsid w:val="45CA1E1A"/>
    <w:rsid w:val="45CA4ACE"/>
    <w:rsid w:val="45D466E2"/>
    <w:rsid w:val="45FE550D"/>
    <w:rsid w:val="46206D72"/>
    <w:rsid w:val="46445615"/>
    <w:rsid w:val="465E07F9"/>
    <w:rsid w:val="46692FD4"/>
    <w:rsid w:val="46896E2A"/>
    <w:rsid w:val="469B0B60"/>
    <w:rsid w:val="46B21433"/>
    <w:rsid w:val="46B408F3"/>
    <w:rsid w:val="46C201C2"/>
    <w:rsid w:val="46D133D6"/>
    <w:rsid w:val="47177206"/>
    <w:rsid w:val="47227954"/>
    <w:rsid w:val="47354F5E"/>
    <w:rsid w:val="473A07C7"/>
    <w:rsid w:val="474F5CEF"/>
    <w:rsid w:val="475950F1"/>
    <w:rsid w:val="47903EAB"/>
    <w:rsid w:val="47A831F6"/>
    <w:rsid w:val="47CA5426"/>
    <w:rsid w:val="47CA594E"/>
    <w:rsid w:val="47E26E94"/>
    <w:rsid w:val="47E8694B"/>
    <w:rsid w:val="48233009"/>
    <w:rsid w:val="482E4659"/>
    <w:rsid w:val="48376A54"/>
    <w:rsid w:val="483C2D3F"/>
    <w:rsid w:val="484646D6"/>
    <w:rsid w:val="48480BDC"/>
    <w:rsid w:val="48480CC1"/>
    <w:rsid w:val="4849384B"/>
    <w:rsid w:val="48525829"/>
    <w:rsid w:val="489A0824"/>
    <w:rsid w:val="48B17A4C"/>
    <w:rsid w:val="48C136CA"/>
    <w:rsid w:val="48D60B59"/>
    <w:rsid w:val="491B2E5A"/>
    <w:rsid w:val="49317A83"/>
    <w:rsid w:val="494B58ED"/>
    <w:rsid w:val="497921B8"/>
    <w:rsid w:val="49AC4CB2"/>
    <w:rsid w:val="49C03205"/>
    <w:rsid w:val="49D76025"/>
    <w:rsid w:val="49DC4A78"/>
    <w:rsid w:val="49E02F0A"/>
    <w:rsid w:val="4A0646B0"/>
    <w:rsid w:val="4A0E7E8E"/>
    <w:rsid w:val="4A0F63A7"/>
    <w:rsid w:val="4A185B58"/>
    <w:rsid w:val="4A2127F5"/>
    <w:rsid w:val="4A3477F7"/>
    <w:rsid w:val="4A5B35E7"/>
    <w:rsid w:val="4A5F7622"/>
    <w:rsid w:val="4A74393A"/>
    <w:rsid w:val="4A883874"/>
    <w:rsid w:val="4A8E7D38"/>
    <w:rsid w:val="4A8F0551"/>
    <w:rsid w:val="4A981A8C"/>
    <w:rsid w:val="4A9F49DE"/>
    <w:rsid w:val="4AA84EA3"/>
    <w:rsid w:val="4AA91EEB"/>
    <w:rsid w:val="4AB862B2"/>
    <w:rsid w:val="4ACE3061"/>
    <w:rsid w:val="4AD470E5"/>
    <w:rsid w:val="4AD73145"/>
    <w:rsid w:val="4AE0739B"/>
    <w:rsid w:val="4AEA44E6"/>
    <w:rsid w:val="4AF56EDE"/>
    <w:rsid w:val="4B0B69A9"/>
    <w:rsid w:val="4B197D08"/>
    <w:rsid w:val="4B24342C"/>
    <w:rsid w:val="4B286F42"/>
    <w:rsid w:val="4B360D09"/>
    <w:rsid w:val="4B3E6FBC"/>
    <w:rsid w:val="4B467705"/>
    <w:rsid w:val="4B83273C"/>
    <w:rsid w:val="4B9817E9"/>
    <w:rsid w:val="4BAD3344"/>
    <w:rsid w:val="4BE40D01"/>
    <w:rsid w:val="4BF6394C"/>
    <w:rsid w:val="4C1D1444"/>
    <w:rsid w:val="4C296FF4"/>
    <w:rsid w:val="4C2A19D4"/>
    <w:rsid w:val="4C451DEB"/>
    <w:rsid w:val="4C6065D9"/>
    <w:rsid w:val="4C642C20"/>
    <w:rsid w:val="4C7159CB"/>
    <w:rsid w:val="4CA02404"/>
    <w:rsid w:val="4CAF66FE"/>
    <w:rsid w:val="4CBC2374"/>
    <w:rsid w:val="4CDE56C2"/>
    <w:rsid w:val="4CF22775"/>
    <w:rsid w:val="4D2065E7"/>
    <w:rsid w:val="4D797C90"/>
    <w:rsid w:val="4D904D68"/>
    <w:rsid w:val="4D91649D"/>
    <w:rsid w:val="4D943C22"/>
    <w:rsid w:val="4DD67FD8"/>
    <w:rsid w:val="4E026021"/>
    <w:rsid w:val="4E053F89"/>
    <w:rsid w:val="4E0A7246"/>
    <w:rsid w:val="4E2661E9"/>
    <w:rsid w:val="4E5D31B2"/>
    <w:rsid w:val="4EB342A8"/>
    <w:rsid w:val="4EC15329"/>
    <w:rsid w:val="4EC870C0"/>
    <w:rsid w:val="4EEF3B7D"/>
    <w:rsid w:val="4F4D64B3"/>
    <w:rsid w:val="4F554AB2"/>
    <w:rsid w:val="4F5D4523"/>
    <w:rsid w:val="4F6D4D5E"/>
    <w:rsid w:val="4F7725B8"/>
    <w:rsid w:val="4F7753E3"/>
    <w:rsid w:val="4F7F2374"/>
    <w:rsid w:val="4FB16006"/>
    <w:rsid w:val="4FCB0C86"/>
    <w:rsid w:val="4FFA468B"/>
    <w:rsid w:val="502A1A62"/>
    <w:rsid w:val="50306153"/>
    <w:rsid w:val="50405B58"/>
    <w:rsid w:val="506C6EAD"/>
    <w:rsid w:val="507922ED"/>
    <w:rsid w:val="50824287"/>
    <w:rsid w:val="50940F47"/>
    <w:rsid w:val="50982D39"/>
    <w:rsid w:val="50AA2408"/>
    <w:rsid w:val="50D10C38"/>
    <w:rsid w:val="50D24FFA"/>
    <w:rsid w:val="50D41344"/>
    <w:rsid w:val="50E647A4"/>
    <w:rsid w:val="50E95A71"/>
    <w:rsid w:val="511C4AC1"/>
    <w:rsid w:val="5120365F"/>
    <w:rsid w:val="51244764"/>
    <w:rsid w:val="512F4A0C"/>
    <w:rsid w:val="51685CE7"/>
    <w:rsid w:val="51697371"/>
    <w:rsid w:val="516B3D23"/>
    <w:rsid w:val="51851719"/>
    <w:rsid w:val="51A451BA"/>
    <w:rsid w:val="51B43C62"/>
    <w:rsid w:val="51D919E0"/>
    <w:rsid w:val="51F045E6"/>
    <w:rsid w:val="51F15F26"/>
    <w:rsid w:val="521D3658"/>
    <w:rsid w:val="5251159C"/>
    <w:rsid w:val="525766D1"/>
    <w:rsid w:val="5268510D"/>
    <w:rsid w:val="52795F9D"/>
    <w:rsid w:val="52A05ABE"/>
    <w:rsid w:val="52BE04FE"/>
    <w:rsid w:val="52F51D9F"/>
    <w:rsid w:val="53081089"/>
    <w:rsid w:val="530E2063"/>
    <w:rsid w:val="53301653"/>
    <w:rsid w:val="53345C07"/>
    <w:rsid w:val="536A1D04"/>
    <w:rsid w:val="53886113"/>
    <w:rsid w:val="539526FA"/>
    <w:rsid w:val="539A1FAD"/>
    <w:rsid w:val="53A70D5E"/>
    <w:rsid w:val="53A84735"/>
    <w:rsid w:val="53AC66FA"/>
    <w:rsid w:val="53AE03AC"/>
    <w:rsid w:val="53C02053"/>
    <w:rsid w:val="53C24C81"/>
    <w:rsid w:val="53C95591"/>
    <w:rsid w:val="53E55162"/>
    <w:rsid w:val="53EC3DEE"/>
    <w:rsid w:val="54087884"/>
    <w:rsid w:val="542E0C1D"/>
    <w:rsid w:val="544113E6"/>
    <w:rsid w:val="5446539F"/>
    <w:rsid w:val="544D38E7"/>
    <w:rsid w:val="54656B2D"/>
    <w:rsid w:val="547744E0"/>
    <w:rsid w:val="54956754"/>
    <w:rsid w:val="54B03E76"/>
    <w:rsid w:val="54C716E3"/>
    <w:rsid w:val="54C94F38"/>
    <w:rsid w:val="54DC1731"/>
    <w:rsid w:val="54ED5128"/>
    <w:rsid w:val="54F35CCE"/>
    <w:rsid w:val="54F93A6F"/>
    <w:rsid w:val="550645AD"/>
    <w:rsid w:val="55365356"/>
    <w:rsid w:val="556B5EEB"/>
    <w:rsid w:val="556F154B"/>
    <w:rsid w:val="55763DCC"/>
    <w:rsid w:val="55967F79"/>
    <w:rsid w:val="55AB49D7"/>
    <w:rsid w:val="55B76F1E"/>
    <w:rsid w:val="55BC1AE8"/>
    <w:rsid w:val="55C179BA"/>
    <w:rsid w:val="55C2708F"/>
    <w:rsid w:val="55DF3184"/>
    <w:rsid w:val="55E175C8"/>
    <w:rsid w:val="55F2784B"/>
    <w:rsid w:val="55FF1C9C"/>
    <w:rsid w:val="56124994"/>
    <w:rsid w:val="5614593C"/>
    <w:rsid w:val="56180858"/>
    <w:rsid w:val="563048CA"/>
    <w:rsid w:val="563572EA"/>
    <w:rsid w:val="563E7E80"/>
    <w:rsid w:val="564347ED"/>
    <w:rsid w:val="565A678F"/>
    <w:rsid w:val="566E08CE"/>
    <w:rsid w:val="567B40C3"/>
    <w:rsid w:val="567D31BD"/>
    <w:rsid w:val="56A07740"/>
    <w:rsid w:val="56A63F9D"/>
    <w:rsid w:val="56AF15D9"/>
    <w:rsid w:val="56B37C4E"/>
    <w:rsid w:val="56D57C04"/>
    <w:rsid w:val="56F444EE"/>
    <w:rsid w:val="56F4507D"/>
    <w:rsid w:val="56FE6494"/>
    <w:rsid w:val="576525A9"/>
    <w:rsid w:val="577D268E"/>
    <w:rsid w:val="578F32B8"/>
    <w:rsid w:val="579045C8"/>
    <w:rsid w:val="57970186"/>
    <w:rsid w:val="57A13F08"/>
    <w:rsid w:val="57B8431E"/>
    <w:rsid w:val="57CC3F2D"/>
    <w:rsid w:val="57D11AC9"/>
    <w:rsid w:val="57D44EA3"/>
    <w:rsid w:val="58041FF4"/>
    <w:rsid w:val="58363CA3"/>
    <w:rsid w:val="589715D5"/>
    <w:rsid w:val="589D5C62"/>
    <w:rsid w:val="58A75891"/>
    <w:rsid w:val="58CE268C"/>
    <w:rsid w:val="58D41EDC"/>
    <w:rsid w:val="58E77F21"/>
    <w:rsid w:val="591020D1"/>
    <w:rsid w:val="591A3D23"/>
    <w:rsid w:val="593439E9"/>
    <w:rsid w:val="596143E9"/>
    <w:rsid w:val="596C3A56"/>
    <w:rsid w:val="59711114"/>
    <w:rsid w:val="59765C82"/>
    <w:rsid w:val="597814B6"/>
    <w:rsid w:val="598055C7"/>
    <w:rsid w:val="59896C66"/>
    <w:rsid w:val="598C46A7"/>
    <w:rsid w:val="59995821"/>
    <w:rsid w:val="59A52E07"/>
    <w:rsid w:val="59B201B7"/>
    <w:rsid w:val="59E0379B"/>
    <w:rsid w:val="5A124C9E"/>
    <w:rsid w:val="5A14501D"/>
    <w:rsid w:val="5A1C190D"/>
    <w:rsid w:val="5A250E62"/>
    <w:rsid w:val="5A5A25F7"/>
    <w:rsid w:val="5A7D6DDD"/>
    <w:rsid w:val="5A981634"/>
    <w:rsid w:val="5A987886"/>
    <w:rsid w:val="5AAC02BE"/>
    <w:rsid w:val="5AAF74AA"/>
    <w:rsid w:val="5AB94023"/>
    <w:rsid w:val="5ACA2AFC"/>
    <w:rsid w:val="5AD02D7E"/>
    <w:rsid w:val="5AD9312D"/>
    <w:rsid w:val="5ADE3545"/>
    <w:rsid w:val="5B3F0F0A"/>
    <w:rsid w:val="5B4934DB"/>
    <w:rsid w:val="5B5A7CF7"/>
    <w:rsid w:val="5B5F03A4"/>
    <w:rsid w:val="5B7F75B8"/>
    <w:rsid w:val="5B8068BD"/>
    <w:rsid w:val="5B8F22B7"/>
    <w:rsid w:val="5BCF7321"/>
    <w:rsid w:val="5BEC1C38"/>
    <w:rsid w:val="5BF73027"/>
    <w:rsid w:val="5BFD07AE"/>
    <w:rsid w:val="5C1F59A8"/>
    <w:rsid w:val="5C257D7B"/>
    <w:rsid w:val="5C2E0954"/>
    <w:rsid w:val="5C4800A3"/>
    <w:rsid w:val="5C78796F"/>
    <w:rsid w:val="5C911551"/>
    <w:rsid w:val="5D09668E"/>
    <w:rsid w:val="5D0D6309"/>
    <w:rsid w:val="5D0F18B3"/>
    <w:rsid w:val="5D125BAE"/>
    <w:rsid w:val="5D1F3939"/>
    <w:rsid w:val="5D2244A7"/>
    <w:rsid w:val="5D293552"/>
    <w:rsid w:val="5D4605C6"/>
    <w:rsid w:val="5D6F5C43"/>
    <w:rsid w:val="5D785772"/>
    <w:rsid w:val="5D9A428D"/>
    <w:rsid w:val="5D9C3AC3"/>
    <w:rsid w:val="5D9E4190"/>
    <w:rsid w:val="5DA85D60"/>
    <w:rsid w:val="5DC10F79"/>
    <w:rsid w:val="5DDC44A7"/>
    <w:rsid w:val="5E0771FD"/>
    <w:rsid w:val="5E2F0501"/>
    <w:rsid w:val="5E332242"/>
    <w:rsid w:val="5E4D59ED"/>
    <w:rsid w:val="5E814681"/>
    <w:rsid w:val="5EAA4B74"/>
    <w:rsid w:val="5ED370DF"/>
    <w:rsid w:val="5EEB39C2"/>
    <w:rsid w:val="5F3D179A"/>
    <w:rsid w:val="5F3E2C00"/>
    <w:rsid w:val="5F673763"/>
    <w:rsid w:val="5F967CFA"/>
    <w:rsid w:val="5FC724F5"/>
    <w:rsid w:val="5FFA069B"/>
    <w:rsid w:val="600D5386"/>
    <w:rsid w:val="6015201B"/>
    <w:rsid w:val="60301762"/>
    <w:rsid w:val="60486474"/>
    <w:rsid w:val="604A3004"/>
    <w:rsid w:val="60632E40"/>
    <w:rsid w:val="608211A1"/>
    <w:rsid w:val="609B69D7"/>
    <w:rsid w:val="60A22698"/>
    <w:rsid w:val="60BB63CC"/>
    <w:rsid w:val="60D16612"/>
    <w:rsid w:val="60DB3020"/>
    <w:rsid w:val="611A2A5C"/>
    <w:rsid w:val="613867C4"/>
    <w:rsid w:val="61456DA2"/>
    <w:rsid w:val="61576BD7"/>
    <w:rsid w:val="61585087"/>
    <w:rsid w:val="61591C9F"/>
    <w:rsid w:val="6186668A"/>
    <w:rsid w:val="61C07F4C"/>
    <w:rsid w:val="61ED04D7"/>
    <w:rsid w:val="61FA77ED"/>
    <w:rsid w:val="6200643D"/>
    <w:rsid w:val="620E15ED"/>
    <w:rsid w:val="62197E8C"/>
    <w:rsid w:val="621C3C24"/>
    <w:rsid w:val="62A0377C"/>
    <w:rsid w:val="62A95D7C"/>
    <w:rsid w:val="62D702AB"/>
    <w:rsid w:val="62ED7720"/>
    <w:rsid w:val="62FB0433"/>
    <w:rsid w:val="62FB30A8"/>
    <w:rsid w:val="630865ED"/>
    <w:rsid w:val="631229B0"/>
    <w:rsid w:val="63136C03"/>
    <w:rsid w:val="63417682"/>
    <w:rsid w:val="636546F8"/>
    <w:rsid w:val="636906D6"/>
    <w:rsid w:val="63AF67AC"/>
    <w:rsid w:val="63BA1F48"/>
    <w:rsid w:val="63C6558E"/>
    <w:rsid w:val="63E0177F"/>
    <w:rsid w:val="641809B8"/>
    <w:rsid w:val="642F125B"/>
    <w:rsid w:val="642F5120"/>
    <w:rsid w:val="643C41E9"/>
    <w:rsid w:val="64431884"/>
    <w:rsid w:val="64523480"/>
    <w:rsid w:val="647519F3"/>
    <w:rsid w:val="648A46E4"/>
    <w:rsid w:val="6492001E"/>
    <w:rsid w:val="64AA7FD7"/>
    <w:rsid w:val="64B06752"/>
    <w:rsid w:val="64DE525D"/>
    <w:rsid w:val="64FB2EEB"/>
    <w:rsid w:val="65073F61"/>
    <w:rsid w:val="651B358E"/>
    <w:rsid w:val="65374689"/>
    <w:rsid w:val="653E2F0C"/>
    <w:rsid w:val="65471295"/>
    <w:rsid w:val="65662E41"/>
    <w:rsid w:val="65694370"/>
    <w:rsid w:val="6584603C"/>
    <w:rsid w:val="658F2A34"/>
    <w:rsid w:val="65F23EFE"/>
    <w:rsid w:val="66495ED8"/>
    <w:rsid w:val="665164C0"/>
    <w:rsid w:val="666A50C2"/>
    <w:rsid w:val="666E2C4B"/>
    <w:rsid w:val="668533B4"/>
    <w:rsid w:val="66E8786A"/>
    <w:rsid w:val="66EC2F44"/>
    <w:rsid w:val="670403AF"/>
    <w:rsid w:val="670A38BA"/>
    <w:rsid w:val="671375F8"/>
    <w:rsid w:val="6753577B"/>
    <w:rsid w:val="6760797E"/>
    <w:rsid w:val="6783001C"/>
    <w:rsid w:val="67AB0BF9"/>
    <w:rsid w:val="67B37AAD"/>
    <w:rsid w:val="67B87FA9"/>
    <w:rsid w:val="67BA0E3C"/>
    <w:rsid w:val="67C2597B"/>
    <w:rsid w:val="67E83A55"/>
    <w:rsid w:val="680915FE"/>
    <w:rsid w:val="68153AD4"/>
    <w:rsid w:val="68181876"/>
    <w:rsid w:val="68186B7F"/>
    <w:rsid w:val="68252522"/>
    <w:rsid w:val="68422618"/>
    <w:rsid w:val="68556EBE"/>
    <w:rsid w:val="68703BF0"/>
    <w:rsid w:val="6887696C"/>
    <w:rsid w:val="68A70B37"/>
    <w:rsid w:val="68BE16C3"/>
    <w:rsid w:val="68C24F32"/>
    <w:rsid w:val="68D45F2D"/>
    <w:rsid w:val="68DE4DEA"/>
    <w:rsid w:val="68E754A5"/>
    <w:rsid w:val="68FA412A"/>
    <w:rsid w:val="690E259A"/>
    <w:rsid w:val="691A0D21"/>
    <w:rsid w:val="694E1970"/>
    <w:rsid w:val="695A4D60"/>
    <w:rsid w:val="69642FBF"/>
    <w:rsid w:val="698038DE"/>
    <w:rsid w:val="6983790B"/>
    <w:rsid w:val="69946963"/>
    <w:rsid w:val="69A6268C"/>
    <w:rsid w:val="69A642B4"/>
    <w:rsid w:val="69AB370B"/>
    <w:rsid w:val="69E501DD"/>
    <w:rsid w:val="69E81C59"/>
    <w:rsid w:val="69EA19AB"/>
    <w:rsid w:val="6A295D8E"/>
    <w:rsid w:val="6A3F3916"/>
    <w:rsid w:val="6A471163"/>
    <w:rsid w:val="6A5430C6"/>
    <w:rsid w:val="6A6211F5"/>
    <w:rsid w:val="6A9B32A0"/>
    <w:rsid w:val="6AA656A7"/>
    <w:rsid w:val="6AB41A48"/>
    <w:rsid w:val="6AC64568"/>
    <w:rsid w:val="6AD55F8D"/>
    <w:rsid w:val="6AD71AE9"/>
    <w:rsid w:val="6AD93CCF"/>
    <w:rsid w:val="6AEB755E"/>
    <w:rsid w:val="6AF368B6"/>
    <w:rsid w:val="6AF84C60"/>
    <w:rsid w:val="6AF90F1F"/>
    <w:rsid w:val="6B242E29"/>
    <w:rsid w:val="6B250CC2"/>
    <w:rsid w:val="6B3929BF"/>
    <w:rsid w:val="6B425F86"/>
    <w:rsid w:val="6B455F70"/>
    <w:rsid w:val="6B5702AA"/>
    <w:rsid w:val="6B672053"/>
    <w:rsid w:val="6BA04987"/>
    <w:rsid w:val="6BA52B4F"/>
    <w:rsid w:val="6BB467C2"/>
    <w:rsid w:val="6BBE6D9B"/>
    <w:rsid w:val="6BC22BDA"/>
    <w:rsid w:val="6BCA11E4"/>
    <w:rsid w:val="6BD5019D"/>
    <w:rsid w:val="6BDB2114"/>
    <w:rsid w:val="6BDD7F71"/>
    <w:rsid w:val="6C02535B"/>
    <w:rsid w:val="6C2C353A"/>
    <w:rsid w:val="6C476F91"/>
    <w:rsid w:val="6C4B2829"/>
    <w:rsid w:val="6C7310AE"/>
    <w:rsid w:val="6C941CE5"/>
    <w:rsid w:val="6C9A10B9"/>
    <w:rsid w:val="6CAC76DB"/>
    <w:rsid w:val="6CBB69DD"/>
    <w:rsid w:val="6CCD64E7"/>
    <w:rsid w:val="6CD151D8"/>
    <w:rsid w:val="6CD372BC"/>
    <w:rsid w:val="6CD97F62"/>
    <w:rsid w:val="6CE6580D"/>
    <w:rsid w:val="6D016D7B"/>
    <w:rsid w:val="6D01732B"/>
    <w:rsid w:val="6D152633"/>
    <w:rsid w:val="6D461263"/>
    <w:rsid w:val="6D492E7C"/>
    <w:rsid w:val="6D716552"/>
    <w:rsid w:val="6D767E1E"/>
    <w:rsid w:val="6D84562E"/>
    <w:rsid w:val="6DB4632D"/>
    <w:rsid w:val="6DBD1A1B"/>
    <w:rsid w:val="6DD93FE6"/>
    <w:rsid w:val="6DE45C2D"/>
    <w:rsid w:val="6DEA4972"/>
    <w:rsid w:val="6DFA4B8E"/>
    <w:rsid w:val="6DFB3271"/>
    <w:rsid w:val="6E201C15"/>
    <w:rsid w:val="6E4B24DE"/>
    <w:rsid w:val="6E585C91"/>
    <w:rsid w:val="6E5D38C0"/>
    <w:rsid w:val="6E615AFF"/>
    <w:rsid w:val="6E814FA9"/>
    <w:rsid w:val="6E8B515F"/>
    <w:rsid w:val="6E994FBD"/>
    <w:rsid w:val="6E9F1698"/>
    <w:rsid w:val="6EBA48F1"/>
    <w:rsid w:val="6EBF2818"/>
    <w:rsid w:val="6EE427A6"/>
    <w:rsid w:val="6EE566BF"/>
    <w:rsid w:val="6EF50D10"/>
    <w:rsid w:val="6EFF182A"/>
    <w:rsid w:val="6F1C0E6F"/>
    <w:rsid w:val="6F504040"/>
    <w:rsid w:val="6F51656B"/>
    <w:rsid w:val="6F5561C0"/>
    <w:rsid w:val="6F7006A5"/>
    <w:rsid w:val="6F744A68"/>
    <w:rsid w:val="6F9B2E32"/>
    <w:rsid w:val="6FAF331D"/>
    <w:rsid w:val="6FD418B9"/>
    <w:rsid w:val="6FDE0D44"/>
    <w:rsid w:val="6FFA5862"/>
    <w:rsid w:val="70015E12"/>
    <w:rsid w:val="70216F0C"/>
    <w:rsid w:val="708D51AE"/>
    <w:rsid w:val="70952446"/>
    <w:rsid w:val="70B7567A"/>
    <w:rsid w:val="70CF51AD"/>
    <w:rsid w:val="70E744C6"/>
    <w:rsid w:val="70FA69CC"/>
    <w:rsid w:val="71103B47"/>
    <w:rsid w:val="711B379C"/>
    <w:rsid w:val="712169E0"/>
    <w:rsid w:val="713B0681"/>
    <w:rsid w:val="717B788E"/>
    <w:rsid w:val="71961C6C"/>
    <w:rsid w:val="71B0505E"/>
    <w:rsid w:val="71B15BE5"/>
    <w:rsid w:val="71D4444E"/>
    <w:rsid w:val="71D601AA"/>
    <w:rsid w:val="71EA2804"/>
    <w:rsid w:val="72071122"/>
    <w:rsid w:val="721C629C"/>
    <w:rsid w:val="7221380C"/>
    <w:rsid w:val="72706DF2"/>
    <w:rsid w:val="727E015D"/>
    <w:rsid w:val="729C7006"/>
    <w:rsid w:val="72BF0F19"/>
    <w:rsid w:val="72D20AF8"/>
    <w:rsid w:val="72DB6AA5"/>
    <w:rsid w:val="72F035B5"/>
    <w:rsid w:val="72F5525D"/>
    <w:rsid w:val="731B3928"/>
    <w:rsid w:val="73223517"/>
    <w:rsid w:val="73242CBC"/>
    <w:rsid w:val="73274BE3"/>
    <w:rsid w:val="732E26DE"/>
    <w:rsid w:val="73563B29"/>
    <w:rsid w:val="73577E87"/>
    <w:rsid w:val="736951D8"/>
    <w:rsid w:val="73920EBF"/>
    <w:rsid w:val="73A53594"/>
    <w:rsid w:val="73F424D4"/>
    <w:rsid w:val="73FA424A"/>
    <w:rsid w:val="740D69B8"/>
    <w:rsid w:val="74237D69"/>
    <w:rsid w:val="74286D06"/>
    <w:rsid w:val="746A43D1"/>
    <w:rsid w:val="74797C87"/>
    <w:rsid w:val="748F3650"/>
    <w:rsid w:val="74AA2F16"/>
    <w:rsid w:val="74AF7614"/>
    <w:rsid w:val="74B756FF"/>
    <w:rsid w:val="74EE2936"/>
    <w:rsid w:val="74FD680C"/>
    <w:rsid w:val="751C4038"/>
    <w:rsid w:val="751E300C"/>
    <w:rsid w:val="75203CDB"/>
    <w:rsid w:val="7527330A"/>
    <w:rsid w:val="75293D3F"/>
    <w:rsid w:val="752960D5"/>
    <w:rsid w:val="75330480"/>
    <w:rsid w:val="7553473A"/>
    <w:rsid w:val="758A36D8"/>
    <w:rsid w:val="758B3E18"/>
    <w:rsid w:val="759810E9"/>
    <w:rsid w:val="75A02B0D"/>
    <w:rsid w:val="75A04D83"/>
    <w:rsid w:val="75A12183"/>
    <w:rsid w:val="75B705BB"/>
    <w:rsid w:val="75B74DC3"/>
    <w:rsid w:val="75CD28D1"/>
    <w:rsid w:val="75D92DD5"/>
    <w:rsid w:val="75E23AD2"/>
    <w:rsid w:val="75E26739"/>
    <w:rsid w:val="76372A76"/>
    <w:rsid w:val="76714542"/>
    <w:rsid w:val="767547AF"/>
    <w:rsid w:val="76790DE2"/>
    <w:rsid w:val="768641FA"/>
    <w:rsid w:val="76AC14DE"/>
    <w:rsid w:val="76B63AD4"/>
    <w:rsid w:val="76CA3328"/>
    <w:rsid w:val="76E77652"/>
    <w:rsid w:val="7709057F"/>
    <w:rsid w:val="770A1C2F"/>
    <w:rsid w:val="771E3C31"/>
    <w:rsid w:val="772F1787"/>
    <w:rsid w:val="77364257"/>
    <w:rsid w:val="77462207"/>
    <w:rsid w:val="774A39AF"/>
    <w:rsid w:val="774C5829"/>
    <w:rsid w:val="774F00A5"/>
    <w:rsid w:val="775766A7"/>
    <w:rsid w:val="775970DE"/>
    <w:rsid w:val="77925931"/>
    <w:rsid w:val="77AF7A64"/>
    <w:rsid w:val="77D943B9"/>
    <w:rsid w:val="77D9530E"/>
    <w:rsid w:val="77FA0187"/>
    <w:rsid w:val="77FD3D03"/>
    <w:rsid w:val="7845162D"/>
    <w:rsid w:val="78475BEA"/>
    <w:rsid w:val="78542A30"/>
    <w:rsid w:val="78595570"/>
    <w:rsid w:val="786528C4"/>
    <w:rsid w:val="7873421F"/>
    <w:rsid w:val="78756C34"/>
    <w:rsid w:val="78872FBC"/>
    <w:rsid w:val="788D5D25"/>
    <w:rsid w:val="78954CF6"/>
    <w:rsid w:val="78981C46"/>
    <w:rsid w:val="789A08F3"/>
    <w:rsid w:val="78AF21C8"/>
    <w:rsid w:val="78CC7E93"/>
    <w:rsid w:val="78EF4034"/>
    <w:rsid w:val="7913178A"/>
    <w:rsid w:val="791769DB"/>
    <w:rsid w:val="792B5073"/>
    <w:rsid w:val="79591C4A"/>
    <w:rsid w:val="795E5F62"/>
    <w:rsid w:val="795F2099"/>
    <w:rsid w:val="79691570"/>
    <w:rsid w:val="798D0E64"/>
    <w:rsid w:val="79991C7F"/>
    <w:rsid w:val="79AC7A48"/>
    <w:rsid w:val="79B52BA0"/>
    <w:rsid w:val="7A01698C"/>
    <w:rsid w:val="7A0612C8"/>
    <w:rsid w:val="7A1302FC"/>
    <w:rsid w:val="7A157449"/>
    <w:rsid w:val="7A353313"/>
    <w:rsid w:val="7A4F4F4F"/>
    <w:rsid w:val="7A5A0D22"/>
    <w:rsid w:val="7A635363"/>
    <w:rsid w:val="7A693639"/>
    <w:rsid w:val="7A850E5E"/>
    <w:rsid w:val="7AC54C0C"/>
    <w:rsid w:val="7AD5280B"/>
    <w:rsid w:val="7AD66CF0"/>
    <w:rsid w:val="7ADA49F9"/>
    <w:rsid w:val="7AE710FC"/>
    <w:rsid w:val="7AF366E7"/>
    <w:rsid w:val="7AF96C3B"/>
    <w:rsid w:val="7B024B7C"/>
    <w:rsid w:val="7B193432"/>
    <w:rsid w:val="7B3412D6"/>
    <w:rsid w:val="7B846B6F"/>
    <w:rsid w:val="7B9A6B62"/>
    <w:rsid w:val="7B9D0BEA"/>
    <w:rsid w:val="7BC4546B"/>
    <w:rsid w:val="7BD17879"/>
    <w:rsid w:val="7BDB4B05"/>
    <w:rsid w:val="7BE45CBE"/>
    <w:rsid w:val="7BEC3DE7"/>
    <w:rsid w:val="7BF4411F"/>
    <w:rsid w:val="7BF52F56"/>
    <w:rsid w:val="7BF7512C"/>
    <w:rsid w:val="7C030BAC"/>
    <w:rsid w:val="7C1475DC"/>
    <w:rsid w:val="7C193B21"/>
    <w:rsid w:val="7C307811"/>
    <w:rsid w:val="7C425E6E"/>
    <w:rsid w:val="7C4825F0"/>
    <w:rsid w:val="7C4D4CBC"/>
    <w:rsid w:val="7C7854D2"/>
    <w:rsid w:val="7CB33BE1"/>
    <w:rsid w:val="7CB40E6C"/>
    <w:rsid w:val="7CB7475D"/>
    <w:rsid w:val="7D184922"/>
    <w:rsid w:val="7D330B49"/>
    <w:rsid w:val="7D391A94"/>
    <w:rsid w:val="7D6D2563"/>
    <w:rsid w:val="7D7C49DC"/>
    <w:rsid w:val="7D8A2C07"/>
    <w:rsid w:val="7D8B2EAC"/>
    <w:rsid w:val="7D9324F9"/>
    <w:rsid w:val="7DB5577A"/>
    <w:rsid w:val="7DC525E8"/>
    <w:rsid w:val="7DD36A18"/>
    <w:rsid w:val="7DE277C6"/>
    <w:rsid w:val="7DE92023"/>
    <w:rsid w:val="7DF11799"/>
    <w:rsid w:val="7E1929E4"/>
    <w:rsid w:val="7E3E7E0A"/>
    <w:rsid w:val="7E501F45"/>
    <w:rsid w:val="7E77233B"/>
    <w:rsid w:val="7E936C2D"/>
    <w:rsid w:val="7EA13A41"/>
    <w:rsid w:val="7EB3431D"/>
    <w:rsid w:val="7EC90915"/>
    <w:rsid w:val="7EDA233B"/>
    <w:rsid w:val="7F0E3D69"/>
    <w:rsid w:val="7F252971"/>
    <w:rsid w:val="7F2C666B"/>
    <w:rsid w:val="7F6F0C98"/>
    <w:rsid w:val="7F8A3392"/>
    <w:rsid w:val="7F8A5140"/>
    <w:rsid w:val="7F93435D"/>
    <w:rsid w:val="7F98785D"/>
    <w:rsid w:val="7FDE3CE3"/>
    <w:rsid w:val="7FFE6E8C"/>
    <w:rsid w:val="7FFFE41B"/>
    <w:rsid w:val="AFDF7451"/>
    <w:rsid w:val="FEEFEE07"/>
    <w:rsid w:val="FEFD3B51"/>
    <w:rsid w:val="FFEFF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54"/>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55"/>
    <w:qFormat/>
    <w:uiPriority w:val="0"/>
    <w:pPr>
      <w:keepNext/>
      <w:keepLines/>
      <w:spacing w:before="600" w:after="600"/>
      <w:jc w:val="center"/>
      <w:outlineLvl w:val="1"/>
    </w:pPr>
    <w:rPr>
      <w:rFonts w:ascii="Arial" w:hAnsi="Arial" w:eastAsia="黑体"/>
      <w:b/>
      <w:bCs/>
      <w:sz w:val="32"/>
      <w:szCs w:val="32"/>
    </w:rPr>
  </w:style>
  <w:style w:type="paragraph" w:styleId="5">
    <w:name w:val="heading 3"/>
    <w:basedOn w:val="1"/>
    <w:next w:val="1"/>
    <w:link w:val="56"/>
    <w:qFormat/>
    <w:uiPriority w:val="0"/>
    <w:pPr>
      <w:keepNext/>
      <w:keepLines/>
      <w:spacing w:before="240" w:after="240" w:line="420" w:lineRule="exact"/>
      <w:jc w:val="left"/>
      <w:outlineLvl w:val="2"/>
    </w:pPr>
    <w:rPr>
      <w:rFonts w:eastAsia="黑体"/>
      <w:b/>
      <w:bCs/>
      <w:sz w:val="28"/>
      <w:szCs w:val="32"/>
    </w:rPr>
  </w:style>
  <w:style w:type="paragraph" w:styleId="6">
    <w:name w:val="heading 4"/>
    <w:basedOn w:val="1"/>
    <w:next w:val="1"/>
    <w:link w:val="57"/>
    <w:qFormat/>
    <w:uiPriority w:val="0"/>
    <w:pPr>
      <w:keepNext/>
      <w:keepLines/>
      <w:spacing w:before="280" w:after="290" w:line="372" w:lineRule="auto"/>
      <w:outlineLvl w:val="3"/>
    </w:pPr>
    <w:rPr>
      <w:rFonts w:ascii="Arial" w:hAnsi="Arial" w:eastAsia="黑体"/>
      <w:b/>
      <w:bCs/>
      <w:sz w:val="28"/>
      <w:szCs w:val="28"/>
    </w:rPr>
  </w:style>
  <w:style w:type="paragraph" w:styleId="7">
    <w:name w:val="heading 5"/>
    <w:basedOn w:val="1"/>
    <w:next w:val="1"/>
    <w:link w:val="58"/>
    <w:qFormat/>
    <w:uiPriority w:val="0"/>
    <w:pPr>
      <w:keepNext/>
      <w:keepLines/>
      <w:spacing w:before="280" w:after="290" w:line="372" w:lineRule="auto"/>
      <w:outlineLvl w:val="4"/>
    </w:pPr>
    <w:rPr>
      <w:b/>
      <w:bCs/>
      <w:sz w:val="28"/>
      <w:szCs w:val="28"/>
    </w:rPr>
  </w:style>
  <w:style w:type="paragraph" w:styleId="8">
    <w:name w:val="heading 6"/>
    <w:basedOn w:val="1"/>
    <w:next w:val="1"/>
    <w:link w:val="59"/>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kern w:val="0"/>
      <w:sz w:val="24"/>
    </w:rPr>
  </w:style>
  <w:style w:type="paragraph" w:styleId="9">
    <w:name w:val="heading 7"/>
    <w:basedOn w:val="1"/>
    <w:next w:val="1"/>
    <w:link w:val="60"/>
    <w:qFormat/>
    <w:uiPriority w:val="0"/>
    <w:pPr>
      <w:keepNext/>
      <w:keepLines/>
      <w:widowControl/>
      <w:tabs>
        <w:tab w:val="left" w:pos="2520"/>
      </w:tabs>
      <w:spacing w:before="240" w:after="64" w:line="317" w:lineRule="auto"/>
      <w:ind w:left="1296" w:hanging="1296"/>
      <w:jc w:val="left"/>
      <w:outlineLvl w:val="6"/>
    </w:pPr>
    <w:rPr>
      <w:b/>
      <w:bCs/>
      <w:kern w:val="0"/>
      <w:sz w:val="24"/>
    </w:rPr>
  </w:style>
  <w:style w:type="paragraph" w:styleId="10">
    <w:name w:val="heading 8"/>
    <w:basedOn w:val="1"/>
    <w:next w:val="1"/>
    <w:link w:val="61"/>
    <w:qFormat/>
    <w:uiPriority w:val="0"/>
    <w:pPr>
      <w:keepNext/>
      <w:keepLines/>
      <w:widowControl/>
      <w:tabs>
        <w:tab w:val="left" w:pos="1440"/>
      </w:tabs>
      <w:spacing w:before="240" w:after="64" w:line="317" w:lineRule="auto"/>
      <w:ind w:left="1440" w:hanging="1440"/>
      <w:jc w:val="left"/>
      <w:outlineLvl w:val="7"/>
    </w:pPr>
    <w:rPr>
      <w:rFonts w:ascii="Arial" w:hAnsi="Arial" w:eastAsia="黑体"/>
      <w:kern w:val="0"/>
      <w:sz w:val="24"/>
    </w:rPr>
  </w:style>
  <w:style w:type="paragraph" w:styleId="11">
    <w:name w:val="heading 9"/>
    <w:basedOn w:val="1"/>
    <w:next w:val="1"/>
    <w:link w:val="62"/>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2">
    <w:name w:val="1.正文"/>
    <w:basedOn w:val="1"/>
    <w:qFormat/>
    <w:uiPriority w:val="99"/>
    <w:rPr>
      <w:rFonts w:ascii="仿宋_GB2312" w:eastAsia="仿宋_GB2312" w:cs="仿宋_GB2312"/>
      <w:szCs w:val="22"/>
    </w:rPr>
  </w:style>
  <w:style w:type="paragraph" w:styleId="12">
    <w:name w:val="toc 7"/>
    <w:basedOn w:val="1"/>
    <w:next w:val="1"/>
    <w:qFormat/>
    <w:uiPriority w:val="39"/>
    <w:pPr>
      <w:ind w:left="1260"/>
      <w:jc w:val="left"/>
    </w:pPr>
    <w:rPr>
      <w:sz w:val="20"/>
      <w:szCs w:val="20"/>
    </w:rPr>
  </w:style>
  <w:style w:type="paragraph" w:styleId="13">
    <w:name w:val="Normal Indent"/>
    <w:basedOn w:val="1"/>
    <w:link w:val="63"/>
    <w:qFormat/>
    <w:uiPriority w:val="0"/>
    <w:pPr>
      <w:ind w:firstLine="420" w:firstLineChars="200"/>
    </w:pPr>
  </w:style>
  <w:style w:type="paragraph" w:styleId="14">
    <w:name w:val="caption"/>
    <w:basedOn w:val="1"/>
    <w:next w:val="1"/>
    <w:qFormat/>
    <w:uiPriority w:val="0"/>
    <w:rPr>
      <w:rFonts w:ascii="Arial" w:hAnsi="Arial" w:eastAsia="黑体" w:cs="Arial"/>
      <w:sz w:val="20"/>
      <w:szCs w:val="20"/>
    </w:rPr>
  </w:style>
  <w:style w:type="paragraph" w:styleId="15">
    <w:name w:val="Document Map"/>
    <w:basedOn w:val="1"/>
    <w:link w:val="64"/>
    <w:qFormat/>
    <w:uiPriority w:val="0"/>
    <w:pPr>
      <w:shd w:val="clear" w:color="auto" w:fill="000080"/>
    </w:pPr>
  </w:style>
  <w:style w:type="paragraph" w:styleId="16">
    <w:name w:val="annotation text"/>
    <w:basedOn w:val="1"/>
    <w:link w:val="65"/>
    <w:unhideWhenUsed/>
    <w:qFormat/>
    <w:uiPriority w:val="0"/>
    <w:pPr>
      <w:jc w:val="left"/>
    </w:pPr>
  </w:style>
  <w:style w:type="paragraph" w:styleId="17">
    <w:name w:val="Body Text 3"/>
    <w:basedOn w:val="1"/>
    <w:link w:val="66"/>
    <w:qFormat/>
    <w:uiPriority w:val="0"/>
    <w:pPr>
      <w:spacing w:after="120"/>
    </w:pPr>
    <w:rPr>
      <w:sz w:val="16"/>
      <w:szCs w:val="16"/>
    </w:rPr>
  </w:style>
  <w:style w:type="paragraph" w:styleId="18">
    <w:name w:val="Body Text"/>
    <w:basedOn w:val="1"/>
    <w:next w:val="1"/>
    <w:link w:val="67"/>
    <w:qFormat/>
    <w:uiPriority w:val="0"/>
    <w:pPr>
      <w:spacing w:after="120"/>
    </w:pPr>
  </w:style>
  <w:style w:type="paragraph" w:styleId="19">
    <w:name w:val="Body Text Indent"/>
    <w:basedOn w:val="1"/>
    <w:next w:val="1"/>
    <w:link w:val="68"/>
    <w:qFormat/>
    <w:uiPriority w:val="0"/>
    <w:pPr>
      <w:spacing w:after="120"/>
      <w:ind w:left="420" w:leftChars="200"/>
    </w:pPr>
  </w:style>
  <w:style w:type="paragraph" w:styleId="20">
    <w:name w:val="toc 5"/>
    <w:basedOn w:val="1"/>
    <w:next w:val="1"/>
    <w:qFormat/>
    <w:uiPriority w:val="39"/>
    <w:pPr>
      <w:ind w:left="840"/>
      <w:jc w:val="left"/>
    </w:pPr>
    <w:rPr>
      <w:sz w:val="20"/>
      <w:szCs w:val="20"/>
    </w:rPr>
  </w:style>
  <w:style w:type="paragraph" w:styleId="21">
    <w:name w:val="toc 3"/>
    <w:basedOn w:val="1"/>
    <w:next w:val="1"/>
    <w:qFormat/>
    <w:uiPriority w:val="39"/>
    <w:pPr>
      <w:ind w:left="420"/>
      <w:jc w:val="left"/>
    </w:pPr>
    <w:rPr>
      <w:sz w:val="20"/>
      <w:szCs w:val="20"/>
    </w:rPr>
  </w:style>
  <w:style w:type="paragraph" w:styleId="22">
    <w:name w:val="Plain Text"/>
    <w:basedOn w:val="1"/>
    <w:link w:val="69"/>
    <w:qFormat/>
    <w:uiPriority w:val="0"/>
    <w:rPr>
      <w:rFonts w:ascii="宋体" w:hAnsi="Courier New"/>
      <w:kern w:val="15"/>
      <w:szCs w:val="20"/>
    </w:rPr>
  </w:style>
  <w:style w:type="paragraph" w:styleId="23">
    <w:name w:val="toc 8"/>
    <w:basedOn w:val="1"/>
    <w:next w:val="1"/>
    <w:qFormat/>
    <w:uiPriority w:val="39"/>
    <w:pPr>
      <w:ind w:left="1470"/>
      <w:jc w:val="left"/>
    </w:pPr>
    <w:rPr>
      <w:sz w:val="20"/>
      <w:szCs w:val="20"/>
    </w:rPr>
  </w:style>
  <w:style w:type="paragraph" w:styleId="24">
    <w:name w:val="Date"/>
    <w:basedOn w:val="1"/>
    <w:next w:val="1"/>
    <w:link w:val="70"/>
    <w:qFormat/>
    <w:uiPriority w:val="0"/>
    <w:rPr>
      <w:sz w:val="24"/>
      <w:szCs w:val="20"/>
    </w:rPr>
  </w:style>
  <w:style w:type="paragraph" w:styleId="25">
    <w:name w:val="Body Text Indent 2"/>
    <w:basedOn w:val="1"/>
    <w:link w:val="71"/>
    <w:qFormat/>
    <w:uiPriority w:val="0"/>
    <w:pPr>
      <w:spacing w:after="120" w:line="480" w:lineRule="auto"/>
      <w:ind w:left="420" w:leftChars="200"/>
    </w:pPr>
  </w:style>
  <w:style w:type="paragraph" w:styleId="26">
    <w:name w:val="endnote text"/>
    <w:basedOn w:val="1"/>
    <w:link w:val="72"/>
    <w:qFormat/>
    <w:uiPriority w:val="0"/>
    <w:pPr>
      <w:snapToGrid w:val="0"/>
      <w:jc w:val="left"/>
    </w:pPr>
  </w:style>
  <w:style w:type="paragraph" w:styleId="27">
    <w:name w:val="Balloon Text"/>
    <w:basedOn w:val="1"/>
    <w:link w:val="73"/>
    <w:semiHidden/>
    <w:qFormat/>
    <w:uiPriority w:val="0"/>
    <w:rPr>
      <w:sz w:val="18"/>
      <w:szCs w:val="18"/>
    </w:rPr>
  </w:style>
  <w:style w:type="paragraph" w:styleId="28">
    <w:name w:val="footer"/>
    <w:basedOn w:val="1"/>
    <w:link w:val="74"/>
    <w:qFormat/>
    <w:uiPriority w:val="99"/>
    <w:pPr>
      <w:tabs>
        <w:tab w:val="center" w:pos="4153"/>
        <w:tab w:val="right" w:pos="8306"/>
      </w:tabs>
      <w:snapToGrid w:val="0"/>
      <w:jc w:val="left"/>
    </w:pPr>
    <w:rPr>
      <w:kern w:val="0"/>
      <w:sz w:val="18"/>
      <w:szCs w:val="18"/>
    </w:rPr>
  </w:style>
  <w:style w:type="paragraph" w:styleId="29">
    <w:name w:val="header"/>
    <w:basedOn w:val="1"/>
    <w:link w:val="75"/>
    <w:qFormat/>
    <w:uiPriority w:val="99"/>
    <w:pPr>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240" w:after="120"/>
      <w:jc w:val="left"/>
    </w:pPr>
    <w:rPr>
      <w:b/>
      <w:bCs/>
      <w:sz w:val="20"/>
      <w:szCs w:val="20"/>
    </w:rPr>
  </w:style>
  <w:style w:type="paragraph" w:styleId="31">
    <w:name w:val="toc 4"/>
    <w:basedOn w:val="1"/>
    <w:next w:val="1"/>
    <w:qFormat/>
    <w:uiPriority w:val="39"/>
    <w:pPr>
      <w:ind w:left="630"/>
      <w:jc w:val="left"/>
    </w:pPr>
    <w:rPr>
      <w:sz w:val="20"/>
      <w:szCs w:val="20"/>
    </w:rPr>
  </w:style>
  <w:style w:type="paragraph" w:styleId="32">
    <w:name w:val="footnote text"/>
    <w:basedOn w:val="1"/>
    <w:link w:val="76"/>
    <w:qFormat/>
    <w:uiPriority w:val="0"/>
    <w:pPr>
      <w:snapToGrid w:val="0"/>
      <w:jc w:val="left"/>
    </w:pPr>
    <w:rPr>
      <w:kern w:val="0"/>
      <w:sz w:val="18"/>
      <w:szCs w:val="18"/>
    </w:rPr>
  </w:style>
  <w:style w:type="paragraph" w:styleId="33">
    <w:name w:val="toc 6"/>
    <w:basedOn w:val="1"/>
    <w:next w:val="1"/>
    <w:qFormat/>
    <w:uiPriority w:val="39"/>
    <w:pPr>
      <w:ind w:left="1050"/>
      <w:jc w:val="left"/>
    </w:pPr>
    <w:rPr>
      <w:sz w:val="20"/>
      <w:szCs w:val="20"/>
    </w:rPr>
  </w:style>
  <w:style w:type="paragraph" w:styleId="34">
    <w:name w:val="Body Text Indent 3"/>
    <w:basedOn w:val="1"/>
    <w:link w:val="77"/>
    <w:qFormat/>
    <w:uiPriority w:val="0"/>
    <w:pPr>
      <w:spacing w:after="120"/>
      <w:ind w:left="420" w:leftChars="200"/>
    </w:pPr>
    <w:rPr>
      <w:sz w:val="16"/>
      <w:szCs w:val="16"/>
    </w:rPr>
  </w:style>
  <w:style w:type="paragraph" w:styleId="35">
    <w:name w:val="toc 2"/>
    <w:basedOn w:val="1"/>
    <w:next w:val="1"/>
    <w:qFormat/>
    <w:uiPriority w:val="39"/>
    <w:pPr>
      <w:spacing w:before="120"/>
      <w:ind w:left="210"/>
      <w:jc w:val="left"/>
    </w:pPr>
    <w:rPr>
      <w:i/>
      <w:iCs/>
      <w:sz w:val="20"/>
      <w:szCs w:val="20"/>
    </w:rPr>
  </w:style>
  <w:style w:type="paragraph" w:styleId="36">
    <w:name w:val="toc 9"/>
    <w:basedOn w:val="1"/>
    <w:next w:val="1"/>
    <w:qFormat/>
    <w:uiPriority w:val="39"/>
    <w:pPr>
      <w:ind w:left="1680"/>
      <w:jc w:val="left"/>
    </w:pPr>
    <w:rPr>
      <w:sz w:val="20"/>
      <w:szCs w:val="20"/>
    </w:rPr>
  </w:style>
  <w:style w:type="paragraph" w:styleId="37">
    <w:name w:val="Body Text 2"/>
    <w:basedOn w:val="1"/>
    <w:link w:val="78"/>
    <w:qFormat/>
    <w:uiPriority w:val="0"/>
    <w:pPr>
      <w:spacing w:line="400" w:lineRule="exact"/>
    </w:pPr>
    <w:rPr>
      <w:sz w:val="30"/>
    </w:r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pPr>
      <w:spacing w:line="220" w:lineRule="exact"/>
      <w:jc w:val="center"/>
    </w:pPr>
    <w:rPr>
      <w:rFonts w:ascii="仿宋_GB2312" w:eastAsia="仿宋_GB2312"/>
      <w:szCs w:val="20"/>
    </w:rPr>
  </w:style>
  <w:style w:type="paragraph" w:styleId="40">
    <w:name w:val="Title"/>
    <w:basedOn w:val="1"/>
    <w:link w:val="79"/>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1">
    <w:name w:val="annotation subject"/>
    <w:basedOn w:val="16"/>
    <w:next w:val="16"/>
    <w:link w:val="80"/>
    <w:qFormat/>
    <w:uiPriority w:val="0"/>
    <w:rPr>
      <w:b/>
      <w:bCs/>
    </w:rPr>
  </w:style>
  <w:style w:type="paragraph" w:styleId="42">
    <w:name w:val="Body Text First Indent"/>
    <w:basedOn w:val="1"/>
    <w:link w:val="81"/>
    <w:qFormat/>
    <w:uiPriority w:val="0"/>
    <w:pPr>
      <w:ind w:firstLine="420" w:firstLineChars="100"/>
    </w:pPr>
  </w:style>
  <w:style w:type="paragraph" w:styleId="43">
    <w:name w:val="Body Text First Indent 2"/>
    <w:basedOn w:val="19"/>
    <w:qFormat/>
    <w:uiPriority w:val="0"/>
    <w:pPr>
      <w:spacing w:line="312" w:lineRule="atLeast"/>
      <w:ind w:firstLine="420"/>
    </w:p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b/>
      <w:bCs/>
    </w:rPr>
  </w:style>
  <w:style w:type="character" w:styleId="48">
    <w:name w:val="endnote reference"/>
    <w:qFormat/>
    <w:uiPriority w:val="0"/>
    <w:rPr>
      <w:vertAlign w:val="superscript"/>
    </w:rPr>
  </w:style>
  <w:style w:type="character" w:styleId="49">
    <w:name w:val="page number"/>
    <w:basedOn w:val="46"/>
    <w:qFormat/>
    <w:uiPriority w:val="0"/>
  </w:style>
  <w:style w:type="character" w:styleId="50">
    <w:name w:val="FollowedHyperlink"/>
    <w:qFormat/>
    <w:uiPriority w:val="0"/>
    <w:rPr>
      <w:color w:val="800080"/>
      <w:u w:val="single"/>
    </w:rPr>
  </w:style>
  <w:style w:type="character" w:styleId="51">
    <w:name w:val="Hyperlink"/>
    <w:qFormat/>
    <w:uiPriority w:val="99"/>
    <w:rPr>
      <w:color w:val="0000FF"/>
      <w:u w:val="singl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character" w:customStyle="1" w:styleId="54">
    <w:name w:val="标题 1 Char"/>
    <w:link w:val="3"/>
    <w:qFormat/>
    <w:uiPriority w:val="0"/>
    <w:rPr>
      <w:rFonts w:eastAsia="宋体"/>
      <w:b/>
      <w:bCs/>
      <w:kern w:val="44"/>
      <w:sz w:val="44"/>
      <w:szCs w:val="44"/>
      <w:lang w:val="en-US" w:eastAsia="zh-CN" w:bidi="ar-SA"/>
    </w:rPr>
  </w:style>
  <w:style w:type="character" w:customStyle="1" w:styleId="55">
    <w:name w:val="标题 2 Char"/>
    <w:link w:val="4"/>
    <w:qFormat/>
    <w:uiPriority w:val="0"/>
    <w:rPr>
      <w:rFonts w:ascii="Arial" w:hAnsi="Arial" w:eastAsia="黑体"/>
      <w:b/>
      <w:bCs/>
      <w:kern w:val="2"/>
      <w:sz w:val="32"/>
      <w:szCs w:val="32"/>
      <w:lang w:val="en-US" w:eastAsia="zh-CN" w:bidi="ar-SA"/>
    </w:rPr>
  </w:style>
  <w:style w:type="character" w:customStyle="1" w:styleId="56">
    <w:name w:val="标题 3 Char"/>
    <w:link w:val="5"/>
    <w:qFormat/>
    <w:uiPriority w:val="0"/>
    <w:rPr>
      <w:rFonts w:eastAsia="黑体"/>
      <w:b/>
      <w:bCs/>
      <w:kern w:val="2"/>
      <w:sz w:val="28"/>
      <w:szCs w:val="32"/>
      <w:lang w:val="en-US" w:eastAsia="zh-CN" w:bidi="ar-SA"/>
    </w:rPr>
  </w:style>
  <w:style w:type="character" w:customStyle="1" w:styleId="57">
    <w:name w:val="标题 4 Char"/>
    <w:link w:val="6"/>
    <w:qFormat/>
    <w:uiPriority w:val="0"/>
    <w:rPr>
      <w:rFonts w:ascii="Arial" w:hAnsi="Arial" w:eastAsia="黑体"/>
      <w:b/>
      <w:bCs/>
      <w:kern w:val="2"/>
      <w:sz w:val="28"/>
      <w:szCs w:val="28"/>
      <w:lang w:val="en-US" w:eastAsia="zh-CN" w:bidi="ar-SA"/>
    </w:rPr>
  </w:style>
  <w:style w:type="character" w:customStyle="1" w:styleId="58">
    <w:name w:val="标题 5 Char"/>
    <w:link w:val="7"/>
    <w:qFormat/>
    <w:uiPriority w:val="0"/>
    <w:rPr>
      <w:rFonts w:eastAsia="宋体"/>
      <w:b/>
      <w:bCs/>
      <w:kern w:val="2"/>
      <w:sz w:val="28"/>
      <w:szCs w:val="28"/>
      <w:lang w:val="en-US" w:eastAsia="zh-CN" w:bidi="ar-SA"/>
    </w:rPr>
  </w:style>
  <w:style w:type="character" w:customStyle="1" w:styleId="59">
    <w:name w:val="标题 6 Char"/>
    <w:link w:val="8"/>
    <w:qFormat/>
    <w:uiPriority w:val="0"/>
    <w:rPr>
      <w:rFonts w:ascii="Arial" w:hAnsi="Arial" w:eastAsia="黑体"/>
      <w:b/>
      <w:bCs/>
      <w:sz w:val="24"/>
      <w:szCs w:val="24"/>
      <w:lang w:val="en-US" w:eastAsia="zh-CN" w:bidi="ar-SA"/>
    </w:rPr>
  </w:style>
  <w:style w:type="character" w:customStyle="1" w:styleId="60">
    <w:name w:val="标题 7 Char"/>
    <w:link w:val="9"/>
    <w:qFormat/>
    <w:uiPriority w:val="0"/>
    <w:rPr>
      <w:rFonts w:eastAsia="宋体"/>
      <w:b/>
      <w:bCs/>
      <w:sz w:val="24"/>
      <w:szCs w:val="24"/>
      <w:lang w:val="en-US" w:eastAsia="zh-CN" w:bidi="ar-SA"/>
    </w:rPr>
  </w:style>
  <w:style w:type="character" w:customStyle="1" w:styleId="61">
    <w:name w:val="标题 8 Char"/>
    <w:link w:val="10"/>
    <w:qFormat/>
    <w:uiPriority w:val="0"/>
    <w:rPr>
      <w:rFonts w:ascii="Arial" w:hAnsi="Arial" w:eastAsia="黑体"/>
      <w:sz w:val="24"/>
      <w:szCs w:val="24"/>
      <w:lang w:val="en-US" w:eastAsia="zh-CN" w:bidi="ar-SA"/>
    </w:rPr>
  </w:style>
  <w:style w:type="character" w:customStyle="1" w:styleId="62">
    <w:name w:val="标题 9 Char"/>
    <w:link w:val="11"/>
    <w:qFormat/>
    <w:uiPriority w:val="0"/>
    <w:rPr>
      <w:rFonts w:ascii="Arial" w:hAnsi="Arial" w:eastAsia="黑体"/>
      <w:sz w:val="21"/>
      <w:szCs w:val="21"/>
      <w:lang w:val="en-US" w:eastAsia="zh-CN" w:bidi="ar-SA"/>
    </w:rPr>
  </w:style>
  <w:style w:type="character" w:customStyle="1" w:styleId="63">
    <w:name w:val="正文缩进 Char"/>
    <w:link w:val="13"/>
    <w:qFormat/>
    <w:uiPriority w:val="0"/>
    <w:rPr>
      <w:rFonts w:eastAsia="宋体"/>
      <w:kern w:val="2"/>
      <w:sz w:val="21"/>
      <w:szCs w:val="24"/>
      <w:lang w:val="en-US" w:eastAsia="zh-CN" w:bidi="ar-SA"/>
    </w:rPr>
  </w:style>
  <w:style w:type="character" w:customStyle="1" w:styleId="64">
    <w:name w:val="文档结构图 Char"/>
    <w:link w:val="15"/>
    <w:qFormat/>
    <w:uiPriority w:val="0"/>
    <w:rPr>
      <w:rFonts w:eastAsia="宋体"/>
      <w:kern w:val="2"/>
      <w:sz w:val="21"/>
      <w:szCs w:val="24"/>
      <w:lang w:val="en-US" w:eastAsia="zh-CN" w:bidi="ar-SA"/>
    </w:rPr>
  </w:style>
  <w:style w:type="character" w:customStyle="1" w:styleId="65">
    <w:name w:val="批注文字 Char"/>
    <w:link w:val="16"/>
    <w:qFormat/>
    <w:uiPriority w:val="0"/>
    <w:rPr>
      <w:rFonts w:eastAsia="宋体"/>
      <w:kern w:val="2"/>
      <w:sz w:val="21"/>
      <w:szCs w:val="24"/>
      <w:lang w:val="en-US" w:eastAsia="zh-CN" w:bidi="ar-SA"/>
    </w:rPr>
  </w:style>
  <w:style w:type="character" w:customStyle="1" w:styleId="66">
    <w:name w:val="正文文本 3 Char"/>
    <w:link w:val="17"/>
    <w:qFormat/>
    <w:uiPriority w:val="0"/>
    <w:rPr>
      <w:rFonts w:eastAsia="宋体"/>
      <w:kern w:val="2"/>
      <w:sz w:val="16"/>
      <w:szCs w:val="16"/>
      <w:lang w:val="en-US" w:eastAsia="zh-CN" w:bidi="ar-SA"/>
    </w:rPr>
  </w:style>
  <w:style w:type="character" w:customStyle="1" w:styleId="67">
    <w:name w:val="正文文本 Char"/>
    <w:link w:val="18"/>
    <w:qFormat/>
    <w:uiPriority w:val="0"/>
    <w:rPr>
      <w:rFonts w:eastAsia="宋体"/>
      <w:kern w:val="2"/>
      <w:sz w:val="21"/>
      <w:szCs w:val="24"/>
      <w:lang w:val="en-US" w:eastAsia="zh-CN" w:bidi="ar-SA"/>
    </w:rPr>
  </w:style>
  <w:style w:type="character" w:customStyle="1" w:styleId="68">
    <w:name w:val="正文文本缩进 Char"/>
    <w:link w:val="19"/>
    <w:qFormat/>
    <w:uiPriority w:val="0"/>
    <w:rPr>
      <w:rFonts w:eastAsia="宋体"/>
      <w:kern w:val="2"/>
      <w:sz w:val="21"/>
      <w:szCs w:val="24"/>
      <w:lang w:val="en-US" w:eastAsia="zh-CN" w:bidi="ar-SA"/>
    </w:rPr>
  </w:style>
  <w:style w:type="character" w:customStyle="1" w:styleId="69">
    <w:name w:val="纯文本 Char"/>
    <w:link w:val="22"/>
    <w:qFormat/>
    <w:uiPriority w:val="0"/>
    <w:rPr>
      <w:rFonts w:ascii="宋体" w:hAnsi="Courier New" w:eastAsia="宋体"/>
      <w:kern w:val="15"/>
      <w:sz w:val="21"/>
      <w:lang w:val="en-US" w:eastAsia="zh-CN" w:bidi="ar-SA"/>
    </w:rPr>
  </w:style>
  <w:style w:type="character" w:customStyle="1" w:styleId="70">
    <w:name w:val="日期 Char"/>
    <w:link w:val="24"/>
    <w:qFormat/>
    <w:uiPriority w:val="0"/>
    <w:rPr>
      <w:rFonts w:eastAsia="宋体"/>
      <w:kern w:val="2"/>
      <w:sz w:val="24"/>
      <w:lang w:val="en-US" w:eastAsia="zh-CN" w:bidi="ar-SA"/>
    </w:rPr>
  </w:style>
  <w:style w:type="character" w:customStyle="1" w:styleId="71">
    <w:name w:val="正文文本缩进 2 Char"/>
    <w:link w:val="25"/>
    <w:qFormat/>
    <w:uiPriority w:val="0"/>
    <w:rPr>
      <w:rFonts w:eastAsia="宋体"/>
      <w:kern w:val="2"/>
      <w:sz w:val="21"/>
      <w:szCs w:val="24"/>
      <w:lang w:val="en-US" w:eastAsia="zh-CN" w:bidi="ar-SA"/>
    </w:rPr>
  </w:style>
  <w:style w:type="character" w:customStyle="1" w:styleId="72">
    <w:name w:val="尾注文本 Char"/>
    <w:link w:val="26"/>
    <w:qFormat/>
    <w:uiPriority w:val="0"/>
    <w:rPr>
      <w:rFonts w:eastAsia="宋体"/>
      <w:kern w:val="2"/>
      <w:sz w:val="21"/>
      <w:szCs w:val="24"/>
      <w:lang w:val="en-US" w:eastAsia="zh-CN" w:bidi="ar-SA"/>
    </w:rPr>
  </w:style>
  <w:style w:type="character" w:customStyle="1" w:styleId="73">
    <w:name w:val="批注框文本 Char"/>
    <w:link w:val="27"/>
    <w:qFormat/>
    <w:uiPriority w:val="0"/>
    <w:rPr>
      <w:rFonts w:eastAsia="宋体"/>
      <w:kern w:val="2"/>
      <w:sz w:val="18"/>
      <w:szCs w:val="18"/>
      <w:lang w:val="en-US" w:eastAsia="zh-CN" w:bidi="ar-SA"/>
    </w:rPr>
  </w:style>
  <w:style w:type="character" w:customStyle="1" w:styleId="74">
    <w:name w:val="页脚 Char"/>
    <w:link w:val="28"/>
    <w:qFormat/>
    <w:uiPriority w:val="99"/>
    <w:rPr>
      <w:rFonts w:eastAsia="宋体"/>
      <w:sz w:val="18"/>
      <w:szCs w:val="18"/>
      <w:lang w:bidi="ar-SA"/>
    </w:rPr>
  </w:style>
  <w:style w:type="character" w:customStyle="1" w:styleId="75">
    <w:name w:val="页眉 Char"/>
    <w:link w:val="29"/>
    <w:qFormat/>
    <w:uiPriority w:val="99"/>
    <w:rPr>
      <w:rFonts w:eastAsia="宋体"/>
      <w:sz w:val="18"/>
      <w:szCs w:val="18"/>
      <w:lang w:bidi="ar-SA"/>
    </w:rPr>
  </w:style>
  <w:style w:type="character" w:customStyle="1" w:styleId="76">
    <w:name w:val="脚注文本 Char"/>
    <w:link w:val="32"/>
    <w:qFormat/>
    <w:uiPriority w:val="0"/>
    <w:rPr>
      <w:rFonts w:eastAsia="宋体"/>
      <w:sz w:val="18"/>
      <w:szCs w:val="18"/>
      <w:lang w:bidi="ar-SA"/>
    </w:rPr>
  </w:style>
  <w:style w:type="character" w:customStyle="1" w:styleId="77">
    <w:name w:val="正文文本缩进 3 Char"/>
    <w:link w:val="34"/>
    <w:qFormat/>
    <w:uiPriority w:val="0"/>
    <w:rPr>
      <w:rFonts w:eastAsia="宋体"/>
      <w:kern w:val="2"/>
      <w:sz w:val="16"/>
      <w:szCs w:val="16"/>
      <w:lang w:val="en-US" w:eastAsia="zh-CN" w:bidi="ar-SA"/>
    </w:rPr>
  </w:style>
  <w:style w:type="character" w:customStyle="1" w:styleId="78">
    <w:name w:val="正文文本 2 Char"/>
    <w:link w:val="37"/>
    <w:qFormat/>
    <w:uiPriority w:val="0"/>
    <w:rPr>
      <w:kern w:val="2"/>
      <w:sz w:val="30"/>
      <w:szCs w:val="24"/>
    </w:rPr>
  </w:style>
  <w:style w:type="character" w:customStyle="1" w:styleId="79">
    <w:name w:val="标题 Char"/>
    <w:link w:val="40"/>
    <w:qFormat/>
    <w:uiPriority w:val="0"/>
    <w:rPr>
      <w:rFonts w:ascii="Arial" w:hAnsi="Arial" w:eastAsia="宋体"/>
      <w:b/>
      <w:sz w:val="32"/>
      <w:lang w:val="en-US" w:eastAsia="zh-CN" w:bidi="ar-SA"/>
    </w:rPr>
  </w:style>
  <w:style w:type="character" w:customStyle="1" w:styleId="80">
    <w:name w:val="批注主题 Char"/>
    <w:link w:val="41"/>
    <w:qFormat/>
    <w:uiPriority w:val="0"/>
    <w:rPr>
      <w:rFonts w:eastAsia="宋体"/>
      <w:b/>
      <w:bCs/>
      <w:kern w:val="2"/>
      <w:sz w:val="21"/>
      <w:szCs w:val="24"/>
      <w:lang w:val="en-US" w:eastAsia="zh-CN" w:bidi="ar-SA"/>
    </w:rPr>
  </w:style>
  <w:style w:type="character" w:customStyle="1" w:styleId="81">
    <w:name w:val="正文首行缩进 Char"/>
    <w:link w:val="42"/>
    <w:qFormat/>
    <w:uiPriority w:val="0"/>
    <w:rPr>
      <w:rFonts w:eastAsia="宋体"/>
      <w:kern w:val="2"/>
      <w:sz w:val="21"/>
      <w:szCs w:val="24"/>
      <w:lang w:val="en-US" w:eastAsia="zh-CN" w:bidi="ar-SA"/>
    </w:rPr>
  </w:style>
  <w:style w:type="character" w:customStyle="1" w:styleId="82">
    <w:name w:val="tpc_content1"/>
    <w:qFormat/>
    <w:uiPriority w:val="0"/>
    <w:rPr>
      <w:sz w:val="20"/>
      <w:szCs w:val="20"/>
    </w:rPr>
  </w:style>
  <w:style w:type="character" w:customStyle="1" w:styleId="83">
    <w:name w:val="font161"/>
    <w:qFormat/>
    <w:uiPriority w:val="0"/>
    <w:rPr>
      <w:b/>
      <w:bCs/>
      <w:sz w:val="32"/>
      <w:szCs w:val="32"/>
    </w:rPr>
  </w:style>
  <w:style w:type="character" w:customStyle="1" w:styleId="84">
    <w:name w:val="正文1"/>
    <w:qFormat/>
    <w:uiPriority w:val="0"/>
    <w:rPr>
      <w:rFonts w:ascii="宋体" w:hAnsi="宋体"/>
      <w:color w:val="000000"/>
    </w:rPr>
  </w:style>
  <w:style w:type="character" w:customStyle="1" w:styleId="85">
    <w:name w:val="ht1"/>
    <w:qFormat/>
    <w:uiPriority w:val="0"/>
    <w:rPr>
      <w:rFonts w:ascii="黑体" w:eastAsia="黑体"/>
      <w:b/>
      <w:bCs/>
    </w:rPr>
  </w:style>
  <w:style w:type="paragraph" w:customStyle="1" w:styleId="86">
    <w:name w:val="Char Char Char Char Char Char Char Char Char Char Char Char Char"/>
    <w:basedOn w:val="1"/>
    <w:qFormat/>
    <w:uiPriority w:val="0"/>
    <w:rPr>
      <w:rFonts w:ascii="仿宋_GB2312" w:eastAsia="仿宋_GB2312"/>
      <w:b/>
      <w:sz w:val="32"/>
      <w:szCs w:val="32"/>
    </w:rPr>
  </w:style>
  <w:style w:type="paragraph" w:customStyle="1" w:styleId="87">
    <w:name w:val="Char Char Char Char"/>
    <w:basedOn w:val="1"/>
    <w:qFormat/>
    <w:uiPriority w:val="0"/>
    <w:pPr>
      <w:widowControl/>
      <w:spacing w:after="160" w:line="240" w:lineRule="exact"/>
      <w:jc w:val="left"/>
    </w:pPr>
    <w:rPr>
      <w:szCs w:val="20"/>
    </w:rPr>
  </w:style>
  <w:style w:type="paragraph" w:customStyle="1" w:styleId="88">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89">
    <w:name w:val="样式 标题 1 + 黑体 三号 非加粗"/>
    <w:basedOn w:val="3"/>
    <w:qFormat/>
    <w:uiPriority w:val="0"/>
    <w:pPr>
      <w:spacing w:before="600" w:after="600" w:line="240" w:lineRule="auto"/>
      <w:jc w:val="center"/>
    </w:pPr>
    <w:rPr>
      <w:rFonts w:ascii="黑体" w:hAnsi="黑体" w:eastAsia="黑体"/>
      <w:b w:val="0"/>
      <w:bCs w:val="0"/>
      <w:sz w:val="32"/>
    </w:rPr>
  </w:style>
  <w:style w:type="paragraph" w:customStyle="1" w:styleId="90">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91">
    <w:name w:val="默认段落字体 Para Char Char Char Char"/>
    <w:basedOn w:val="1"/>
    <w:qFormat/>
    <w:uiPriority w:val="0"/>
    <w:rPr>
      <w:sz w:val="20"/>
      <w:szCs w:val="20"/>
    </w:rPr>
  </w:style>
  <w:style w:type="paragraph" w:customStyle="1" w:styleId="92">
    <w:name w:val="aa"/>
    <w:basedOn w:val="1"/>
    <w:qFormat/>
    <w:uiPriority w:val="0"/>
    <w:pPr>
      <w:widowControl/>
      <w:spacing w:before="100" w:beforeAutospacing="1" w:after="100" w:afterAutospacing="1"/>
      <w:jc w:val="left"/>
    </w:pPr>
    <w:rPr>
      <w:rFonts w:ascii="宋体" w:hAnsi="宋体" w:cs="宋体"/>
      <w:kern w:val="0"/>
      <w:sz w:val="24"/>
    </w:rPr>
  </w:style>
  <w:style w:type="paragraph" w:customStyle="1" w:styleId="9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94">
    <w:name w:val="Char Char Char1 Char"/>
    <w:basedOn w:val="15"/>
    <w:qFormat/>
    <w:uiPriority w:val="0"/>
    <w:rPr>
      <w:rFonts w:ascii="Tahoma" w:hAnsi="Tahoma"/>
      <w:sz w:val="24"/>
    </w:rPr>
  </w:style>
  <w:style w:type="paragraph" w:customStyle="1" w:styleId="95">
    <w:name w:val="1."/>
    <w:basedOn w:val="1"/>
    <w:qFormat/>
    <w:uiPriority w:val="0"/>
    <w:pPr>
      <w:tabs>
        <w:tab w:val="left" w:pos="425"/>
      </w:tabs>
      <w:spacing w:line="360" w:lineRule="auto"/>
      <w:ind w:firstLine="482"/>
    </w:pPr>
    <w:rPr>
      <w:sz w:val="28"/>
      <w:szCs w:val="20"/>
    </w:rPr>
  </w:style>
  <w:style w:type="paragraph" w:customStyle="1" w:styleId="96">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97">
    <w:name w:val="一、"/>
    <w:next w:val="42"/>
    <w:qFormat/>
    <w:uiPriority w:val="0"/>
    <w:pPr>
      <w:tabs>
        <w:tab w:val="left" w:pos="360"/>
      </w:tabs>
      <w:spacing w:before="240" w:after="240"/>
    </w:pPr>
    <w:rPr>
      <w:rFonts w:ascii="Calibri" w:hAnsi="Calibri" w:eastAsia="黑体" w:cs="Times New Roman"/>
      <w:sz w:val="28"/>
      <w:lang w:val="en-US" w:eastAsia="zh-CN" w:bidi="ar-SA"/>
    </w:rPr>
  </w:style>
  <w:style w:type="paragraph" w:customStyle="1" w:styleId="98">
    <w:name w:val="Char"/>
    <w:basedOn w:val="1"/>
    <w:qFormat/>
    <w:uiPriority w:val="0"/>
    <w:pPr>
      <w:tabs>
        <w:tab w:val="left" w:pos="1140"/>
      </w:tabs>
      <w:ind w:left="1140" w:hanging="720"/>
    </w:pPr>
    <w:rPr>
      <w:sz w:val="24"/>
    </w:rPr>
  </w:style>
  <w:style w:type="paragraph" w:customStyle="1" w:styleId="99">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100">
    <w:name w:val="项目符号"/>
    <w:basedOn w:val="1"/>
    <w:qFormat/>
    <w:uiPriority w:val="0"/>
    <w:pPr>
      <w:tabs>
        <w:tab w:val="left" w:pos="360"/>
      </w:tabs>
      <w:adjustRightInd w:val="0"/>
      <w:spacing w:line="360" w:lineRule="atLeast"/>
      <w:ind w:left="340" w:hanging="340"/>
      <w:jc w:val="left"/>
      <w:textAlignment w:val="baseline"/>
    </w:pPr>
    <w:rPr>
      <w:kern w:val="0"/>
      <w:sz w:val="24"/>
      <w:szCs w:val="20"/>
    </w:rPr>
  </w:style>
  <w:style w:type="paragraph" w:customStyle="1" w:styleId="101">
    <w:name w:val="1"/>
    <w:basedOn w:val="1"/>
    <w:next w:val="1"/>
    <w:qFormat/>
    <w:uiPriority w:val="0"/>
  </w:style>
  <w:style w:type="paragraph" w:customStyle="1" w:styleId="102">
    <w:name w:val="Char Char Char Char Char Char1 Char Char Char Char"/>
    <w:basedOn w:val="1"/>
    <w:qFormat/>
    <w:uiPriority w:val="0"/>
    <w:rPr>
      <w:rFonts w:ascii="仿宋_GB2312" w:eastAsia="仿宋_GB2312"/>
      <w:b/>
      <w:sz w:val="32"/>
      <w:szCs w:val="32"/>
    </w:rPr>
  </w:style>
  <w:style w:type="paragraph" w:customStyle="1" w:styleId="10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04">
    <w:name w:val="表格"/>
    <w:basedOn w:val="1"/>
    <w:qFormat/>
    <w:uiPriority w:val="0"/>
    <w:pPr>
      <w:jc w:val="center"/>
      <w:textAlignment w:val="center"/>
    </w:pPr>
    <w:rPr>
      <w:rFonts w:ascii="华文细黑" w:hAnsi="华文细黑"/>
      <w:kern w:val="0"/>
      <w:szCs w:val="20"/>
    </w:rPr>
  </w:style>
  <w:style w:type="paragraph" w:customStyle="1" w:styleId="105">
    <w:name w:val="_Style 103"/>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6">
    <w:name w:val="表格文字"/>
    <w:basedOn w:val="1"/>
    <w:qFormat/>
    <w:uiPriority w:val="0"/>
    <w:pPr>
      <w:adjustRightInd w:val="0"/>
      <w:spacing w:line="420" w:lineRule="atLeast"/>
      <w:jc w:val="left"/>
      <w:textAlignment w:val="baseline"/>
    </w:pPr>
    <w:rPr>
      <w:kern w:val="0"/>
      <w:szCs w:val="20"/>
    </w:rPr>
  </w:style>
  <w:style w:type="paragraph" w:customStyle="1" w:styleId="107">
    <w:name w:val="样式 标题 3 + (中文) 黑体 小四 非加粗 段前: 7.8 磅 段后: 0 磅 行距: 固定值 20 磅"/>
    <w:basedOn w:val="5"/>
    <w:qFormat/>
    <w:uiPriority w:val="0"/>
    <w:pPr>
      <w:spacing w:before="0" w:after="0" w:line="400" w:lineRule="exact"/>
    </w:pPr>
    <w:rPr>
      <w:rFonts w:cs="宋体"/>
      <w:b w:val="0"/>
      <w:bCs w:val="0"/>
      <w:sz w:val="24"/>
      <w:szCs w:val="20"/>
    </w:rPr>
  </w:style>
  <w:style w:type="paragraph" w:customStyle="1" w:styleId="108">
    <w:name w:val="样式1"/>
    <w:basedOn w:val="1"/>
    <w:next w:val="6"/>
    <w:qFormat/>
    <w:uiPriority w:val="0"/>
    <w:pPr>
      <w:spacing w:line="360" w:lineRule="auto"/>
      <w:ind w:firstLine="420" w:firstLineChars="200"/>
    </w:pPr>
    <w:rPr>
      <w:rFonts w:ascii="宋体" w:hAnsi="宋体"/>
      <w:szCs w:val="21"/>
    </w:rPr>
  </w:style>
  <w:style w:type="paragraph" w:customStyle="1" w:styleId="109">
    <w:name w:val="Char Char Char Char1"/>
    <w:basedOn w:val="1"/>
    <w:qFormat/>
    <w:uiPriority w:val="0"/>
    <w:pPr>
      <w:adjustRightInd w:val="0"/>
      <w:snapToGrid w:val="0"/>
      <w:spacing w:line="360" w:lineRule="auto"/>
      <w:ind w:firstLine="200" w:firstLineChars="200"/>
      <w:jc w:val="left"/>
    </w:pPr>
    <w:rPr>
      <w:rFonts w:ascii="仿宋_GB2312" w:hAnsi="仿宋_GB2312" w:eastAsia="仿宋_GB2312" w:cs="宋体"/>
      <w:sz w:val="24"/>
    </w:rPr>
  </w:style>
  <w:style w:type="paragraph" w:customStyle="1" w:styleId="110">
    <w:name w:val="样式5"/>
    <w:basedOn w:val="1"/>
    <w:qFormat/>
    <w:uiPriority w:val="0"/>
    <w:rPr>
      <w:rFonts w:ascii="隶书" w:hAnsi="宋体" w:eastAsia="隶书"/>
      <w:color w:val="000000"/>
      <w:sz w:val="36"/>
    </w:rPr>
  </w:style>
  <w:style w:type="paragraph" w:customStyle="1" w:styleId="111">
    <w:name w:val="表中"/>
    <w:basedOn w:val="1"/>
    <w:qFormat/>
    <w:uiPriority w:val="0"/>
    <w:pPr>
      <w:adjustRightInd w:val="0"/>
      <w:spacing w:line="360" w:lineRule="atLeast"/>
      <w:jc w:val="center"/>
      <w:textAlignment w:val="baseline"/>
    </w:pPr>
    <w:rPr>
      <w:kern w:val="0"/>
      <w:szCs w:val="20"/>
    </w:rPr>
  </w:style>
  <w:style w:type="paragraph" w:customStyle="1" w:styleId="112">
    <w:name w:val="样式2"/>
    <w:basedOn w:val="1"/>
    <w:qFormat/>
    <w:uiPriority w:val="0"/>
    <w:pPr>
      <w:spacing w:line="360" w:lineRule="auto"/>
      <w:jc w:val="center"/>
    </w:pPr>
    <w:rPr>
      <w:rFonts w:ascii="黑体" w:hAnsi="宋体" w:eastAsia="黑体"/>
      <w:color w:val="000000"/>
      <w:sz w:val="36"/>
      <w:szCs w:val="20"/>
    </w:rPr>
  </w:style>
  <w:style w:type="paragraph" w:customStyle="1" w:styleId="113">
    <w:name w:val="题目"/>
    <w:basedOn w:val="1"/>
    <w:qFormat/>
    <w:uiPriority w:val="0"/>
    <w:pPr>
      <w:spacing w:beforeLines="200" w:afterLines="100"/>
      <w:jc w:val="center"/>
    </w:pPr>
    <w:rPr>
      <w:rFonts w:ascii="黑体" w:eastAsia="黑体"/>
      <w:color w:val="C00000"/>
      <w:sz w:val="28"/>
      <w:szCs w:val="28"/>
    </w:rPr>
  </w:style>
  <w:style w:type="paragraph" w:customStyle="1" w:styleId="114">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15">
    <w:name w:val="列出段落1"/>
    <w:basedOn w:val="1"/>
    <w:qFormat/>
    <w:uiPriority w:val="99"/>
    <w:pPr>
      <w:ind w:firstLine="420" w:firstLineChars="200"/>
    </w:pPr>
    <w:rPr>
      <w:rFonts w:ascii="Calibri Light" w:hAnsi="Calibri Light" w:cs="方正楷体简体"/>
      <w:szCs w:val="22"/>
    </w:rPr>
  </w:style>
  <w:style w:type="paragraph" w:customStyle="1" w:styleId="116">
    <w:name w:val="Table Paragraph"/>
    <w:basedOn w:val="1"/>
    <w:qFormat/>
    <w:uiPriority w:val="1"/>
  </w:style>
  <w:style w:type="paragraph" w:styleId="117">
    <w:name w:val="List Paragraph"/>
    <w:basedOn w:val="1"/>
    <w:qFormat/>
    <w:uiPriority w:val="0"/>
    <w:pPr>
      <w:ind w:firstLine="420" w:firstLineChars="200"/>
    </w:pPr>
    <w:rPr>
      <w:szCs w:val="22"/>
    </w:rPr>
  </w:style>
  <w:style w:type="paragraph" w:customStyle="1" w:styleId="118">
    <w:name w:val="LBG6-"/>
    <w:basedOn w:val="1"/>
    <w:qFormat/>
    <w:uiPriority w:val="0"/>
    <w:pPr>
      <w:autoSpaceDE w:val="0"/>
      <w:autoSpaceDN w:val="0"/>
      <w:adjustRightInd w:val="0"/>
      <w:spacing w:line="120" w:lineRule="exact"/>
      <w:jc w:val="left"/>
    </w:pPr>
    <w:rPr>
      <w:rFonts w:ascii="@昆仑仿宋" w:hAnsi="Times New Roman"/>
      <w:kern w:val="0"/>
      <w:sz w:val="13"/>
      <w:szCs w:val="20"/>
    </w:rPr>
  </w:style>
  <w:style w:type="paragraph" w:customStyle="1" w:styleId="119">
    <w:name w:val="正文 A"/>
    <w:autoRedefine/>
    <w:qFormat/>
    <w:uiPriority w:val="0"/>
    <w:pPr>
      <w:widowControl w:val="0"/>
      <w:jc w:val="both"/>
    </w:pPr>
    <w:rPr>
      <w:rFonts w:ascii="Arial Unicode MS" w:hAnsi="Times New Roman" w:eastAsia="Arial Unicode MS" w:cs="Arial Unicode MS"/>
      <w:color w:val="000000"/>
      <w:kern w:val="2"/>
      <w:sz w:val="32"/>
      <w:szCs w:val="32"/>
      <w:lang w:val="en-US" w:eastAsia="zh-CN" w:bidi="ar-SA"/>
    </w:rPr>
  </w:style>
  <w:style w:type="character" w:customStyle="1" w:styleId="120">
    <w:name w:val="正文文本 (2) + 10 pt23"/>
    <w:qFormat/>
    <w:uiPriority w:val="0"/>
    <w:rPr>
      <w:rFonts w:ascii="宋体" w:hAnsi="宋体" w:cs="宋体"/>
      <w:sz w:val="20"/>
      <w:szCs w:val="20"/>
      <w:u w:val="none"/>
      <w:lang w:bidi="ar-SA"/>
    </w:rPr>
  </w:style>
  <w:style w:type="paragraph" w:customStyle="1" w:styleId="121">
    <w:name w:val="Other|1"/>
    <w:basedOn w:val="1"/>
    <w:qFormat/>
    <w:uiPriority w:val="0"/>
    <w:pPr>
      <w:spacing w:line="379" w:lineRule="auto"/>
      <w:ind w:firstLine="40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3.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www.ftpdown.com</Company>
  <Pages>115</Pages>
  <Words>13419</Words>
  <Characters>14322</Characters>
  <Lines>140</Lines>
  <Paragraphs>134</Paragraphs>
  <TotalTime>2</TotalTime>
  <ScaleCrop>false</ScaleCrop>
  <LinksUpToDate>false</LinksUpToDate>
  <CharactersWithSpaces>16426</CharactersWithSpaces>
  <Application>WPS Office_12.1.0.19768_F1E327BC-269C-435d-A152-05C5408002CA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2017-07-24T08:24:00Z</dcterms:created>
  <dc:creator>Lenovo User</dc:creator>
  <cp:lastModifiedBy>许宁</cp:lastModifiedBy>
  <cp:lastPrinted>2020-04-22T09:28:00Z</cp:lastPrinted>
  <dcterms:modified xsi:type="dcterms:W3CDTF">2025-01-09T01:18:57Z</dcterms:modified>
  <dc:title>厦门港海沧航道扩建二期工程20#-21#泊位航段 施工监理招标</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2052-12.1.0.19768</vt:lpwstr>
  </property>
  <property fmtid="{D5CDD505-2E9C-101B-9397-08002B2CF9AE}" pid="3" name="ICV">
    <vt:lpwstr>B1D69B52AC13447AB96412758279AFFC_13</vt:lpwstr>
  </property>
</Properties>
</file>