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kern w:val="0"/>
          <w:sz w:val="44"/>
          <w:szCs w:val="44"/>
          <w:highlight w:val="none"/>
          <w:lang w:val="en-US" w:eastAsia="zh-CN" w:bidi="ar-SA"/>
        </w:rPr>
      </w:pPr>
      <w:bookmarkStart w:id="2" w:name="_GoBack"/>
      <w:bookmarkEnd w:id="2"/>
      <w:r>
        <w:rPr>
          <w:rFonts w:hint="eastAsia" w:ascii="方正小标宋简体" w:hAnsi="方正小标宋简体" w:eastAsia="方正小标宋简体" w:cs="方正小标宋简体"/>
          <w:b w:val="0"/>
          <w:bCs w:val="0"/>
          <w:kern w:val="0"/>
          <w:sz w:val="44"/>
          <w:szCs w:val="44"/>
          <w:highlight w:val="none"/>
          <w:lang w:val="en-US" w:eastAsia="zh-CN" w:bidi="ar-SA"/>
        </w:rPr>
        <w:t>厦门市住房和建设局</w:t>
      </w:r>
    </w:p>
    <w:p>
      <w:pPr>
        <w:spacing w:line="560" w:lineRule="exact"/>
        <w:jc w:val="center"/>
        <w:rPr>
          <w:rFonts w:hint="eastAsia"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关于进一步规范房屋建筑和市政基础设施</w:t>
      </w:r>
    </w:p>
    <w:p>
      <w:pPr>
        <w:spacing w:line="560" w:lineRule="exact"/>
        <w:jc w:val="center"/>
        <w:rPr>
          <w:rFonts w:hint="eastAsia"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项目工程总承包管理的通知</w:t>
      </w:r>
    </w:p>
    <w:p>
      <w:pPr>
        <w:keepNext w:val="0"/>
        <w:keepLines w:val="0"/>
        <w:pageBreakBefore w:val="0"/>
        <w:kinsoku/>
        <w:overflowPunct/>
        <w:topLinePunct w:val="0"/>
        <w:autoSpaceDE/>
        <w:autoSpaceDN/>
        <w:bidi w:val="0"/>
        <w:adjustRightInd/>
        <w:snapToGrid/>
        <w:spacing w:line="566" w:lineRule="exact"/>
        <w:ind w:firstLine="712" w:firstLineChars="200"/>
        <w:rPr>
          <w:rFonts w:ascii="仿宋" w:hAnsi="仿宋" w:eastAsia="仿宋" w:cs="仿宋"/>
          <w:sz w:val="36"/>
          <w:szCs w:val="36"/>
          <w:highlight w:val="none"/>
        </w:rPr>
      </w:pPr>
    </w:p>
    <w:p>
      <w:pPr>
        <w:keepNext w:val="0"/>
        <w:keepLines w:val="0"/>
        <w:pageBreakBefore w:val="0"/>
        <w:widowControl/>
        <w:kinsoku/>
        <w:wordWrap w:val="0"/>
        <w:overflowPunct/>
        <w:topLinePunct w:val="0"/>
        <w:autoSpaceDE/>
        <w:autoSpaceDN/>
        <w:bidi w:val="0"/>
        <w:adjustRightInd/>
        <w:snapToGrid/>
        <w:spacing w:beforeAutospacing="0" w:after="0" w:afterAutospacing="0" w:line="566" w:lineRule="exact"/>
        <w:ind w:firstLine="0" w:firstLineChars="0"/>
        <w:jc w:val="both"/>
        <w:textAlignment w:val="baseline"/>
        <w:rPr>
          <w:rFonts w:hint="eastAsia" w:ascii="仿宋_GB2312" w:hAnsi="仿宋_GB2312" w:eastAsia="仿宋_GB2312" w:cs="仿宋_GB2312"/>
          <w:color w:val="333333"/>
          <w:kern w:val="0"/>
          <w:sz w:val="32"/>
          <w:szCs w:val="32"/>
          <w:highlight w:val="none"/>
          <w:shd w:val="clear" w:color="auto" w:fill="FFFFFF"/>
          <w:lang w:val="en-US" w:eastAsia="zh-CN" w:bidi="ar-SA"/>
        </w:rPr>
      </w:pPr>
      <w:r>
        <w:rPr>
          <w:rFonts w:hint="eastAsia" w:ascii="仿宋_GB2312" w:hAnsi="仿宋_GB2312" w:eastAsia="仿宋_GB2312" w:cs="仿宋_GB2312"/>
          <w:kern w:val="0"/>
          <w:sz w:val="32"/>
          <w:szCs w:val="32"/>
          <w:highlight w:val="none"/>
          <w:lang w:val="en-US" w:eastAsia="zh-CN" w:bidi="ar-SA"/>
        </w:rPr>
        <w:t>各区住建（和交通）局，市招投标中心、市公共资源交易中心，各有关单位</w:t>
      </w:r>
      <w:r>
        <w:rPr>
          <w:rFonts w:hint="eastAsia" w:ascii="仿宋_GB2312" w:hAnsi="仿宋_GB2312" w:eastAsia="仿宋_GB2312" w:cs="仿宋_GB2312"/>
          <w:color w:val="333333"/>
          <w:kern w:val="0"/>
          <w:sz w:val="32"/>
          <w:szCs w:val="32"/>
          <w:highlight w:val="none"/>
          <w:shd w:val="clear" w:color="auto" w:fill="FFFFFF"/>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66" w:lineRule="exact"/>
        <w:ind w:firstLine="632" w:firstLineChars="200"/>
        <w:rPr>
          <w:rFonts w:hint="eastAsia" w:ascii="黑体" w:hAnsi="黑体" w:eastAsia="黑体" w:cs="黑体"/>
          <w:b w:val="0"/>
          <w:bCs w:val="0"/>
          <w:sz w:val="32"/>
          <w:szCs w:val="32"/>
          <w:highlight w:val="none"/>
          <w:u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u w:val="none"/>
        </w:rPr>
        <w:t>进一步规范</w:t>
      </w:r>
      <w:r>
        <w:rPr>
          <w:rFonts w:hint="eastAsia" w:ascii="仿宋_GB2312" w:hAnsi="仿宋_GB2312" w:eastAsia="仿宋_GB2312" w:cs="仿宋_GB2312"/>
          <w:sz w:val="32"/>
          <w:szCs w:val="32"/>
          <w:highlight w:val="none"/>
          <w:u w:val="none"/>
          <w:lang w:val="en-US" w:eastAsia="zh-CN"/>
        </w:rPr>
        <w:t>和加强</w:t>
      </w:r>
      <w:r>
        <w:rPr>
          <w:rFonts w:hint="eastAsia" w:ascii="仿宋_GB2312" w:hAnsi="仿宋_GB2312" w:eastAsia="仿宋_GB2312" w:cs="仿宋_GB2312"/>
          <w:sz w:val="32"/>
          <w:szCs w:val="32"/>
          <w:highlight w:val="none"/>
          <w:u w:val="none"/>
        </w:rPr>
        <w:t>我市</w:t>
      </w:r>
      <w:r>
        <w:rPr>
          <w:rFonts w:hint="eastAsia" w:ascii="仿宋_GB2312" w:hAnsi="仿宋_GB2312" w:eastAsia="仿宋_GB2312" w:cs="仿宋_GB2312"/>
          <w:sz w:val="32"/>
          <w:szCs w:val="32"/>
          <w:highlight w:val="none"/>
          <w:u w:val="none"/>
          <w:lang w:val="en-US" w:eastAsia="zh-CN"/>
        </w:rPr>
        <w:t>政府及国有企业投资的</w:t>
      </w:r>
      <w:r>
        <w:rPr>
          <w:rFonts w:hint="eastAsia" w:ascii="仿宋_GB2312" w:hAnsi="仿宋_GB2312" w:eastAsia="仿宋_GB2312" w:cs="仿宋_GB2312"/>
          <w:b w:val="0"/>
          <w:bCs w:val="0"/>
          <w:sz w:val="32"/>
          <w:szCs w:val="32"/>
          <w:highlight w:val="none"/>
          <w:u w:val="none"/>
        </w:rPr>
        <w:t>房屋建筑和市政基础设施</w:t>
      </w:r>
      <w:r>
        <w:rPr>
          <w:rFonts w:hint="eastAsia" w:ascii="仿宋_GB2312" w:hAnsi="仿宋_GB2312" w:eastAsia="仿宋_GB2312" w:cs="仿宋_GB2312"/>
          <w:sz w:val="32"/>
          <w:szCs w:val="32"/>
          <w:highlight w:val="none"/>
          <w:u w:val="none"/>
          <w:lang w:val="en-US" w:eastAsia="zh-CN"/>
        </w:rPr>
        <w:t>项目的</w:t>
      </w:r>
      <w:r>
        <w:rPr>
          <w:rFonts w:hint="eastAsia" w:ascii="仿宋_GB2312" w:hAnsi="仿宋_GB2312" w:eastAsia="仿宋_GB2312" w:cs="仿宋_GB2312"/>
          <w:sz w:val="32"/>
          <w:szCs w:val="32"/>
          <w:highlight w:val="none"/>
          <w:u w:val="none"/>
        </w:rPr>
        <w:t>工程总承包管理，根据住房和城乡建设部、国家发展改革委《关于印发房屋建筑和市政基础设施项目工程总承包管理办法的通知》（建市规〔2019〕12号），以及福建省住房和城乡建设厅《关于房屋建筑和市政基础设施项目工程总承包招标投标活动有关事项的通知》（闽建办筑函〔2019〕42号）</w:t>
      </w:r>
      <w:r>
        <w:rPr>
          <w:rFonts w:hint="eastAsia" w:ascii="仿宋_GB2312" w:hAnsi="仿宋_GB2312" w:eastAsia="仿宋_GB2312" w:cs="仿宋_GB2312"/>
          <w:sz w:val="32"/>
          <w:szCs w:val="32"/>
          <w:highlight w:val="none"/>
          <w:u w:val="none"/>
          <w:lang w:val="en-US" w:eastAsia="zh-CN"/>
        </w:rPr>
        <w:t>和《关于进一步规范工程总承包招标投标活动的通知》（闽建筑〔2023〕28号）</w:t>
      </w:r>
      <w:r>
        <w:rPr>
          <w:rFonts w:hint="eastAsia" w:ascii="仿宋_GB2312" w:hAnsi="仿宋_GB2312" w:eastAsia="仿宋_GB2312" w:cs="仿宋_GB2312"/>
          <w:sz w:val="32"/>
          <w:szCs w:val="32"/>
          <w:highlight w:val="none"/>
          <w:u w:val="none"/>
        </w:rPr>
        <w:t>等文件精神，结合我市实</w:t>
      </w:r>
      <w:r>
        <w:rPr>
          <w:rFonts w:hint="eastAsia" w:ascii="仿宋_GB2312" w:hAnsi="仿宋_GB2312" w:eastAsia="仿宋_GB2312" w:cs="仿宋_GB2312"/>
          <w:sz w:val="32"/>
          <w:szCs w:val="32"/>
          <w:highlight w:val="none"/>
          <w:u w:val="none"/>
          <w:lang w:val="en-US" w:eastAsia="zh-CN"/>
        </w:rPr>
        <w:t>际</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现</w:t>
      </w:r>
      <w:r>
        <w:rPr>
          <w:rFonts w:hint="eastAsia" w:ascii="仿宋_GB2312" w:hAnsi="仿宋_GB2312" w:eastAsia="仿宋_GB2312" w:cs="仿宋_GB2312"/>
          <w:sz w:val="32"/>
          <w:szCs w:val="32"/>
          <w:highlight w:val="none"/>
          <w:u w:val="none"/>
        </w:rPr>
        <w:t>就进一步</w:t>
      </w:r>
      <w:r>
        <w:rPr>
          <w:rFonts w:hint="eastAsia" w:ascii="仿宋_GB2312" w:hAnsi="仿宋_GB2312" w:eastAsia="仿宋_GB2312" w:cs="仿宋_GB2312"/>
          <w:sz w:val="32"/>
          <w:szCs w:val="32"/>
          <w:highlight w:val="none"/>
          <w:u w:val="none"/>
          <w:lang w:val="en-US" w:eastAsia="zh-CN"/>
        </w:rPr>
        <w:t>加强全市</w:t>
      </w:r>
      <w:r>
        <w:rPr>
          <w:rFonts w:hint="eastAsia" w:ascii="仿宋_GB2312" w:hAnsi="仿宋_GB2312" w:eastAsia="仿宋_GB2312" w:cs="仿宋_GB2312"/>
          <w:sz w:val="32"/>
          <w:szCs w:val="32"/>
          <w:highlight w:val="none"/>
          <w:u w:val="none"/>
        </w:rPr>
        <w:t>房屋建筑和市政基础设施项目工程总承包管理</w:t>
      </w:r>
      <w:r>
        <w:rPr>
          <w:rFonts w:hint="eastAsia" w:ascii="仿宋_GB2312" w:hAnsi="仿宋_GB2312" w:eastAsia="仿宋_GB2312" w:cs="仿宋_GB2312"/>
          <w:sz w:val="32"/>
          <w:szCs w:val="32"/>
          <w:highlight w:val="none"/>
          <w:u w:val="none"/>
          <w:lang w:val="en-US" w:eastAsia="zh-CN"/>
        </w:rPr>
        <w:t>有关事项通知如下</w:t>
      </w:r>
      <w:r>
        <w:rPr>
          <w:rFonts w:hint="eastAsia" w:ascii="仿宋_GB2312" w:hAnsi="仿宋_GB2312" w:eastAsia="仿宋_GB2312" w:cs="仿宋_GB2312"/>
          <w:sz w:val="32"/>
          <w:szCs w:val="32"/>
          <w:highlight w:val="none"/>
          <w:u w:val="none"/>
        </w:rPr>
        <w:t>：</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一、强化项目决策</w:t>
      </w:r>
    </w:p>
    <w:p>
      <w:pPr>
        <w:keepNext w:val="0"/>
        <w:keepLines w:val="0"/>
        <w:pageBreakBefore w:val="0"/>
        <w:numPr>
          <w:ilvl w:val="0"/>
          <w:numId w:val="0"/>
        </w:numPr>
        <w:kinsoku/>
        <w:overflowPunct/>
        <w:topLinePunct w:val="0"/>
        <w:autoSpaceDE/>
        <w:autoSpaceDN/>
        <w:bidi w:val="0"/>
        <w:adjustRightInd/>
        <w:snapToGrid/>
        <w:spacing w:line="566" w:lineRule="exact"/>
        <w:ind w:firstLine="632" w:firstLineChars="200"/>
        <w:rPr>
          <w:rFonts w:hint="default"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（一）项目范围。</w:t>
      </w:r>
      <w:r>
        <w:rPr>
          <w:rFonts w:hint="eastAsia" w:ascii="仿宋_GB2312" w:hAnsi="仿宋_GB2312" w:eastAsia="仿宋_GB2312" w:cs="仿宋_GB2312"/>
          <w:sz w:val="32"/>
          <w:szCs w:val="32"/>
          <w:highlight w:val="none"/>
          <w:u w:val="none"/>
        </w:rPr>
        <w:t>建设范围、建设规模、建设标准、功能需求等建设内容明确、技术方案成熟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已取得用地且</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规划指标明确</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概（估）算的工程费用</w:t>
      </w:r>
      <w:r>
        <w:rPr>
          <w:rFonts w:hint="eastAsia" w:ascii="仿宋_GB2312" w:hAnsi="仿宋_GB2312" w:eastAsia="仿宋_GB2312" w:cs="仿宋_GB2312"/>
          <w:sz w:val="32"/>
          <w:szCs w:val="32"/>
          <w:highlight w:val="none"/>
          <w:u w:val="none"/>
          <w:lang w:val="en-US" w:eastAsia="zh-CN"/>
        </w:rPr>
        <w:t>在2</w:t>
      </w:r>
      <w:r>
        <w:rPr>
          <w:rFonts w:hint="eastAsia" w:ascii="仿宋_GB2312" w:hAnsi="仿宋_GB2312" w:eastAsia="仿宋_GB2312" w:cs="仿宋_GB2312"/>
          <w:sz w:val="32"/>
          <w:szCs w:val="32"/>
          <w:highlight w:val="none"/>
          <w:u w:val="none"/>
        </w:rPr>
        <w:t>亿元以上</w:t>
      </w:r>
      <w:r>
        <w:rPr>
          <w:rFonts w:hint="eastAsia" w:ascii="仿宋_GB2312" w:hAnsi="仿宋_GB2312" w:eastAsia="仿宋_GB2312" w:cs="仿宋_GB2312"/>
          <w:sz w:val="32"/>
          <w:szCs w:val="32"/>
          <w:highlight w:val="none"/>
          <w:u w:val="none"/>
          <w:lang w:val="en-US" w:eastAsia="zh-CN"/>
        </w:rPr>
        <w:t>的政府及国有企业投资项目（实施装配式建筑的项目不受2</w:t>
      </w:r>
      <w:r>
        <w:rPr>
          <w:rFonts w:hint="eastAsia" w:ascii="仿宋_GB2312" w:hAnsi="仿宋_GB2312" w:eastAsia="仿宋_GB2312" w:cs="仿宋_GB2312"/>
          <w:sz w:val="32"/>
          <w:szCs w:val="32"/>
          <w:highlight w:val="none"/>
          <w:u w:val="none"/>
        </w:rPr>
        <w:t>亿元</w:t>
      </w:r>
      <w:r>
        <w:rPr>
          <w:rFonts w:hint="eastAsia" w:ascii="仿宋_GB2312" w:hAnsi="仿宋_GB2312" w:eastAsia="仿宋_GB2312" w:cs="仿宋_GB2312"/>
          <w:sz w:val="32"/>
          <w:szCs w:val="32"/>
          <w:highlight w:val="none"/>
          <w:u w:val="none"/>
          <w:lang w:val="en-US" w:eastAsia="zh-CN"/>
        </w:rPr>
        <w:t>以上的规模限制），可采用工程总承包模式发包</w:t>
      </w:r>
      <w:r>
        <w:rPr>
          <w:rFonts w:hint="eastAsia" w:ascii="仿宋_GB2312" w:hAnsi="仿宋_GB2312" w:eastAsia="仿宋_GB2312" w:cs="仿宋_GB2312"/>
          <w:sz w:val="32"/>
          <w:szCs w:val="32"/>
          <w:highlight w:val="none"/>
          <w:u w:val="none"/>
        </w:rPr>
        <w:t>。概（估）算的工程费用</w:t>
      </w:r>
      <w:r>
        <w:rPr>
          <w:rFonts w:hint="eastAsia" w:ascii="仿宋_GB2312" w:hAnsi="仿宋_GB2312" w:eastAsia="仿宋_GB2312" w:cs="仿宋_GB2312"/>
          <w:sz w:val="32"/>
          <w:szCs w:val="32"/>
          <w:highlight w:val="none"/>
          <w:u w:val="none"/>
          <w:lang w:val="en-US" w:eastAsia="zh-CN"/>
        </w:rPr>
        <w:t>低于2</w:t>
      </w:r>
      <w:r>
        <w:rPr>
          <w:rFonts w:hint="eastAsia" w:ascii="仿宋_GB2312" w:hAnsi="仿宋_GB2312" w:eastAsia="仿宋_GB2312" w:cs="仿宋_GB2312"/>
          <w:sz w:val="32"/>
          <w:szCs w:val="32"/>
          <w:highlight w:val="none"/>
          <w:u w:val="none"/>
        </w:rPr>
        <w:t>亿元</w:t>
      </w:r>
      <w:r>
        <w:rPr>
          <w:rFonts w:hint="eastAsia" w:ascii="仿宋_GB2312" w:hAnsi="仿宋_GB2312" w:eastAsia="仿宋_GB2312" w:cs="仿宋_GB2312"/>
          <w:sz w:val="32"/>
          <w:szCs w:val="32"/>
          <w:highlight w:val="none"/>
          <w:u w:val="none"/>
          <w:lang w:val="en-US" w:eastAsia="zh-CN"/>
        </w:rPr>
        <w:t>的政府投资项目，应按程序报</w:t>
      </w:r>
      <w:r>
        <w:rPr>
          <w:rFonts w:hint="eastAsia" w:ascii="仿宋_GB2312" w:hAnsi="仿宋_GB2312" w:eastAsia="仿宋_GB2312" w:cs="仿宋_GB2312"/>
          <w:sz w:val="32"/>
          <w:szCs w:val="32"/>
          <w:highlight w:val="none"/>
          <w:u w:val="none"/>
        </w:rPr>
        <w:t>市（区）人民政府</w:t>
      </w:r>
      <w:r>
        <w:rPr>
          <w:rFonts w:hint="eastAsia" w:ascii="仿宋_GB2312" w:hAnsi="仿宋_GB2312" w:eastAsia="仿宋_GB2312" w:cs="仿宋_GB2312"/>
          <w:sz w:val="32"/>
          <w:szCs w:val="32"/>
          <w:highlight w:val="none"/>
          <w:u w:val="none"/>
          <w:lang w:val="en-US" w:eastAsia="zh-CN"/>
        </w:rPr>
        <w:t>同意后方可实施；</w:t>
      </w:r>
      <w:r>
        <w:rPr>
          <w:rFonts w:hint="eastAsia" w:ascii="仿宋_GB2312" w:hAnsi="仿宋_GB2312" w:eastAsia="仿宋_GB2312" w:cs="仿宋_GB2312"/>
          <w:sz w:val="32"/>
          <w:szCs w:val="32"/>
          <w:highlight w:val="none"/>
          <w:u w:val="none"/>
        </w:rPr>
        <w:t>概（估）算的工程费用</w:t>
      </w:r>
      <w:r>
        <w:rPr>
          <w:rFonts w:hint="eastAsia" w:ascii="仿宋_GB2312" w:hAnsi="仿宋_GB2312" w:eastAsia="仿宋_GB2312" w:cs="仿宋_GB2312"/>
          <w:sz w:val="32"/>
          <w:szCs w:val="32"/>
          <w:highlight w:val="none"/>
          <w:u w:val="none"/>
          <w:lang w:val="en-US" w:eastAsia="zh-CN"/>
        </w:rPr>
        <w:t>低于2</w:t>
      </w:r>
      <w:r>
        <w:rPr>
          <w:rFonts w:hint="eastAsia" w:ascii="仿宋_GB2312" w:hAnsi="仿宋_GB2312" w:eastAsia="仿宋_GB2312" w:cs="仿宋_GB2312"/>
          <w:sz w:val="32"/>
          <w:szCs w:val="32"/>
          <w:highlight w:val="none"/>
          <w:u w:val="none"/>
        </w:rPr>
        <w:t>亿元</w:t>
      </w:r>
      <w:r>
        <w:rPr>
          <w:rFonts w:hint="eastAsia" w:ascii="仿宋_GB2312" w:hAnsi="仿宋_GB2312" w:eastAsia="仿宋_GB2312" w:cs="仿宋_GB2312"/>
          <w:sz w:val="32"/>
          <w:szCs w:val="32"/>
          <w:highlight w:val="none"/>
          <w:u w:val="none"/>
          <w:lang w:val="en-US" w:eastAsia="zh-CN"/>
        </w:rPr>
        <w:t>的国有企业投资项目，应征求招标监管部门意见。</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（二）决策流程。</w:t>
      </w:r>
      <w:r>
        <w:rPr>
          <w:rFonts w:hint="eastAsia" w:ascii="仿宋_GB2312" w:hAnsi="仿宋_GB2312" w:eastAsia="仿宋_GB2312" w:cs="仿宋_GB2312"/>
          <w:sz w:val="32"/>
          <w:szCs w:val="32"/>
          <w:highlight w:val="none"/>
          <w:u w:val="none"/>
        </w:rPr>
        <w:t>拟采用工程总承包</w:t>
      </w:r>
      <w:r>
        <w:rPr>
          <w:rFonts w:hint="eastAsia" w:ascii="仿宋_GB2312" w:hAnsi="仿宋_GB2312" w:eastAsia="仿宋_GB2312" w:cs="仿宋_GB2312"/>
          <w:sz w:val="32"/>
          <w:szCs w:val="32"/>
          <w:highlight w:val="none"/>
          <w:u w:val="none"/>
          <w:lang w:eastAsia="zh-CN"/>
        </w:rPr>
        <w:t>模式</w:t>
      </w:r>
      <w:r>
        <w:rPr>
          <w:rFonts w:hint="eastAsia" w:ascii="仿宋_GB2312" w:hAnsi="仿宋_GB2312" w:eastAsia="仿宋_GB2312" w:cs="仿宋_GB2312"/>
          <w:sz w:val="32"/>
          <w:szCs w:val="32"/>
          <w:highlight w:val="none"/>
          <w:u w:val="none"/>
          <w:lang w:val="en-US" w:eastAsia="zh-CN"/>
        </w:rPr>
        <w:t>发包</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eastAsia="zh-CN"/>
        </w:rPr>
        <w:t>建设（</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lang w:val="en-US" w:eastAsia="zh-CN"/>
        </w:rPr>
        <w:t>应</w:t>
      </w:r>
      <w:r>
        <w:rPr>
          <w:rFonts w:hint="eastAsia" w:ascii="仿宋_GB2312" w:hAnsi="仿宋_GB2312" w:eastAsia="仿宋_GB2312" w:cs="仿宋_GB2312"/>
          <w:sz w:val="32"/>
          <w:szCs w:val="32"/>
          <w:highlight w:val="none"/>
          <w:u w:val="none"/>
        </w:rPr>
        <w:t>落实</w:t>
      </w:r>
      <w:r>
        <w:rPr>
          <w:rFonts w:hint="eastAsia" w:ascii="仿宋_GB2312" w:hAnsi="仿宋_GB2312" w:eastAsia="仿宋_GB2312" w:cs="仿宋_GB2312"/>
          <w:sz w:val="32"/>
          <w:szCs w:val="32"/>
          <w:highlight w:val="none"/>
          <w:u w:val="none"/>
          <w:lang w:val="en-US" w:eastAsia="zh-CN"/>
        </w:rPr>
        <w:t>招标前置</w:t>
      </w:r>
      <w:r>
        <w:rPr>
          <w:rFonts w:hint="eastAsia" w:ascii="仿宋_GB2312" w:hAnsi="仿宋_GB2312" w:eastAsia="仿宋_GB2312" w:cs="仿宋_GB2312"/>
          <w:sz w:val="32"/>
          <w:szCs w:val="32"/>
          <w:highlight w:val="none"/>
          <w:u w:val="none"/>
        </w:rPr>
        <w:t>条件，切实做好招标文件编制工作，</w:t>
      </w:r>
      <w:r>
        <w:rPr>
          <w:rFonts w:hint="eastAsia" w:ascii="仿宋_GB2312" w:hAnsi="仿宋_GB2312" w:eastAsia="仿宋_GB2312" w:cs="仿宋_GB2312"/>
          <w:sz w:val="32"/>
          <w:szCs w:val="32"/>
          <w:highlight w:val="none"/>
          <w:u w:val="none"/>
          <w:lang w:val="en-US" w:eastAsia="zh-CN"/>
        </w:rPr>
        <w:t>并</w:t>
      </w:r>
      <w:r>
        <w:rPr>
          <w:rFonts w:hint="eastAsia" w:ascii="仿宋_GB2312" w:hAnsi="仿宋_GB2312" w:eastAsia="仿宋_GB2312" w:cs="仿宋_GB2312"/>
          <w:sz w:val="32"/>
          <w:szCs w:val="32"/>
          <w:highlight w:val="none"/>
          <w:u w:val="none"/>
        </w:rPr>
        <w:t>将其纳入</w:t>
      </w:r>
      <w:r>
        <w:rPr>
          <w:rFonts w:hint="eastAsia" w:ascii="仿宋_GB2312" w:hAnsi="仿宋_GB2312" w:eastAsia="仿宋_GB2312" w:cs="仿宋_GB2312"/>
          <w:sz w:val="32"/>
          <w:szCs w:val="32"/>
          <w:highlight w:val="none"/>
          <w:u w:val="none"/>
          <w:lang w:val="en-US" w:eastAsia="zh-CN"/>
        </w:rPr>
        <w:t>企业</w:t>
      </w:r>
      <w:r>
        <w:rPr>
          <w:rFonts w:hint="eastAsia" w:ascii="仿宋_GB2312" w:hAnsi="仿宋_GB2312" w:eastAsia="仿宋_GB2312" w:cs="仿宋_GB2312"/>
          <w:b w:val="0"/>
          <w:bCs w:val="0"/>
          <w:i w:val="0"/>
          <w:iCs w:val="0"/>
          <w:kern w:val="2"/>
          <w:sz w:val="32"/>
          <w:szCs w:val="32"/>
          <w:highlight w:val="none"/>
          <w:u w:val="none"/>
          <w:shd w:val="clear" w:color="auto" w:fill="auto"/>
          <w:lang w:val="en-US" w:eastAsia="zh-CN"/>
        </w:rPr>
        <w:t>招标投标事项集体研究、合法合规性审查等议事决策机制</w:t>
      </w:r>
      <w:r>
        <w:rPr>
          <w:rFonts w:hint="eastAsia" w:ascii="仿宋_GB2312" w:hAnsi="仿宋_GB2312" w:eastAsia="仿宋_GB2312" w:cs="仿宋_GB2312"/>
          <w:sz w:val="32"/>
          <w:szCs w:val="32"/>
          <w:highlight w:val="none"/>
          <w:u w:val="none"/>
        </w:rPr>
        <w:t>，经集体研究决策后方可实施</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采用“工程总承包</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”模式</w:t>
      </w:r>
      <w:r>
        <w:rPr>
          <w:rFonts w:hint="eastAsia" w:ascii="仿宋_GB2312" w:hAnsi="仿宋_GB2312" w:eastAsia="仿宋_GB2312" w:cs="仿宋_GB2312"/>
          <w:sz w:val="32"/>
          <w:szCs w:val="32"/>
          <w:highlight w:val="none"/>
          <w:u w:val="none"/>
          <w:lang w:val="en-US" w:eastAsia="zh-CN"/>
        </w:rPr>
        <w:t>发包</w:t>
      </w:r>
      <w:r>
        <w:rPr>
          <w:rFonts w:hint="eastAsia" w:ascii="仿宋_GB2312" w:hAnsi="仿宋_GB2312" w:eastAsia="仿宋_GB2312" w:cs="仿宋_GB2312"/>
          <w:sz w:val="32"/>
          <w:szCs w:val="32"/>
          <w:highlight w:val="none"/>
          <w:u w:val="none"/>
        </w:rPr>
        <w:t>的，建设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rPr>
        <w:t>单位</w:t>
      </w:r>
      <w:r>
        <w:rPr>
          <w:rFonts w:hint="eastAsia" w:ascii="仿宋_GB2312" w:hAnsi="仿宋_GB2312" w:eastAsia="仿宋_GB2312" w:cs="仿宋_GB2312"/>
          <w:sz w:val="32"/>
          <w:szCs w:val="32"/>
          <w:highlight w:val="none"/>
          <w:u w:val="none"/>
          <w:lang w:val="en-US" w:eastAsia="zh-CN"/>
        </w:rPr>
        <w:t>需</w:t>
      </w:r>
      <w:r>
        <w:rPr>
          <w:rFonts w:hint="eastAsia" w:ascii="仿宋_GB2312" w:hAnsi="仿宋_GB2312" w:eastAsia="仿宋_GB2312" w:cs="仿宋_GB2312"/>
          <w:sz w:val="32"/>
          <w:szCs w:val="32"/>
          <w:highlight w:val="none"/>
          <w:u w:val="none"/>
        </w:rPr>
        <w:t>向项目主管部门提出申请，</w:t>
      </w:r>
      <w:r>
        <w:rPr>
          <w:rFonts w:hint="eastAsia" w:ascii="仿宋_GB2312" w:hAnsi="仿宋_GB2312" w:eastAsia="仿宋_GB2312" w:cs="仿宋_GB2312"/>
          <w:strike/>
          <w:color w:val="FF0000"/>
          <w:sz w:val="32"/>
          <w:szCs w:val="32"/>
          <w:highlight w:val="none"/>
          <w:u w:val="none"/>
          <w:lang w:val="en-US" w:eastAsia="zh-CN"/>
        </w:rPr>
        <w:t>按程序报经</w:t>
      </w:r>
      <w:r>
        <w:rPr>
          <w:rFonts w:hint="eastAsia" w:ascii="仿宋_GB2312" w:hAnsi="仿宋_GB2312" w:eastAsia="仿宋_GB2312" w:cs="仿宋_GB2312"/>
          <w:strike/>
          <w:color w:val="FF0000"/>
          <w:sz w:val="32"/>
          <w:szCs w:val="32"/>
          <w:highlight w:val="none"/>
          <w:u w:val="none"/>
        </w:rPr>
        <w:t>市（区）政府</w:t>
      </w:r>
      <w:r>
        <w:rPr>
          <w:rFonts w:hint="eastAsia" w:ascii="仿宋_GB2312" w:hAnsi="仿宋_GB2312" w:eastAsia="仿宋_GB2312" w:cs="仿宋_GB2312"/>
          <w:strike/>
          <w:color w:val="FF0000"/>
          <w:sz w:val="32"/>
          <w:szCs w:val="32"/>
          <w:highlight w:val="none"/>
          <w:u w:val="none"/>
          <w:lang w:val="en-US" w:eastAsia="zh-CN"/>
        </w:rPr>
        <w:t>同意，</w:t>
      </w:r>
      <w:r>
        <w:rPr>
          <w:rFonts w:hint="eastAsia" w:ascii="仿宋_GB2312" w:hAnsi="仿宋_GB2312" w:eastAsia="仿宋_GB2312" w:cs="仿宋_GB2312"/>
          <w:sz w:val="32"/>
          <w:szCs w:val="32"/>
          <w:highlight w:val="none"/>
          <w:u w:val="none"/>
          <w:lang w:val="en-US" w:eastAsia="zh-CN"/>
        </w:rPr>
        <w:t>并明确所涉及投融资、运营等发包内容的招标监管单位后方可实施。拟</w:t>
      </w:r>
      <w:r>
        <w:rPr>
          <w:rFonts w:hint="eastAsia" w:ascii="仿宋_GB2312" w:hAnsi="仿宋_GB2312" w:eastAsia="仿宋_GB2312" w:cs="仿宋_GB2312"/>
          <w:sz w:val="32"/>
          <w:szCs w:val="32"/>
          <w:highlight w:val="none"/>
          <w:u w:val="none"/>
        </w:rPr>
        <w:t>采用“工程总承包+</w:t>
      </w:r>
      <w:r>
        <w:rPr>
          <w:rFonts w:hint="eastAsia" w:ascii="仿宋_GB2312" w:hAnsi="仿宋_GB2312" w:eastAsia="仿宋_GB2312" w:cs="仿宋_GB2312"/>
          <w:sz w:val="32"/>
          <w:szCs w:val="32"/>
          <w:highlight w:val="none"/>
          <w:u w:val="none"/>
          <w:lang w:val="en-US" w:eastAsia="zh-CN"/>
        </w:rPr>
        <w:t>F（投融资）</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建设（</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lang w:val="en-US" w:eastAsia="zh-CN"/>
        </w:rPr>
        <w:t>还</w:t>
      </w:r>
      <w:r>
        <w:rPr>
          <w:rFonts w:hint="eastAsia" w:ascii="仿宋_GB2312" w:hAnsi="仿宋_GB2312" w:eastAsia="仿宋_GB2312" w:cs="仿宋_GB2312"/>
          <w:sz w:val="32"/>
          <w:szCs w:val="32"/>
          <w:highlight w:val="none"/>
          <w:u w:val="none"/>
          <w:lang w:eastAsia="zh-CN"/>
        </w:rPr>
        <w:t>应</w:t>
      </w:r>
      <w:r>
        <w:rPr>
          <w:rFonts w:hint="eastAsia" w:ascii="仿宋_GB2312" w:hAnsi="仿宋_GB2312" w:eastAsia="仿宋_GB2312" w:cs="仿宋_GB2312"/>
          <w:sz w:val="32"/>
          <w:szCs w:val="32"/>
          <w:highlight w:val="none"/>
          <w:u w:val="none"/>
        </w:rPr>
        <w:t>征求财政部门意见，不得增加政府隐</w:t>
      </w:r>
      <w:r>
        <w:rPr>
          <w:rFonts w:hint="eastAsia" w:ascii="仿宋_GB2312" w:hAnsi="仿宋_GB2312" w:eastAsia="仿宋_GB2312" w:cs="仿宋_GB2312"/>
          <w:sz w:val="32"/>
          <w:szCs w:val="32"/>
          <w:highlight w:val="none"/>
          <w:u w:val="none"/>
          <w:lang w:eastAsia="zh-CN"/>
        </w:rPr>
        <w:t>性</w:t>
      </w:r>
      <w:r>
        <w:rPr>
          <w:rFonts w:hint="eastAsia" w:ascii="仿宋_GB2312" w:hAnsi="仿宋_GB2312" w:eastAsia="仿宋_GB2312" w:cs="仿宋_GB2312"/>
          <w:sz w:val="32"/>
          <w:szCs w:val="32"/>
          <w:highlight w:val="none"/>
          <w:u w:val="none"/>
        </w:rPr>
        <w:t>债务。</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二、规范招标过程</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（三）招标前置条件。</w:t>
      </w:r>
      <w:r>
        <w:rPr>
          <w:rFonts w:hint="eastAsia" w:ascii="仿宋_GB2312" w:hAnsi="仿宋_GB2312" w:eastAsia="仿宋_GB2312" w:cs="仿宋_GB2312"/>
          <w:b w:val="0"/>
          <w:bCs w:val="0"/>
          <w:sz w:val="32"/>
          <w:szCs w:val="32"/>
          <w:highlight w:val="none"/>
          <w:u w:val="none"/>
          <w:lang w:val="en-US" w:eastAsia="zh-CN"/>
        </w:rPr>
        <w:t>国有</w:t>
      </w:r>
      <w:r>
        <w:rPr>
          <w:rFonts w:hint="eastAsia" w:ascii="仿宋_GB2312" w:hAnsi="仿宋_GB2312" w:eastAsia="仿宋_GB2312" w:cs="仿宋_GB2312"/>
          <w:sz w:val="32"/>
          <w:szCs w:val="32"/>
          <w:highlight w:val="none"/>
          <w:u w:val="none"/>
        </w:rPr>
        <w:t>企业投资项目</w:t>
      </w:r>
      <w:r>
        <w:rPr>
          <w:rFonts w:hint="eastAsia" w:ascii="仿宋_GB2312" w:hAnsi="仿宋_GB2312" w:eastAsia="仿宋_GB2312" w:cs="仿宋_GB2312"/>
          <w:sz w:val="32"/>
          <w:szCs w:val="32"/>
          <w:highlight w:val="none"/>
          <w:u w:val="none"/>
          <w:lang w:val="en-US" w:eastAsia="zh-CN"/>
        </w:rPr>
        <w:t>应完成项目</w:t>
      </w:r>
      <w:r>
        <w:rPr>
          <w:rFonts w:hint="eastAsia" w:ascii="仿宋_GB2312" w:hAnsi="仿宋_GB2312" w:eastAsia="仿宋_GB2312" w:cs="仿宋_GB2312"/>
          <w:sz w:val="32"/>
          <w:szCs w:val="32"/>
          <w:highlight w:val="none"/>
          <w:u w:val="none"/>
        </w:rPr>
        <w:t>核准或备案；</w:t>
      </w:r>
      <w:r>
        <w:rPr>
          <w:rFonts w:hint="eastAsia" w:ascii="仿宋_GB2312" w:hAnsi="仿宋_GB2312" w:eastAsia="仿宋_GB2312" w:cs="仿宋_GB2312"/>
          <w:sz w:val="32"/>
          <w:szCs w:val="32"/>
          <w:highlight w:val="none"/>
          <w:u w:val="none"/>
          <w:lang w:eastAsia="zh-CN"/>
        </w:rPr>
        <w:t>政府投资</w:t>
      </w:r>
      <w:r>
        <w:rPr>
          <w:rFonts w:hint="eastAsia" w:ascii="仿宋_GB2312" w:hAnsi="仿宋_GB2312" w:eastAsia="仿宋_GB2312" w:cs="仿宋_GB2312"/>
          <w:sz w:val="32"/>
          <w:szCs w:val="32"/>
          <w:highlight w:val="none"/>
          <w:u w:val="none"/>
        </w:rPr>
        <w:t>项目原则上</w:t>
      </w:r>
      <w:r>
        <w:rPr>
          <w:rFonts w:hint="eastAsia" w:ascii="仿宋_GB2312" w:hAnsi="仿宋_GB2312" w:eastAsia="仿宋_GB2312" w:cs="仿宋_GB2312"/>
          <w:sz w:val="32"/>
          <w:szCs w:val="32"/>
          <w:highlight w:val="none"/>
          <w:u w:val="none"/>
          <w:lang w:val="en-US" w:eastAsia="zh-CN"/>
        </w:rPr>
        <w:t>应完成初步设计并取得发展改革部门的概算批复，或经市（区）政府决策批准。</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（四）招标文件编制。</w:t>
      </w:r>
      <w:r>
        <w:rPr>
          <w:rFonts w:hint="eastAsia" w:ascii="仿宋_GB2312" w:hAnsi="仿宋_GB2312" w:eastAsia="仿宋_GB2312" w:cs="仿宋_GB2312"/>
          <w:sz w:val="32"/>
          <w:szCs w:val="32"/>
          <w:highlight w:val="none"/>
          <w:u w:val="none"/>
          <w:lang w:val="en-US" w:eastAsia="zh-CN"/>
        </w:rPr>
        <w:t>招标文件中资质资格、业绩等投标人资格条件要求和评标标准，应当以符合项目具体特点和满足实际需要为限度审慎设置，不得通过设置不合理条件排斥或者限制潜在投标人。</w:t>
      </w:r>
      <w:r>
        <w:rPr>
          <w:rFonts w:hint="eastAsia" w:ascii="仿宋_GB2312" w:hAnsi="仿宋_GB2312" w:eastAsia="仿宋_GB2312" w:cs="仿宋_GB2312"/>
          <w:i w:val="0"/>
          <w:iCs w:val="0"/>
          <w:caps w:val="0"/>
          <w:spacing w:val="0"/>
          <w:kern w:val="2"/>
          <w:sz w:val="32"/>
          <w:szCs w:val="32"/>
          <w:highlight w:val="none"/>
          <w:u w:val="none"/>
          <w:shd w:val="clear"/>
          <w:lang w:val="en-US" w:eastAsia="zh-CN" w:bidi="ar"/>
        </w:rPr>
        <w:t>采用“工程总承包+”发包模式的招标项目，涉及工程总承包的评审因素应当严格按照省、市有关规定实施，不得擅自调整；涉及投融资、运营等其他评审事项、评审因素，应当根据项目实际需要设置，分值权重不得高于10%，且不得设置不合理条件排斥或者限制潜在投标人</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（五）合理确定投标文件编制时间。</w:t>
      </w:r>
      <w:r>
        <w:rPr>
          <w:rFonts w:hint="eastAsia" w:ascii="仿宋_GB2312" w:hAnsi="仿宋_GB2312" w:eastAsia="仿宋_GB2312" w:cs="仿宋_GB2312"/>
          <w:b w:val="0"/>
          <w:bCs w:val="0"/>
          <w:sz w:val="32"/>
          <w:szCs w:val="32"/>
          <w:highlight w:val="none"/>
          <w:u w:val="none"/>
          <w:lang w:val="en-US" w:eastAsia="zh-CN"/>
        </w:rPr>
        <w:t>工程总承包项目的建设单位应当确定编制投标文件所需要的合理时间，</w:t>
      </w:r>
      <w:r>
        <w:rPr>
          <w:rFonts w:hint="eastAsia" w:ascii="仿宋_GB2312" w:hAnsi="仿宋_GB2312" w:eastAsia="仿宋_GB2312" w:cs="仿宋_GB2312"/>
          <w:sz w:val="32"/>
          <w:szCs w:val="32"/>
          <w:highlight w:val="none"/>
          <w:u w:val="none"/>
          <w:lang w:val="en-US" w:eastAsia="zh-CN"/>
        </w:rPr>
        <w:t>自招标文件发出之日起至投标人提交投标文件截止之日，不少于30日历天</w:t>
      </w:r>
      <w:r>
        <w:rPr>
          <w:rFonts w:hint="eastAsia" w:ascii="仿宋_GB2312" w:hAnsi="仿宋_GB2312" w:eastAsia="仿宋_GB2312" w:cs="仿宋_GB2312"/>
          <w:sz w:val="32"/>
          <w:szCs w:val="32"/>
          <w:highlight w:val="none"/>
          <w:u w:val="none"/>
        </w:rPr>
        <w:t>。</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（六）规范组建“工程总承包+”项目评标委员会。</w:t>
      </w:r>
      <w:r>
        <w:rPr>
          <w:rFonts w:hint="eastAsia" w:ascii="仿宋_GB2312" w:hAnsi="仿宋_GB2312" w:eastAsia="仿宋_GB2312" w:cs="仿宋_GB2312"/>
          <w:sz w:val="32"/>
          <w:szCs w:val="32"/>
          <w:highlight w:val="none"/>
          <w:u w:val="none"/>
        </w:rPr>
        <w:t>“工程总承包+”</w:t>
      </w:r>
      <w:r>
        <w:rPr>
          <w:rFonts w:hint="eastAsia" w:ascii="仿宋_GB2312" w:hAnsi="仿宋_GB2312" w:eastAsia="仿宋_GB2312" w:cs="仿宋_GB2312"/>
          <w:sz w:val="32"/>
          <w:szCs w:val="32"/>
          <w:highlight w:val="none"/>
          <w:u w:val="none"/>
          <w:lang w:val="en-US" w:eastAsia="zh-CN"/>
        </w:rPr>
        <w:t>项目</w:t>
      </w:r>
      <w:r>
        <w:rPr>
          <w:rFonts w:hint="eastAsia" w:ascii="仿宋_GB2312" w:hAnsi="仿宋_GB2312" w:eastAsia="仿宋_GB2312" w:cs="仿宋_GB2312"/>
          <w:sz w:val="32"/>
          <w:szCs w:val="32"/>
          <w:highlight w:val="none"/>
          <w:u w:val="none"/>
        </w:rPr>
        <w:t>评标委员会应</w:t>
      </w:r>
      <w:r>
        <w:rPr>
          <w:rFonts w:hint="eastAsia" w:ascii="仿宋_GB2312" w:hAnsi="仿宋_GB2312" w:eastAsia="仿宋_GB2312" w:cs="仿宋_GB2312"/>
          <w:sz w:val="32"/>
          <w:szCs w:val="32"/>
          <w:highlight w:val="none"/>
          <w:u w:val="none"/>
          <w:lang w:val="en-US" w:eastAsia="zh-CN"/>
        </w:rPr>
        <w:t>根据项目情况</w:t>
      </w:r>
      <w:r>
        <w:rPr>
          <w:rFonts w:hint="eastAsia" w:ascii="仿宋_GB2312" w:hAnsi="仿宋_GB2312" w:eastAsia="仿宋_GB2312" w:cs="仿宋_GB2312"/>
          <w:sz w:val="32"/>
          <w:szCs w:val="32"/>
          <w:highlight w:val="none"/>
          <w:u w:val="none"/>
        </w:rPr>
        <w:t>增加</w:t>
      </w:r>
      <w:r>
        <w:rPr>
          <w:rFonts w:hint="eastAsia" w:ascii="仿宋_GB2312" w:hAnsi="仿宋_GB2312" w:eastAsia="仿宋_GB2312" w:cs="仿宋_GB2312"/>
          <w:sz w:val="32"/>
          <w:szCs w:val="32"/>
          <w:highlight w:val="none"/>
          <w:u w:val="none"/>
          <w:lang w:val="en-US" w:eastAsia="zh-CN"/>
        </w:rPr>
        <w:t>投融资、运营等专业</w:t>
      </w:r>
      <w:r>
        <w:rPr>
          <w:rFonts w:hint="eastAsia" w:ascii="仿宋_GB2312" w:hAnsi="仿宋_GB2312" w:eastAsia="仿宋_GB2312" w:cs="仿宋_GB2312"/>
          <w:sz w:val="32"/>
          <w:szCs w:val="32"/>
          <w:highlight w:val="none"/>
          <w:u w:val="none"/>
        </w:rPr>
        <w:t>专家；技术、性能有特殊要求的“工程总承包+”项目，招标人可分别组建工程总承包</w:t>
      </w:r>
      <w:r>
        <w:rPr>
          <w:rFonts w:hint="eastAsia" w:ascii="仿宋_GB2312" w:hAnsi="仿宋_GB2312" w:eastAsia="仿宋_GB2312" w:cs="仿宋_GB2312"/>
          <w:sz w:val="32"/>
          <w:szCs w:val="32"/>
          <w:highlight w:val="none"/>
          <w:u w:val="none"/>
          <w:lang w:val="en-US" w:eastAsia="zh-CN"/>
        </w:rPr>
        <w:t>专业</w:t>
      </w:r>
      <w:r>
        <w:rPr>
          <w:rFonts w:hint="eastAsia" w:ascii="仿宋_GB2312" w:hAnsi="仿宋_GB2312" w:eastAsia="仿宋_GB2312" w:cs="仿宋_GB2312"/>
          <w:sz w:val="32"/>
          <w:szCs w:val="32"/>
          <w:highlight w:val="none"/>
          <w:u w:val="none"/>
        </w:rPr>
        <w:t>专家组和</w:t>
      </w:r>
      <w:r>
        <w:rPr>
          <w:rFonts w:hint="eastAsia" w:ascii="仿宋_GB2312" w:hAnsi="仿宋_GB2312" w:eastAsia="仿宋_GB2312" w:cs="仿宋_GB2312"/>
          <w:sz w:val="32"/>
          <w:szCs w:val="32"/>
          <w:highlight w:val="none"/>
          <w:u w:val="none"/>
          <w:lang w:val="en-US" w:eastAsia="zh-CN"/>
        </w:rPr>
        <w:t>投融资、运营等专业</w:t>
      </w:r>
      <w:r>
        <w:rPr>
          <w:rFonts w:hint="eastAsia" w:ascii="仿宋_GB2312" w:hAnsi="仿宋_GB2312" w:eastAsia="仿宋_GB2312" w:cs="仿宋_GB2312"/>
          <w:sz w:val="32"/>
          <w:szCs w:val="32"/>
          <w:highlight w:val="none"/>
          <w:u w:val="none"/>
        </w:rPr>
        <w:t>专家组。</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三、加强项目管理</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（七）加强工程造价动态管理。</w:t>
      </w:r>
      <w:r>
        <w:rPr>
          <w:rFonts w:hint="eastAsia" w:ascii="仿宋_GB2312" w:hAnsi="仿宋_GB2312" w:eastAsia="仿宋_GB2312" w:cs="仿宋_GB2312"/>
          <w:sz w:val="32"/>
          <w:szCs w:val="32"/>
          <w:highlight w:val="none"/>
          <w:u w:val="none"/>
          <w:lang w:val="en-US" w:eastAsia="zh-CN"/>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代建）单位应细化招标文件《发包人要求》的内容，宜明确分阶段出图的要求；建设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代建）单位应根据分阶段出图计划</w:t>
      </w:r>
      <w:r>
        <w:rPr>
          <w:rFonts w:hint="eastAsia" w:ascii="仿宋_GB2312" w:hAnsi="仿宋_GB2312" w:eastAsia="仿宋_GB2312" w:cs="仿宋_GB2312"/>
          <w:sz w:val="32"/>
          <w:szCs w:val="32"/>
          <w:highlight w:val="none"/>
          <w:u w:val="none"/>
        </w:rPr>
        <w:t>及时</w:t>
      </w:r>
      <w:r>
        <w:rPr>
          <w:rFonts w:hint="eastAsia" w:ascii="仿宋_GB2312" w:hAnsi="仿宋_GB2312" w:eastAsia="仿宋_GB2312" w:cs="仿宋_GB2312"/>
          <w:sz w:val="32"/>
          <w:szCs w:val="32"/>
          <w:highlight w:val="none"/>
          <w:u w:val="none"/>
          <w:lang w:val="en-US" w:eastAsia="zh-CN"/>
        </w:rPr>
        <w:t>组织</w:t>
      </w:r>
      <w:r>
        <w:rPr>
          <w:rFonts w:hint="eastAsia" w:ascii="仿宋_GB2312" w:hAnsi="仿宋_GB2312" w:eastAsia="仿宋_GB2312" w:cs="仿宋_GB2312"/>
          <w:sz w:val="32"/>
          <w:szCs w:val="32"/>
          <w:highlight w:val="none"/>
          <w:u w:val="none"/>
        </w:rPr>
        <w:t>预算</w:t>
      </w:r>
      <w:r>
        <w:rPr>
          <w:rFonts w:hint="eastAsia" w:ascii="仿宋_GB2312" w:hAnsi="仿宋_GB2312" w:eastAsia="仿宋_GB2312" w:cs="仿宋_GB2312"/>
          <w:sz w:val="32"/>
          <w:szCs w:val="32"/>
          <w:highlight w:val="none"/>
          <w:u w:val="none"/>
          <w:lang w:val="en-US" w:eastAsia="zh-CN"/>
        </w:rPr>
        <w:t>编制或审核，政府投资项目应</w:t>
      </w:r>
      <w:r>
        <w:rPr>
          <w:rFonts w:hint="eastAsia" w:ascii="仿宋_GB2312" w:hAnsi="仿宋_GB2312" w:eastAsia="仿宋_GB2312" w:cs="仿宋_GB2312"/>
          <w:sz w:val="32"/>
          <w:szCs w:val="32"/>
          <w:highlight w:val="none"/>
          <w:u w:val="none"/>
          <w:lang w:bidi="ar"/>
        </w:rPr>
        <w:t>提请财政评审部门尽早</w:t>
      </w:r>
      <w:r>
        <w:rPr>
          <w:rFonts w:hint="eastAsia" w:ascii="仿宋_GB2312" w:hAnsi="仿宋_GB2312" w:eastAsia="仿宋_GB2312" w:cs="仿宋_GB2312"/>
          <w:sz w:val="32"/>
          <w:szCs w:val="32"/>
          <w:highlight w:val="none"/>
          <w:u w:val="none"/>
          <w:lang w:val="en-US" w:eastAsia="zh-CN" w:bidi="ar"/>
        </w:rPr>
        <w:t>介入审核</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bidi="ar"/>
        </w:rPr>
        <w:t>加强工程造价的动态监控</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bidi="ar"/>
        </w:rPr>
        <w:t>自身能力不足的，</w:t>
      </w:r>
      <w:r>
        <w:rPr>
          <w:rFonts w:hint="eastAsia" w:ascii="仿宋_GB2312" w:hAnsi="仿宋_GB2312" w:eastAsia="仿宋_GB2312" w:cs="仿宋_GB2312"/>
          <w:sz w:val="32"/>
          <w:szCs w:val="32"/>
          <w:highlight w:val="none"/>
          <w:u w:val="none"/>
          <w:lang w:val="en-US" w:eastAsia="zh-CN" w:bidi="ar"/>
        </w:rPr>
        <w:t>鼓励引入</w:t>
      </w:r>
      <w:r>
        <w:rPr>
          <w:rFonts w:hint="eastAsia" w:ascii="仿宋_GB2312" w:hAnsi="仿宋_GB2312" w:eastAsia="仿宋_GB2312" w:cs="仿宋_GB2312"/>
          <w:sz w:val="32"/>
          <w:szCs w:val="32"/>
          <w:highlight w:val="none"/>
          <w:u w:val="none"/>
          <w:lang w:bidi="ar"/>
        </w:rPr>
        <w:t>第三方</w:t>
      </w:r>
      <w:r>
        <w:rPr>
          <w:rFonts w:hint="default" w:ascii="仿宋_GB2312" w:hAnsi="仿宋_GB2312" w:eastAsia="仿宋_GB2312" w:cs="仿宋_GB2312"/>
          <w:sz w:val="32"/>
          <w:szCs w:val="32"/>
          <w:highlight w:val="none"/>
          <w:u w:val="none"/>
          <w:lang w:val="en-US" w:bidi="ar"/>
        </w:rPr>
        <w:t>全过程造价</w:t>
      </w:r>
      <w:r>
        <w:rPr>
          <w:rFonts w:hint="eastAsia" w:ascii="仿宋_GB2312" w:hAnsi="仿宋_GB2312" w:eastAsia="仿宋_GB2312" w:cs="仿宋_GB2312"/>
          <w:sz w:val="32"/>
          <w:szCs w:val="32"/>
          <w:highlight w:val="none"/>
          <w:u w:val="none"/>
          <w:lang w:bidi="ar"/>
        </w:rPr>
        <w:t>咨询单位</w:t>
      </w:r>
      <w:r>
        <w:rPr>
          <w:rFonts w:hint="eastAsia" w:ascii="仿宋_GB2312" w:hAnsi="仿宋_GB2312" w:eastAsia="仿宋_GB2312" w:cs="仿宋_GB2312"/>
          <w:sz w:val="32"/>
          <w:szCs w:val="32"/>
          <w:highlight w:val="none"/>
          <w:u w:val="none"/>
          <w:lang w:val="en-US" w:eastAsia="zh-CN" w:bidi="ar"/>
        </w:rPr>
        <w:t>实施管控，</w:t>
      </w:r>
      <w:r>
        <w:rPr>
          <w:rFonts w:hint="eastAsia" w:ascii="仿宋_GB2312" w:hAnsi="仿宋_GB2312" w:eastAsia="仿宋_GB2312" w:cs="仿宋_GB2312"/>
          <w:sz w:val="32"/>
          <w:szCs w:val="32"/>
          <w:highlight w:val="none"/>
          <w:u w:val="none"/>
        </w:rPr>
        <w:t>避免投资超限</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进度款超付。</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（八）严格控制工程变更。</w:t>
      </w:r>
      <w:r>
        <w:rPr>
          <w:rFonts w:hint="eastAsia" w:ascii="仿宋_GB2312" w:hAnsi="仿宋_GB2312" w:eastAsia="仿宋_GB2312" w:cs="仿宋_GB2312"/>
          <w:sz w:val="32"/>
          <w:szCs w:val="32"/>
          <w:highlight w:val="none"/>
          <w:u w:val="none"/>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rPr>
        <w:t>单位</w:t>
      </w:r>
      <w:r>
        <w:rPr>
          <w:rFonts w:hint="eastAsia" w:ascii="仿宋_GB2312" w:hAnsi="仿宋_GB2312" w:eastAsia="仿宋_GB2312" w:cs="仿宋_GB2312"/>
          <w:sz w:val="32"/>
          <w:szCs w:val="32"/>
          <w:highlight w:val="none"/>
          <w:u w:val="none"/>
          <w:lang w:val="en-US" w:eastAsia="zh-CN"/>
        </w:rPr>
        <w:t>应严格控制工程总承包项目建设内容、</w:t>
      </w:r>
      <w:r>
        <w:rPr>
          <w:rFonts w:hint="eastAsia" w:ascii="仿宋_GB2312" w:hAnsi="仿宋_GB2312" w:eastAsia="仿宋_GB2312" w:cs="仿宋_GB2312"/>
          <w:sz w:val="32"/>
          <w:szCs w:val="32"/>
          <w:highlight w:val="none"/>
          <w:u w:val="none"/>
        </w:rPr>
        <w:t>范围、规模、标准</w:t>
      </w:r>
      <w:r>
        <w:rPr>
          <w:rFonts w:hint="eastAsia" w:ascii="仿宋_GB2312" w:hAnsi="仿宋_GB2312" w:eastAsia="仿宋_GB2312" w:cs="仿宋_GB2312"/>
          <w:sz w:val="32"/>
          <w:szCs w:val="32"/>
          <w:highlight w:val="none"/>
          <w:u w:val="none"/>
          <w:lang w:val="en-US" w:eastAsia="zh-CN"/>
        </w:rPr>
        <w:t>和</w:t>
      </w:r>
      <w:r>
        <w:rPr>
          <w:rFonts w:hint="eastAsia" w:ascii="仿宋_GB2312" w:hAnsi="仿宋_GB2312" w:eastAsia="仿宋_GB2312" w:cs="仿宋_GB2312"/>
          <w:sz w:val="32"/>
          <w:szCs w:val="32"/>
          <w:highlight w:val="none"/>
          <w:u w:val="none"/>
        </w:rPr>
        <w:t>功能需求</w:t>
      </w:r>
      <w:r>
        <w:rPr>
          <w:rFonts w:hint="eastAsia" w:ascii="仿宋_GB2312" w:hAnsi="仿宋_GB2312" w:eastAsia="仿宋_GB2312" w:cs="仿宋_GB2312"/>
          <w:sz w:val="32"/>
          <w:szCs w:val="32"/>
          <w:highlight w:val="none"/>
          <w:u w:val="none"/>
          <w:lang w:val="en-US" w:eastAsia="zh-CN"/>
        </w:rPr>
        <w:t>等变更；工程变更</w:t>
      </w:r>
      <w:r>
        <w:rPr>
          <w:rFonts w:hint="eastAsia" w:ascii="仿宋_GB2312" w:hAnsi="仿宋_GB2312" w:eastAsia="仿宋_GB2312" w:cs="仿宋_GB2312"/>
          <w:sz w:val="32"/>
          <w:szCs w:val="32"/>
          <w:highlight w:val="none"/>
          <w:u w:val="none"/>
        </w:rPr>
        <w:t>应在不降低原技术标准和工程质量的前提下，按照能够</w:t>
      </w:r>
      <w:r>
        <w:rPr>
          <w:rFonts w:hint="eastAsia" w:ascii="仿宋_GB2312" w:hAnsi="仿宋_GB2312" w:eastAsia="仿宋_GB2312" w:cs="仿宋_GB2312"/>
          <w:sz w:val="32"/>
          <w:szCs w:val="32"/>
          <w:highlight w:val="none"/>
          <w:u w:val="none"/>
          <w:lang w:val="en-US" w:eastAsia="zh-CN"/>
        </w:rPr>
        <w:t>有效</w:t>
      </w:r>
      <w:r>
        <w:rPr>
          <w:rFonts w:hint="eastAsia" w:ascii="仿宋_GB2312" w:hAnsi="仿宋_GB2312" w:eastAsia="仿宋_GB2312" w:cs="仿宋_GB2312"/>
          <w:sz w:val="32"/>
          <w:szCs w:val="32"/>
          <w:highlight w:val="none"/>
          <w:u w:val="none"/>
        </w:rPr>
        <w:t>控制或降低工程造价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有利于加快施工进度</w:t>
      </w:r>
      <w:r>
        <w:rPr>
          <w:rFonts w:hint="eastAsia" w:ascii="仿宋_GB2312" w:hAnsi="仿宋_GB2312" w:eastAsia="仿宋_GB2312" w:cs="仿宋_GB2312"/>
          <w:sz w:val="32"/>
          <w:szCs w:val="32"/>
          <w:highlight w:val="none"/>
          <w:u w:val="none"/>
          <w:lang w:val="en-US" w:eastAsia="zh-CN"/>
        </w:rPr>
        <w:t>和</w:t>
      </w:r>
      <w:r>
        <w:rPr>
          <w:rFonts w:hint="eastAsia" w:ascii="仿宋_GB2312" w:hAnsi="仿宋_GB2312" w:eastAsia="仿宋_GB2312" w:cs="仿宋_GB2312"/>
          <w:sz w:val="32"/>
          <w:szCs w:val="32"/>
          <w:highlight w:val="none"/>
          <w:u w:val="none"/>
        </w:rPr>
        <w:t>提升</w:t>
      </w:r>
      <w:r>
        <w:rPr>
          <w:rFonts w:hint="eastAsia" w:ascii="仿宋_GB2312" w:hAnsi="仿宋_GB2312" w:eastAsia="仿宋_GB2312" w:cs="仿宋_GB2312"/>
          <w:sz w:val="32"/>
          <w:szCs w:val="32"/>
          <w:highlight w:val="none"/>
          <w:u w:val="none"/>
          <w:lang w:val="en-US" w:eastAsia="zh-CN"/>
        </w:rPr>
        <w:t>工程</w:t>
      </w:r>
      <w:r>
        <w:rPr>
          <w:rFonts w:hint="eastAsia" w:ascii="仿宋_GB2312" w:hAnsi="仿宋_GB2312" w:eastAsia="仿宋_GB2312" w:cs="仿宋_GB2312"/>
          <w:sz w:val="32"/>
          <w:szCs w:val="32"/>
          <w:highlight w:val="none"/>
          <w:u w:val="none"/>
        </w:rPr>
        <w:t>品质的原则提出</w:t>
      </w:r>
      <w:r>
        <w:rPr>
          <w:rFonts w:hint="eastAsia" w:ascii="仿宋_GB2312" w:hAnsi="仿宋_GB2312" w:eastAsia="仿宋_GB2312" w:cs="仿宋_GB2312"/>
          <w:sz w:val="32"/>
          <w:szCs w:val="32"/>
          <w:highlight w:val="none"/>
          <w:u w:val="none"/>
          <w:lang w:val="en-US" w:eastAsia="zh-CN"/>
        </w:rPr>
        <w:t>。政府投资</w:t>
      </w:r>
      <w:r>
        <w:rPr>
          <w:rFonts w:hint="eastAsia" w:ascii="仿宋_GB2312" w:hAnsi="仿宋_GB2312" w:eastAsia="仿宋_GB2312" w:cs="仿宋_GB2312"/>
          <w:sz w:val="32"/>
          <w:szCs w:val="32"/>
          <w:highlight w:val="none"/>
          <w:u w:val="none"/>
        </w:rPr>
        <w:t>项目的工程变更</w:t>
      </w:r>
      <w:r>
        <w:rPr>
          <w:rFonts w:hint="eastAsia" w:ascii="仿宋_GB2312" w:hAnsi="仿宋_GB2312" w:eastAsia="仿宋_GB2312" w:cs="仿宋_GB2312"/>
          <w:sz w:val="32"/>
          <w:szCs w:val="32"/>
          <w:highlight w:val="none"/>
          <w:u w:val="none"/>
          <w:lang w:val="en-US" w:eastAsia="zh-CN"/>
        </w:rPr>
        <w:t>还应</w:t>
      </w:r>
      <w:r>
        <w:rPr>
          <w:rFonts w:hint="eastAsia" w:ascii="仿宋_GB2312" w:hAnsi="仿宋_GB2312" w:eastAsia="仿宋_GB2312" w:cs="仿宋_GB2312"/>
          <w:sz w:val="32"/>
          <w:szCs w:val="32"/>
          <w:highlight w:val="none"/>
          <w:u w:val="none"/>
        </w:rPr>
        <w:t>严格执行市</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区）政府投资</w:t>
      </w:r>
      <w:r>
        <w:rPr>
          <w:rFonts w:hint="eastAsia" w:ascii="仿宋_GB2312" w:hAnsi="仿宋_GB2312" w:eastAsia="仿宋_GB2312" w:cs="仿宋_GB2312"/>
          <w:sz w:val="32"/>
          <w:szCs w:val="32"/>
          <w:highlight w:val="none"/>
          <w:u w:val="none"/>
        </w:rPr>
        <w:t>项目的相关变更管理规定。</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bidi="ar"/>
        </w:rPr>
      </w:pPr>
      <w:r>
        <w:rPr>
          <w:rFonts w:hint="eastAsia" w:ascii="楷体_GB2312" w:hAnsi="楷体_GB2312" w:eastAsia="楷体_GB2312" w:cs="楷体_GB2312"/>
          <w:b/>
          <w:bCs/>
          <w:sz w:val="32"/>
          <w:szCs w:val="32"/>
          <w:highlight w:val="none"/>
          <w:u w:val="none"/>
          <w:lang w:val="en-US" w:eastAsia="zh-CN"/>
        </w:rPr>
        <w:t>（九）及时处理工程索赔。</w:t>
      </w:r>
      <w:r>
        <w:rPr>
          <w:rFonts w:hint="eastAsia" w:ascii="仿宋_GB2312" w:hAnsi="仿宋_GB2312" w:eastAsia="仿宋_GB2312" w:cs="仿宋_GB2312"/>
          <w:sz w:val="32"/>
          <w:szCs w:val="32"/>
          <w:highlight w:val="none"/>
          <w:u w:val="none"/>
          <w:lang w:val="en-US" w:eastAsia="zh-CN" w:bidi="ar"/>
        </w:rPr>
        <w:t>工程</w:t>
      </w:r>
      <w:r>
        <w:rPr>
          <w:rFonts w:hint="eastAsia" w:ascii="仿宋_GB2312" w:hAnsi="仿宋_GB2312" w:eastAsia="仿宋_GB2312" w:cs="仿宋_GB2312"/>
          <w:sz w:val="32"/>
          <w:szCs w:val="32"/>
          <w:highlight w:val="none"/>
          <w:u w:val="none"/>
          <w:lang w:bidi="ar"/>
        </w:rPr>
        <w:t>变更</w:t>
      </w:r>
      <w:r>
        <w:rPr>
          <w:rFonts w:hint="eastAsia" w:ascii="仿宋_GB2312" w:hAnsi="仿宋_GB2312" w:eastAsia="仿宋_GB2312" w:cs="仿宋_GB2312"/>
          <w:sz w:val="32"/>
          <w:szCs w:val="32"/>
          <w:highlight w:val="none"/>
          <w:u w:val="none"/>
          <w:lang w:val="en-US" w:eastAsia="zh-CN" w:bidi="ar"/>
        </w:rPr>
        <w:t>及现场签证</w:t>
      </w:r>
      <w:r>
        <w:rPr>
          <w:rFonts w:hint="eastAsia" w:ascii="仿宋_GB2312" w:hAnsi="仿宋_GB2312" w:eastAsia="仿宋_GB2312" w:cs="仿宋_GB2312"/>
          <w:sz w:val="32"/>
          <w:szCs w:val="32"/>
          <w:highlight w:val="none"/>
          <w:u w:val="none"/>
          <w:lang w:bidi="ar"/>
        </w:rPr>
        <w:t>引起的</w:t>
      </w:r>
      <w:r>
        <w:rPr>
          <w:rFonts w:hint="eastAsia" w:ascii="仿宋_GB2312" w:hAnsi="仿宋_GB2312" w:eastAsia="仿宋_GB2312" w:cs="仿宋_GB2312"/>
          <w:sz w:val="32"/>
          <w:szCs w:val="32"/>
          <w:highlight w:val="none"/>
          <w:u w:val="none"/>
          <w:lang w:val="en-US" w:eastAsia="zh-CN" w:bidi="ar"/>
        </w:rPr>
        <w:t>索赔</w:t>
      </w:r>
      <w:r>
        <w:rPr>
          <w:rFonts w:hint="eastAsia" w:ascii="仿宋_GB2312" w:hAnsi="仿宋_GB2312" w:eastAsia="仿宋_GB2312" w:cs="仿宋_GB2312"/>
          <w:sz w:val="32"/>
          <w:szCs w:val="32"/>
          <w:highlight w:val="none"/>
          <w:u w:val="none"/>
          <w:lang w:bidi="ar"/>
        </w:rPr>
        <w:t>，严格按照合同约定的时间、程序和原则进行</w:t>
      </w:r>
      <w:r>
        <w:rPr>
          <w:rFonts w:hint="eastAsia" w:ascii="仿宋_GB2312" w:hAnsi="仿宋_GB2312" w:eastAsia="仿宋_GB2312" w:cs="仿宋_GB2312"/>
          <w:sz w:val="32"/>
          <w:szCs w:val="32"/>
          <w:highlight w:val="none"/>
          <w:u w:val="none"/>
          <w:lang w:val="en-US" w:eastAsia="zh-CN" w:bidi="ar"/>
        </w:rPr>
        <w:t>处理</w:t>
      </w:r>
      <w:r>
        <w:rPr>
          <w:rFonts w:hint="eastAsia" w:ascii="仿宋_GB2312" w:hAnsi="仿宋_GB2312" w:eastAsia="仿宋_GB2312" w:cs="仿宋_GB2312"/>
          <w:sz w:val="32"/>
          <w:szCs w:val="32"/>
          <w:highlight w:val="none"/>
          <w:u w:val="none"/>
          <w:lang w:bidi="ar"/>
        </w:rPr>
        <w:t>，及时确</w:t>
      </w:r>
      <w:r>
        <w:rPr>
          <w:rFonts w:hint="eastAsia" w:ascii="仿宋_GB2312" w:hAnsi="仿宋_GB2312" w:eastAsia="仿宋_GB2312" w:cs="仿宋_GB2312"/>
          <w:sz w:val="32"/>
          <w:szCs w:val="32"/>
          <w:highlight w:val="none"/>
          <w:u w:val="none"/>
          <w:lang w:val="en-US" w:eastAsia="zh-CN" w:bidi="ar"/>
        </w:rPr>
        <w:t>认变更、签证价款</w:t>
      </w:r>
      <w:r>
        <w:rPr>
          <w:rFonts w:hint="eastAsia" w:ascii="仿宋_GB2312" w:hAnsi="仿宋_GB2312" w:eastAsia="仿宋_GB2312" w:cs="仿宋_GB2312"/>
          <w:sz w:val="32"/>
          <w:szCs w:val="32"/>
          <w:highlight w:val="none"/>
          <w:u w:val="none"/>
          <w:lang w:bidi="ar"/>
        </w:rPr>
        <w:t>，</w:t>
      </w:r>
      <w:r>
        <w:rPr>
          <w:rFonts w:hint="eastAsia" w:ascii="仿宋_GB2312" w:hAnsi="仿宋_GB2312" w:eastAsia="仿宋_GB2312" w:cs="仿宋_GB2312"/>
          <w:sz w:val="32"/>
          <w:szCs w:val="32"/>
          <w:highlight w:val="none"/>
          <w:u w:val="none"/>
          <w:lang w:val="en-US" w:eastAsia="zh-CN" w:bidi="ar"/>
        </w:rPr>
        <w:t>不应</w:t>
      </w:r>
      <w:r>
        <w:rPr>
          <w:rFonts w:hint="eastAsia" w:ascii="仿宋_GB2312" w:hAnsi="仿宋_GB2312" w:eastAsia="仿宋_GB2312" w:cs="仿宋_GB2312"/>
          <w:sz w:val="32"/>
          <w:szCs w:val="32"/>
          <w:highlight w:val="none"/>
          <w:u w:val="none"/>
          <w:lang w:bidi="ar"/>
        </w:rPr>
        <w:t>将问题留</w:t>
      </w:r>
      <w:r>
        <w:rPr>
          <w:rFonts w:hint="eastAsia" w:ascii="仿宋_GB2312" w:hAnsi="仿宋_GB2312" w:eastAsia="仿宋_GB2312" w:cs="仿宋_GB2312"/>
          <w:sz w:val="32"/>
          <w:szCs w:val="32"/>
          <w:highlight w:val="none"/>
          <w:u w:val="none"/>
          <w:lang w:val="en-US" w:eastAsia="zh-CN" w:bidi="ar"/>
        </w:rPr>
        <w:t>至项目</w:t>
      </w:r>
      <w:r>
        <w:rPr>
          <w:rFonts w:hint="eastAsia" w:ascii="仿宋_GB2312" w:hAnsi="仿宋_GB2312" w:eastAsia="仿宋_GB2312" w:cs="仿宋_GB2312"/>
          <w:sz w:val="32"/>
          <w:szCs w:val="32"/>
          <w:highlight w:val="none"/>
          <w:u w:val="none"/>
          <w:lang w:bidi="ar"/>
        </w:rPr>
        <w:t>竣工后处理。</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ascii="Calibri" w:hAnsi="Calibri"/>
          <w:sz w:val="21"/>
          <w:szCs w:val="24"/>
          <w:highlight w:val="none"/>
        </w:rPr>
      </w:pPr>
      <w:r>
        <w:rPr>
          <w:rFonts w:hint="eastAsia" w:ascii="楷体_GB2312" w:hAnsi="楷体_GB2312" w:eastAsia="楷体_GB2312" w:cs="楷体_GB2312"/>
          <w:b/>
          <w:bCs/>
          <w:sz w:val="32"/>
          <w:szCs w:val="32"/>
          <w:highlight w:val="none"/>
          <w:u w:val="none"/>
          <w:lang w:val="en-US" w:eastAsia="zh-CN"/>
        </w:rPr>
        <w:t>（十）规范工程款项支付。</w:t>
      </w:r>
      <w:r>
        <w:rPr>
          <w:rFonts w:hint="eastAsia" w:ascii="仿宋_GB2312" w:hAnsi="仿宋_GB2312" w:eastAsia="仿宋_GB2312" w:cs="仿宋_GB2312"/>
          <w:sz w:val="32"/>
          <w:szCs w:val="32"/>
          <w:highlight w:val="none"/>
          <w:u w:val="none"/>
          <w:lang w:val="en-US" w:eastAsia="zh-CN"/>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代建）单位应严格执行预付款、施工过程结算等制度，切实防范工程款拖欠问题，</w:t>
      </w:r>
      <w:r>
        <w:rPr>
          <w:rFonts w:hint="eastAsia" w:ascii="仿宋_GB2312" w:hAnsi="仿宋_GB2312" w:eastAsia="仿宋_GB2312" w:cs="仿宋_GB2312"/>
          <w:sz w:val="32"/>
          <w:szCs w:val="32"/>
          <w:highlight w:val="none"/>
          <w:u w:val="none"/>
        </w:rPr>
        <w:t>可</w:t>
      </w:r>
      <w:r>
        <w:rPr>
          <w:rFonts w:hint="eastAsia" w:ascii="仿宋_GB2312" w:hAnsi="仿宋_GB2312" w:eastAsia="仿宋_GB2312" w:cs="仿宋_GB2312"/>
          <w:sz w:val="32"/>
          <w:szCs w:val="32"/>
          <w:highlight w:val="none"/>
          <w:u w:val="none"/>
          <w:lang w:val="en-US" w:eastAsia="zh-CN"/>
        </w:rPr>
        <w:t>根据实际进度按比例分阶段支付工程总承包项目工程款。</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eastAsia="zh-CN" w:bidi="ar"/>
        </w:rPr>
      </w:pPr>
      <w:bookmarkStart w:id="0" w:name="OLE_LINK3"/>
      <w:bookmarkStart w:id="1" w:name="OLE_LINK1"/>
      <w:r>
        <w:rPr>
          <w:rFonts w:hint="eastAsia" w:ascii="楷体_GB2312" w:hAnsi="楷体_GB2312" w:eastAsia="楷体_GB2312" w:cs="楷体_GB2312"/>
          <w:b/>
          <w:bCs/>
          <w:sz w:val="32"/>
          <w:szCs w:val="32"/>
          <w:highlight w:val="none"/>
          <w:u w:val="none"/>
          <w:lang w:val="en-US" w:eastAsia="zh-CN"/>
        </w:rPr>
        <w:t>（十一）强化工期管理。</w:t>
      </w:r>
      <w:r>
        <w:rPr>
          <w:rFonts w:hint="eastAsia" w:ascii="仿宋_GB2312" w:hAnsi="仿宋_GB2312" w:eastAsia="仿宋_GB2312" w:cs="仿宋_GB2312"/>
          <w:sz w:val="32"/>
          <w:szCs w:val="32"/>
          <w:highlight w:val="none"/>
          <w:u w:val="none"/>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rPr>
        <w:t>单位应</w:t>
      </w:r>
      <w:r>
        <w:rPr>
          <w:rFonts w:hint="eastAsia" w:ascii="仿宋_GB2312" w:hAnsi="仿宋_GB2312" w:eastAsia="仿宋_GB2312" w:cs="仿宋_GB2312"/>
          <w:sz w:val="32"/>
          <w:szCs w:val="32"/>
          <w:highlight w:val="none"/>
          <w:u w:val="none"/>
          <w:lang w:val="en-US" w:eastAsia="zh-CN"/>
        </w:rPr>
        <w:t>合理设定工程总承包项目的</w:t>
      </w:r>
      <w:r>
        <w:rPr>
          <w:rFonts w:hint="eastAsia" w:ascii="仿宋_GB2312" w:hAnsi="仿宋_GB2312" w:eastAsia="仿宋_GB2312" w:cs="仿宋_GB2312"/>
          <w:sz w:val="32"/>
          <w:szCs w:val="32"/>
          <w:highlight w:val="none"/>
          <w:u w:val="none"/>
        </w:rPr>
        <w:t>设计及施工工期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不得任意压缩工期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bidi="ar"/>
        </w:rPr>
        <w:t>可根据项目设计进度以及施工条件，分阶段</w:t>
      </w:r>
      <w:r>
        <w:rPr>
          <w:rFonts w:hint="eastAsia" w:ascii="仿宋_GB2312" w:hAnsi="仿宋_GB2312" w:eastAsia="仿宋_GB2312" w:cs="仿宋_GB2312"/>
          <w:sz w:val="32"/>
          <w:szCs w:val="32"/>
          <w:highlight w:val="none"/>
          <w:u w:val="none"/>
          <w:lang w:val="en-US" w:eastAsia="zh-CN" w:bidi="ar"/>
        </w:rPr>
        <w:t>申请</w:t>
      </w:r>
      <w:r>
        <w:rPr>
          <w:rFonts w:hint="eastAsia" w:ascii="仿宋_GB2312" w:hAnsi="仿宋_GB2312" w:eastAsia="仿宋_GB2312" w:cs="仿宋_GB2312"/>
          <w:sz w:val="32"/>
          <w:szCs w:val="32"/>
          <w:highlight w:val="none"/>
          <w:u w:val="none"/>
          <w:lang w:bidi="ar"/>
        </w:rPr>
        <w:t>施工许可</w:t>
      </w:r>
      <w:r>
        <w:rPr>
          <w:rFonts w:hint="eastAsia" w:ascii="仿宋_GB2312" w:hAnsi="仿宋_GB2312" w:eastAsia="仿宋_GB2312" w:cs="仿宋_GB2312"/>
          <w:sz w:val="32"/>
          <w:szCs w:val="32"/>
          <w:highlight w:val="none"/>
          <w:u w:val="none"/>
          <w:lang w:eastAsia="zh-CN" w:bidi="ar"/>
        </w:rPr>
        <w:t>证；</w:t>
      </w:r>
      <w:r>
        <w:rPr>
          <w:rFonts w:hint="eastAsia" w:ascii="仿宋_GB2312" w:hAnsi="仿宋_GB2312" w:eastAsia="仿宋_GB2312" w:cs="仿宋_GB2312"/>
          <w:sz w:val="32"/>
          <w:szCs w:val="32"/>
          <w:highlight w:val="none"/>
          <w:u w:val="none"/>
          <w:lang w:val="en-US" w:eastAsia="zh-CN" w:bidi="ar"/>
        </w:rPr>
        <w:t>应强化对</w:t>
      </w:r>
      <w:r>
        <w:rPr>
          <w:rFonts w:hint="eastAsia" w:ascii="仿宋_GB2312" w:hAnsi="仿宋_GB2312" w:eastAsia="仿宋_GB2312" w:cs="仿宋_GB2312"/>
          <w:sz w:val="32"/>
          <w:szCs w:val="32"/>
          <w:highlight w:val="none"/>
          <w:u w:val="none"/>
          <w:lang w:bidi="ar"/>
        </w:rPr>
        <w:t>项目总进度和各阶段进度动态管理</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rPr>
        <w:t>不因采用工程总承包模式而缺失或倒置</w:t>
      </w:r>
      <w:r>
        <w:rPr>
          <w:rFonts w:hint="eastAsia" w:ascii="仿宋_GB2312" w:hAnsi="仿宋_GB2312" w:eastAsia="仿宋_GB2312" w:cs="仿宋_GB2312"/>
          <w:sz w:val="32"/>
          <w:szCs w:val="32"/>
          <w:highlight w:val="none"/>
          <w:u w:val="none"/>
          <w:lang w:val="en-US" w:eastAsia="zh-CN"/>
        </w:rPr>
        <w:t>项目</w:t>
      </w:r>
      <w:r>
        <w:rPr>
          <w:rFonts w:hint="eastAsia" w:ascii="仿宋_GB2312" w:hAnsi="仿宋_GB2312" w:eastAsia="仿宋_GB2312" w:cs="仿宋_GB2312"/>
          <w:sz w:val="32"/>
          <w:szCs w:val="32"/>
          <w:highlight w:val="none"/>
          <w:u w:val="none"/>
        </w:rPr>
        <w:t>基本建设程序</w:t>
      </w:r>
      <w:r>
        <w:rPr>
          <w:rFonts w:hint="eastAsia" w:ascii="仿宋_GB2312" w:hAnsi="仿宋_GB2312" w:eastAsia="仿宋_GB2312" w:cs="仿宋_GB2312"/>
          <w:sz w:val="32"/>
          <w:szCs w:val="32"/>
          <w:highlight w:val="none"/>
          <w:u w:val="none"/>
          <w:lang w:eastAsia="zh-CN" w:bidi="ar"/>
        </w:rPr>
        <w:t>。</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（十二）加强落实参与方主体责任。</w:t>
      </w:r>
      <w:r>
        <w:rPr>
          <w:rFonts w:hint="eastAsia" w:ascii="仿宋_GB2312" w:hAnsi="仿宋_GB2312" w:eastAsia="仿宋_GB2312" w:cs="仿宋_GB2312"/>
          <w:sz w:val="32"/>
          <w:szCs w:val="32"/>
          <w:highlight w:val="none"/>
          <w:u w:val="none"/>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rPr>
        <w:t>单位</w:t>
      </w:r>
      <w:r>
        <w:rPr>
          <w:rFonts w:hint="eastAsia" w:ascii="仿宋_GB2312" w:hAnsi="仿宋_GB2312" w:eastAsia="仿宋_GB2312" w:cs="仿宋_GB2312"/>
          <w:sz w:val="32"/>
          <w:szCs w:val="32"/>
          <w:highlight w:val="none"/>
          <w:u w:val="none"/>
          <w:lang w:val="en-US" w:eastAsia="zh-CN"/>
        </w:rPr>
        <w:t>应</w:t>
      </w:r>
      <w:r>
        <w:rPr>
          <w:rFonts w:hint="eastAsia" w:ascii="仿宋_GB2312" w:hAnsi="仿宋_GB2312" w:eastAsia="仿宋_GB2312" w:cs="仿宋_GB2312"/>
          <w:sz w:val="32"/>
          <w:szCs w:val="32"/>
          <w:highlight w:val="none"/>
          <w:u w:val="none"/>
        </w:rPr>
        <w:t>落实</w:t>
      </w:r>
      <w:r>
        <w:rPr>
          <w:rFonts w:hint="eastAsia" w:ascii="仿宋_GB2312" w:hAnsi="仿宋_GB2312" w:eastAsia="仿宋_GB2312" w:cs="仿宋_GB2312"/>
          <w:sz w:val="32"/>
          <w:szCs w:val="32"/>
          <w:highlight w:val="none"/>
          <w:u w:val="none"/>
          <w:lang w:val="en-US" w:eastAsia="zh-CN"/>
        </w:rPr>
        <w:t>工程总承包项目的</w:t>
      </w:r>
      <w:r>
        <w:rPr>
          <w:rFonts w:hint="eastAsia" w:ascii="仿宋_GB2312" w:hAnsi="仿宋_GB2312" w:eastAsia="仿宋_GB2312" w:cs="仿宋_GB2312"/>
          <w:sz w:val="32"/>
          <w:szCs w:val="32"/>
          <w:highlight w:val="none"/>
          <w:u w:val="none"/>
        </w:rPr>
        <w:t>首要责任，对项目负总责，明确提出建设要求，依法履行相关建设手续，全面实现工期、投资、质量、安全生产等各方面预定目标。</w:t>
      </w:r>
    </w:p>
    <w:p>
      <w:pPr>
        <w:keepNext w:val="0"/>
        <w:keepLines w:val="0"/>
        <w:pageBreakBefore w:val="0"/>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工程总承包单位对建设工程质量、工期、安全及建设工程的所有专业分包人履约行为负责，依法承担安全生产责任和质量终身责任，</w:t>
      </w:r>
      <w:r>
        <w:rPr>
          <w:rFonts w:hint="eastAsia" w:ascii="仿宋_GB2312" w:hAnsi="仿宋_GB2312" w:eastAsia="仿宋_GB2312" w:cs="仿宋_GB2312"/>
          <w:sz w:val="32"/>
          <w:szCs w:val="32"/>
          <w:highlight w:val="none"/>
          <w:u w:val="none"/>
          <w:lang w:val="en-US" w:eastAsia="zh-CN"/>
        </w:rPr>
        <w:t>并</w:t>
      </w:r>
      <w:r>
        <w:rPr>
          <w:rFonts w:hint="eastAsia" w:ascii="仿宋_GB2312" w:hAnsi="仿宋_GB2312" w:eastAsia="仿宋_GB2312" w:cs="仿宋_GB2312"/>
          <w:sz w:val="32"/>
          <w:szCs w:val="32"/>
          <w:highlight w:val="none"/>
          <w:u w:val="none"/>
        </w:rPr>
        <w:t>加强风险管理，协调管理各参建单位做好责任范围内工作。</w:t>
      </w:r>
    </w:p>
    <w:p>
      <w:pPr>
        <w:keepNext w:val="0"/>
        <w:keepLines w:val="0"/>
        <w:pageBreakBefore w:val="0"/>
        <w:widowControl/>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勘察</w:t>
      </w:r>
      <w:r>
        <w:rPr>
          <w:rFonts w:hint="eastAsia" w:ascii="仿宋_GB2312" w:hAnsi="仿宋_GB2312" w:eastAsia="仿宋_GB2312" w:cs="仿宋_GB2312"/>
          <w:sz w:val="32"/>
          <w:szCs w:val="32"/>
          <w:highlight w:val="none"/>
          <w:u w:val="none"/>
        </w:rPr>
        <w:t>、设计、监理、</w:t>
      </w:r>
      <w:r>
        <w:rPr>
          <w:rFonts w:hint="eastAsia" w:ascii="仿宋_GB2312" w:hAnsi="仿宋_GB2312" w:eastAsia="仿宋_GB2312" w:cs="仿宋_GB2312"/>
          <w:sz w:val="32"/>
          <w:szCs w:val="32"/>
          <w:highlight w:val="none"/>
          <w:u w:val="none"/>
          <w:lang w:val="en-US" w:eastAsia="zh-CN"/>
        </w:rPr>
        <w:t>施工、</w:t>
      </w:r>
      <w:r>
        <w:rPr>
          <w:rFonts w:hint="eastAsia" w:ascii="仿宋_GB2312" w:hAnsi="仿宋_GB2312" w:eastAsia="仿宋_GB2312" w:cs="仿宋_GB2312"/>
          <w:sz w:val="32"/>
          <w:szCs w:val="32"/>
          <w:highlight w:val="none"/>
          <w:u w:val="none"/>
        </w:rPr>
        <w:t>造价咨询、招标代理等单位</w:t>
      </w:r>
      <w:r>
        <w:rPr>
          <w:rFonts w:hint="eastAsia" w:ascii="仿宋_GB2312" w:hAnsi="仿宋_GB2312" w:eastAsia="仿宋_GB2312" w:cs="仿宋_GB2312"/>
          <w:sz w:val="32"/>
          <w:szCs w:val="32"/>
          <w:highlight w:val="none"/>
          <w:u w:val="none"/>
          <w:lang w:val="en-US" w:eastAsia="zh-CN"/>
        </w:rPr>
        <w:t>应</w:t>
      </w:r>
      <w:r>
        <w:rPr>
          <w:rFonts w:hint="eastAsia" w:ascii="仿宋_GB2312" w:hAnsi="仿宋_GB2312" w:eastAsia="仿宋_GB2312" w:cs="仿宋_GB2312"/>
          <w:sz w:val="32"/>
          <w:szCs w:val="32"/>
          <w:highlight w:val="none"/>
          <w:u w:val="none"/>
        </w:rPr>
        <w:t>落实</w:t>
      </w:r>
      <w:r>
        <w:rPr>
          <w:rFonts w:hint="eastAsia" w:ascii="仿宋_GB2312" w:hAnsi="仿宋_GB2312" w:eastAsia="仿宋_GB2312" w:cs="仿宋_GB2312"/>
          <w:sz w:val="32"/>
          <w:szCs w:val="32"/>
          <w:highlight w:val="none"/>
          <w:u w:val="none"/>
          <w:lang w:val="en-US" w:eastAsia="zh-CN"/>
        </w:rPr>
        <w:t>其法定</w:t>
      </w:r>
      <w:r>
        <w:rPr>
          <w:rFonts w:hint="eastAsia" w:ascii="仿宋_GB2312" w:hAnsi="仿宋_GB2312" w:eastAsia="仿宋_GB2312" w:cs="仿宋_GB2312"/>
          <w:sz w:val="32"/>
          <w:szCs w:val="32"/>
          <w:highlight w:val="none"/>
          <w:u w:val="none"/>
        </w:rPr>
        <w:t>主体责任，认真履行合同约定的义务</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各</w:t>
      </w:r>
      <w:r>
        <w:rPr>
          <w:rFonts w:hint="eastAsia" w:ascii="仿宋_GB2312" w:hAnsi="仿宋_GB2312" w:eastAsia="仿宋_GB2312" w:cs="仿宋_GB2312"/>
          <w:sz w:val="32"/>
          <w:szCs w:val="32"/>
          <w:highlight w:val="none"/>
          <w:u w:val="none"/>
          <w:lang w:val="en-US" w:eastAsia="zh-CN"/>
        </w:rPr>
        <w:t>相关当事人</w:t>
      </w:r>
      <w:r>
        <w:rPr>
          <w:rFonts w:hint="eastAsia" w:ascii="仿宋_GB2312" w:hAnsi="仿宋_GB2312" w:eastAsia="仿宋_GB2312" w:cs="仿宋_GB2312"/>
          <w:sz w:val="32"/>
          <w:szCs w:val="32"/>
          <w:highlight w:val="none"/>
          <w:u w:val="none"/>
        </w:rPr>
        <w:t>依据职责对其签字盖章的</w:t>
      </w:r>
      <w:r>
        <w:rPr>
          <w:rFonts w:hint="eastAsia" w:ascii="仿宋_GB2312" w:hAnsi="仿宋_GB2312" w:eastAsia="仿宋_GB2312" w:cs="仿宋_GB2312"/>
          <w:sz w:val="32"/>
          <w:szCs w:val="32"/>
          <w:highlight w:val="none"/>
          <w:u w:val="none"/>
          <w:lang w:val="en-US" w:eastAsia="zh-CN"/>
        </w:rPr>
        <w:t>成果</w:t>
      </w:r>
      <w:r>
        <w:rPr>
          <w:rFonts w:hint="eastAsia" w:ascii="仿宋_GB2312" w:hAnsi="仿宋_GB2312" w:eastAsia="仿宋_GB2312" w:cs="仿宋_GB2312"/>
          <w:sz w:val="32"/>
          <w:szCs w:val="32"/>
          <w:highlight w:val="none"/>
          <w:u w:val="none"/>
        </w:rPr>
        <w:t>文件</w:t>
      </w:r>
      <w:r>
        <w:rPr>
          <w:rFonts w:hint="eastAsia" w:ascii="仿宋_GB2312" w:hAnsi="仿宋_GB2312" w:eastAsia="仿宋_GB2312" w:cs="仿宋_GB2312"/>
          <w:sz w:val="32"/>
          <w:szCs w:val="32"/>
          <w:highlight w:val="none"/>
          <w:u w:val="none"/>
          <w:lang w:val="en-US" w:eastAsia="zh-CN"/>
        </w:rPr>
        <w:t>或报告承担</w:t>
      </w:r>
      <w:r>
        <w:rPr>
          <w:rFonts w:hint="eastAsia" w:ascii="仿宋_GB2312" w:hAnsi="仿宋_GB2312" w:eastAsia="仿宋_GB2312" w:cs="仿宋_GB2312"/>
          <w:sz w:val="32"/>
          <w:szCs w:val="32"/>
          <w:highlight w:val="none"/>
          <w:u w:val="none"/>
        </w:rPr>
        <w:t>相应责任。</w:t>
      </w:r>
    </w:p>
    <w:bookmarkEnd w:id="0"/>
    <w:bookmarkEnd w:id="1"/>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bidi="ar"/>
        </w:rPr>
      </w:pPr>
      <w:r>
        <w:rPr>
          <w:rFonts w:hint="eastAsia" w:ascii="楷体_GB2312" w:hAnsi="楷体_GB2312" w:eastAsia="楷体_GB2312" w:cs="楷体_GB2312"/>
          <w:b/>
          <w:bCs/>
          <w:sz w:val="32"/>
          <w:szCs w:val="32"/>
          <w:highlight w:val="none"/>
          <w:u w:val="none"/>
          <w:lang w:val="en-US" w:eastAsia="zh-CN"/>
        </w:rPr>
        <w:t>（十三）积极探索引入全过程工程咨询实施管控。</w:t>
      </w:r>
      <w:r>
        <w:rPr>
          <w:rFonts w:hint="eastAsia" w:ascii="仿宋_GB2312" w:hAnsi="仿宋_GB2312" w:eastAsia="仿宋_GB2312" w:cs="仿宋_GB2312"/>
          <w:sz w:val="32"/>
          <w:szCs w:val="32"/>
          <w:highlight w:val="none"/>
          <w:u w:val="none"/>
          <w:lang w:bidi="ar"/>
        </w:rPr>
        <w:t>建设规模大、技术复杂</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val="en-US" w:eastAsia="zh-CN" w:bidi="ar"/>
        </w:rPr>
        <w:t>具有</w:t>
      </w:r>
      <w:r>
        <w:rPr>
          <w:rFonts w:hint="eastAsia" w:ascii="仿宋_GB2312" w:hAnsi="仿宋_GB2312" w:eastAsia="仿宋_GB2312" w:cs="仿宋_GB2312"/>
          <w:sz w:val="32"/>
          <w:szCs w:val="32"/>
          <w:highlight w:val="none"/>
          <w:u w:val="none"/>
          <w:lang w:val="en-US" w:eastAsia="zh-CN"/>
        </w:rPr>
        <w:t>投融资或运营属性、或政府和社会资本合作（PPP）项目采用工程总承包发包模式的</w:t>
      </w:r>
      <w:r>
        <w:rPr>
          <w:rFonts w:hint="eastAsia" w:ascii="仿宋_GB2312" w:hAnsi="仿宋_GB2312" w:eastAsia="仿宋_GB2312" w:cs="仿宋_GB2312"/>
          <w:sz w:val="32"/>
          <w:szCs w:val="32"/>
          <w:highlight w:val="none"/>
          <w:u w:val="none"/>
          <w:lang w:bidi="ar"/>
        </w:rPr>
        <w:t>，</w:t>
      </w:r>
      <w:r>
        <w:rPr>
          <w:rFonts w:hint="eastAsia" w:ascii="仿宋_GB2312" w:hAnsi="仿宋_GB2312" w:eastAsia="仿宋_GB2312" w:cs="仿宋_GB2312"/>
          <w:sz w:val="32"/>
          <w:szCs w:val="32"/>
          <w:highlight w:val="none"/>
          <w:u w:val="none"/>
          <w:lang w:val="en-US" w:eastAsia="zh-CN" w:bidi="ar"/>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lang w:bidi="ar"/>
        </w:rPr>
        <w:t>单位可</w:t>
      </w:r>
      <w:r>
        <w:rPr>
          <w:rFonts w:hint="eastAsia" w:ascii="仿宋_GB2312" w:hAnsi="仿宋_GB2312" w:eastAsia="仿宋_GB2312" w:cs="仿宋_GB2312"/>
          <w:sz w:val="32"/>
          <w:szCs w:val="32"/>
          <w:highlight w:val="none"/>
          <w:u w:val="none"/>
          <w:lang w:val="en-US" w:eastAsia="zh-CN" w:bidi="ar"/>
        </w:rPr>
        <w:t>依法选择</w:t>
      </w:r>
      <w:r>
        <w:rPr>
          <w:rFonts w:hint="eastAsia" w:ascii="仿宋_GB2312" w:hAnsi="仿宋_GB2312" w:eastAsia="仿宋_GB2312" w:cs="仿宋_GB2312"/>
          <w:sz w:val="32"/>
          <w:szCs w:val="32"/>
          <w:highlight w:val="none"/>
          <w:u w:val="none"/>
          <w:lang w:bidi="ar"/>
        </w:rPr>
        <w:t>专业化的全过程工程咨询单位，从项目</w:t>
      </w:r>
      <w:r>
        <w:rPr>
          <w:rFonts w:hint="eastAsia" w:ascii="仿宋_GB2312" w:hAnsi="仿宋_GB2312" w:eastAsia="仿宋_GB2312" w:cs="仿宋_GB2312"/>
          <w:sz w:val="32"/>
          <w:szCs w:val="32"/>
          <w:highlight w:val="none"/>
          <w:u w:val="none"/>
          <w:lang w:val="en-US" w:eastAsia="zh-CN" w:bidi="ar"/>
        </w:rPr>
        <w:t>实施方案</w:t>
      </w:r>
      <w:r>
        <w:rPr>
          <w:rFonts w:hint="eastAsia" w:ascii="仿宋_GB2312" w:hAnsi="仿宋_GB2312" w:eastAsia="仿宋_GB2312" w:cs="仿宋_GB2312"/>
          <w:sz w:val="32"/>
          <w:szCs w:val="32"/>
          <w:highlight w:val="none"/>
          <w:u w:val="none"/>
          <w:lang w:bidi="ar"/>
        </w:rPr>
        <w:t>的编制</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bidi="ar"/>
        </w:rPr>
        <w:t>竣工</w:t>
      </w:r>
      <w:r>
        <w:rPr>
          <w:rFonts w:hint="eastAsia" w:ascii="仿宋_GB2312" w:hAnsi="仿宋_GB2312" w:eastAsia="仿宋_GB2312" w:cs="仿宋_GB2312"/>
          <w:sz w:val="32"/>
          <w:szCs w:val="32"/>
          <w:highlight w:val="none"/>
          <w:u w:val="none"/>
          <w:lang w:val="en-US" w:eastAsia="zh-CN" w:bidi="ar"/>
        </w:rPr>
        <w:t>结（</w:t>
      </w:r>
      <w:r>
        <w:rPr>
          <w:rFonts w:hint="eastAsia" w:ascii="仿宋_GB2312" w:hAnsi="仿宋_GB2312" w:eastAsia="仿宋_GB2312" w:cs="仿宋_GB2312"/>
          <w:sz w:val="32"/>
          <w:szCs w:val="32"/>
          <w:highlight w:val="none"/>
          <w:u w:val="none"/>
          <w:lang w:bidi="ar"/>
        </w:rPr>
        <w:t>决</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bidi="ar"/>
        </w:rPr>
        <w:t>算</w:t>
      </w:r>
      <w:r>
        <w:rPr>
          <w:rFonts w:hint="eastAsia" w:ascii="仿宋_GB2312" w:hAnsi="仿宋_GB2312" w:eastAsia="仿宋_GB2312" w:cs="仿宋_GB2312"/>
          <w:sz w:val="32"/>
          <w:szCs w:val="32"/>
          <w:highlight w:val="none"/>
          <w:u w:val="none"/>
          <w:lang w:val="en-US" w:eastAsia="zh-CN" w:bidi="ar"/>
        </w:rPr>
        <w:t>至运营期咨询，</w:t>
      </w:r>
      <w:r>
        <w:rPr>
          <w:rFonts w:hint="eastAsia" w:ascii="仿宋_GB2312" w:hAnsi="仿宋_GB2312" w:eastAsia="仿宋_GB2312" w:cs="仿宋_GB2312"/>
          <w:sz w:val="32"/>
          <w:szCs w:val="32"/>
          <w:highlight w:val="none"/>
          <w:u w:val="none"/>
          <w:lang w:bidi="ar"/>
        </w:rPr>
        <w:t>提供</w:t>
      </w:r>
      <w:r>
        <w:rPr>
          <w:rFonts w:hint="eastAsia" w:ascii="仿宋_GB2312" w:hAnsi="仿宋_GB2312" w:eastAsia="仿宋_GB2312" w:cs="仿宋_GB2312"/>
          <w:sz w:val="32"/>
          <w:szCs w:val="32"/>
          <w:highlight w:val="none"/>
          <w:u w:val="none"/>
          <w:lang w:val="en-US" w:eastAsia="zh-CN" w:bidi="ar"/>
        </w:rPr>
        <w:t>全生命周期的</w:t>
      </w:r>
      <w:r>
        <w:rPr>
          <w:rFonts w:hint="eastAsia" w:ascii="仿宋_GB2312" w:hAnsi="仿宋_GB2312" w:eastAsia="仿宋_GB2312" w:cs="仿宋_GB2312"/>
          <w:sz w:val="32"/>
          <w:szCs w:val="32"/>
          <w:highlight w:val="none"/>
          <w:u w:val="none"/>
          <w:lang w:bidi="ar"/>
        </w:rPr>
        <w:t>全过程</w:t>
      </w:r>
      <w:r>
        <w:rPr>
          <w:rFonts w:hint="eastAsia" w:ascii="仿宋_GB2312" w:hAnsi="仿宋_GB2312" w:eastAsia="仿宋_GB2312" w:cs="仿宋_GB2312"/>
          <w:sz w:val="32"/>
          <w:szCs w:val="32"/>
          <w:highlight w:val="none"/>
          <w:u w:val="none"/>
          <w:lang w:val="en-US" w:eastAsia="zh-CN" w:bidi="ar"/>
        </w:rPr>
        <w:t>工程</w:t>
      </w:r>
      <w:r>
        <w:rPr>
          <w:rFonts w:hint="eastAsia" w:ascii="仿宋_GB2312" w:hAnsi="仿宋_GB2312" w:eastAsia="仿宋_GB2312" w:cs="仿宋_GB2312"/>
          <w:sz w:val="32"/>
          <w:szCs w:val="32"/>
          <w:highlight w:val="none"/>
          <w:u w:val="none"/>
          <w:lang w:bidi="ar"/>
        </w:rPr>
        <w:t>咨询服务，通过对项目全生命周期中出现的各种问题及时纠偏，以达到</w:t>
      </w:r>
      <w:r>
        <w:rPr>
          <w:rFonts w:hint="eastAsia" w:ascii="仿宋_GB2312" w:hAnsi="仿宋_GB2312" w:eastAsia="仿宋_GB2312" w:cs="仿宋_GB2312"/>
          <w:sz w:val="32"/>
          <w:szCs w:val="32"/>
          <w:highlight w:val="none"/>
          <w:u w:val="none"/>
          <w:lang w:val="en-US" w:eastAsia="zh-CN" w:bidi="ar"/>
        </w:rPr>
        <w:t>科学决策、</w:t>
      </w:r>
      <w:r>
        <w:rPr>
          <w:rFonts w:hint="eastAsia" w:ascii="仿宋_GB2312" w:hAnsi="仿宋_GB2312" w:eastAsia="仿宋_GB2312" w:cs="仿宋_GB2312"/>
          <w:sz w:val="32"/>
          <w:szCs w:val="32"/>
          <w:highlight w:val="none"/>
          <w:u w:val="none"/>
          <w:lang w:bidi="ar"/>
        </w:rPr>
        <w:t>节约投资、缩短工期、</w:t>
      </w:r>
      <w:r>
        <w:rPr>
          <w:rFonts w:hint="eastAsia" w:ascii="仿宋_GB2312" w:hAnsi="仿宋_GB2312" w:eastAsia="仿宋_GB2312" w:cs="仿宋_GB2312"/>
          <w:sz w:val="32"/>
          <w:szCs w:val="32"/>
          <w:highlight w:val="none"/>
          <w:u w:val="none"/>
          <w:lang w:val="en-US" w:eastAsia="zh-CN" w:bidi="ar"/>
        </w:rPr>
        <w:t>保障质量、</w:t>
      </w:r>
      <w:r>
        <w:rPr>
          <w:rFonts w:hint="eastAsia" w:ascii="仿宋_GB2312" w:hAnsi="仿宋_GB2312" w:eastAsia="仿宋_GB2312" w:cs="仿宋_GB2312"/>
          <w:sz w:val="32"/>
          <w:szCs w:val="32"/>
          <w:highlight w:val="none"/>
          <w:u w:val="none"/>
          <w:lang w:bidi="ar"/>
        </w:rPr>
        <w:t>规避风险、提高建设项目管理水平</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val="en-US" w:eastAsia="zh-CN" w:bidi="ar"/>
        </w:rPr>
        <w:t>降低全生命周期成本</w:t>
      </w:r>
      <w:r>
        <w:rPr>
          <w:rFonts w:hint="eastAsia" w:ascii="仿宋_GB2312" w:hAnsi="仿宋_GB2312" w:eastAsia="仿宋_GB2312" w:cs="仿宋_GB2312"/>
          <w:sz w:val="32"/>
          <w:szCs w:val="32"/>
          <w:highlight w:val="none"/>
          <w:u w:val="none"/>
          <w:lang w:bidi="ar"/>
        </w:rPr>
        <w:t>的</w:t>
      </w:r>
      <w:r>
        <w:rPr>
          <w:rFonts w:hint="eastAsia" w:ascii="仿宋_GB2312" w:hAnsi="仿宋_GB2312" w:eastAsia="仿宋_GB2312" w:cs="仿宋_GB2312"/>
          <w:sz w:val="32"/>
          <w:szCs w:val="32"/>
          <w:highlight w:val="none"/>
          <w:u w:val="none"/>
          <w:lang w:val="en-US" w:eastAsia="zh-CN" w:bidi="ar"/>
        </w:rPr>
        <w:t>目标</w:t>
      </w:r>
      <w:r>
        <w:rPr>
          <w:rFonts w:hint="eastAsia" w:ascii="仿宋_GB2312" w:hAnsi="仿宋_GB2312" w:eastAsia="仿宋_GB2312" w:cs="仿宋_GB2312"/>
          <w:sz w:val="32"/>
          <w:szCs w:val="32"/>
          <w:highlight w:val="none"/>
          <w:u w:val="none"/>
          <w:lang w:bidi="ar"/>
        </w:rPr>
        <w:t>。</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四、强化项目监管</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lang w:bidi="ar"/>
        </w:rPr>
      </w:pPr>
      <w:r>
        <w:rPr>
          <w:rFonts w:hint="eastAsia" w:ascii="楷体_GB2312" w:hAnsi="楷体_GB2312" w:eastAsia="楷体_GB2312" w:cs="楷体_GB2312"/>
          <w:b/>
          <w:bCs/>
          <w:sz w:val="32"/>
          <w:szCs w:val="32"/>
          <w:highlight w:val="none"/>
          <w:u w:val="none"/>
          <w:lang w:val="en-US" w:eastAsia="zh-CN"/>
        </w:rPr>
        <w:t>（十四）强化工程总承包项目部门联动。</w:t>
      </w:r>
      <w:r>
        <w:rPr>
          <w:rFonts w:hint="eastAsia" w:ascii="仿宋_GB2312" w:hAnsi="仿宋_GB2312" w:eastAsia="仿宋_GB2312" w:cs="仿宋_GB2312"/>
          <w:sz w:val="32"/>
          <w:szCs w:val="32"/>
          <w:highlight w:val="none"/>
          <w:u w:val="none"/>
          <w:lang w:bidi="ar"/>
        </w:rPr>
        <w:t>发</w:t>
      </w:r>
      <w:r>
        <w:rPr>
          <w:rFonts w:hint="eastAsia" w:ascii="仿宋_GB2312" w:hAnsi="仿宋_GB2312" w:eastAsia="仿宋_GB2312" w:cs="仿宋_GB2312"/>
          <w:sz w:val="32"/>
          <w:szCs w:val="32"/>
          <w:highlight w:val="none"/>
          <w:u w:val="none"/>
          <w:lang w:val="en-US" w:eastAsia="zh-CN" w:bidi="ar"/>
        </w:rPr>
        <w:t>改</w:t>
      </w:r>
      <w:r>
        <w:rPr>
          <w:rFonts w:hint="eastAsia" w:ascii="仿宋_GB2312" w:hAnsi="仿宋_GB2312" w:eastAsia="仿宋_GB2312" w:cs="仿宋_GB2312"/>
          <w:sz w:val="32"/>
          <w:szCs w:val="32"/>
          <w:highlight w:val="none"/>
          <w:u w:val="none"/>
          <w:lang w:bidi="ar"/>
        </w:rPr>
        <w:t>、财政、</w:t>
      </w:r>
      <w:r>
        <w:rPr>
          <w:rFonts w:hint="eastAsia" w:ascii="仿宋_GB2312" w:hAnsi="仿宋_GB2312" w:eastAsia="仿宋_GB2312" w:cs="仿宋_GB2312"/>
          <w:i w:val="0"/>
          <w:iCs w:val="0"/>
          <w:caps w:val="0"/>
          <w:spacing w:val="0"/>
          <w:kern w:val="2"/>
          <w:sz w:val="32"/>
          <w:szCs w:val="32"/>
          <w:highlight w:val="none"/>
          <w:u w:val="none"/>
          <w:shd w:val="clear" w:color="auto" w:fill="auto"/>
          <w:lang w:val="en-US" w:eastAsia="zh-CN" w:bidi="ar"/>
        </w:rPr>
        <w:t>资规、</w:t>
      </w:r>
      <w:r>
        <w:rPr>
          <w:rFonts w:hint="eastAsia" w:ascii="仿宋_GB2312" w:hAnsi="仿宋_GB2312" w:eastAsia="仿宋_GB2312" w:cs="仿宋_GB2312"/>
          <w:sz w:val="32"/>
          <w:szCs w:val="32"/>
          <w:highlight w:val="none"/>
          <w:u w:val="none"/>
          <w:lang w:val="en-US" w:eastAsia="zh-CN" w:bidi="ar"/>
        </w:rPr>
        <w:t>住建</w:t>
      </w:r>
      <w:r>
        <w:rPr>
          <w:rFonts w:hint="eastAsia" w:ascii="仿宋_GB2312" w:hAnsi="仿宋_GB2312" w:eastAsia="仿宋_GB2312" w:cs="仿宋_GB2312"/>
          <w:sz w:val="32"/>
          <w:szCs w:val="32"/>
          <w:highlight w:val="none"/>
          <w:u w:val="none"/>
          <w:lang w:bidi="ar"/>
        </w:rPr>
        <w:t>、行政审批等部门</w:t>
      </w:r>
      <w:r>
        <w:rPr>
          <w:rFonts w:hint="eastAsia" w:ascii="仿宋_GB2312" w:hAnsi="仿宋_GB2312" w:eastAsia="仿宋_GB2312" w:cs="仿宋_GB2312"/>
          <w:sz w:val="32"/>
          <w:szCs w:val="32"/>
          <w:highlight w:val="none"/>
          <w:u w:val="none"/>
          <w:lang w:val="en-US" w:eastAsia="zh-CN" w:bidi="ar"/>
        </w:rPr>
        <w:t>需</w:t>
      </w:r>
      <w:r>
        <w:rPr>
          <w:rFonts w:hint="eastAsia" w:ascii="仿宋_GB2312" w:hAnsi="仿宋_GB2312" w:eastAsia="仿宋_GB2312" w:cs="仿宋_GB2312"/>
          <w:sz w:val="32"/>
          <w:szCs w:val="32"/>
          <w:highlight w:val="none"/>
          <w:u w:val="none"/>
          <w:lang w:bidi="ar"/>
        </w:rPr>
        <w:t>加强联动，</w:t>
      </w:r>
      <w:r>
        <w:rPr>
          <w:rFonts w:hint="eastAsia" w:ascii="仿宋_GB2312" w:hAnsi="仿宋_GB2312" w:eastAsia="仿宋_GB2312" w:cs="仿宋_GB2312"/>
          <w:sz w:val="32"/>
          <w:szCs w:val="32"/>
          <w:highlight w:val="none"/>
          <w:u w:val="none"/>
          <w:lang w:val="en-US" w:eastAsia="zh-CN" w:bidi="ar"/>
        </w:rPr>
        <w:t>按各自职责分工</w:t>
      </w:r>
      <w:r>
        <w:rPr>
          <w:rFonts w:hint="eastAsia" w:ascii="仿宋_GB2312" w:hAnsi="仿宋_GB2312" w:eastAsia="仿宋_GB2312" w:cs="仿宋_GB2312"/>
          <w:sz w:val="32"/>
          <w:szCs w:val="32"/>
          <w:highlight w:val="none"/>
          <w:u w:val="none"/>
          <w:lang w:bidi="ar"/>
        </w:rPr>
        <w:t>强化</w:t>
      </w:r>
      <w:r>
        <w:rPr>
          <w:rFonts w:hint="eastAsia" w:ascii="仿宋_GB2312" w:hAnsi="仿宋_GB2312" w:eastAsia="仿宋_GB2312" w:cs="仿宋_GB2312"/>
          <w:sz w:val="32"/>
          <w:szCs w:val="32"/>
          <w:highlight w:val="none"/>
          <w:u w:val="none"/>
          <w:lang w:val="en-US" w:eastAsia="zh-CN" w:bidi="ar"/>
        </w:rPr>
        <w:t>立项、招标、施工和运营阶段的管理。</w:t>
      </w:r>
      <w:r>
        <w:rPr>
          <w:rFonts w:hint="eastAsia" w:ascii="仿宋_GB2312" w:hAnsi="仿宋_GB2312" w:eastAsia="仿宋_GB2312" w:cs="仿宋_GB2312"/>
          <w:sz w:val="32"/>
          <w:szCs w:val="32"/>
          <w:highlight w:val="none"/>
          <w:u w:val="none"/>
          <w:lang w:eastAsia="zh-CN" w:bidi="ar"/>
        </w:rPr>
        <w:t>将</w:t>
      </w:r>
      <w:r>
        <w:rPr>
          <w:rFonts w:hint="eastAsia" w:ascii="仿宋_GB2312" w:hAnsi="仿宋_GB2312" w:eastAsia="仿宋_GB2312" w:cs="仿宋_GB2312"/>
          <w:sz w:val="32"/>
          <w:szCs w:val="32"/>
          <w:highlight w:val="none"/>
          <w:u w:val="none"/>
          <w:lang w:val="en-US" w:eastAsia="zh-CN" w:bidi="ar"/>
        </w:rPr>
        <w:t>重大、重要或对社会影响较大的</w:t>
      </w:r>
      <w:r>
        <w:rPr>
          <w:rFonts w:hint="eastAsia" w:ascii="仿宋_GB2312" w:hAnsi="仿宋_GB2312" w:eastAsia="仿宋_GB2312" w:cs="仿宋_GB2312"/>
          <w:sz w:val="32"/>
          <w:szCs w:val="32"/>
          <w:highlight w:val="none"/>
          <w:u w:val="none"/>
          <w:lang w:bidi="ar"/>
        </w:rPr>
        <w:t>工程总承包项目列入重点监管范围</w:t>
      </w:r>
      <w:r>
        <w:rPr>
          <w:rFonts w:hint="eastAsia" w:ascii="仿宋_GB2312" w:hAnsi="仿宋_GB2312" w:eastAsia="仿宋_GB2312" w:cs="仿宋_GB2312"/>
          <w:sz w:val="32"/>
          <w:szCs w:val="32"/>
          <w:highlight w:val="none"/>
          <w:u w:val="none"/>
          <w:lang w:eastAsia="zh-CN" w:bidi="ar"/>
        </w:rPr>
        <w:t>，</w:t>
      </w:r>
      <w:r>
        <w:rPr>
          <w:rFonts w:hint="eastAsia" w:ascii="仿宋_GB2312" w:hAnsi="仿宋_GB2312" w:eastAsia="仿宋_GB2312" w:cs="仿宋_GB2312"/>
          <w:sz w:val="32"/>
          <w:szCs w:val="32"/>
          <w:highlight w:val="none"/>
          <w:u w:val="none"/>
          <w:lang w:bidi="ar"/>
        </w:rPr>
        <w:t>并开展“双随机”和专项检查，加强项目实施情况考评，强化工程质量安全、造价投资、进度节点</w:t>
      </w:r>
      <w:r>
        <w:rPr>
          <w:rFonts w:hint="eastAsia" w:ascii="仿宋_GB2312" w:hAnsi="仿宋_GB2312" w:eastAsia="仿宋_GB2312" w:cs="仿宋_GB2312"/>
          <w:sz w:val="32"/>
          <w:szCs w:val="32"/>
          <w:highlight w:val="none"/>
          <w:u w:val="none"/>
          <w:lang w:val="en-US" w:eastAsia="zh-CN" w:bidi="ar"/>
        </w:rPr>
        <w:t>等方面的履约监督管理，加强全过程</w:t>
      </w:r>
      <w:r>
        <w:rPr>
          <w:rFonts w:hint="eastAsia" w:ascii="仿宋_GB2312" w:hAnsi="仿宋_GB2312" w:eastAsia="仿宋_GB2312" w:cs="仿宋_GB2312"/>
          <w:sz w:val="32"/>
          <w:szCs w:val="32"/>
          <w:highlight w:val="none"/>
          <w:u w:val="none"/>
          <w:lang w:bidi="ar"/>
        </w:rPr>
        <w:t>风险</w:t>
      </w:r>
      <w:r>
        <w:rPr>
          <w:rFonts w:hint="eastAsia" w:ascii="仿宋_GB2312" w:hAnsi="仿宋_GB2312" w:eastAsia="仿宋_GB2312" w:cs="仿宋_GB2312"/>
          <w:sz w:val="32"/>
          <w:szCs w:val="32"/>
          <w:highlight w:val="none"/>
          <w:u w:val="none"/>
          <w:lang w:val="en-US" w:eastAsia="zh-CN" w:bidi="ar"/>
        </w:rPr>
        <w:t>管控</w:t>
      </w:r>
      <w:r>
        <w:rPr>
          <w:rFonts w:hint="eastAsia" w:ascii="仿宋_GB2312" w:hAnsi="仿宋_GB2312" w:eastAsia="仿宋_GB2312" w:cs="仿宋_GB2312"/>
          <w:sz w:val="32"/>
          <w:szCs w:val="32"/>
          <w:highlight w:val="none"/>
          <w:u w:val="none"/>
          <w:lang w:bidi="ar"/>
        </w:rPr>
        <w:t>，切实推进“双随机”检查管理与信用考核</w:t>
      </w:r>
      <w:r>
        <w:rPr>
          <w:rFonts w:hint="eastAsia" w:ascii="仿宋_GB2312" w:hAnsi="仿宋_GB2312" w:eastAsia="仿宋_GB2312" w:cs="仿宋_GB2312"/>
          <w:sz w:val="32"/>
          <w:szCs w:val="32"/>
          <w:highlight w:val="none"/>
          <w:u w:val="none"/>
          <w:lang w:val="en-US" w:eastAsia="zh-CN" w:bidi="ar"/>
        </w:rPr>
        <w:t>结果</w:t>
      </w:r>
      <w:r>
        <w:rPr>
          <w:rFonts w:hint="eastAsia" w:ascii="仿宋_GB2312" w:hAnsi="仿宋_GB2312" w:eastAsia="仿宋_GB2312" w:cs="仿宋_GB2312"/>
          <w:sz w:val="32"/>
          <w:szCs w:val="32"/>
          <w:highlight w:val="none"/>
          <w:u w:val="none"/>
          <w:lang w:bidi="ar"/>
        </w:rPr>
        <w:t>挂钩，促进工程总承包项目提质增效。</w:t>
      </w:r>
    </w:p>
    <w:p>
      <w:pPr>
        <w:keepNext w:val="0"/>
        <w:keepLines w:val="0"/>
        <w:pageBreakBefore w:val="0"/>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highlight w:val="none"/>
          <w:u w:val="none"/>
          <w:lang w:val="en-US" w:eastAsia="zh-CN"/>
        </w:rPr>
        <w:t>（十五）试行工程总承包项目后评估。</w:t>
      </w:r>
      <w:r>
        <w:rPr>
          <w:rFonts w:hint="eastAsia" w:ascii="仿宋_GB2312" w:hAnsi="仿宋_GB2312" w:eastAsia="仿宋_GB2312" w:cs="仿宋_GB2312"/>
          <w:sz w:val="32"/>
          <w:szCs w:val="32"/>
          <w:highlight w:val="none"/>
          <w:u w:val="none"/>
          <w:lang w:val="en-US" w:eastAsia="zh-CN"/>
        </w:rPr>
        <w:t>工程总承包项目</w:t>
      </w:r>
      <w:r>
        <w:rPr>
          <w:rFonts w:hint="eastAsia" w:ascii="仿宋_GB2312" w:hAnsi="仿宋_GB2312" w:eastAsia="仿宋_GB2312" w:cs="仿宋_GB2312"/>
          <w:sz w:val="32"/>
          <w:szCs w:val="32"/>
          <w:highlight w:val="none"/>
          <w:u w:val="none"/>
        </w:rPr>
        <w:t>竣工验收合格后</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代建）</w:t>
      </w:r>
      <w:r>
        <w:rPr>
          <w:rFonts w:hint="eastAsia" w:ascii="仿宋_GB2312" w:hAnsi="仿宋_GB2312" w:eastAsia="仿宋_GB2312" w:cs="仿宋_GB2312"/>
          <w:sz w:val="32"/>
          <w:szCs w:val="32"/>
          <w:highlight w:val="none"/>
          <w:u w:val="none"/>
        </w:rPr>
        <w:t>单位应当对项目实施成效以及工程总承包单位履约情况</w:t>
      </w:r>
      <w:r>
        <w:rPr>
          <w:rFonts w:hint="eastAsia" w:ascii="仿宋_GB2312" w:hAnsi="仿宋_GB2312" w:eastAsia="仿宋_GB2312" w:cs="仿宋_GB2312"/>
          <w:sz w:val="32"/>
          <w:szCs w:val="32"/>
          <w:highlight w:val="none"/>
          <w:u w:val="none"/>
          <w:lang w:val="en-US" w:eastAsia="zh-CN"/>
        </w:rPr>
        <w:t>等</w:t>
      </w:r>
      <w:r>
        <w:rPr>
          <w:rFonts w:hint="eastAsia" w:ascii="仿宋_GB2312" w:hAnsi="仿宋_GB2312" w:eastAsia="仿宋_GB2312" w:cs="仿宋_GB2312"/>
          <w:sz w:val="32"/>
          <w:szCs w:val="32"/>
          <w:highlight w:val="none"/>
          <w:u w:val="none"/>
        </w:rPr>
        <w:t>进行评估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建设行业</w:t>
      </w:r>
      <w:r>
        <w:rPr>
          <w:rFonts w:hint="eastAsia" w:ascii="仿宋_GB2312" w:hAnsi="仿宋_GB2312" w:eastAsia="仿宋_GB2312" w:cs="仿宋_GB2312"/>
          <w:sz w:val="32"/>
          <w:szCs w:val="32"/>
          <w:highlight w:val="none"/>
          <w:u w:val="none"/>
        </w:rPr>
        <w:t>主管部门</w:t>
      </w:r>
      <w:r>
        <w:rPr>
          <w:rFonts w:hint="eastAsia" w:ascii="仿宋_GB2312" w:hAnsi="仿宋_GB2312" w:eastAsia="仿宋_GB2312" w:cs="仿宋_GB2312"/>
          <w:sz w:val="32"/>
          <w:szCs w:val="32"/>
          <w:highlight w:val="none"/>
          <w:u w:val="none"/>
          <w:lang w:val="en-US" w:eastAsia="zh-CN"/>
        </w:rPr>
        <w:t>可抽取一定比例</w:t>
      </w:r>
      <w:r>
        <w:rPr>
          <w:rFonts w:hint="eastAsia" w:ascii="仿宋_GB2312" w:hAnsi="仿宋_GB2312" w:eastAsia="仿宋_GB2312" w:cs="仿宋_GB2312"/>
          <w:sz w:val="32"/>
          <w:szCs w:val="32"/>
          <w:highlight w:val="none"/>
          <w:lang w:bidi="ar"/>
        </w:rPr>
        <w:t>重大、重要或</w:t>
      </w:r>
      <w:r>
        <w:rPr>
          <w:rFonts w:hint="eastAsia" w:ascii="仿宋_GB2312" w:hAnsi="仿宋_GB2312" w:eastAsia="仿宋_GB2312" w:cs="仿宋_GB2312"/>
          <w:sz w:val="32"/>
          <w:szCs w:val="32"/>
          <w:highlight w:val="none"/>
          <w:u w:val="none"/>
        </w:rPr>
        <w:t>社会影响较大的工程总承包项目，委托第三方专业咨询机构进行后评估。</w:t>
      </w:r>
    </w:p>
    <w:p>
      <w:pPr>
        <w:keepNext w:val="0"/>
        <w:keepLines w:val="0"/>
        <w:pageBreakBefore w:val="0"/>
        <w:widowControl/>
        <w:numPr>
          <w:ilvl w:val="0"/>
          <w:numId w:val="0"/>
        </w:numPr>
        <w:kinsoku/>
        <w:overflowPunct/>
        <w:topLinePunct w:val="0"/>
        <w:autoSpaceDE/>
        <w:autoSpaceDN/>
        <w:bidi w:val="0"/>
        <w:adjustRightInd/>
        <w:snapToGrid/>
        <w:spacing w:line="566" w:lineRule="exact"/>
        <w:ind w:firstLine="632" w:firstLineChars="200"/>
        <w:rPr>
          <w:rFonts w:hint="eastAsia" w:ascii="仿宋_GB2312" w:hAnsi="仿宋_GB2312" w:eastAsia="仿宋_GB2312" w:cs="仿宋_GB2312"/>
          <w:b w:val="0"/>
          <w:bCs w:val="0"/>
          <w:sz w:val="32"/>
          <w:szCs w:val="32"/>
          <w:highlight w:val="none"/>
          <w:u w:val="none"/>
          <w:lang w:val="en-US" w:eastAsia="zh-CN" w:bidi="ar"/>
        </w:rPr>
      </w:pPr>
      <w:r>
        <w:rPr>
          <w:rFonts w:hint="eastAsia" w:ascii="仿宋_GB2312" w:hAnsi="仿宋_GB2312" w:eastAsia="仿宋_GB2312" w:cs="仿宋_GB2312"/>
          <w:b w:val="0"/>
          <w:bCs w:val="0"/>
          <w:sz w:val="32"/>
          <w:szCs w:val="32"/>
          <w:highlight w:val="none"/>
          <w:u w:val="none"/>
          <w:lang w:val="en-US" w:eastAsia="zh-CN" w:bidi="ar"/>
        </w:rPr>
        <w:t>本通知自2025年 月  日施行，</w:t>
      </w:r>
      <w:r>
        <w:rPr>
          <w:rFonts w:hint="eastAsia" w:ascii="仿宋_GB2312" w:hAnsi="Calibri" w:eastAsia="仿宋_GB2312" w:cs="Times New Roman"/>
          <w:kern w:val="2"/>
          <w:sz w:val="32"/>
          <w:szCs w:val="32"/>
          <w:lang w:val="en-US" w:eastAsia="zh-CN" w:bidi="ar-SA"/>
        </w:rPr>
        <w:t>即2025年月  日及以后发布招标公告的招标项目，应当按照本通知规定执行。</w:t>
      </w:r>
    </w:p>
    <w:p>
      <w:pPr>
        <w:keepNext w:val="0"/>
        <w:keepLines w:val="0"/>
        <w:pageBreakBefore w:val="0"/>
        <w:kinsoku/>
        <w:overflowPunct/>
        <w:topLinePunct w:val="0"/>
        <w:autoSpaceDE/>
        <w:autoSpaceDN/>
        <w:bidi w:val="0"/>
        <w:adjustRightInd/>
        <w:snapToGrid/>
        <w:spacing w:line="566" w:lineRule="exact"/>
        <w:ind w:firstLine="632" w:firstLineChars="200"/>
        <w:jc w:val="right"/>
        <w:rPr>
          <w:rFonts w:hint="eastAsia" w:ascii="仿宋_GB2312" w:hAnsi="仿宋_GB2312" w:eastAsia="仿宋_GB2312" w:cs="仿宋_GB2312"/>
          <w:sz w:val="32"/>
          <w:szCs w:val="32"/>
          <w:highlight w:val="none"/>
          <w:lang w:val="en-US" w:eastAsia="zh-CN"/>
        </w:rPr>
      </w:pPr>
    </w:p>
    <w:p>
      <w:pPr>
        <w:keepNext w:val="0"/>
        <w:keepLines w:val="0"/>
        <w:pageBreakBefore w:val="0"/>
        <w:kinsoku/>
        <w:overflowPunct/>
        <w:topLinePunct w:val="0"/>
        <w:autoSpaceDE/>
        <w:autoSpaceDN/>
        <w:bidi w:val="0"/>
        <w:adjustRightInd/>
        <w:snapToGrid/>
        <w:spacing w:line="566" w:lineRule="exact"/>
        <w:ind w:firstLine="632" w:firstLineChars="200"/>
        <w:jc w:val="right"/>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16" w:firstLineChars="100"/>
        <w:textAlignment w:val="auto"/>
        <w:rPr>
          <w:rFonts w:hint="eastAsia" w:ascii="仿宋_GB2312" w:eastAsia="仿宋_GB2312"/>
          <w:color w:val="000000"/>
          <w:sz w:val="28"/>
          <w:szCs w:val="28"/>
        </w:rPr>
      </w:pPr>
      <w:r>
        <w:rPr>
          <w:rFonts w:hint="eastAsia" w:ascii="仿宋_GB2312" w:hAnsi="仿宋_GB2312" w:eastAsia="仿宋_GB2312" w:cs="仿宋_GB2312"/>
          <w:sz w:val="32"/>
          <w:szCs w:val="32"/>
          <w:highlight w:val="none"/>
          <w:lang w:val="en-US" w:eastAsia="zh-CN"/>
        </w:rPr>
        <w:t xml:space="preserve"> </w:t>
      </w:r>
    </w:p>
    <w:sectPr>
      <w:footerReference r:id="rId3" w:type="default"/>
      <w:pgSz w:w="11906" w:h="16838"/>
      <w:pgMar w:top="2098" w:right="1474" w:bottom="1985" w:left="1588" w:header="454" w:footer="340" w:gutter="0"/>
      <w:pgNumType w:fmt="numberInDash"/>
      <w:cols w:space="720" w:num="1"/>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375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13</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74200"/>
    <w:rsid w:val="00D83963"/>
    <w:rsid w:val="00D8675D"/>
    <w:rsid w:val="00DA24DD"/>
    <w:rsid w:val="00DB5E1B"/>
    <w:rsid w:val="00DF597B"/>
    <w:rsid w:val="00E33895"/>
    <w:rsid w:val="00E6161E"/>
    <w:rsid w:val="00E75AF8"/>
    <w:rsid w:val="00EA24BE"/>
    <w:rsid w:val="00EB3705"/>
    <w:rsid w:val="00EB6361"/>
    <w:rsid w:val="00ED0503"/>
    <w:rsid w:val="00ED0AB6"/>
    <w:rsid w:val="00F01361"/>
    <w:rsid w:val="00F12747"/>
    <w:rsid w:val="00F65AEE"/>
    <w:rsid w:val="00F81541"/>
    <w:rsid w:val="00F84323"/>
    <w:rsid w:val="0179563C"/>
    <w:rsid w:val="16F78278"/>
    <w:rsid w:val="1FBD08FD"/>
    <w:rsid w:val="2F97F73C"/>
    <w:rsid w:val="2FBD70D2"/>
    <w:rsid w:val="3775414B"/>
    <w:rsid w:val="37CF8C5A"/>
    <w:rsid w:val="3BC6530F"/>
    <w:rsid w:val="3CBD11D7"/>
    <w:rsid w:val="3DF752F2"/>
    <w:rsid w:val="3E7F449D"/>
    <w:rsid w:val="3EEFC6AB"/>
    <w:rsid w:val="3EF5096F"/>
    <w:rsid w:val="3F796D46"/>
    <w:rsid w:val="3FED986F"/>
    <w:rsid w:val="48835F56"/>
    <w:rsid w:val="4970CEF6"/>
    <w:rsid w:val="4B6ED59D"/>
    <w:rsid w:val="4F79E90B"/>
    <w:rsid w:val="5AEC44A4"/>
    <w:rsid w:val="5EB76A42"/>
    <w:rsid w:val="5FE78648"/>
    <w:rsid w:val="63E2BA51"/>
    <w:rsid w:val="648CA807"/>
    <w:rsid w:val="66FBE09A"/>
    <w:rsid w:val="678EF106"/>
    <w:rsid w:val="67F79F8F"/>
    <w:rsid w:val="6AF68D8B"/>
    <w:rsid w:val="6BDF58C4"/>
    <w:rsid w:val="6DD70523"/>
    <w:rsid w:val="6DFF03B8"/>
    <w:rsid w:val="6ECB2C40"/>
    <w:rsid w:val="6F2F52BB"/>
    <w:rsid w:val="6F6E1FE4"/>
    <w:rsid w:val="6F6F92B9"/>
    <w:rsid w:val="6F7EC505"/>
    <w:rsid w:val="6F99494B"/>
    <w:rsid w:val="6FBE3430"/>
    <w:rsid w:val="6FE6BE7E"/>
    <w:rsid w:val="6FEF3C4D"/>
    <w:rsid w:val="6FFF5A33"/>
    <w:rsid w:val="6FFFE8D0"/>
    <w:rsid w:val="713408F8"/>
    <w:rsid w:val="7322F5FB"/>
    <w:rsid w:val="73FF49BD"/>
    <w:rsid w:val="75DED335"/>
    <w:rsid w:val="78FAF6BA"/>
    <w:rsid w:val="799C0A03"/>
    <w:rsid w:val="7BDFB40F"/>
    <w:rsid w:val="7BFFE998"/>
    <w:rsid w:val="7C07FEDD"/>
    <w:rsid w:val="7D7FAF58"/>
    <w:rsid w:val="7DDF60BC"/>
    <w:rsid w:val="7E7D9F52"/>
    <w:rsid w:val="7E9F577F"/>
    <w:rsid w:val="7EEFE03A"/>
    <w:rsid w:val="7EF7DE5C"/>
    <w:rsid w:val="7EFFAAE3"/>
    <w:rsid w:val="7EFFB131"/>
    <w:rsid w:val="7F7F4AE2"/>
    <w:rsid w:val="7F7F928B"/>
    <w:rsid w:val="7F87A848"/>
    <w:rsid w:val="7F888947"/>
    <w:rsid w:val="7FA7D94D"/>
    <w:rsid w:val="7FCEBC6A"/>
    <w:rsid w:val="7FF7653F"/>
    <w:rsid w:val="7FF79708"/>
    <w:rsid w:val="7FFB6125"/>
    <w:rsid w:val="7FFCA410"/>
    <w:rsid w:val="7FFF2E52"/>
    <w:rsid w:val="7FFF410D"/>
    <w:rsid w:val="8DF38D29"/>
    <w:rsid w:val="8EED01EF"/>
    <w:rsid w:val="8FD60896"/>
    <w:rsid w:val="97FA6625"/>
    <w:rsid w:val="9AEE0BEB"/>
    <w:rsid w:val="9AFF9B90"/>
    <w:rsid w:val="A37F54FE"/>
    <w:rsid w:val="A7DF0B2D"/>
    <w:rsid w:val="AB7FE2B9"/>
    <w:rsid w:val="ABFB3E45"/>
    <w:rsid w:val="AD66C794"/>
    <w:rsid w:val="AFB56BE2"/>
    <w:rsid w:val="AFFE452A"/>
    <w:rsid w:val="B3B813FA"/>
    <w:rsid w:val="B3BBA02B"/>
    <w:rsid w:val="B7EF5A38"/>
    <w:rsid w:val="BAD44F98"/>
    <w:rsid w:val="BADF5423"/>
    <w:rsid w:val="BE7AAFAB"/>
    <w:rsid w:val="BEF117DE"/>
    <w:rsid w:val="BEFA8E14"/>
    <w:rsid w:val="BFEE3602"/>
    <w:rsid w:val="BFF75CD3"/>
    <w:rsid w:val="C73F3531"/>
    <w:rsid w:val="C7CFCDC5"/>
    <w:rsid w:val="CB8BB896"/>
    <w:rsid w:val="CDF8B379"/>
    <w:rsid w:val="CFEB621F"/>
    <w:rsid w:val="D3EAB2AC"/>
    <w:rsid w:val="D7E71505"/>
    <w:rsid w:val="D7FDE79C"/>
    <w:rsid w:val="DAFE3D72"/>
    <w:rsid w:val="DB774CCC"/>
    <w:rsid w:val="DB7E688B"/>
    <w:rsid w:val="DBB70110"/>
    <w:rsid w:val="DBDF949A"/>
    <w:rsid w:val="DDF20C9A"/>
    <w:rsid w:val="DE6B6548"/>
    <w:rsid w:val="DFAED0AC"/>
    <w:rsid w:val="DFBCDCAF"/>
    <w:rsid w:val="DFEE4A56"/>
    <w:rsid w:val="DFFDD788"/>
    <w:rsid w:val="E47A52E7"/>
    <w:rsid w:val="E57FFA80"/>
    <w:rsid w:val="E5FB4434"/>
    <w:rsid w:val="E5FF4BB2"/>
    <w:rsid w:val="ED7F0493"/>
    <w:rsid w:val="EE3519F5"/>
    <w:rsid w:val="EF67AFD7"/>
    <w:rsid w:val="EFD32C8C"/>
    <w:rsid w:val="F2BF686B"/>
    <w:rsid w:val="F3AF4E38"/>
    <w:rsid w:val="F3FE821F"/>
    <w:rsid w:val="F4FCD32E"/>
    <w:rsid w:val="F53851F3"/>
    <w:rsid w:val="F7DBC4DD"/>
    <w:rsid w:val="F9B5C30A"/>
    <w:rsid w:val="FA7F018D"/>
    <w:rsid w:val="FBFF86D7"/>
    <w:rsid w:val="FBFFD32B"/>
    <w:rsid w:val="FC8D528F"/>
    <w:rsid w:val="FCB87BDD"/>
    <w:rsid w:val="FCBD5FA4"/>
    <w:rsid w:val="FD754C39"/>
    <w:rsid w:val="FD7FFC25"/>
    <w:rsid w:val="FDB6D67D"/>
    <w:rsid w:val="FDCBD0B5"/>
    <w:rsid w:val="FDDB459D"/>
    <w:rsid w:val="FDEEB7F9"/>
    <w:rsid w:val="FDFE56E2"/>
    <w:rsid w:val="FE7D3C02"/>
    <w:rsid w:val="FEE71ABB"/>
    <w:rsid w:val="FEF76EFA"/>
    <w:rsid w:val="FEFB6BF1"/>
    <w:rsid w:val="FF7DA6C6"/>
    <w:rsid w:val="FFADB101"/>
    <w:rsid w:val="FFCD9D48"/>
    <w:rsid w:val="FFD639C2"/>
    <w:rsid w:val="FFDBA409"/>
    <w:rsid w:val="FFDFB3F1"/>
    <w:rsid w:val="FFE127DD"/>
    <w:rsid w:val="FFF63CA3"/>
    <w:rsid w:val="FFF775A0"/>
    <w:rsid w:val="FFFB090D"/>
    <w:rsid w:val="FFFF17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next w:val="1"/>
    <w:qFormat/>
    <w:uiPriority w:val="0"/>
    <w:pPr>
      <w:widowControl w:val="0"/>
      <w:spacing w:before="100" w:beforeAutospacing="1" w:after="100" w:afterAutospacing="1"/>
      <w:jc w:val="left"/>
      <w:outlineLvl w:val="1"/>
    </w:pPr>
    <w:rPr>
      <w:rFonts w:hint="eastAsia" w:ascii="宋体" w:hAnsi="宋体" w:eastAsia="宋体" w:cs="Times New Roman"/>
      <w:b/>
      <w:bCs/>
      <w:kern w:val="0"/>
      <w:sz w:val="36"/>
      <w:szCs w:val="36"/>
      <w:lang w:val="en-US" w:eastAsia="zh-CN" w:bidi="ar-SA"/>
    </w:rPr>
  </w:style>
  <w:style w:type="character" w:default="1" w:styleId="19">
    <w:name w:val="Default Paragraph Font"/>
    <w:link w:val="20"/>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unhideWhenUsed/>
    <w:qFormat/>
    <w:uiPriority w:val="99"/>
    <w:pPr>
      <w:spacing w:after="120"/>
    </w:pPr>
  </w:style>
  <w:style w:type="paragraph" w:styleId="6">
    <w:name w:val="Body Text Indent"/>
    <w:basedOn w:val="1"/>
    <w:next w:val="1"/>
    <w:unhideWhenUsed/>
    <w:qFormat/>
    <w:uiPriority w:val="0"/>
    <w:pPr>
      <w:spacing w:after="120"/>
      <w:ind w:left="420" w:leftChars="200"/>
    </w:pPr>
    <w:rPr>
      <w:rFonts w:ascii="Calibri" w:hAnsi="Calibri" w:eastAsia="宋体" w:cs="Times New Roman"/>
      <w:szCs w:val="24"/>
    </w:rPr>
  </w:style>
  <w:style w:type="paragraph" w:styleId="7">
    <w:name w:val="Date"/>
    <w:basedOn w:val="1"/>
    <w:next w:val="1"/>
    <w:link w:val="23"/>
    <w:qFormat/>
    <w:uiPriority w:val="0"/>
    <w:pPr>
      <w:ind w:left="100" w:leftChars="2500"/>
    </w:pPr>
    <w:rPr>
      <w:sz w:val="21"/>
      <w:szCs w:val="24"/>
    </w:rPr>
  </w:style>
  <w:style w:type="paragraph" w:styleId="8">
    <w:name w:val="endnote text"/>
    <w:qFormat/>
    <w:uiPriority w:val="0"/>
    <w:pPr>
      <w:widowControl w:val="0"/>
      <w:snapToGrid w:val="0"/>
      <w:jc w:val="left"/>
    </w:pPr>
    <w:rPr>
      <w:rFonts w:ascii="Calibri" w:hAnsi="Calibri" w:eastAsia="宋体" w:cs="Times New Roman"/>
      <w:kern w:val="2"/>
      <w:sz w:val="21"/>
      <w:szCs w:val="24"/>
      <w:lang w:val="en-US" w:eastAsia="zh-CN" w:bidi="ar-SA"/>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rFonts w:eastAsia="仿宋_GB2312"/>
      <w:snapToGrid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99"/>
    <w:pPr>
      <w:snapToGrid w:val="0"/>
    </w:pPr>
    <w:rPr>
      <w:rFonts w:ascii="Times New Roman" w:hAnsi="Times New Roman" w:cs="Times New Roman"/>
      <w:sz w:val="18"/>
      <w:szCs w:val="1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1"/>
    <w:qFormat/>
    <w:uiPriority w:val="0"/>
    <w:pPr>
      <w:spacing w:line="312" w:lineRule="auto"/>
      <w:ind w:firstLine="420"/>
    </w:pPr>
    <w:rPr>
      <w:color w:val="000000"/>
      <w:kern w:val="1"/>
    </w:rPr>
  </w:style>
  <w:style w:type="paragraph" w:styleId="16">
    <w:name w:val="Body Text First Indent 2"/>
    <w:basedOn w:val="6"/>
    <w:qFormat/>
    <w:uiPriority w:val="0"/>
    <w:pPr>
      <w:spacing w:line="312" w:lineRule="atLeast"/>
      <w:ind w:firstLine="42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w:basedOn w:val="1"/>
    <w:link w:val="19"/>
    <w:qFormat/>
    <w:uiPriority w:val="0"/>
    <w:pPr>
      <w:ind w:firstLine="540" w:firstLineChars="168"/>
    </w:pPr>
    <w:rPr>
      <w:sz w:val="21"/>
      <w:szCs w:val="24"/>
    </w:rPr>
  </w:style>
  <w:style w:type="character" w:styleId="21">
    <w:name w:val="page number"/>
    <w:basedOn w:val="19"/>
    <w:qFormat/>
    <w:uiPriority w:val="0"/>
  </w:style>
  <w:style w:type="paragraph" w:customStyle="1" w:styleId="22">
    <w:name w:val="1.正文"/>
    <w:basedOn w:val="1"/>
    <w:next w:val="11"/>
    <w:qFormat/>
    <w:uiPriority w:val="99"/>
    <w:rPr>
      <w:rFonts w:ascii="仿宋_GB2312" w:hAnsi="Calibri" w:eastAsia="仿宋_GB2312" w:cs="仿宋_GB2312"/>
      <w:szCs w:val="22"/>
    </w:rPr>
  </w:style>
  <w:style w:type="character" w:customStyle="1" w:styleId="23">
    <w:name w:val="日期 Char"/>
    <w:link w:val="7"/>
    <w:qFormat/>
    <w:uiPriority w:val="0"/>
    <w:rPr>
      <w:kern w:val="2"/>
      <w:sz w:val="21"/>
      <w:szCs w:val="24"/>
    </w:rPr>
  </w:style>
  <w:style w:type="paragraph" w:customStyle="1" w:styleId="24">
    <w:name w:val="引文目录1"/>
    <w:basedOn w:val="1"/>
    <w:next w:val="1"/>
    <w:qFormat/>
    <w:uiPriority w:val="0"/>
    <w:pPr>
      <w:ind w:left="420" w:leftChars="200"/>
    </w:pPr>
  </w:style>
  <w:style w:type="paragraph" w:customStyle="1" w:styleId="25">
    <w:name w:val=" Char1"/>
    <w:basedOn w:val="1"/>
    <w:qFormat/>
    <w:uiPriority w:val="0"/>
    <w:rPr>
      <w:rFonts w:ascii="Verdana" w:hAnsi="Verdana" w:eastAsia="仿宋_GB2312"/>
      <w:kern w:val="0"/>
      <w:sz w:val="24"/>
      <w:szCs w:val="20"/>
      <w:lang w:eastAsia="en-US"/>
    </w:rPr>
  </w:style>
  <w:style w:type="paragraph" w:customStyle="1" w:styleId="26">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
    <w:name w:val="List Paragraph"/>
    <w:basedOn w:val="1"/>
    <w:qFormat/>
    <w:uiPriority w:val="0"/>
    <w:pPr>
      <w:ind w:firstLine="420" w:firstLineChars="200"/>
    </w:pPr>
    <w:rPr>
      <w:rFonts w:ascii="Calibri" w:hAnsi="Calibri"/>
      <w:szCs w:val="22"/>
    </w:rPr>
  </w:style>
  <w:style w:type="character" w:customStyle="1" w:styleId="28">
    <w:name w:val="font2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ascii="Arial" w:hAnsi="Arial" w:cs="Arial"/>
      <w:color w:val="000000"/>
      <w:sz w:val="20"/>
      <w:szCs w:val="20"/>
      <w:u w:val="none"/>
    </w:rPr>
  </w:style>
  <w:style w:type="paragraph" w:customStyle="1" w:styleId="30">
    <w:name w:val="正文内容"/>
    <w:basedOn w:val="1"/>
    <w:qFormat/>
    <w:uiPriority w:val="0"/>
    <w:pPr>
      <w:ind w:firstLine="883" w:firstLineChars="200"/>
      <w:jc w:val="left"/>
    </w:pPr>
    <w:rPr>
      <w:rFonts w:ascii="Times New Roman" w:hAnsi="Times New Roman" w:eastAsia="宋体"/>
      <w:sz w:val="24"/>
      <w:szCs w:val="24"/>
    </w:rPr>
  </w:style>
  <w:style w:type="paragraph" w:customStyle="1" w:styleId="31">
    <w:name w:val="列出段落1"/>
    <w:basedOn w:val="1"/>
    <w:qFormat/>
    <w:uiPriority w:val="34"/>
    <w:pPr>
      <w:ind w:firstLine="420" w:firstLineChars="200"/>
    </w:pPr>
    <w:rPr>
      <w:sz w:val="21"/>
      <w:szCs w:val="24"/>
    </w:rPr>
  </w:style>
  <w:style w:type="paragraph" w:customStyle="1" w:styleId="32">
    <w:name w:val="列表段落1"/>
    <w:basedOn w:val="1"/>
    <w:qFormat/>
    <w:uiPriority w:val="34"/>
    <w:pPr>
      <w:ind w:firstLine="420" w:firstLineChars="200"/>
    </w:pPr>
    <w:rPr>
      <w:rFonts w:ascii="Times New Roman" w:hAnsi="Times New Roman" w:cs="Times New Roman"/>
    </w:rPr>
  </w:style>
  <w:style w:type="character" w:customStyle="1" w:styleId="33">
    <w:name w:val="font51"/>
    <w:basedOn w:val="19"/>
    <w:qFormat/>
    <w:uiPriority w:val="0"/>
    <w:rPr>
      <w:rFonts w:hint="eastAsia" w:ascii="宋体" w:hAnsi="宋体" w:eastAsia="宋体" w:cs="宋体"/>
      <w:color w:val="000000"/>
      <w:sz w:val="24"/>
      <w:szCs w:val="24"/>
      <w:u w:val="none"/>
    </w:rPr>
  </w:style>
  <w:style w:type="character" w:customStyle="1" w:styleId="34">
    <w:name w:val="font61"/>
    <w:basedOn w:val="19"/>
    <w:qFormat/>
    <w:uiPriority w:val="0"/>
    <w:rPr>
      <w:rFonts w:hint="eastAsia" w:ascii="宋体" w:hAnsi="宋体" w:eastAsia="宋体" w:cs="宋体"/>
      <w:color w:val="000000"/>
      <w:sz w:val="22"/>
      <w:szCs w:val="22"/>
      <w:u w:val="none"/>
    </w:rPr>
  </w:style>
  <w:style w:type="character" w:customStyle="1" w:styleId="35">
    <w:name w:val="font41"/>
    <w:basedOn w:val="19"/>
    <w:qFormat/>
    <w:uiPriority w:val="0"/>
    <w:rPr>
      <w:rFonts w:hint="eastAsia" w:ascii="宋体" w:hAnsi="宋体" w:eastAsia="宋体" w:cs="宋体"/>
      <w:color w:val="FF0000"/>
      <w:sz w:val="22"/>
      <w:szCs w:val="22"/>
      <w:u w:val="none"/>
    </w:rPr>
  </w:style>
  <w:style w:type="character" w:customStyle="1" w:styleId="36">
    <w:name w:val="font11"/>
    <w:basedOn w:val="19"/>
    <w:qFormat/>
    <w:uiPriority w:val="0"/>
    <w:rPr>
      <w:rFonts w:hint="eastAsia" w:ascii="宋体" w:hAnsi="宋体" w:eastAsia="宋体" w:cs="宋体"/>
      <w:color w:val="000000"/>
      <w:sz w:val="24"/>
      <w:szCs w:val="24"/>
      <w:u w:val="none"/>
    </w:rPr>
  </w:style>
  <w:style w:type="character" w:customStyle="1" w:styleId="37">
    <w:name w:val="font31"/>
    <w:basedOn w:val="19"/>
    <w:qFormat/>
    <w:uiPriority w:val="0"/>
    <w:rPr>
      <w:rFonts w:hint="eastAsia" w:ascii="华文中宋" w:hAnsi="华文中宋" w:eastAsia="华文中宋" w:cs="华文中宋"/>
      <w:color w:val="000000"/>
      <w:sz w:val="36"/>
      <w:szCs w:val="36"/>
      <w:u w:val="none"/>
    </w:rPr>
  </w:style>
  <w:style w:type="character" w:customStyle="1" w:styleId="38">
    <w:name w:val="15"/>
    <w:qFormat/>
    <w:uiPriority w:val="0"/>
    <w:rPr>
      <w:rFonts w:hint="eastAsia" w:ascii="黑体" w:hAnsi="黑体" w:eastAsia="黑体"/>
    </w:rPr>
  </w:style>
  <w:style w:type="paragraph" w:customStyle="1" w:styleId="39">
    <w:name w:val="Acetate"/>
    <w:basedOn w:val="1"/>
    <w:qFormat/>
    <w:uiPriority w:val="0"/>
    <w:rPr>
      <w:sz w:val="18"/>
      <w:szCs w:val="18"/>
    </w:rPr>
  </w:style>
  <w:style w:type="paragraph" w:customStyle="1" w:styleId="40">
    <w:name w:val="BodyText1I"/>
    <w:basedOn w:val="1"/>
    <w:qFormat/>
    <w:uiPriority w:val="0"/>
    <w:pPr>
      <w:spacing w:before="100" w:beforeAutospacing="1"/>
      <w:ind w:firstLine="420" w:firstLineChars="100"/>
    </w:pPr>
    <w:rPr>
      <w:rFonts w:ascii="Calibri" w:hAnsi="Calibri" w:eastAsia="宋体"/>
      <w:sz w:val="21"/>
      <w:szCs w:val="21"/>
    </w:rPr>
  </w:style>
  <w:style w:type="paragraph" w:customStyle="1" w:styleId="41">
    <w:name w:val="Table Text"/>
    <w:basedOn w:val="1"/>
    <w:semiHidden/>
    <w:qFormat/>
    <w:uiPriority w:val="0"/>
    <w:rPr>
      <w:rFonts w:ascii="Arial" w:hAnsi="Arial" w:eastAsia="Arial" w:cs="Arial"/>
      <w:sz w:val="21"/>
      <w:szCs w:val="21"/>
      <w:lang w:val="en-US" w:eastAsia="en-US" w:bidi="ar-SA"/>
    </w:rPr>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NormalCharacter"/>
    <w:qFormat/>
    <w:uiPriority w:val="0"/>
  </w:style>
  <w:style w:type="paragraph" w:customStyle="1" w:styleId="44">
    <w:name w:val="b-free-read-leaf"/>
    <w:qFormat/>
    <w:uiPriority w:val="0"/>
    <w:pPr>
      <w:adjustRightInd/>
      <w:snapToGrid/>
      <w:spacing w:before="100" w:beforeAutospacing="1" w:after="100" w:afterAutospacing="1" w:line="240" w:lineRule="auto"/>
    </w:pPr>
    <w:rPr>
      <w:rFonts w:ascii="宋体" w:hAnsi="宋体" w:eastAsia="宋体" w:cs="宋体"/>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694</Words>
  <Characters>3956</Characters>
  <Lines>32</Lines>
  <Paragraphs>9</Paragraphs>
  <TotalTime>29</TotalTime>
  <ScaleCrop>false</ScaleCrop>
  <LinksUpToDate>false</LinksUpToDate>
  <CharactersWithSpaces>4641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2024-08-30T07:45:00Z</dcterms:created>
  <dc:creator>SYSTEM</dc:creator>
  <cp:lastModifiedBy>xmadmin</cp:lastModifiedBy>
  <cp:lastPrinted>2024-11-21T18:30:00Z</cp:lastPrinted>
  <dcterms:modified xsi:type="dcterms:W3CDTF">2025-07-23T17:16:16Z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C70618BA3E6766D925417667A31D6FE3</vt:lpwstr>
  </property>
</Properties>
</file>