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kern w:val="2"/>
          <w:sz w:val="44"/>
          <w:szCs w:val="44"/>
        </w:rPr>
      </w:pP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
        </w:rPr>
        <w:t>厦门市建设工程招标代理机构负面行为清单</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61"/>
        <w:gridCol w:w="1639"/>
        <w:gridCol w:w="6706"/>
        <w:gridCol w:w="4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5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color w:val="000000"/>
                <w:kern w:val="2"/>
                <w:sz w:val="21"/>
                <w:szCs w:val="21"/>
                <w:lang w:val="en-US" w:eastAsia="zh-CN" w:bidi="ar"/>
              </w:rPr>
              <w:t>事项名称</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负面行为内容</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color w:val="000000"/>
                <w:kern w:val="2"/>
                <w:sz w:val="21"/>
                <w:szCs w:val="21"/>
                <w:lang w:val="en-US" w:eastAsia="zh-CN" w:bidi="ar"/>
              </w:rPr>
              <w:t>法律、法规、规章及政策依据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w:t>
            </w:r>
          </w:p>
        </w:tc>
        <w:tc>
          <w:tcPr>
            <w:tcW w:w="5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aps w:val="0"/>
                <w:color w:val="000000"/>
                <w:spacing w:val="0"/>
                <w:kern w:val="0"/>
                <w:sz w:val="21"/>
                <w:szCs w:val="21"/>
                <w:lang w:val="en-US" w:eastAsia="zh-CN" w:bidi="ar"/>
              </w:rPr>
              <w:t>总体要求</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1.从事招标代理业务未遵循公开、公平、公正和诚实信用原则，损害国家利益、社会公共利益和招标投标各方当事人的合法权益。</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2.与行业主管部门及其他国家机关、公共资源交易中心存在隶属关系或者其他利益关系。</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aps w:val="0"/>
                <w:color w:val="000000"/>
                <w:spacing w:val="0"/>
                <w:kern w:val="0"/>
                <w:sz w:val="21"/>
                <w:szCs w:val="21"/>
                <w:lang w:val="en-US" w:eastAsia="zh-CN" w:bidi="ar"/>
              </w:rPr>
              <w:t>未接受依法实施的监督。</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olor w:val="000000"/>
                <w:kern w:val="0"/>
                <w:sz w:val="21"/>
                <w:szCs w:val="21"/>
                <w:lang w:val="en-US" w:eastAsia="zh-CN" w:bidi="ar"/>
              </w:rPr>
              <w:t>4.未遵守《厦门市房屋建筑和市政基础设施工程招标人负面行为清单》有关规定。</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《中华人民共和国招标投标法》第七条、第十四条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《工程建设项目招标代理机构管理暂行办法》（六部委令第34号）第六条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2</w:t>
            </w:r>
          </w:p>
        </w:tc>
        <w:tc>
          <w:tcPr>
            <w:tcW w:w="5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从业管理</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both"/>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color w:val="000000"/>
                <w:kern w:val="2"/>
                <w:sz w:val="21"/>
                <w:szCs w:val="21"/>
                <w:lang w:val="en-US" w:eastAsia="zh-CN" w:bidi="ar"/>
              </w:rPr>
              <w:t>未取得公司法人《营业执照》且未登记营业范围包含建设工程招标代理业务，不具备与建设工程招标代理业务匹配的专职从业人员。</w:t>
            </w:r>
          </w:p>
          <w:p>
            <w:pPr>
              <w:keepNext w:val="0"/>
              <w:keepLines w:val="0"/>
              <w:widowControl/>
              <w:suppressLineNumbers w:val="0"/>
              <w:autoSpaceDE w:val="0"/>
              <w:autoSpaceDN/>
              <w:spacing w:before="0" w:beforeAutospacing="0" w:after="0" w:afterAutospacing="0"/>
              <w:ind w:left="0" w:right="0"/>
              <w:jc w:val="both"/>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2.未</w:t>
            </w:r>
            <w:r>
              <w:rPr>
                <w:rFonts w:hint="eastAsia" w:ascii="宋体" w:hAnsi="宋体" w:eastAsia="宋体" w:cs="宋体"/>
                <w:b w:val="0"/>
                <w:bCs w:val="0"/>
                <w:color w:val="000000"/>
                <w:kern w:val="2"/>
                <w:sz w:val="21"/>
                <w:szCs w:val="21"/>
                <w:lang w:val="en-US" w:eastAsia="zh-CN" w:bidi="ar"/>
              </w:rPr>
              <w:t>在福建省住房和城乡建设政务服务系统完成企业信息及从业人员登记，未将登记信息推送至全国建筑市场监管公共服务平台。</w:t>
            </w:r>
          </w:p>
          <w:p>
            <w:pPr>
              <w:keepNext w:val="0"/>
              <w:keepLines w:val="0"/>
              <w:widowControl/>
              <w:suppressLineNumbers w:val="0"/>
              <w:autoSpaceDE w:val="0"/>
              <w:autoSpaceDN/>
              <w:spacing w:before="0" w:beforeAutospacing="0" w:after="0" w:afterAutospacing="0"/>
              <w:ind w:left="0" w:right="0"/>
              <w:jc w:val="both"/>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3.不具备从事招标代理业务的营业场所和相应资金，或不具备编制招标文件和组织评标的相应专业能力而承接代理业务。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4.依法必须招标项目</w:t>
            </w:r>
            <w:r>
              <w:rPr>
                <w:rFonts w:hint="eastAsia" w:ascii="宋体" w:hAnsi="宋体" w:eastAsia="宋体" w:cs="宋体"/>
                <w:b w:val="0"/>
                <w:bCs w:val="0"/>
                <w:color w:val="000000"/>
                <w:kern w:val="2"/>
                <w:sz w:val="21"/>
                <w:szCs w:val="21"/>
                <w:lang w:val="en-US" w:eastAsia="zh-CN" w:bidi="ar"/>
              </w:rPr>
              <w:t>未从全国建筑市场监管公共服务平台登记的从业人员中确定一名作为项目负责人。</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5.从业人员同时在两个以上代理机构从事招标代理业务，以他人名义从业。代理机构聘用已受聘于其他代理机构的从业人员。</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color w:val="000000"/>
                <w:kern w:val="2"/>
                <w:sz w:val="21"/>
                <w:szCs w:val="21"/>
                <w:lang w:val="en-US" w:eastAsia="zh-CN" w:bidi="ar"/>
              </w:rPr>
              <w:t>未对本单位专职从业人员进行业务培训且未将人员培训情况等通过福建省住房和城乡建设政务服务系统进行登记。</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7.未在委托合同签订后成立不少于由三名专职从业人员组成的项目组或项目组成员资格不满足有关规定。</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8.无权代理、越权代理，明知委托事项违法而进行代理。</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9.在招标代理过程中承接同一工程的投标咨询业务，接受委托编制标底的中介机构参加受托编制标底项目的投标或者为该项目的投标人编制投标文件、提供咨询。</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10.未拒绝招标人违反法律、法规、规章或行政规范性文件要求提出委托</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事宜。</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11.未与委托其办理招标事宜的招标人签订招标代理合同，未经招标人同意，转让招标代理业务。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12.诱导或协助招标人将必须招标的项目化整为零或未依法定要求提供代理服务。</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《中华人民共和国招标投标法》第十三条、第十五条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《中华人民共和国招标投标法实施条例》第十三条、第六十五条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《工程建设项目招标代理机构管理暂行办法》（六部委令第34号）第七条、第八条、第十条、第十一条、第十二条、第十四条、第十六条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《工程建设项目施工招标投标办法》第二十二条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《关于严格执行招标投标法规制度进一步规范招标投标主体行为的若干意见》（发改法规规（2022）1117号）第十六条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《福建省房屋建筑和市政基础设施工程招标代理机构管理办法》（闽建〔2025〕2号）</w:t>
            </w:r>
            <w:r>
              <w:rPr>
                <w:rFonts w:hint="eastAsia" w:ascii="宋体" w:hAnsi="宋体" w:eastAsia="宋体" w:cs="宋体"/>
                <w:b w:val="0"/>
                <w:bCs w:val="0"/>
                <w:color w:val="000000"/>
                <w:kern w:val="0"/>
                <w:sz w:val="21"/>
                <w:szCs w:val="21"/>
                <w:lang w:val="en-US" w:eastAsia="zh-CN" w:bidi="ar"/>
              </w:rPr>
              <w:t>第五条、</w:t>
            </w:r>
            <w:r>
              <w:rPr>
                <w:rFonts w:hint="eastAsia" w:ascii="宋体" w:hAnsi="宋体" w:eastAsia="宋体" w:cs="宋体"/>
                <w:b w:val="0"/>
                <w:bCs w:val="0"/>
                <w:color w:val="000000"/>
                <w:kern w:val="2"/>
                <w:sz w:val="21"/>
                <w:szCs w:val="21"/>
                <w:lang w:val="en-US" w:eastAsia="zh-CN" w:bidi="ar"/>
              </w:rPr>
              <w:t>第七条、</w:t>
            </w:r>
            <w:r>
              <w:rPr>
                <w:rFonts w:hint="eastAsia" w:ascii="宋体" w:hAnsi="宋体" w:eastAsia="宋体" w:cs="宋体"/>
                <w:b w:val="0"/>
                <w:bCs w:val="0"/>
                <w:color w:val="000000"/>
                <w:kern w:val="0"/>
                <w:sz w:val="21"/>
                <w:szCs w:val="21"/>
                <w:lang w:val="en-US" w:eastAsia="zh-CN" w:bidi="ar"/>
              </w:rPr>
              <w:t>第九条、第十条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《厦门市建筑市场主体信用监管行为认定范围和档次操作标准的通知》（厦建筑〔2021〕143号）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3</w:t>
            </w:r>
          </w:p>
        </w:tc>
        <w:tc>
          <w:tcPr>
            <w:tcW w:w="5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招标程序</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1.不按照规定在指定媒介发布资格预审公告或者招标公告，在资格预审公告或者招标公告中未载明代理机构名称和项目负责人姓名。</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2.在不同媒介发布的同一招标项目的资格预审公告或者招标公告的内容不一致，影响潜在投标人申请资格预审或者投标。</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3.存在向同一项目的投标人提供有差别的项目信息。</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4.未按规定通过福建省公共资源交易电子行政监督平台备案招标文件等全过程材料，在电子行政监督平台备案的招标信息与发布的不一致的。</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color w:val="000000"/>
                <w:kern w:val="2"/>
                <w:sz w:val="21"/>
                <w:szCs w:val="21"/>
                <w:lang w:val="en-US" w:eastAsia="zh-CN" w:bidi="ar"/>
              </w:rPr>
              <w:t>除进入公共资源交易场所交易的招标项目或招标代理合同另有约定外，招标代理机构代收投标人的投标保证金</w:t>
            </w:r>
            <w:r>
              <w:rPr>
                <w:rFonts w:hint="eastAsia" w:ascii="宋体" w:hAnsi="宋体" w:eastAsia="宋体" w:cs="宋体"/>
                <w:b w:val="0"/>
                <w:bCs w:val="0"/>
                <w:i w:val="0"/>
                <w:iCs w:val="0"/>
                <w:color w:val="000000"/>
                <w:kern w:val="0"/>
                <w:sz w:val="21"/>
                <w:szCs w:val="21"/>
                <w:lang w:val="en-US" w:eastAsia="zh-CN" w:bidi="ar"/>
              </w:rPr>
              <w:t>。</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6.不按照招标文件规定的时间、地点开标，对开标过程不记录。</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7.受招标人委托未按有关规定组建评标委员会或组建的评标委员会不符合有关规定。</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aps w:val="0"/>
                <w:color w:val="000000"/>
                <w:spacing w:val="0"/>
                <w:kern w:val="2"/>
                <w:sz w:val="21"/>
                <w:szCs w:val="21"/>
                <w:shd w:val="clear" w:fill="FFFFFF"/>
                <w:lang w:val="en-US" w:eastAsia="zh-CN" w:bidi="ar"/>
              </w:rPr>
              <w:t>评标工作开始前，未提醒评标专家落实回避制度。</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aps w:val="0"/>
                <w:color w:val="000000"/>
                <w:spacing w:val="0"/>
                <w:kern w:val="2"/>
                <w:sz w:val="21"/>
                <w:szCs w:val="21"/>
                <w:shd w:val="clear" w:fill="FFFFFF"/>
                <w:lang w:val="en-US" w:eastAsia="zh-CN" w:bidi="ar"/>
              </w:rPr>
              <w:t>发现评（定）标委员会涉嫌违法违规行为的，未及时提醒、制止，未向招标投标行政监督部门报告并配合调查工作，同时未在招标投标情况书面报告中如实记录。</w:t>
            </w:r>
          </w:p>
          <w:p>
            <w:pPr>
              <w:pStyle w:val="3"/>
              <w:keepNext w:val="0"/>
              <w:keepLines w:val="0"/>
              <w:widowControl/>
              <w:suppressLineNumbers w:val="0"/>
              <w:shd w:val="clear" w:fill="FFFFFF"/>
              <w:autoSpaceDE w:val="0"/>
              <w:autoSpaceDN/>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2"/>
                <w:sz w:val="21"/>
                <w:szCs w:val="21"/>
                <w:shd w:val="clear" w:fill="FFFFFF"/>
              </w:rPr>
            </w:pPr>
            <w:r>
              <w:rPr>
                <w:rFonts w:hint="eastAsia" w:ascii="宋体" w:hAnsi="宋体" w:eastAsia="宋体" w:cs="宋体"/>
                <w:b w:val="0"/>
                <w:bCs w:val="0"/>
                <w:i w:val="0"/>
                <w:iCs w:val="0"/>
                <w:caps w:val="0"/>
                <w:color w:val="000000"/>
                <w:spacing w:val="0"/>
                <w:kern w:val="2"/>
                <w:sz w:val="21"/>
                <w:szCs w:val="21"/>
                <w:shd w:val="clear" w:fill="FFFFFF"/>
                <w:lang w:val="en-US" w:eastAsia="zh-CN" w:bidi="ar"/>
              </w:rPr>
              <w:t>10.评（定）标过程中实质性地操作电子评（定）标系统或主动查看评（定）标系统中的投标文件信息。</w:t>
            </w:r>
          </w:p>
          <w:p>
            <w:pPr>
              <w:pStyle w:val="3"/>
              <w:keepNext w:val="0"/>
              <w:keepLines w:val="0"/>
              <w:widowControl/>
              <w:suppressLineNumbers w:val="0"/>
              <w:shd w:val="clear" w:fill="FFFFFF"/>
              <w:autoSpaceDE w:val="0"/>
              <w:autoSpaceDN/>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2"/>
                <w:sz w:val="21"/>
                <w:szCs w:val="21"/>
                <w:shd w:val="clear" w:fill="FFFFFF"/>
              </w:rPr>
            </w:pPr>
            <w:r>
              <w:rPr>
                <w:rFonts w:hint="eastAsia" w:ascii="宋体" w:hAnsi="宋体" w:eastAsia="宋体" w:cs="宋体"/>
                <w:b w:val="0"/>
                <w:bCs w:val="0"/>
                <w:i w:val="0"/>
                <w:iCs w:val="0"/>
                <w:caps w:val="0"/>
                <w:color w:val="000000"/>
                <w:spacing w:val="0"/>
                <w:kern w:val="2"/>
                <w:sz w:val="21"/>
                <w:szCs w:val="21"/>
                <w:shd w:val="clear" w:fill="FFFFFF"/>
                <w:lang w:val="en-US" w:eastAsia="zh-CN" w:bidi="ar"/>
              </w:rPr>
              <w:t>11.发表引导性言论，干预或扰乱评（定）标委员会成员的独立评审。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aps w:val="0"/>
                <w:color w:val="000000"/>
                <w:spacing w:val="0"/>
                <w:kern w:val="2"/>
                <w:sz w:val="21"/>
                <w:szCs w:val="21"/>
                <w:shd w:val="clear" w:fill="FFFFFF"/>
                <w:lang w:val="en-US" w:eastAsia="zh-CN" w:bidi="ar"/>
              </w:rPr>
              <w:t>12.替代评（定）标委员会编制评标报告</w:t>
            </w:r>
            <w:r>
              <w:rPr>
                <w:rFonts w:hint="eastAsia" w:ascii="宋体" w:hAnsi="宋体" w:eastAsia="宋体" w:cs="宋体"/>
                <w:b w:val="0"/>
                <w:bCs w:val="0"/>
                <w:i w:val="0"/>
                <w:iCs w:val="0"/>
                <w:color w:val="000000"/>
                <w:kern w:val="0"/>
                <w:sz w:val="21"/>
                <w:szCs w:val="21"/>
                <w:lang w:val="en-US" w:eastAsia="zh-CN" w:bidi="ar"/>
              </w:rPr>
              <w:t>。</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color w:val="000000"/>
                <w:kern w:val="2"/>
                <w:sz w:val="21"/>
                <w:szCs w:val="21"/>
                <w:lang w:val="en-US" w:eastAsia="zh-CN" w:bidi="ar"/>
              </w:rPr>
              <w:t>13.将评标场所服务费、评标专家劳务费等不属于招标代理服务范畴的费用计入代理费用。</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14.对投标人或者其他利害关系人提出的异议，未依法依规予以答复或答复内容流于形式或答复结果被监督执法机关否定。</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15.未按规定处理异议或未在法定时限内答复异议人或在异议处理期间未暂停招标活动。</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color w:val="000000"/>
                <w:kern w:val="0"/>
                <w:sz w:val="21"/>
                <w:szCs w:val="21"/>
                <w:lang w:val="en-US" w:eastAsia="zh-CN" w:bidi="ar"/>
              </w:rPr>
              <w:t>16.未按规定程序公示评标结果、中标结果，公示错误的评标结果或中标结果。</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《中华人民共和国招标投标法》第三十四条、第三十七条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《中华人民共和国招标投标法实施条例》第十五条、第十六条、第三十二条、第四十四条、</w:t>
            </w:r>
            <w:r>
              <w:rPr>
                <w:rFonts w:hint="eastAsia" w:ascii="宋体" w:hAnsi="宋体" w:eastAsia="宋体" w:cs="宋体"/>
                <w:b w:val="0"/>
                <w:bCs w:val="0"/>
                <w:i w:val="0"/>
                <w:iCs w:val="0"/>
                <w:caps w:val="0"/>
                <w:color w:val="000000"/>
                <w:spacing w:val="0"/>
                <w:kern w:val="0"/>
                <w:sz w:val="21"/>
                <w:szCs w:val="21"/>
                <w:lang w:val="en-US" w:eastAsia="zh-CN" w:bidi="ar"/>
              </w:rPr>
              <w:t>第四十六条、第四十八条、</w:t>
            </w:r>
            <w:r>
              <w:rPr>
                <w:rFonts w:hint="eastAsia" w:ascii="宋体" w:hAnsi="宋体" w:eastAsia="宋体" w:cs="宋体"/>
                <w:b w:val="0"/>
                <w:bCs w:val="0"/>
                <w:i w:val="0"/>
                <w:iCs w:val="0"/>
                <w:color w:val="000000"/>
                <w:kern w:val="0"/>
                <w:sz w:val="21"/>
                <w:szCs w:val="21"/>
                <w:lang w:val="en-US" w:eastAsia="zh-CN" w:bidi="ar"/>
              </w:rPr>
              <w:t>第六十三条、</w:t>
            </w:r>
            <w:r>
              <w:rPr>
                <w:rFonts w:hint="eastAsia" w:ascii="宋体" w:hAnsi="宋体" w:eastAsia="宋体" w:cs="宋体"/>
                <w:b w:val="0"/>
                <w:bCs w:val="0"/>
                <w:i w:val="0"/>
                <w:iCs w:val="0"/>
                <w:caps w:val="0"/>
                <w:color w:val="000000"/>
                <w:spacing w:val="0"/>
                <w:kern w:val="0"/>
                <w:sz w:val="21"/>
                <w:szCs w:val="21"/>
                <w:lang w:val="en-US" w:eastAsia="zh-CN" w:bidi="ar"/>
              </w:rPr>
              <w:t>七十条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aps w:val="0"/>
                <w:color w:val="000000"/>
                <w:spacing w:val="0"/>
                <w:kern w:val="0"/>
                <w:sz w:val="21"/>
                <w:szCs w:val="21"/>
                <w:lang w:val="en-US" w:eastAsia="zh-CN" w:bidi="ar"/>
              </w:rPr>
              <w:t>《招标公告和公示信息发布管理办法》第八条、第十一条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olor w:val="000000"/>
                <w:kern w:val="0"/>
                <w:sz w:val="21"/>
                <w:szCs w:val="21"/>
                <w:lang w:val="en-US" w:eastAsia="zh-CN" w:bidi="ar"/>
              </w:rPr>
              <w:t>《福建省招标投标条例》</w:t>
            </w:r>
            <w:r>
              <w:rPr>
                <w:rFonts w:hint="eastAsia" w:ascii="宋体" w:hAnsi="宋体" w:eastAsia="宋体" w:cs="宋体"/>
                <w:b w:val="0"/>
                <w:bCs w:val="0"/>
                <w:color w:val="000000"/>
                <w:kern w:val="2"/>
                <w:sz w:val="21"/>
                <w:szCs w:val="21"/>
                <w:lang w:val="en-US" w:eastAsia="zh-CN" w:bidi="ar"/>
              </w:rPr>
              <w:t>第三十九条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《工程建设项目招标代理机构管理暂行办法》（六部委令第34号）第十五条、第十八条、第十九条、第二十条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aps w:val="0"/>
                <w:color w:val="000000"/>
                <w:spacing w:val="0"/>
                <w:kern w:val="0"/>
                <w:sz w:val="21"/>
                <w:szCs w:val="21"/>
                <w:lang w:val="en-US" w:eastAsia="zh-CN" w:bidi="ar"/>
              </w:rPr>
              <w:t>《招标人主体责任履行指引》第十八条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aps w:val="0"/>
                <w:color w:val="000000"/>
                <w:spacing w:val="0"/>
                <w:kern w:val="0"/>
                <w:sz w:val="21"/>
                <w:szCs w:val="21"/>
                <w:lang w:val="en-US" w:eastAsia="zh-CN" w:bidi="ar"/>
              </w:rPr>
              <w:t>《福建省招标公告和公示信息发布管理办法》（闽发改法规〔2018〕444号）第十一条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0"/>
                <w:kern w:val="0"/>
                <w:sz w:val="21"/>
                <w:szCs w:val="21"/>
              </w:rPr>
            </w:pPr>
            <w:r>
              <w:rPr>
                <w:rFonts w:hint="eastAsia" w:ascii="宋体" w:hAnsi="宋体" w:eastAsia="宋体" w:cs="宋体"/>
                <w:b w:val="0"/>
                <w:bCs w:val="0"/>
                <w:i w:val="0"/>
                <w:iCs w:val="0"/>
                <w:caps w:val="0"/>
                <w:color w:val="000000"/>
                <w:spacing w:val="0"/>
                <w:kern w:val="0"/>
                <w:sz w:val="21"/>
                <w:szCs w:val="21"/>
                <w:shd w:val="clear" w:fill="FFFFFF"/>
                <w:lang w:val="en-US" w:eastAsia="zh-CN" w:bidi="ar"/>
              </w:rPr>
              <w:t>《福建省工程建设项目招投标远程异地评标暂行办法》（闽发改法规〔2018〕154号）</w:t>
            </w:r>
            <w:r>
              <w:rPr>
                <w:rFonts w:hint="eastAsia" w:ascii="宋体" w:hAnsi="宋体" w:eastAsia="宋体" w:cs="宋体"/>
                <w:b w:val="0"/>
                <w:bCs w:val="0"/>
                <w:i w:val="0"/>
                <w:iCs w:val="0"/>
                <w:caps w:val="0"/>
                <w:color w:val="000000"/>
                <w:spacing w:val="0"/>
                <w:kern w:val="2"/>
                <w:sz w:val="21"/>
                <w:szCs w:val="21"/>
                <w:shd w:val="clear" w:fill="FFFFFF"/>
                <w:lang w:val="en-US" w:eastAsia="zh-CN" w:bidi="ar"/>
              </w:rPr>
              <w:t>第九条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《福建省房屋建筑和市政基础设施工程招标代理机构管理办法》（闽建〔2025〕2号）第十二条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aps w:val="0"/>
                <w:color w:val="000000"/>
                <w:spacing w:val="0"/>
                <w:kern w:val="2"/>
                <w:sz w:val="21"/>
                <w:szCs w:val="21"/>
                <w:shd w:val="clear" w:fill="FFFFFF"/>
                <w:lang w:val="en-US" w:eastAsia="zh-CN" w:bidi="ar"/>
              </w:rPr>
              <w:t>《福建省房屋建筑和市政基础设施工程招标投标管理规定（试行）》（闽建〔2025〕5号）</w:t>
            </w:r>
            <w:r>
              <w:rPr>
                <w:rFonts w:hint="eastAsia" w:ascii="宋体" w:hAnsi="宋体" w:eastAsia="宋体" w:cs="宋体"/>
                <w:b w:val="0"/>
                <w:bCs w:val="0"/>
                <w:i w:val="0"/>
                <w:iCs w:val="0"/>
                <w:color w:val="000000"/>
                <w:kern w:val="0"/>
                <w:sz w:val="21"/>
                <w:szCs w:val="21"/>
                <w:lang w:val="en-US" w:eastAsia="zh-CN" w:bidi="ar"/>
              </w:rPr>
              <w:t>第十二条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《厦门市建筑市场主体信用监管行为认定范围和档次操作标准的通知》（厦建筑〔2021〕143号）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lang w:val="en-US" w:eastAsia="zh-CN" w:bidi="ar"/>
              </w:rPr>
              <w:t>《厦门市建设局关于印发厦门市建设工程招标代理机构信用综合评价计分办法的通知》（厦建筑〔</w:t>
            </w:r>
            <w:r>
              <w:rPr>
                <w:rStyle w:val="15"/>
                <w:rFonts w:hint="eastAsia" w:ascii="宋体" w:hAnsi="宋体" w:eastAsia="宋体" w:cs="宋体"/>
                <w:b w:val="0"/>
                <w:bCs w:val="0"/>
                <w:color w:val="000000"/>
                <w:kern w:val="2"/>
                <w:sz w:val="21"/>
                <w:szCs w:val="21"/>
                <w:lang w:val="en-US" w:eastAsia="zh-CN" w:bidi="ar"/>
              </w:rPr>
              <w:t>2023</w:t>
            </w:r>
            <w:r>
              <w:rPr>
                <w:rStyle w:val="13"/>
                <w:rFonts w:hint="eastAsia" w:ascii="宋体" w:hAnsi="宋体" w:eastAsia="宋体" w:cs="宋体"/>
                <w:b w:val="0"/>
                <w:bCs w:val="0"/>
                <w:color w:val="000000"/>
                <w:kern w:val="2"/>
                <w:sz w:val="21"/>
                <w:szCs w:val="21"/>
                <w:lang w:val="en-US" w:eastAsia="zh-CN" w:bidi="ar"/>
              </w:rPr>
              <w:t>〕</w:t>
            </w:r>
            <w:r>
              <w:rPr>
                <w:rStyle w:val="12"/>
                <w:rFonts w:hint="eastAsia" w:ascii="宋体" w:hAnsi="宋体" w:eastAsia="宋体" w:cs="宋体"/>
                <w:b w:val="0"/>
                <w:bCs w:val="0"/>
                <w:color w:val="000000"/>
                <w:kern w:val="2"/>
                <w:sz w:val="21"/>
                <w:szCs w:val="21"/>
                <w:lang w:val="en-US" w:eastAsia="zh-CN" w:bidi="ar"/>
              </w:rPr>
              <w:t>8</w:t>
            </w:r>
            <w:r>
              <w:rPr>
                <w:rStyle w:val="13"/>
                <w:rFonts w:hint="eastAsia" w:ascii="宋体" w:hAnsi="宋体" w:eastAsia="宋体" w:cs="宋体"/>
                <w:b w:val="0"/>
                <w:bCs w:val="0"/>
                <w:color w:val="000000"/>
                <w:kern w:val="2"/>
                <w:sz w:val="21"/>
                <w:szCs w:val="21"/>
                <w:lang w:val="en-US" w:eastAsia="zh-CN" w:bidi="ar"/>
              </w:rPr>
              <w:t>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《厦门市建设工程招标投标中心关于进一步规范招标人、招标代理机构招投标活动相关行为的通知》第一条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aps w:val="0"/>
                <w:color w:val="000000"/>
                <w:spacing w:val="0"/>
                <w:kern w:val="0"/>
                <w:sz w:val="21"/>
                <w:szCs w:val="21"/>
                <w:lang w:val="en-US" w:eastAsia="zh-CN" w:bidi="ar"/>
              </w:rPr>
              <w:t>《厦门市建设工程项目招标投标活动异议投诉处理工作指导意见》第一条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4</w:t>
            </w:r>
          </w:p>
        </w:tc>
        <w:tc>
          <w:tcPr>
            <w:tcW w:w="5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执业质量与操作</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color w:val="000000"/>
                <w:kern w:val="2"/>
                <w:sz w:val="21"/>
                <w:szCs w:val="21"/>
                <w:lang w:val="en-US" w:eastAsia="zh-CN" w:bidi="ar"/>
              </w:rPr>
              <w:t>1.存在《工程建设项目招标代理机构管理暂行办法》第十七条和《福建省房屋建筑和市政基础设施工程招标代理机构管理办法》第十一条有关禁止行为。</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2.招标文件存在招标文件条款因不严密、低级的逻辑或技术错误产生歧义而被异议投诉且异议或投诉成立。</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3.招标文件文件存在强制要求投标人组成联合体共同投标，或者限制投标人竞争。</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4.招标文件中将投标细微偏差情形列为重大偏差情形或将非实质性内容设置为否决投标条件。</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5.招投标过程组织不力，工作质量低下，影响工程建设工期或造成不良影响。</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6.因招标代理机构原因导致招标失败或重新招标，影响工程建设工期或造成不良影响。</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7.招标代理活动结束后，未及时向招标人提交全套招标档案资料或篡改、损毁、伪造或擅自销毁档案资料。</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8.未按有关规定完整保存有关招投标资料。</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《工程建设项目招标代理机构管理暂行办法》（六部委令第34号）第十七条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《关于严格执行招标投标法规制度进一步规范招标投标主体行为的若干意见》（发改法规规（2022）1117号）第十六条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lang w:val="en-US" w:eastAsia="zh-CN" w:bidi="ar"/>
              </w:rPr>
              <w:t>《福建省房屋建筑和市政基础设施工程招标代理机构管理办法》（闽建〔2025〕2号）</w:t>
            </w:r>
            <w:r>
              <w:rPr>
                <w:rFonts w:hint="eastAsia" w:ascii="宋体" w:hAnsi="宋体" w:eastAsia="宋体" w:cs="宋体"/>
                <w:b w:val="0"/>
                <w:bCs w:val="0"/>
                <w:color w:val="000000"/>
                <w:kern w:val="2"/>
                <w:sz w:val="21"/>
                <w:szCs w:val="21"/>
                <w:lang w:val="en-US" w:eastAsia="zh-CN" w:bidi="ar"/>
              </w:rPr>
              <w:t>第十一条、</w:t>
            </w:r>
            <w:r>
              <w:rPr>
                <w:rStyle w:val="11"/>
                <w:rFonts w:hint="eastAsia" w:ascii="宋体" w:hAnsi="宋体" w:eastAsia="宋体" w:cs="宋体"/>
                <w:b w:val="0"/>
                <w:bCs w:val="0"/>
                <w:color w:val="000000"/>
                <w:kern w:val="2"/>
                <w:sz w:val="21"/>
                <w:szCs w:val="21"/>
                <w:lang w:val="en-US" w:eastAsia="zh-CN" w:bidi="ar"/>
              </w:rPr>
              <w:t>第十三条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《福建省房屋建筑和市政基础设施工程招标投标管理规定（试行）》（闽建〔2025〕5号）第四十五条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《厦门市建筑市场主体信用监管行为认定范围和档次操作标准的通知》（厦建筑〔2021〕143号）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lang w:val="en-US" w:eastAsia="zh-CN" w:bidi="ar"/>
              </w:rPr>
              <w:t>《厦门市建设局关于印发厦门市建设工程招标代理机构信用综合评价计分办法的通知》（厦建筑〔</w:t>
            </w:r>
            <w:r>
              <w:rPr>
                <w:rStyle w:val="15"/>
                <w:rFonts w:hint="eastAsia" w:ascii="宋体" w:hAnsi="宋体" w:eastAsia="宋体" w:cs="宋体"/>
                <w:b w:val="0"/>
                <w:bCs w:val="0"/>
                <w:color w:val="000000"/>
                <w:kern w:val="2"/>
                <w:sz w:val="21"/>
                <w:szCs w:val="21"/>
                <w:lang w:val="en-US" w:eastAsia="zh-CN" w:bidi="ar"/>
              </w:rPr>
              <w:t>2023</w:t>
            </w:r>
            <w:r>
              <w:rPr>
                <w:rStyle w:val="13"/>
                <w:rFonts w:hint="eastAsia" w:ascii="宋体" w:hAnsi="宋体" w:eastAsia="宋体" w:cs="宋体"/>
                <w:b w:val="0"/>
                <w:bCs w:val="0"/>
                <w:color w:val="000000"/>
                <w:kern w:val="2"/>
                <w:sz w:val="21"/>
                <w:szCs w:val="21"/>
                <w:lang w:val="en-US" w:eastAsia="zh-CN" w:bidi="ar"/>
              </w:rPr>
              <w:t>〕</w:t>
            </w:r>
            <w:r>
              <w:rPr>
                <w:rStyle w:val="12"/>
                <w:rFonts w:hint="eastAsia" w:ascii="宋体" w:hAnsi="宋体" w:eastAsia="宋体" w:cs="宋体"/>
                <w:b w:val="0"/>
                <w:bCs w:val="0"/>
                <w:color w:val="000000"/>
                <w:kern w:val="2"/>
                <w:sz w:val="21"/>
                <w:szCs w:val="21"/>
                <w:lang w:val="en-US" w:eastAsia="zh-CN" w:bidi="ar"/>
              </w:rPr>
              <w:t>8</w:t>
            </w:r>
            <w:r>
              <w:rPr>
                <w:rStyle w:val="13"/>
                <w:rFonts w:hint="eastAsia" w:ascii="宋体" w:hAnsi="宋体" w:eastAsia="宋体" w:cs="宋体"/>
                <w:b w:val="0"/>
                <w:bCs w:val="0"/>
                <w:color w:val="000000"/>
                <w:kern w:val="2"/>
                <w:sz w:val="21"/>
                <w:szCs w:val="21"/>
                <w:lang w:val="en-US" w:eastAsia="zh-CN" w:bidi="ar"/>
              </w:rPr>
              <w:t>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87"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5</w:t>
            </w:r>
          </w:p>
        </w:tc>
        <w:tc>
          <w:tcPr>
            <w:tcW w:w="5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职业操守</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1.在招投标活动中向招投标监管部门出具了承诺函，未按承诺事项履行。</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2.在办理相关业务或提交资料过程中弄虚作假、隐瞒真实情况或备案资料主要内容发生变更而未及时向招投标监管部门报告。</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3.以高出印刷及邮寄成本的价格出售招标文件或者资格预审文件等资料。</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4.向他人透露已获取招标文件的潜在投标人的名称、数量等情况，或者泄露标底。</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5.评标委员会成员的名单在中标结果确定前未保密。</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6.对在异议处理中，投标人提供虚假资料等涉嫌弄虚作假行为隐瞒不调查处理或不报告。</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7.不配合招投标监管部门依法处理招投标投诉或提供虚假资料。</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color w:val="000000"/>
                <w:kern w:val="0"/>
                <w:sz w:val="21"/>
                <w:szCs w:val="21"/>
                <w:lang w:val="en-US" w:eastAsia="zh-CN" w:bidi="ar"/>
              </w:rPr>
              <w:t>未执行或未全面执行监督执法机关作出的责令整改意见、投诉处理决定书或其它监督意见。</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color w:val="000000"/>
                <w:kern w:val="0"/>
                <w:sz w:val="21"/>
                <w:szCs w:val="21"/>
                <w:lang w:val="en-US" w:eastAsia="zh-CN" w:bidi="ar"/>
              </w:rPr>
              <w:t>9.将监管部门的《整改意见书》内容外泄给潜在投标人，造成不良影响。</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10.对于招标人、投标人、评标专家等提出的违法要求，不坚决抵制、不及时劝阻，背离职业道德无原则附和。</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11.向招标人隐瞒或歪曲有关招标投标情况。</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《中华人民共和国招标投标法》第三十七条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《中华人民共和国招标投标法实施条例》第十六条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《关于严格执行招标投标法规制度进一步规范招标投标主体行为的若干意见》（发改法规规（2022）1117号）第十六条</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《厦门市建筑市场主体信用监管行为认定范围和档次操作标准的通知》（厦建筑〔2021〕143号）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olor w:val="000000"/>
                <w:kern w:val="0"/>
                <w:sz w:val="21"/>
                <w:szCs w:val="21"/>
                <w:lang w:val="en-US" w:eastAsia="zh-CN" w:bidi="ar"/>
              </w:rPr>
              <w:t>《厦门市建设局关于印发厦门市建设工程招标代理机构信用综合评价计分办法的通知》（厦建筑〔</w:t>
            </w:r>
            <w:r>
              <w:rPr>
                <w:rStyle w:val="15"/>
                <w:rFonts w:hint="eastAsia" w:ascii="宋体" w:hAnsi="宋体" w:eastAsia="宋体" w:cs="宋体"/>
                <w:b w:val="0"/>
                <w:bCs w:val="0"/>
                <w:color w:val="000000"/>
                <w:kern w:val="2"/>
                <w:sz w:val="21"/>
                <w:szCs w:val="21"/>
                <w:lang w:val="en-US" w:eastAsia="zh-CN" w:bidi="ar"/>
              </w:rPr>
              <w:t>2023</w:t>
            </w:r>
            <w:r>
              <w:rPr>
                <w:rStyle w:val="13"/>
                <w:rFonts w:hint="eastAsia" w:ascii="宋体" w:hAnsi="宋体" w:eastAsia="宋体" w:cs="宋体"/>
                <w:b w:val="0"/>
                <w:bCs w:val="0"/>
                <w:color w:val="000000"/>
                <w:kern w:val="2"/>
                <w:sz w:val="21"/>
                <w:szCs w:val="21"/>
                <w:lang w:val="en-US" w:eastAsia="zh-CN" w:bidi="ar"/>
              </w:rPr>
              <w:t>〕</w:t>
            </w:r>
            <w:r>
              <w:rPr>
                <w:rStyle w:val="12"/>
                <w:rFonts w:hint="eastAsia" w:ascii="宋体" w:hAnsi="宋体" w:eastAsia="宋体" w:cs="宋体"/>
                <w:b w:val="0"/>
                <w:bCs w:val="0"/>
                <w:color w:val="000000"/>
                <w:kern w:val="2"/>
                <w:sz w:val="21"/>
                <w:szCs w:val="21"/>
                <w:lang w:val="en-US" w:eastAsia="zh-CN" w:bidi="ar"/>
              </w:rPr>
              <w:t>8</w:t>
            </w:r>
            <w:r>
              <w:rPr>
                <w:rStyle w:val="13"/>
                <w:rFonts w:hint="eastAsia" w:ascii="宋体" w:hAnsi="宋体" w:eastAsia="宋体" w:cs="宋体"/>
                <w:b w:val="0"/>
                <w:bCs w:val="0"/>
                <w:color w:val="000000"/>
                <w:kern w:val="2"/>
                <w:sz w:val="21"/>
                <w:szCs w:val="21"/>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81"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6</w:t>
            </w:r>
          </w:p>
        </w:tc>
        <w:tc>
          <w:tcPr>
            <w:tcW w:w="5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0"/>
                <w:sz w:val="21"/>
                <w:szCs w:val="21"/>
                <w:lang w:val="en-US" w:eastAsia="zh-CN" w:bidi="ar"/>
              </w:rPr>
              <w:t>入场行为</w:t>
            </w:r>
          </w:p>
        </w:tc>
        <w:tc>
          <w:tcPr>
            <w:tcW w:w="239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2"/>
                <w:sz w:val="21"/>
                <w:szCs w:val="21"/>
                <w:lang w:val="en-US" w:eastAsia="zh-CN" w:bidi="ar"/>
              </w:rPr>
              <w:t>1.进场的项目组成员不属于本单位人员或不属于事先报备的人员（以行政监督平台报备的为准）。</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2"/>
                <w:sz w:val="21"/>
                <w:szCs w:val="21"/>
                <w:lang w:val="en-US" w:eastAsia="zh-CN" w:bidi="ar"/>
              </w:rPr>
              <w:t>2.进场的项目组成员(项目负责人，招标文件编制人及其他成员等)开标、评标时未到位或履职不到位。</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2"/>
                <w:sz w:val="21"/>
                <w:szCs w:val="21"/>
                <w:lang w:val="en-US" w:eastAsia="zh-CN" w:bidi="ar"/>
              </w:rPr>
              <w:t>3.未落实规定的开标程序和要求，导致开标秩序混乱。</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rPr>
            </w:pPr>
            <w:r>
              <w:rPr>
                <w:rFonts w:hint="eastAsia" w:ascii="宋体" w:hAnsi="宋体" w:eastAsia="宋体" w:cs="宋体"/>
                <w:b w:val="0"/>
                <w:bCs w:val="0"/>
                <w:i w:val="0"/>
                <w:iCs w:val="0"/>
                <w:color w:val="000000"/>
                <w:kern w:val="2"/>
                <w:sz w:val="21"/>
                <w:szCs w:val="21"/>
                <w:lang w:val="en-US" w:eastAsia="zh-CN" w:bidi="ar"/>
              </w:rPr>
              <w:t>4.从业人员违反公共资源交易中心的管理规定且拒不服从管理。</w:t>
            </w:r>
          </w:p>
        </w:tc>
        <w:tc>
          <w:tcPr>
            <w:tcW w:w="17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《厦门市建筑市场主体信用监管行为认定范围和档次操作标准的通知》（厦建筑〔2021〕143号）</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rPr>
            </w:pPr>
            <w:r>
              <w:rPr>
                <w:rFonts w:hint="eastAsia" w:ascii="宋体" w:hAnsi="宋体" w:eastAsia="宋体" w:cs="宋体"/>
                <w:b w:val="0"/>
                <w:bCs w:val="0"/>
                <w:i w:val="0"/>
                <w:iCs w:val="0"/>
                <w:color w:val="000000"/>
                <w:kern w:val="0"/>
                <w:sz w:val="21"/>
                <w:szCs w:val="21"/>
                <w:lang w:val="en-US" w:eastAsia="zh-CN" w:bidi="ar"/>
              </w:rPr>
              <w:t>《厦门市公共资源交易中心关于工程建设项目招标代理机构不规范行为信息采集通报有关事项的通知》（厦交易〔2021〕4号）第四条</w:t>
            </w:r>
          </w:p>
        </w:tc>
      </w:tr>
    </w:tbl>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autoSpaceDE w:val="0"/>
        <w:autoSpaceDN/>
        <w:spacing w:before="0" w:beforeAutospacing="0" w:after="0" w:afterAutospacing="0" w:line="312"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注：1.本负面清单将结合实际情况动态调整。</w:t>
      </w:r>
    </w:p>
    <w:p>
      <w:pPr>
        <w:keepNext w:val="0"/>
        <w:keepLines w:val="0"/>
        <w:widowControl w:val="0"/>
        <w:suppressLineNumbers w:val="0"/>
        <w:autoSpaceDE w:val="0"/>
        <w:autoSpaceDN/>
        <w:spacing w:before="0" w:beforeAutospacing="0" w:after="0" w:afterAutospacing="0" w:line="312"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2.本负面清单所依据的法律、法规、规章和政策文件废止或修改后，相应条款自动调整。</w:t>
      </w:r>
    </w:p>
    <w:p>
      <w:pPr>
        <w:keepNext w:val="0"/>
        <w:keepLines w:val="0"/>
        <w:widowControl w:val="0"/>
        <w:suppressLineNumbers w:val="0"/>
        <w:autoSpaceDE w:val="0"/>
        <w:autoSpaceDN/>
        <w:spacing w:before="0" w:beforeAutospacing="0" w:after="0" w:afterAutospacing="0" w:line="312" w:lineRule="auto"/>
        <w:ind w:left="0" w:right="0" w:firstLine="420" w:firstLineChars="20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3.本负面清单的禁止行为或法律、法规、规章及政策依据的未尽事项，依然要遵守法律、法规、规章和政策文件有关规定。</w:t>
      </w:r>
    </w:p>
    <w:p>
      <w:pPr>
        <w:pStyle w:val="3"/>
        <w:autoSpaceDE w:val="0"/>
        <w:autoSpaceDN w:val="0"/>
        <w:adjustRightInd w:val="0"/>
        <w:ind w:firstLine="420" w:firstLineChars="200"/>
        <w:jc w:val="left"/>
        <w:rPr>
          <w:rFonts w:hint="default" w:ascii="宋体" w:hAnsi="宋体" w:eastAsia="宋体" w:cs="宋体"/>
          <w:lang w:val="en-US" w:eastAsia="zh-CN"/>
        </w:rPr>
      </w:pPr>
      <w:r>
        <w:rPr>
          <w:rFonts w:hint="eastAsia" w:ascii="宋体" w:hAnsi="宋体" w:eastAsia="宋体" w:cs="宋体"/>
          <w:kern w:val="0"/>
          <w:sz w:val="21"/>
          <w:szCs w:val="21"/>
          <w:lang w:val="en-US" w:eastAsia="zh-CN" w:bidi="ar"/>
        </w:rPr>
        <w:t>4.本负面清单中住建部、福建省住建厅的相关规定适用于房屋建筑和市政基础设施招投标活动。</w:t>
      </w:r>
    </w:p>
    <w:sectPr>
      <w:pgSz w:w="16838" w:h="11906" w:orient="landscape"/>
      <w:pgMar w:top="1203" w:right="1440" w:bottom="146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var(--dsw-font-markdown-table)">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A081A"/>
    <w:rsid w:val="00701313"/>
    <w:rsid w:val="00B31FA3"/>
    <w:rsid w:val="01670F82"/>
    <w:rsid w:val="01C66A79"/>
    <w:rsid w:val="02240272"/>
    <w:rsid w:val="025D0746"/>
    <w:rsid w:val="027E3AD1"/>
    <w:rsid w:val="02AE2238"/>
    <w:rsid w:val="03510B4D"/>
    <w:rsid w:val="038214CF"/>
    <w:rsid w:val="04884608"/>
    <w:rsid w:val="04AC1C48"/>
    <w:rsid w:val="04D00F5D"/>
    <w:rsid w:val="04F23432"/>
    <w:rsid w:val="06E40238"/>
    <w:rsid w:val="07B574B8"/>
    <w:rsid w:val="07F52E88"/>
    <w:rsid w:val="091E30E5"/>
    <w:rsid w:val="09470A18"/>
    <w:rsid w:val="095E4394"/>
    <w:rsid w:val="098D5BE4"/>
    <w:rsid w:val="0A500264"/>
    <w:rsid w:val="0B3670EB"/>
    <w:rsid w:val="0B835844"/>
    <w:rsid w:val="0C17363A"/>
    <w:rsid w:val="0D7A43B8"/>
    <w:rsid w:val="0E582C8F"/>
    <w:rsid w:val="0E627F2F"/>
    <w:rsid w:val="0F4851CE"/>
    <w:rsid w:val="106A5C2F"/>
    <w:rsid w:val="106A7A5C"/>
    <w:rsid w:val="11C279BE"/>
    <w:rsid w:val="12EC3B7F"/>
    <w:rsid w:val="13A217D7"/>
    <w:rsid w:val="13EC7C1E"/>
    <w:rsid w:val="14BC4380"/>
    <w:rsid w:val="157111BF"/>
    <w:rsid w:val="169413E4"/>
    <w:rsid w:val="16E6549C"/>
    <w:rsid w:val="170F59F8"/>
    <w:rsid w:val="177F5E8E"/>
    <w:rsid w:val="178B772C"/>
    <w:rsid w:val="19EF799D"/>
    <w:rsid w:val="1A9F112C"/>
    <w:rsid w:val="1B8D4587"/>
    <w:rsid w:val="211711ED"/>
    <w:rsid w:val="214773FD"/>
    <w:rsid w:val="21F23DDD"/>
    <w:rsid w:val="221414B4"/>
    <w:rsid w:val="231358FC"/>
    <w:rsid w:val="23865D0F"/>
    <w:rsid w:val="24A17400"/>
    <w:rsid w:val="258801E9"/>
    <w:rsid w:val="26387B23"/>
    <w:rsid w:val="26954BFC"/>
    <w:rsid w:val="283F7E7E"/>
    <w:rsid w:val="29151126"/>
    <w:rsid w:val="29BA5671"/>
    <w:rsid w:val="2AA8430B"/>
    <w:rsid w:val="2C2B4BA5"/>
    <w:rsid w:val="2CBC2163"/>
    <w:rsid w:val="2CFD3399"/>
    <w:rsid w:val="2D2E5098"/>
    <w:rsid w:val="2D833675"/>
    <w:rsid w:val="2DA02F0B"/>
    <w:rsid w:val="2E615DE8"/>
    <w:rsid w:val="2F632CB2"/>
    <w:rsid w:val="301241DE"/>
    <w:rsid w:val="30433178"/>
    <w:rsid w:val="304C0C3E"/>
    <w:rsid w:val="330856BD"/>
    <w:rsid w:val="354C5366"/>
    <w:rsid w:val="35EE3595"/>
    <w:rsid w:val="36AF4830"/>
    <w:rsid w:val="36FE7692"/>
    <w:rsid w:val="37EF0000"/>
    <w:rsid w:val="38716B9F"/>
    <w:rsid w:val="398F2C17"/>
    <w:rsid w:val="3CC57B2E"/>
    <w:rsid w:val="3D213CB3"/>
    <w:rsid w:val="3D8D5F82"/>
    <w:rsid w:val="3DA56D2D"/>
    <w:rsid w:val="3E151348"/>
    <w:rsid w:val="3E6426B6"/>
    <w:rsid w:val="416C23E1"/>
    <w:rsid w:val="4303685C"/>
    <w:rsid w:val="43112426"/>
    <w:rsid w:val="43C20F8C"/>
    <w:rsid w:val="44807388"/>
    <w:rsid w:val="449A665B"/>
    <w:rsid w:val="45222C3F"/>
    <w:rsid w:val="4919260E"/>
    <w:rsid w:val="4AB600A1"/>
    <w:rsid w:val="4AB87797"/>
    <w:rsid w:val="4B267AB6"/>
    <w:rsid w:val="4BFB2B1F"/>
    <w:rsid w:val="4CDB049B"/>
    <w:rsid w:val="4DA65C32"/>
    <w:rsid w:val="4DE65626"/>
    <w:rsid w:val="4E550C7E"/>
    <w:rsid w:val="52622010"/>
    <w:rsid w:val="526252C5"/>
    <w:rsid w:val="53B1340C"/>
    <w:rsid w:val="57F14D50"/>
    <w:rsid w:val="589E5DAA"/>
    <w:rsid w:val="593863DF"/>
    <w:rsid w:val="59937EA8"/>
    <w:rsid w:val="5AD5EE82"/>
    <w:rsid w:val="5B006651"/>
    <w:rsid w:val="5B2945BB"/>
    <w:rsid w:val="5BE1558E"/>
    <w:rsid w:val="5BE4354C"/>
    <w:rsid w:val="5CBB47FA"/>
    <w:rsid w:val="5DC41269"/>
    <w:rsid w:val="5ED73CA2"/>
    <w:rsid w:val="5F779031"/>
    <w:rsid w:val="5FC9048C"/>
    <w:rsid w:val="60876EB6"/>
    <w:rsid w:val="608C539E"/>
    <w:rsid w:val="615006AB"/>
    <w:rsid w:val="62B25887"/>
    <w:rsid w:val="635E51F1"/>
    <w:rsid w:val="639907BD"/>
    <w:rsid w:val="63C11EFE"/>
    <w:rsid w:val="63EB457C"/>
    <w:rsid w:val="64EC0D3D"/>
    <w:rsid w:val="651541F9"/>
    <w:rsid w:val="6538200E"/>
    <w:rsid w:val="66224551"/>
    <w:rsid w:val="66924C22"/>
    <w:rsid w:val="66C5315C"/>
    <w:rsid w:val="66FC11C3"/>
    <w:rsid w:val="686C57DA"/>
    <w:rsid w:val="68A22B78"/>
    <w:rsid w:val="6B0109F9"/>
    <w:rsid w:val="6B9F6619"/>
    <w:rsid w:val="6D390CEE"/>
    <w:rsid w:val="70FB1A73"/>
    <w:rsid w:val="72652E6D"/>
    <w:rsid w:val="737C4462"/>
    <w:rsid w:val="76BBA908"/>
    <w:rsid w:val="76F757D4"/>
    <w:rsid w:val="78986AE6"/>
    <w:rsid w:val="7A160DE6"/>
    <w:rsid w:val="7B1F219D"/>
    <w:rsid w:val="7EEC5DAF"/>
    <w:rsid w:val="7EED66D3"/>
    <w:rsid w:val="7F68157E"/>
    <w:rsid w:val="7FAEE064"/>
    <w:rsid w:val="BFDE47D7"/>
    <w:rsid w:val="E5B739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 w:type="paragraph" w:styleId="3">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61"/>
    <w:basedOn w:val="6"/>
    <w:qFormat/>
    <w:uiPriority w:val="0"/>
    <w:rPr>
      <w:rFonts w:ascii="var(--dsw-font-markdown-table)" w:hAnsi="var(--dsw-font-markdown-table)" w:eastAsia="var(--dsw-font-markdown-table)" w:cs="var(--dsw-font-markdown-table)"/>
      <w:color w:val="000000"/>
      <w:sz w:val="22"/>
      <w:szCs w:val="22"/>
      <w:u w:val="none"/>
    </w:rPr>
  </w:style>
  <w:style w:type="character" w:customStyle="1" w:styleId="9">
    <w:name w:val="font11"/>
    <w:basedOn w:val="6"/>
    <w:qFormat/>
    <w:uiPriority w:val="0"/>
    <w:rPr>
      <w:rFonts w:hint="eastAsia" w:ascii="宋体" w:hAnsi="宋体" w:eastAsia="宋体" w:cs="宋体"/>
      <w:color w:val="0F1115"/>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none"/>
    </w:rPr>
  </w:style>
  <w:style w:type="character" w:customStyle="1" w:styleId="11">
    <w:name w:val="16"/>
    <w:basedOn w:val="6"/>
    <w:qFormat/>
    <w:uiPriority w:val="0"/>
    <w:rPr>
      <w:rFonts w:hint="default" w:ascii="Times New Roman" w:hAnsi="Times New Roman" w:cs="Times New Roman"/>
      <w:b/>
      <w:bCs/>
    </w:rPr>
  </w:style>
  <w:style w:type="character" w:customStyle="1" w:styleId="12">
    <w:name w:val="15"/>
    <w:basedOn w:val="6"/>
    <w:qFormat/>
    <w:uiPriority w:val="0"/>
    <w:rPr>
      <w:rFonts w:hint="eastAsia" w:ascii="宋体" w:hAnsi="宋体" w:eastAsia="宋体" w:cs="宋体"/>
      <w:color w:val="000000"/>
      <w:sz w:val="22"/>
      <w:szCs w:val="22"/>
    </w:rPr>
  </w:style>
  <w:style w:type="character" w:customStyle="1" w:styleId="13">
    <w:name w:val="17"/>
    <w:basedOn w:val="6"/>
    <w:qFormat/>
    <w:uiPriority w:val="0"/>
    <w:rPr>
      <w:rFonts w:hint="eastAsia" w:ascii="宋体" w:hAnsi="宋体" w:eastAsia="宋体" w:cs="宋体"/>
      <w:color w:val="0F1115"/>
      <w:sz w:val="22"/>
      <w:szCs w:val="22"/>
    </w:rPr>
  </w:style>
  <w:style w:type="character" w:customStyle="1" w:styleId="14">
    <w:name w:val="10"/>
    <w:basedOn w:val="6"/>
    <w:qFormat/>
    <w:uiPriority w:val="0"/>
    <w:rPr>
      <w:rFonts w:hint="default" w:ascii="Times New Roman" w:hAnsi="Times New Roman" w:cs="Times New Roman"/>
    </w:rPr>
  </w:style>
  <w:style w:type="character" w:customStyle="1" w:styleId="15">
    <w:name w:val="18"/>
    <w:basedOn w:val="6"/>
    <w:qFormat/>
    <w:uiPriority w:val="0"/>
    <w:rPr>
      <w:rFonts w:hint="default" w:ascii="var(--dsw-font-markdown-table)" w:hAnsi="var(--dsw-font-markdown-table)" w:eastAsia="var(--dsw-font-markdown-table)" w:cs="var(--dsw-font-markdown-table)"/>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3842</Words>
  <Characters>3996</Characters>
  <Lines>1</Lines>
  <Paragraphs>1</Paragraphs>
  <TotalTime>2</TotalTime>
  <ScaleCrop>false</ScaleCrop>
  <LinksUpToDate>false</LinksUpToDate>
  <CharactersWithSpaces>3996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2026-03-07T16:48:00Z</dcterms:created>
  <dc:creator>Administrator</dc:creator>
  <cp:lastModifiedBy>xmadmin</cp:lastModifiedBy>
  <dcterms:modified xsi:type="dcterms:W3CDTF">2026-03-27T17:59:51Z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eyJoZGlkIjoiYmFmM2M3ZWMyNGVkMjdjMTY2ZTBiNzEwZTg4MTJkOGUiLCJ1c2VySWQiOiI0OTczNjM0NTcifQ==</vt:lpwstr>
  </property>
  <property fmtid="{D5CDD505-2E9C-101B-9397-08002B2CF9AE}" pid="4" name="ICV">
    <vt:lpwstr>AD9EEF390F8789C93D57C269FE64BDDB_43</vt:lpwstr>
  </property>
</Properties>
</file>